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7A6A" w14:textId="77777777" w:rsidR="004051FF" w:rsidRPr="004051FF" w:rsidRDefault="004051FF" w:rsidP="007956BB">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INSTRUKCE</w:t>
      </w:r>
    </w:p>
    <w:p w14:paraId="513432E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Ministerstva spravedlnosti</w:t>
      </w:r>
    </w:p>
    <w:p w14:paraId="5A91FEF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ze dne 20. června 2002,</w:t>
      </w:r>
      <w:r>
        <w:rPr>
          <w:rFonts w:ascii="Times New Roman" w:hAnsi="Times New Roman" w:cs="Times New Roman"/>
          <w:sz w:val="24"/>
          <w:szCs w:val="24"/>
          <w:highlight w:val="white"/>
        </w:rPr>
        <w:t xml:space="preserve"> č. j. 20/2002-SM,</w:t>
      </w:r>
    </w:p>
    <w:p w14:paraId="2DEF4045" w14:textId="77777777" w:rsid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kterou se upravuje postup při evidenci a zařazování rozhodnutí okresních, krajských a</w:t>
      </w:r>
      <w:r w:rsidR="003F08F7">
        <w:rPr>
          <w:rFonts w:ascii="Times New Roman" w:hAnsi="Times New Roman" w:cs="Times New Roman"/>
          <w:b/>
          <w:bCs/>
          <w:sz w:val="24"/>
          <w:szCs w:val="24"/>
          <w:highlight w:val="white"/>
        </w:rPr>
        <w:t> </w:t>
      </w:r>
      <w:r w:rsidRPr="004051FF">
        <w:rPr>
          <w:rFonts w:ascii="Times New Roman" w:hAnsi="Times New Roman" w:cs="Times New Roman"/>
          <w:b/>
          <w:bCs/>
          <w:sz w:val="24"/>
          <w:szCs w:val="24"/>
          <w:highlight w:val="white"/>
        </w:rPr>
        <w:t>vrchních soudů do systému elektronické evidence soudní judikatury</w:t>
      </w:r>
    </w:p>
    <w:p w14:paraId="4E81582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1446DCB3" w14:textId="598E6E33" w:rsidR="008353BF" w:rsidRPr="00877623" w:rsidRDefault="004051FF" w:rsidP="00D46AB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ve znění instrukce Ministerstva spravedlnosti ze dne 2. dubna 2004, č. j. 214/2004-Org, uveřejněné pod č. 31/2004 Sbírky instrukcí a sdělení Ministerstva spravedlnosti, instrukce Ministerstva spravedlnosti ze dne 9. září 2004, č. j. 214/2004-Org, uveřejněné pod č. 33/2004 Sbírky instrukcí a sdělení Ministerstva spravedlnosti, instrukce Ministerstva spravedlnosti ze dne 16. listopadu 2005, č. j. 290/2005-Org, uveřejněné pod č. 3/2006 Sbírky instrukcí a sdělení</w:t>
      </w:r>
      <w:r w:rsidR="00D46AB4">
        <w:rPr>
          <w:rFonts w:ascii="Times New Roman" w:hAnsi="Times New Roman" w:cs="Times New Roman"/>
          <w:sz w:val="24"/>
          <w:szCs w:val="24"/>
          <w:highlight w:val="white"/>
        </w:rPr>
        <w:t xml:space="preserve"> Ministerstva spravedlnosti, </w:t>
      </w:r>
      <w:r w:rsidRPr="004051FF">
        <w:rPr>
          <w:rFonts w:ascii="Times New Roman" w:hAnsi="Times New Roman" w:cs="Times New Roman"/>
          <w:sz w:val="24"/>
          <w:szCs w:val="24"/>
          <w:highlight w:val="white"/>
        </w:rPr>
        <w:t>instrukce Ministerstva spravedlnosti ze dne 15.</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března 2011, č. j. 223/2010-OD-ST, uveřejněné pod č. 14/2011 Sbírky instrukcí a sdělení Ministerstva spravedlnosti</w:t>
      </w:r>
      <w:r w:rsidR="00877623">
        <w:rPr>
          <w:rFonts w:ascii="Times New Roman" w:hAnsi="Times New Roman" w:cs="Times New Roman"/>
          <w:sz w:val="24"/>
          <w:szCs w:val="24"/>
          <w:highlight w:val="white"/>
        </w:rPr>
        <w:t xml:space="preserve">, </w:t>
      </w:r>
      <w:r w:rsidR="008353BF" w:rsidRPr="008353BF">
        <w:rPr>
          <w:rFonts w:ascii="Times New Roman" w:hAnsi="Times New Roman" w:cs="Times New Roman"/>
          <w:b/>
          <w:color w:val="0070C0"/>
          <w:sz w:val="24"/>
          <w:szCs w:val="24"/>
        </w:rPr>
        <w:t>instrukce č. 5/2020 Ministerstva spravedlnosti ze dne 8. září 2020, č. j. 16/2020-ODKA-MET</w:t>
      </w:r>
      <w:r w:rsidR="008353BF">
        <w:rPr>
          <w:rFonts w:ascii="Times New Roman" w:hAnsi="Times New Roman" w:cs="Times New Roman"/>
          <w:b/>
          <w:color w:val="0070C0"/>
          <w:sz w:val="24"/>
          <w:szCs w:val="24"/>
        </w:rPr>
        <w:t>,</w:t>
      </w:r>
      <w:r w:rsidR="008353BF" w:rsidRPr="008353BF">
        <w:rPr>
          <w:rFonts w:ascii="Times New Roman" w:hAnsi="Times New Roman" w:cs="Times New Roman"/>
          <w:b/>
          <w:color w:val="0070C0"/>
          <w:sz w:val="24"/>
          <w:szCs w:val="24"/>
        </w:rPr>
        <w:t xml:space="preserve"> instrukce č. 8/2021 Ministerstva spravedlnosti ze dne 4.</w:t>
      </w:r>
      <w:r w:rsidR="003E386D">
        <w:rPr>
          <w:rFonts w:ascii="Times New Roman" w:hAnsi="Times New Roman" w:cs="Times New Roman"/>
          <w:b/>
          <w:color w:val="0070C0"/>
          <w:sz w:val="24"/>
          <w:szCs w:val="24"/>
        </w:rPr>
        <w:t> </w:t>
      </w:r>
      <w:r w:rsidR="008353BF" w:rsidRPr="008353BF">
        <w:rPr>
          <w:rFonts w:ascii="Times New Roman" w:hAnsi="Times New Roman" w:cs="Times New Roman"/>
          <w:b/>
          <w:color w:val="0070C0"/>
          <w:sz w:val="24"/>
          <w:szCs w:val="24"/>
        </w:rPr>
        <w:t>11. 2021, č. j. 35/2021-OSKJ-MET</w:t>
      </w:r>
      <w:r w:rsidR="008353BF">
        <w:rPr>
          <w:rFonts w:ascii="Times New Roman" w:hAnsi="Times New Roman" w:cs="Times New Roman"/>
          <w:b/>
          <w:color w:val="0070C0"/>
          <w:sz w:val="24"/>
          <w:szCs w:val="24"/>
        </w:rPr>
        <w:t xml:space="preserve"> a instrukce č. 4/2023 Ministerstva spravedlnosti ze</w:t>
      </w:r>
      <w:r w:rsidR="003E386D">
        <w:rPr>
          <w:rFonts w:ascii="Times New Roman" w:hAnsi="Times New Roman" w:cs="Times New Roman"/>
          <w:b/>
          <w:color w:val="0070C0"/>
          <w:sz w:val="24"/>
          <w:szCs w:val="24"/>
        </w:rPr>
        <w:t> dne 27. 2. 2023</w:t>
      </w:r>
      <w:r w:rsidR="008353BF">
        <w:rPr>
          <w:rFonts w:ascii="Times New Roman" w:hAnsi="Times New Roman" w:cs="Times New Roman"/>
          <w:b/>
          <w:color w:val="0070C0"/>
          <w:sz w:val="24"/>
          <w:szCs w:val="24"/>
        </w:rPr>
        <w:t>, č. j. 6/2023-OSKJ-MET</w:t>
      </w:r>
    </w:p>
    <w:p w14:paraId="2824FB1D"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2DC24D3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Ministerstvo spravedlnosti ČR stanoví:</w:t>
      </w:r>
    </w:p>
    <w:p w14:paraId="12193457"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6BF99CA8"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PRVNÍ</w:t>
      </w:r>
    </w:p>
    <w:p w14:paraId="61FBDBE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Obecná ustanovení</w:t>
      </w:r>
    </w:p>
    <w:p w14:paraId="16311FE4"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75A12CE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w:t>
      </w:r>
    </w:p>
    <w:p w14:paraId="43450AF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Předmět úpravy</w:t>
      </w:r>
    </w:p>
    <w:p w14:paraId="4AC2663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1ED9416D"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 xml:space="preserve">(1) Tato </w:t>
      </w:r>
      <w:r w:rsidR="00A1171D" w:rsidRPr="00B9052B">
        <w:rPr>
          <w:rFonts w:ascii="Times New Roman" w:hAnsi="Times New Roman" w:cs="Times New Roman"/>
          <w:bCs/>
          <w:sz w:val="24"/>
          <w:szCs w:val="24"/>
          <w:highlight w:val="white"/>
        </w:rPr>
        <w:t>instrukce</w:t>
      </w:r>
      <w:r w:rsidR="004051FF" w:rsidRPr="004051FF">
        <w:rPr>
          <w:rFonts w:ascii="Times New Roman" w:hAnsi="Times New Roman" w:cs="Times New Roman"/>
          <w:sz w:val="24"/>
          <w:szCs w:val="24"/>
          <w:highlight w:val="white"/>
        </w:rPr>
        <w:t xml:space="preserve"> upravuje postup</w:t>
      </w:r>
    </w:p>
    <w:p w14:paraId="0FAFB177" w14:textId="77777777" w:rsidR="004051FF" w:rsidRPr="00A1171D"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a)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předsedů senátů, evidenčního senátu, vedoucích soudních kanceláří a odborných referentů evidenčního senátu při evidenci rozhodnutí okresních, krajských a vrchních soudů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systému elektronické evidence soudní judikatury programu JUDIKATURA a při jejich zařazování do </w:t>
      </w:r>
      <w:r w:rsidR="00A1171D">
        <w:rPr>
          <w:rFonts w:ascii="Times New Roman" w:hAnsi="Times New Roman" w:cs="Times New Roman"/>
          <w:sz w:val="24"/>
          <w:szCs w:val="24"/>
          <w:highlight w:val="white"/>
        </w:rPr>
        <w:t>jednotlivých evidenčních skupin</w:t>
      </w:r>
      <w:r w:rsidR="00A1171D">
        <w:rPr>
          <w:rFonts w:ascii="Times New Roman" w:hAnsi="Times New Roman" w:cs="Times New Roman"/>
          <w:b/>
          <w:color w:val="0070C0"/>
          <w:sz w:val="24"/>
          <w:szCs w:val="24"/>
          <w:highlight w:val="white"/>
        </w:rPr>
        <w:t>,</w:t>
      </w:r>
    </w:p>
    <w:p w14:paraId="6237E4EA" w14:textId="083D179B" w:rsidR="004051FF"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b)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evidenčního senátu a odborných referentů při přípravě rozhodnutí, která byla navržena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evidenčních skupin určených k zařazení do centrální evidence soudních rozhodnutí v</w:t>
      </w:r>
      <w:r w:rsidR="003F08F7">
        <w:rPr>
          <w:rFonts w:ascii="Times New Roman" w:hAnsi="Times New Roman" w:cs="Times New Roman"/>
          <w:sz w:val="24"/>
          <w:szCs w:val="24"/>
          <w:highlight w:val="white"/>
        </w:rPr>
        <w:t> </w:t>
      </w:r>
      <w:r w:rsidR="00A1171D">
        <w:rPr>
          <w:rFonts w:ascii="Times New Roman" w:hAnsi="Times New Roman" w:cs="Times New Roman"/>
          <w:sz w:val="24"/>
          <w:szCs w:val="24"/>
          <w:highlight w:val="white"/>
        </w:rPr>
        <w:t>programu JUDIKATURA</w:t>
      </w:r>
      <w:r w:rsidR="00462217">
        <w:rPr>
          <w:rFonts w:ascii="Times New Roman" w:hAnsi="Times New Roman" w:cs="Times New Roman"/>
          <w:b/>
          <w:color w:val="0070C0"/>
          <w:sz w:val="24"/>
          <w:szCs w:val="24"/>
          <w:highlight w:val="white"/>
        </w:rPr>
        <w:t>.</w:t>
      </w:r>
    </w:p>
    <w:p w14:paraId="1555D82D" w14:textId="266CD75F" w:rsidR="00A1171D" w:rsidRPr="00B9052B" w:rsidRDefault="00A1171D" w:rsidP="004051FF">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c) </w:t>
      </w:r>
      <w:r w:rsidRPr="00B9052B">
        <w:rPr>
          <w:rFonts w:ascii="Times New Roman" w:hAnsi="Times New Roman" w:cs="Times New Roman"/>
          <w:bCs/>
          <w:sz w:val="24"/>
          <w:szCs w:val="24"/>
          <w:highlight w:val="white"/>
        </w:rPr>
        <w:tab/>
      </w:r>
      <w:r w:rsidR="00817E84" w:rsidRPr="00817E84">
        <w:rPr>
          <w:rFonts w:ascii="Times New Roman" w:hAnsi="Times New Roman" w:cs="Times New Roman"/>
          <w:b/>
          <w:i/>
          <w:iCs/>
          <w:color w:val="0070C0"/>
          <w:sz w:val="24"/>
          <w:szCs w:val="24"/>
          <w:highlight w:val="white"/>
        </w:rPr>
        <w:t>zrušeno</w:t>
      </w:r>
    </w:p>
    <w:p w14:paraId="1952F0CB"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1DEC694D"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 xml:space="preserve">(2) Tato </w:t>
      </w:r>
      <w:r w:rsidR="00A1171D" w:rsidRPr="00B9052B">
        <w:rPr>
          <w:rFonts w:ascii="Times New Roman" w:hAnsi="Times New Roman" w:cs="Times New Roman"/>
          <w:bCs/>
          <w:sz w:val="24"/>
          <w:szCs w:val="24"/>
          <w:highlight w:val="white"/>
        </w:rPr>
        <w:t>instrukce</w:t>
      </w:r>
      <w:r w:rsidR="004051FF" w:rsidRPr="004051FF">
        <w:rPr>
          <w:rFonts w:ascii="Times New Roman" w:hAnsi="Times New Roman" w:cs="Times New Roman"/>
          <w:sz w:val="24"/>
          <w:szCs w:val="24"/>
          <w:highlight w:val="white"/>
        </w:rPr>
        <w:t xml:space="preserve"> se nevztahuje na postup krajských soudů při evidenci a zařazování rozhodnutí ve věcech správního soudnictví do systému elektronické evidence soudní judikatury. Evidenci judikatury ve věcech správního soudnictví zajišťuje Nejvyšší správní soud.</w:t>
      </w:r>
    </w:p>
    <w:p w14:paraId="11906260"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6B1AC79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2</w:t>
      </w:r>
    </w:p>
    <w:p w14:paraId="7D67564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Vymezení pojmů</w:t>
      </w:r>
    </w:p>
    <w:p w14:paraId="0065AFA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58101C4A"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Pro účely této instrukce se rozumí:</w:t>
      </w:r>
    </w:p>
    <w:p w14:paraId="7D1A2A6F" w14:textId="77777777" w:rsidR="004051FF" w:rsidRPr="00B9052B"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4051FF">
        <w:rPr>
          <w:rFonts w:ascii="Times New Roman" w:hAnsi="Times New Roman" w:cs="Times New Roman"/>
          <w:sz w:val="24"/>
          <w:szCs w:val="24"/>
          <w:highlight w:val="white"/>
        </w:rPr>
        <w:t xml:space="preserve">a)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vnitřní evidencí soudu (dále jen "vnitřní evidence") neveřejná databáze programu JUDIKATURA určená pro</w:t>
      </w:r>
      <w:r>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potřebu soudu, vytvářená na krajských a vrchních soudech z</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rozhodnutí těchto, případně okresních soudů; Vnitřní evidence je určena rovněž pro</w:t>
      </w:r>
      <w:r w:rsidR="008E1384">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potřebu Nejvyššího soudu</w:t>
      </w:r>
      <w:r w:rsidR="00A1171D" w:rsidRPr="00B9052B">
        <w:rPr>
          <w:rFonts w:ascii="Times New Roman" w:hAnsi="Times New Roman" w:cs="Times New Roman"/>
          <w:bCs/>
          <w:sz w:val="24"/>
          <w:szCs w:val="24"/>
          <w:highlight w:val="white"/>
        </w:rPr>
        <w:t>,</w:t>
      </w:r>
    </w:p>
    <w:p w14:paraId="6FDACD99" w14:textId="77777777" w:rsidR="004051FF" w:rsidRDefault="004051FF"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b) </w:t>
      </w:r>
      <w:r w:rsidRPr="004051FF">
        <w:rPr>
          <w:rFonts w:ascii="Times New Roman" w:hAnsi="Times New Roman" w:cs="Times New Roman"/>
          <w:sz w:val="24"/>
          <w:szCs w:val="24"/>
          <w:highlight w:val="white"/>
        </w:rPr>
        <w:tab/>
        <w:t xml:space="preserve">centrální evidencí soudních rozhodnutí (dále jen "centrální evidence") databáze programu JUDIKATURA umístěná na centrálním serveru vnitřní sítě resortu a veřejné sítě internetu </w:t>
      </w:r>
      <w:r w:rsidRPr="004051FF">
        <w:rPr>
          <w:rFonts w:ascii="Times New Roman" w:hAnsi="Times New Roman" w:cs="Times New Roman"/>
          <w:sz w:val="24"/>
          <w:szCs w:val="24"/>
          <w:highlight w:val="white"/>
        </w:rPr>
        <w:lastRenderedPageBreak/>
        <w:t>obsahující vybraná rozhodnutí okresních, krajských a vrchních soudů přístupná všem soudům.</w:t>
      </w:r>
    </w:p>
    <w:p w14:paraId="380E485D" w14:textId="77777777" w:rsidR="00A1171D" w:rsidRDefault="00A1171D"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14:paraId="16FAF347" w14:textId="1E4D77CA" w:rsidR="00A1171D" w:rsidRPr="00F07269" w:rsidRDefault="00C83BB9" w:rsidP="00A1171D">
      <w:pPr>
        <w:widowControl w:val="0"/>
        <w:autoSpaceDE w:val="0"/>
        <w:autoSpaceDN w:val="0"/>
        <w:adjustRightInd w:val="0"/>
        <w:spacing w:after="0" w:line="240" w:lineRule="auto"/>
        <w:ind w:left="400" w:hanging="400"/>
        <w:jc w:val="center"/>
        <w:rPr>
          <w:rFonts w:ascii="Times New Roman" w:hAnsi="Times New Roman" w:cs="Times New Roman"/>
          <w:b/>
          <w:i/>
          <w:iCs/>
          <w:color w:val="0070C0"/>
          <w:sz w:val="24"/>
          <w:szCs w:val="24"/>
          <w:highlight w:val="white"/>
        </w:rPr>
      </w:pPr>
      <w:r w:rsidRPr="00F07269">
        <w:rPr>
          <w:rFonts w:ascii="Times New Roman" w:hAnsi="Times New Roman" w:cs="Times New Roman"/>
          <w:b/>
          <w:i/>
          <w:iCs/>
          <w:color w:val="0070C0"/>
          <w:sz w:val="24"/>
          <w:szCs w:val="24"/>
          <w:highlight w:val="white"/>
        </w:rPr>
        <w:t>nadpis zrušen</w:t>
      </w:r>
    </w:p>
    <w:p w14:paraId="345395F4" w14:textId="77777777" w:rsidR="00A1171D" w:rsidRPr="00F83BE6"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FF0000"/>
          <w:sz w:val="24"/>
          <w:szCs w:val="24"/>
          <w:highlight w:val="white"/>
        </w:rPr>
      </w:pPr>
    </w:p>
    <w:p w14:paraId="05AC7D19" w14:textId="77777777" w:rsidR="00A1171D" w:rsidRPr="00877623"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877623">
        <w:rPr>
          <w:rFonts w:ascii="Times New Roman" w:hAnsi="Times New Roman" w:cs="Times New Roman"/>
          <w:b/>
          <w:sz w:val="24"/>
          <w:szCs w:val="24"/>
          <w:highlight w:val="white"/>
        </w:rPr>
        <w:t>§ 2a</w:t>
      </w:r>
    </w:p>
    <w:p w14:paraId="4547D830" w14:textId="4CD4FE56" w:rsidR="00A1171D" w:rsidRPr="00F83BE6" w:rsidRDefault="00F83BE6" w:rsidP="00A1171D">
      <w:pPr>
        <w:widowControl w:val="0"/>
        <w:autoSpaceDE w:val="0"/>
        <w:autoSpaceDN w:val="0"/>
        <w:adjustRightInd w:val="0"/>
        <w:spacing w:after="0" w:line="240" w:lineRule="auto"/>
        <w:ind w:left="400" w:hanging="400"/>
        <w:jc w:val="center"/>
        <w:rPr>
          <w:rFonts w:ascii="Times New Roman" w:hAnsi="Times New Roman" w:cs="Times New Roman"/>
          <w:b/>
          <w:i/>
          <w:iCs/>
          <w:color w:val="0070C0"/>
          <w:sz w:val="24"/>
          <w:szCs w:val="24"/>
          <w:highlight w:val="white"/>
        </w:rPr>
      </w:pPr>
      <w:r w:rsidRPr="00F83BE6">
        <w:rPr>
          <w:rFonts w:ascii="Times New Roman" w:hAnsi="Times New Roman" w:cs="Times New Roman"/>
          <w:b/>
          <w:i/>
          <w:iCs/>
          <w:color w:val="0070C0"/>
          <w:sz w:val="24"/>
          <w:szCs w:val="24"/>
          <w:highlight w:val="white"/>
        </w:rPr>
        <w:t>zrušen</w:t>
      </w:r>
    </w:p>
    <w:p w14:paraId="1A6A34DF" w14:textId="5E8324C5" w:rsidR="00A1171D" w:rsidRPr="00A1171D" w:rsidRDefault="00AF284A" w:rsidP="00F83BE6">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B9052B">
        <w:rPr>
          <w:rFonts w:ascii="Times New Roman" w:hAnsi="Times New Roman" w:cs="Times New Roman"/>
          <w:bCs/>
          <w:sz w:val="24"/>
          <w:szCs w:val="24"/>
          <w:highlight w:val="white"/>
        </w:rPr>
        <w:tab/>
      </w:r>
    </w:p>
    <w:p w14:paraId="777B0B7A" w14:textId="77777777" w:rsidR="00A1171D" w:rsidRPr="00877623"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877623">
        <w:rPr>
          <w:rFonts w:ascii="Times New Roman" w:hAnsi="Times New Roman" w:cs="Times New Roman"/>
          <w:b/>
          <w:sz w:val="24"/>
          <w:szCs w:val="24"/>
          <w:highlight w:val="white"/>
        </w:rPr>
        <w:t>§ 2b</w:t>
      </w:r>
    </w:p>
    <w:p w14:paraId="73846D0C" w14:textId="3229BC82" w:rsidR="00A1171D" w:rsidRPr="00F83BE6" w:rsidRDefault="00F83BE6" w:rsidP="00F83BE6">
      <w:pPr>
        <w:widowControl w:val="0"/>
        <w:autoSpaceDE w:val="0"/>
        <w:autoSpaceDN w:val="0"/>
        <w:adjustRightInd w:val="0"/>
        <w:spacing w:after="0" w:line="240" w:lineRule="auto"/>
        <w:ind w:left="400" w:hanging="400"/>
        <w:jc w:val="center"/>
        <w:rPr>
          <w:rFonts w:ascii="Times New Roman" w:hAnsi="Times New Roman" w:cs="Times New Roman"/>
          <w:bCs/>
          <w:i/>
          <w:iCs/>
          <w:color w:val="0070C0"/>
          <w:sz w:val="24"/>
          <w:szCs w:val="24"/>
          <w:highlight w:val="white"/>
        </w:rPr>
      </w:pPr>
      <w:r w:rsidRPr="00F83BE6">
        <w:rPr>
          <w:rFonts w:ascii="Times New Roman" w:hAnsi="Times New Roman" w:cs="Times New Roman"/>
          <w:b/>
          <w:i/>
          <w:iCs/>
          <w:color w:val="0070C0"/>
          <w:sz w:val="24"/>
          <w:szCs w:val="24"/>
          <w:highlight w:val="white"/>
        </w:rPr>
        <w:t>zrušen</w:t>
      </w:r>
    </w:p>
    <w:p w14:paraId="6214EA81" w14:textId="24111E76" w:rsidR="00A1171D" w:rsidRDefault="006114A5" w:rsidP="00F83BE6">
      <w:pPr>
        <w:widowControl w:val="0"/>
        <w:autoSpaceDE w:val="0"/>
        <w:autoSpaceDN w:val="0"/>
        <w:adjustRightInd w:val="0"/>
        <w:spacing w:after="0" w:line="240" w:lineRule="auto"/>
        <w:jc w:val="both"/>
        <w:rPr>
          <w:rFonts w:ascii="Times New Roman" w:hAnsi="Times New Roman" w:cs="Times New Roman"/>
          <w:sz w:val="24"/>
          <w:szCs w:val="24"/>
          <w:highlight w:val="white"/>
        </w:rPr>
      </w:pPr>
      <w:r w:rsidRPr="00B9052B">
        <w:rPr>
          <w:rFonts w:ascii="Times New Roman" w:hAnsi="Times New Roman" w:cs="Times New Roman"/>
          <w:bCs/>
          <w:sz w:val="24"/>
          <w:szCs w:val="24"/>
          <w:highlight w:val="white"/>
        </w:rPr>
        <w:tab/>
      </w:r>
      <w:r w:rsidR="00A1171D" w:rsidRPr="00B9052B">
        <w:rPr>
          <w:rFonts w:ascii="Times New Roman" w:hAnsi="Times New Roman" w:cs="Times New Roman"/>
          <w:bCs/>
          <w:sz w:val="24"/>
          <w:szCs w:val="24"/>
          <w:highlight w:val="white"/>
        </w:rPr>
        <w:t xml:space="preserve"> </w:t>
      </w:r>
    </w:p>
    <w:p w14:paraId="577535DF" w14:textId="77777777" w:rsidR="004051FF" w:rsidRPr="004051FF" w:rsidRDefault="004051FF" w:rsidP="006114A5">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3</w:t>
      </w:r>
    </w:p>
    <w:p w14:paraId="46A0922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Evidenční senát</w:t>
      </w:r>
    </w:p>
    <w:p w14:paraId="191338A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11716D1C"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 je v každém úseku krajských a vrchních soudů určen rozvrhem práce nejméně ze tří soudců. Jednání řídí předseda evidenčního senátu nebo jeho pověřený člen.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ostatních případech jedná za</w:t>
      </w:r>
      <w:r>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evidenční senát jeho předseda nebo jím pověřený člen.</w:t>
      </w:r>
    </w:p>
    <w:p w14:paraId="47738A1D"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6864431"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Na práci evidenčního senátu se mohou podílet i další odborní zaměstnanci soudu, mají-li vysokoškolské vzdělání (magisterské) v oboru právo a rozhodl-li o tom předseda soudu.</w:t>
      </w:r>
    </w:p>
    <w:p w14:paraId="57F2D47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9CE53DE"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Předseda soudu může na návrh úseku soudu zřídit více evidenčních senátů v jednom úseku nebo sloučit evidenční senáty jednotlivých úseků.</w:t>
      </w:r>
    </w:p>
    <w:p w14:paraId="1B7435AE"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543C195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4</w:t>
      </w:r>
    </w:p>
    <w:p w14:paraId="20A61E1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Kancelář evidenčního senátu</w:t>
      </w:r>
    </w:p>
    <w:p w14:paraId="1FDD244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01C4D1E5"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Administrativní práce evidenčního senátu zajišťuje kancelář evidenčního senátu. Činnosti svěřené této kanceláři vykonává odborný referent evidenčního senátu, popřípadě jím řízený další referent.</w:t>
      </w:r>
    </w:p>
    <w:p w14:paraId="76B4F077"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67A00DE"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Činnost odborného referenta evidenčního senátu (dále jen "odborného referenta") podle těchto pokynů řídí, organizuje a kontroluje předseda evidenčního senátu.</w:t>
      </w:r>
    </w:p>
    <w:p w14:paraId="618003F6"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724E0DE"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Při provádění jednotlivých úkonů se odborný referent řídí pokyny pověřeného člena evidenčního senátu.</w:t>
      </w:r>
    </w:p>
    <w:p w14:paraId="2CD358BA"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42FF944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DRUHÁ</w:t>
      </w:r>
    </w:p>
    <w:p w14:paraId="61E7AD1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Evidence rozhodnutí a jejich zařazování do evidenčních skupin vnitřní evidence soudu</w:t>
      </w:r>
    </w:p>
    <w:p w14:paraId="0FE975DA"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0A5ADBC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HLAVA I.</w:t>
      </w:r>
    </w:p>
    <w:p w14:paraId="5AAE21E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Zařazování rozhodnutí soudu do vnitřní evidence</w:t>
      </w:r>
    </w:p>
    <w:p w14:paraId="6556A49B"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47F5AF6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5</w:t>
      </w:r>
    </w:p>
    <w:p w14:paraId="37575EE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DE1C01B" w14:textId="77777777" w:rsidR="004051FF"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Pr>
          <w:rFonts w:ascii="Times New Roman" w:hAnsi="Times New Roman" w:cs="Times New Roman"/>
          <w:b/>
          <w:color w:val="0070C0"/>
          <w:sz w:val="24"/>
          <w:szCs w:val="24"/>
          <w:highlight w:val="white"/>
        </w:rPr>
        <w:tab/>
      </w:r>
      <w:r w:rsidR="006114A5" w:rsidRPr="00B9052B">
        <w:rPr>
          <w:rFonts w:ascii="Times New Roman" w:hAnsi="Times New Roman" w:cs="Times New Roman"/>
          <w:bCs/>
          <w:sz w:val="24"/>
          <w:szCs w:val="24"/>
          <w:highlight w:val="white"/>
        </w:rPr>
        <w:t>(1) Z hlediska významu pro rozhodovací činnost soudů se rozhodnutí evidují ve skupinách A až D, EU a F.</w:t>
      </w:r>
    </w:p>
    <w:p w14:paraId="48939803"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613B7A83"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(2) Ve skupině A se evidují významná rozhodnutí zásadní povahy navržená k uveřejnění ve Sbírce soudních rozhodnutí a stanovisek, určená k zařazení do centrální </w:t>
      </w:r>
      <w:r w:rsidR="006114A5" w:rsidRPr="00B9052B">
        <w:rPr>
          <w:rFonts w:ascii="Times New Roman" w:hAnsi="Times New Roman" w:cs="Times New Roman"/>
          <w:bCs/>
          <w:sz w:val="24"/>
          <w:szCs w:val="24"/>
          <w:highlight w:val="white"/>
        </w:rPr>
        <w:lastRenderedPageBreak/>
        <w:t xml:space="preserve">evidence soudních rozhodnutí. </w:t>
      </w:r>
    </w:p>
    <w:p w14:paraId="41D7E21C"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120A22F1"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(3) Ve skupině B se evidují významná rozhodnutí řešící otázky hmotněprávní povahy z okruhu často řešené problematiky určená k uveřejnění v centrální evidenci soudních rozhodnutí, která je možno využít jako nástroj pro tvorbu obdobných rozhodnutí. </w:t>
      </w:r>
    </w:p>
    <w:p w14:paraId="29EB3811"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3FD2A6B6"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(4) Ve skupině C se evidují významná rozhodnutí řešící procesní problematiku určená k uveřejnění v centrální evidenci soudních rozhodnutí. </w:t>
      </w:r>
    </w:p>
    <w:p w14:paraId="0F527959"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6A060E04"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(5) Ve skupině D se evidují rozhodnutí zařazená do vnitřní evidence rozhodnutím evidenčního senátu, pokud nebyla zařazena do skupiny A až C a EU. </w:t>
      </w:r>
    </w:p>
    <w:p w14:paraId="0554A29F"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1AEF6835"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(6) Ve skupině EU se evidují veškerá rozhodnutí soudů všech stupňů, která se týkají či obsahují odkaz na:</w:t>
      </w:r>
    </w:p>
    <w:p w14:paraId="6D7D86CD"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a)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Smlouvu o Evropském společenství uhlí a oceli, Smlouvu o Evropském hospodářském společenství, Smlouvu Euratom, Smlouvu o Evropské unii a Smlouvu o fungování Evropské unie včetně jejich příloh, protokolů a prohlášení k nim, jakož i akty je pozměňující a akty o přistoupení členských států k nim, </w:t>
      </w:r>
    </w:p>
    <w:p w14:paraId="03A9669B"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b)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Listinu základních práv Evropské unie, </w:t>
      </w:r>
    </w:p>
    <w:p w14:paraId="14D1ECCD"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c)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obecné zásady práva Evropské unie, </w:t>
      </w:r>
    </w:p>
    <w:p w14:paraId="5476398E"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d)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mezinárodní smlouvy a dohody sjednané Evropskou unií, </w:t>
      </w:r>
    </w:p>
    <w:p w14:paraId="568AE88E"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e)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rozhodnutí Soudního dvora Evropské unie, Tribunálu Evropské unie a dalších soudních orgánů Evropské unie, </w:t>
      </w:r>
    </w:p>
    <w:p w14:paraId="2A0885F9"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f)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nařízení, směrnice, rámcová rozhodnutí nebo rozhodnutí orgánů Evropské unie včetně rozhodnutí Evropské komise v oblasti ochrany hospodářské soutěže. </w:t>
      </w:r>
    </w:p>
    <w:p w14:paraId="24087B00"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746364CC"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(7) Ve skupině F se evidují ostatní rozhodnutí. </w:t>
      </w:r>
    </w:p>
    <w:p w14:paraId="241ECFFC" w14:textId="77777777" w:rsidR="006114A5" w:rsidRPr="006114A5" w:rsidRDefault="006114A5" w:rsidP="006114A5">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14:paraId="4D1DC359"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B9052B">
        <w:rPr>
          <w:rFonts w:ascii="Times New Roman" w:hAnsi="Times New Roman" w:cs="Times New Roman"/>
          <w:bCs/>
          <w:sz w:val="24"/>
          <w:szCs w:val="24"/>
          <w:highlight w:val="white"/>
        </w:rPr>
        <w:t>(8)</w:t>
      </w:r>
      <w:r w:rsidR="004051FF" w:rsidRPr="00B9052B">
        <w:rPr>
          <w:rFonts w:ascii="Times New Roman" w:hAnsi="Times New Roman" w:cs="Times New Roman"/>
          <w:sz w:val="24"/>
          <w:szCs w:val="24"/>
          <w:highlight w:val="white"/>
        </w:rPr>
        <w:t xml:space="preserve"> </w:t>
      </w:r>
      <w:r w:rsidR="004051FF" w:rsidRPr="004051FF">
        <w:rPr>
          <w:rFonts w:ascii="Times New Roman" w:hAnsi="Times New Roman" w:cs="Times New Roman"/>
          <w:sz w:val="24"/>
          <w:szCs w:val="24"/>
          <w:highlight w:val="white"/>
        </w:rPr>
        <w:t xml:space="preserve">Do vnitřní evidence soudu se zařazují všechna rozhodnutí přijatá jednotlivými senáty, u nichž bylo navrženo zařazení do skupiny A, B, C </w:t>
      </w:r>
      <w:r w:rsidR="006114A5" w:rsidRPr="00B9052B">
        <w:rPr>
          <w:rFonts w:ascii="Times New Roman" w:hAnsi="Times New Roman" w:cs="Times New Roman"/>
          <w:bCs/>
          <w:sz w:val="24"/>
          <w:szCs w:val="24"/>
          <w:highlight w:val="white"/>
        </w:rPr>
        <w:t>a EU</w:t>
      </w:r>
      <w:r w:rsidR="006114A5" w:rsidRPr="00B9052B">
        <w:rPr>
          <w:rFonts w:ascii="Times New Roman" w:hAnsi="Times New Roman" w:cs="Times New Roman"/>
          <w:b/>
          <w:sz w:val="24"/>
          <w:szCs w:val="24"/>
          <w:highlight w:val="white"/>
        </w:rPr>
        <w:t xml:space="preserve"> </w:t>
      </w:r>
      <w:r w:rsidR="004051FF" w:rsidRPr="004051FF">
        <w:rPr>
          <w:rFonts w:ascii="Times New Roman" w:hAnsi="Times New Roman" w:cs="Times New Roman"/>
          <w:sz w:val="24"/>
          <w:szCs w:val="24"/>
          <w:highlight w:val="white"/>
        </w:rPr>
        <w:t>a rozhodnutí, jejichž zařazení do</w:t>
      </w:r>
      <w:r w:rsidR="006114A5">
        <w:rPr>
          <w:rFonts w:ascii="Times New Roman" w:hAnsi="Times New Roman" w:cs="Times New Roman"/>
          <w:sz w:val="24"/>
          <w:szCs w:val="24"/>
          <w:highlight w:val="white"/>
        </w:rPr>
        <w:t> </w:t>
      </w:r>
      <w:r w:rsidR="004051FF" w:rsidRPr="004051FF">
        <w:rPr>
          <w:rFonts w:ascii="Times New Roman" w:hAnsi="Times New Roman" w:cs="Times New Roman"/>
          <w:sz w:val="24"/>
          <w:szCs w:val="24"/>
          <w:highlight w:val="white"/>
        </w:rPr>
        <w:t>evidence navrhl evidenční senát (skupina</w:t>
      </w:r>
      <w:r w:rsidR="0076671A">
        <w:rPr>
          <w:rFonts w:ascii="Times New Roman" w:hAnsi="Times New Roman" w:cs="Times New Roman"/>
          <w:sz w:val="24"/>
          <w:szCs w:val="24"/>
          <w:highlight w:val="white"/>
        </w:rPr>
        <w:t> </w:t>
      </w:r>
      <w:r w:rsidR="004051FF" w:rsidRPr="004051FF">
        <w:rPr>
          <w:rFonts w:ascii="Times New Roman" w:hAnsi="Times New Roman" w:cs="Times New Roman"/>
          <w:sz w:val="24"/>
          <w:szCs w:val="24"/>
          <w:highlight w:val="white"/>
        </w:rPr>
        <w:t>D).</w:t>
      </w:r>
    </w:p>
    <w:p w14:paraId="09DC0E25"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A1748A1"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B9052B">
        <w:rPr>
          <w:rFonts w:ascii="Times New Roman" w:hAnsi="Times New Roman" w:cs="Times New Roman"/>
          <w:bCs/>
          <w:sz w:val="24"/>
          <w:szCs w:val="24"/>
          <w:highlight w:val="white"/>
        </w:rPr>
        <w:t>(9)</w:t>
      </w:r>
      <w:r w:rsidR="004051FF" w:rsidRPr="00B9052B">
        <w:rPr>
          <w:rFonts w:ascii="Times New Roman" w:hAnsi="Times New Roman" w:cs="Times New Roman"/>
          <w:sz w:val="24"/>
          <w:szCs w:val="24"/>
          <w:highlight w:val="white"/>
        </w:rPr>
        <w:t xml:space="preserve"> </w:t>
      </w:r>
      <w:r w:rsidR="004051FF" w:rsidRPr="004051FF">
        <w:rPr>
          <w:rFonts w:ascii="Times New Roman" w:hAnsi="Times New Roman" w:cs="Times New Roman"/>
          <w:sz w:val="24"/>
          <w:szCs w:val="24"/>
          <w:highlight w:val="white"/>
        </w:rPr>
        <w:t>Rozhodnutí navržená do skupiny F se do vnitřní evidence nezařazují.</w:t>
      </w:r>
    </w:p>
    <w:p w14:paraId="4A4A2241"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1910E252"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6</w:t>
      </w:r>
    </w:p>
    <w:p w14:paraId="37C71AF0"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předsedů senátů</w:t>
      </w:r>
    </w:p>
    <w:p w14:paraId="6C61370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88949E8" w14:textId="4D947E5C"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w:t>
      </w:r>
      <w:r w:rsidR="00877623" w:rsidRPr="00817E84">
        <w:rPr>
          <w:rFonts w:ascii="Times New Roman" w:hAnsi="Times New Roman" w:cs="Times New Roman"/>
          <w:sz w:val="24"/>
          <w:szCs w:val="24"/>
          <w:highlight w:val="white"/>
        </w:rPr>
        <w:t xml:space="preserve">Není-li dále stanoveno jinak, </w:t>
      </w:r>
      <w:r w:rsidR="00877623">
        <w:rPr>
          <w:rFonts w:ascii="Times New Roman" w:hAnsi="Times New Roman" w:cs="Times New Roman"/>
          <w:sz w:val="24"/>
          <w:szCs w:val="24"/>
          <w:highlight w:val="white"/>
        </w:rPr>
        <w:t>p</w:t>
      </w:r>
      <w:r w:rsidRPr="004051FF">
        <w:rPr>
          <w:rFonts w:ascii="Times New Roman" w:hAnsi="Times New Roman" w:cs="Times New Roman"/>
          <w:sz w:val="24"/>
          <w:szCs w:val="24"/>
          <w:highlight w:val="white"/>
        </w:rPr>
        <w:t>ředseda senátu v závěrečném referátu (při předání rozhodnutí se spisem do příslušné soudní kanceláře k vypravení) uvede</w:t>
      </w:r>
    </w:p>
    <w:p w14:paraId="75E52A03" w14:textId="77777777" w:rsidR="004051FF" w:rsidRPr="004051FF" w:rsidRDefault="004051FF" w:rsidP="0076671A">
      <w:pPr>
        <w:widowControl w:val="0"/>
        <w:autoSpaceDE w:val="0"/>
        <w:autoSpaceDN w:val="0"/>
        <w:adjustRightInd w:val="0"/>
        <w:spacing w:after="0" w:line="240" w:lineRule="auto"/>
        <w:ind w:left="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a) návrh, do které ze skupin uvedených v </w:t>
      </w:r>
      <w:r w:rsidR="006114A5" w:rsidRPr="00B9052B">
        <w:rPr>
          <w:rFonts w:ascii="Times New Roman" w:hAnsi="Times New Roman" w:cs="Times New Roman"/>
          <w:bCs/>
          <w:sz w:val="24"/>
          <w:szCs w:val="24"/>
          <w:highlight w:val="white"/>
        </w:rPr>
        <w:t>§ 5 odst. 2 až 7</w:t>
      </w:r>
      <w:r w:rsidRPr="00B9052B">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má být rozhodnutí zařazeno,</w:t>
      </w:r>
    </w:p>
    <w:p w14:paraId="7389A208" w14:textId="77777777" w:rsidR="004051FF" w:rsidRPr="004051FF" w:rsidRDefault="004051FF" w:rsidP="0076671A">
      <w:pPr>
        <w:widowControl w:val="0"/>
        <w:autoSpaceDE w:val="0"/>
        <w:autoSpaceDN w:val="0"/>
        <w:adjustRightInd w:val="0"/>
        <w:spacing w:after="0" w:line="240" w:lineRule="auto"/>
        <w:ind w:left="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ustanovení, jejichž výklad rozhodnutí řeší.</w:t>
      </w:r>
    </w:p>
    <w:p w14:paraId="021A114F"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3D16B5A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Navrhne-li předseda senátu zařazení rozhodnutí do skupiny A, B nebo C, připojí též návrh rejstříkového hesla, charakterizujícího obsahovou náplň rozhodnutí. Při návrhu vybírá přednostně z rejstříkových hesel již použitých v centrální evidenci.</w:t>
      </w:r>
    </w:p>
    <w:p w14:paraId="2B448D9C"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FF96964"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Navrhne-li předseda senátu zařazení rozhodnutí do skupiny A, připojí též návrh právní věty. U ostatních rozhodnutí návrh právní věty může připojit, považuje-li to za vhodné.</w:t>
      </w:r>
    </w:p>
    <w:p w14:paraId="1E4D2BB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1931E91"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(4) Rozhodnutí zařazená </w:t>
      </w:r>
      <w:r w:rsidR="007A5DF6" w:rsidRPr="00B9052B">
        <w:rPr>
          <w:rFonts w:ascii="Times New Roman" w:hAnsi="Times New Roman" w:cs="Times New Roman"/>
          <w:bCs/>
          <w:sz w:val="24"/>
          <w:szCs w:val="24"/>
          <w:highlight w:val="white"/>
        </w:rPr>
        <w:t>do skupiny EU</w:t>
      </w:r>
      <w:r w:rsidRPr="00B9052B">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 xml:space="preserve">se do centrální evidence zadávají všechna, </w:t>
      </w:r>
      <w:r w:rsidRPr="004051FF">
        <w:rPr>
          <w:rFonts w:ascii="Times New Roman" w:hAnsi="Times New Roman" w:cs="Times New Roman"/>
          <w:sz w:val="24"/>
          <w:szCs w:val="24"/>
          <w:highlight w:val="white"/>
        </w:rPr>
        <w:lastRenderedPageBreak/>
        <w:t>bez</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výběru.</w:t>
      </w:r>
    </w:p>
    <w:p w14:paraId="540869A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61CA28B9" w14:textId="4AA6ABD2" w:rsid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(5) Předseda senátu, jehož rozhodnutí zrušil nebo změnil soud vyšší instance, nebo Ústavní soud, je</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povinen zajistit předání stejnopisu rozhodnutí s informací o tom, jak bylo s</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rozhodnutím naloženo soudem vyšší instance nebo Ústavním soudem, kanceláři evidenčního senátu k vyznačení příslušné poznámky v programu JUDIKATURA.</w:t>
      </w:r>
    </w:p>
    <w:p w14:paraId="771A7638" w14:textId="4D3647DE" w:rsidR="00877623" w:rsidRPr="00817E84" w:rsidRDefault="00877623" w:rsidP="0076671A">
      <w:pPr>
        <w:widowControl w:val="0"/>
        <w:autoSpaceDE w:val="0"/>
        <w:autoSpaceDN w:val="0"/>
        <w:adjustRightInd w:val="0"/>
        <w:spacing w:after="0" w:line="240" w:lineRule="auto"/>
        <w:ind w:firstLine="600"/>
        <w:jc w:val="both"/>
        <w:rPr>
          <w:rFonts w:ascii="Times New Roman" w:hAnsi="Times New Roman" w:cs="Times New Roman"/>
          <w:bCs/>
          <w:sz w:val="24"/>
          <w:szCs w:val="24"/>
          <w:highlight w:val="white"/>
        </w:rPr>
      </w:pPr>
    </w:p>
    <w:p w14:paraId="366FDD80" w14:textId="148B99DD" w:rsidR="00877623" w:rsidRPr="00817E84" w:rsidRDefault="00877623" w:rsidP="0076671A">
      <w:pPr>
        <w:widowControl w:val="0"/>
        <w:autoSpaceDE w:val="0"/>
        <w:autoSpaceDN w:val="0"/>
        <w:adjustRightInd w:val="0"/>
        <w:spacing w:after="0" w:line="240" w:lineRule="auto"/>
        <w:ind w:firstLine="600"/>
        <w:jc w:val="both"/>
        <w:rPr>
          <w:rFonts w:ascii="Times New Roman" w:hAnsi="Times New Roman" w:cs="Times New Roman"/>
          <w:bCs/>
          <w:sz w:val="24"/>
          <w:szCs w:val="24"/>
          <w:highlight w:val="white"/>
        </w:rPr>
      </w:pPr>
      <w:r w:rsidRPr="00817E84">
        <w:rPr>
          <w:rFonts w:ascii="Times New Roman" w:hAnsi="Times New Roman" w:cs="Times New Roman"/>
          <w:bCs/>
          <w:sz w:val="24"/>
          <w:szCs w:val="24"/>
          <w:highlight w:val="white"/>
        </w:rPr>
        <w:t>(6) Vzor závěrečného referátu pro využití při zařazení rozhodnutí do skupin A, B, C a EU je obsažen v Příloze č. 1 této instrukce. V případě zařazení rozhodnutí do skupiny D a F postačí namísto závěrečného referátu vyznačit tuto skutečnost do spisu.</w:t>
      </w:r>
    </w:p>
    <w:p w14:paraId="2389211E"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5EC8428E"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7</w:t>
      </w:r>
    </w:p>
    <w:p w14:paraId="43AE267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vedoucích soudní kanceláře</w:t>
      </w:r>
    </w:p>
    <w:p w14:paraId="0B05834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D895C62"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Vedoucí soudní kanceláře (pověřený odborný referent) předá kanceláři evidenčního senátu stejnopis každého rozhodnutí přijatého senátem soudu navrhovaného k zařazení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skupin </w:t>
      </w:r>
      <w:r w:rsidR="007A5DF6" w:rsidRPr="00B9052B">
        <w:rPr>
          <w:rFonts w:ascii="Times New Roman" w:hAnsi="Times New Roman" w:cs="Times New Roman"/>
          <w:bCs/>
          <w:sz w:val="24"/>
          <w:szCs w:val="24"/>
          <w:highlight w:val="white"/>
        </w:rPr>
        <w:t>A až C a EU</w:t>
      </w:r>
      <w:r w:rsidRPr="004051FF">
        <w:rPr>
          <w:rFonts w:ascii="Times New Roman" w:hAnsi="Times New Roman" w:cs="Times New Roman"/>
          <w:sz w:val="24"/>
          <w:szCs w:val="24"/>
          <w:highlight w:val="white"/>
        </w:rPr>
        <w:t>. Na rozhodnutí poznamená ustanovení, jejichž výklad rozhodnutí řeší, návrh a zařazení uvedená předsedou senátu podle § 5; bude-li navržena právní věta nebo příslušné heslo, připojí je trvalým způsobem k rozhodnutí. Toto předání je možné učinit i</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elektronicky.</w:t>
      </w:r>
    </w:p>
    <w:p w14:paraId="49A9FA8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8FD3902" w14:textId="77777777" w:rsidR="004051FF" w:rsidRPr="004051FF" w:rsidRDefault="004051FF" w:rsidP="003F08F7">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Předání stejnopisu rozhodnutí poznamená vedoucí soudní kanceláře v příslušném spisu.</w:t>
      </w:r>
    </w:p>
    <w:p w14:paraId="4580B008"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74EE067C"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8</w:t>
      </w:r>
    </w:p>
    <w:p w14:paraId="6A7BAC3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odborného referenta</w:t>
      </w:r>
    </w:p>
    <w:p w14:paraId="258BC7A0"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7E761DB0"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Stejnopisy rozhodnutí určené pro evidenční senát převezme od vedoucích soudních kanceláří odborný referent. Stejnopisy je možné předat odbornému referentu i v elektronické podobě.</w:t>
      </w:r>
    </w:p>
    <w:p w14:paraId="145DDD9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00B2FB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Rozhodnutí převzatá podle odstavce 1 vloží odborný referent do vnitřní evidence soudu v programu JUDIKATURA. U každého rozhodnutí uvede ustanovení, jejichž výklad rozhodnutí řeší, návrh na zařazení do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skupiny podle </w:t>
      </w:r>
      <w:r w:rsidR="007A5DF6" w:rsidRPr="00B9052B">
        <w:rPr>
          <w:rFonts w:ascii="Times New Roman" w:hAnsi="Times New Roman" w:cs="Times New Roman"/>
          <w:bCs/>
          <w:sz w:val="24"/>
          <w:szCs w:val="24"/>
          <w:highlight w:val="white"/>
        </w:rPr>
        <w:t>§ 5 odst. 2 až 6</w:t>
      </w:r>
      <w:r w:rsidRPr="004051FF">
        <w:rPr>
          <w:rFonts w:ascii="Times New Roman" w:hAnsi="Times New Roman" w:cs="Times New Roman"/>
          <w:sz w:val="24"/>
          <w:szCs w:val="24"/>
          <w:highlight w:val="white"/>
        </w:rPr>
        <w:t>, soud, o jehož rozhodnutí jde, formu rozhodnutí, spisovou značku, datum rozhodnutí, rejstříkové heslo a právní větu, byla-li navržena.</w:t>
      </w:r>
    </w:p>
    <w:p w14:paraId="78335AD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653113F7" w14:textId="77777777" w:rsidR="004051FF" w:rsidRPr="0076671A"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76671A">
        <w:rPr>
          <w:rFonts w:ascii="Times New Roman" w:hAnsi="Times New Roman" w:cs="Times New Roman"/>
          <w:sz w:val="24"/>
          <w:szCs w:val="24"/>
          <w:highlight w:val="white"/>
        </w:rPr>
        <w:t>(3) O vložení nových rozhodnutí do vnitřní evidence soudu odborný referent bezodkladně informuje předsedu evidenčního senátu. Se stejnopisy rozhodnutí došlými evidenčnímu senátu odborný referent naloží podle pokynů předsedy evidenčního senátu a učiní o tom záznam do</w:t>
      </w:r>
      <w:r w:rsidR="003F08F7">
        <w:rPr>
          <w:rFonts w:ascii="Times New Roman" w:hAnsi="Times New Roman" w:cs="Times New Roman"/>
          <w:sz w:val="24"/>
          <w:szCs w:val="24"/>
          <w:highlight w:val="white"/>
        </w:rPr>
        <w:t> </w:t>
      </w:r>
      <w:r w:rsidRPr="0076671A">
        <w:rPr>
          <w:rFonts w:ascii="Times New Roman" w:hAnsi="Times New Roman" w:cs="Times New Roman"/>
          <w:sz w:val="24"/>
          <w:szCs w:val="24"/>
          <w:highlight w:val="white"/>
        </w:rPr>
        <w:t>vnitřní evidence.</w:t>
      </w:r>
    </w:p>
    <w:p w14:paraId="26D7E28B"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u w:val="single"/>
        </w:rPr>
      </w:pPr>
    </w:p>
    <w:p w14:paraId="431AB2FB"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9</w:t>
      </w:r>
    </w:p>
    <w:p w14:paraId="725121C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D89738F"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U rozhodnutí navržených do skupin A, B a C předseda evidenčního senátu nebo pověřený člen evidenčního senátu posoudí vhodnost zařazení rozhodnutí do některé ze skupin uvedených v </w:t>
      </w:r>
      <w:r w:rsidR="006114A5" w:rsidRPr="00B9052B">
        <w:rPr>
          <w:rFonts w:ascii="Times New Roman" w:hAnsi="Times New Roman" w:cs="Times New Roman"/>
          <w:bCs/>
          <w:sz w:val="24"/>
          <w:szCs w:val="24"/>
          <w:highlight w:val="white"/>
        </w:rPr>
        <w:t>§ 5 odst. 2 až 7</w:t>
      </w:r>
      <w:r w:rsidRPr="004051FF">
        <w:rPr>
          <w:rFonts w:ascii="Times New Roman" w:hAnsi="Times New Roman" w:cs="Times New Roman"/>
          <w:sz w:val="24"/>
          <w:szCs w:val="24"/>
          <w:highlight w:val="white"/>
        </w:rPr>
        <w:t xml:space="preserve">. Navrhované zařazení může v odůvodněných případech změnit; změna může spočívat v tom, že rozhodnutí zařadí do skupiny významově nižší nebo do skupiny významově </w:t>
      </w:r>
      <w:proofErr w:type="gramStart"/>
      <w:r w:rsidRPr="004051FF">
        <w:rPr>
          <w:rFonts w:ascii="Times New Roman" w:hAnsi="Times New Roman" w:cs="Times New Roman"/>
          <w:sz w:val="24"/>
          <w:szCs w:val="24"/>
          <w:highlight w:val="white"/>
        </w:rPr>
        <w:t>vyšší</w:t>
      </w:r>
      <w:proofErr w:type="gramEnd"/>
      <w:r w:rsidRPr="004051FF">
        <w:rPr>
          <w:rFonts w:ascii="Times New Roman" w:hAnsi="Times New Roman" w:cs="Times New Roman"/>
          <w:sz w:val="24"/>
          <w:szCs w:val="24"/>
          <w:highlight w:val="white"/>
        </w:rPr>
        <w:t xml:space="preserve"> než bylo navrženo. Svůj závěr uvede v rubrice "Zařazeno". Nebylo-li navrženo znění právní věty nebo hesla, doplní u rozhodnutí též právní větu nebo příslušné heslo. </w:t>
      </w:r>
      <w:r w:rsidRPr="004051FF">
        <w:rPr>
          <w:rFonts w:ascii="Times New Roman" w:hAnsi="Times New Roman" w:cs="Times New Roman"/>
          <w:sz w:val="24"/>
          <w:szCs w:val="24"/>
          <w:highlight w:val="white"/>
        </w:rPr>
        <w:lastRenderedPageBreak/>
        <w:t>Postupuje při tom přiměřeně podle § 6 odst. 2 a 3.</w:t>
      </w:r>
    </w:p>
    <w:p w14:paraId="0D230B7F"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47CB2BF"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(2) Odborný referent provede podle údajů uvedených v rubrice "Zařazeno" v programu JUDIKATURA určené zařazení, popřípadě učiněnou změnu v návrhu na zařazení do skupiny podle </w:t>
      </w:r>
      <w:r w:rsidR="006114A5" w:rsidRPr="00B9052B">
        <w:rPr>
          <w:rFonts w:ascii="Times New Roman" w:hAnsi="Times New Roman" w:cs="Times New Roman"/>
          <w:bCs/>
          <w:sz w:val="24"/>
          <w:szCs w:val="24"/>
          <w:highlight w:val="white"/>
        </w:rPr>
        <w:t>§ 5 odst. 2 až 7</w:t>
      </w:r>
      <w:r w:rsidRPr="004051FF">
        <w:rPr>
          <w:rFonts w:ascii="Times New Roman" w:hAnsi="Times New Roman" w:cs="Times New Roman"/>
          <w:sz w:val="24"/>
          <w:szCs w:val="24"/>
          <w:highlight w:val="white"/>
        </w:rPr>
        <w:t xml:space="preserve">, případně vyznačí též právní větu nebo heslo a uvede, který člen evidenčního senátu návrh učinil; s těmito rozhodnutími dále naloží stejně, jako s rozhodnutími, </w:t>
      </w:r>
      <w:r w:rsidR="007A5DF6" w:rsidRPr="00B9052B">
        <w:rPr>
          <w:rFonts w:ascii="Times New Roman" w:hAnsi="Times New Roman" w:cs="Times New Roman"/>
          <w:bCs/>
          <w:sz w:val="24"/>
          <w:szCs w:val="24"/>
          <w:highlight w:val="white"/>
        </w:rPr>
        <w:t>která byla do skupin A, B a C navržena</w:t>
      </w:r>
      <w:r w:rsidRPr="00B9052B">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předsedou senátu.</w:t>
      </w:r>
    </w:p>
    <w:p w14:paraId="0EE2184A"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12CA8CA0"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10</w:t>
      </w:r>
    </w:p>
    <w:p w14:paraId="7F81A35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B657E21"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K posouzení rozhodnutí, která byla navržena do skupiny A, B, C nebo D (předsedou příslušného senátu nebo evidenčním senátem), svolá předseda evidenčního senátu zasedání evidenčního senátu.</w:t>
      </w:r>
    </w:p>
    <w:p w14:paraId="6FA49353"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7B4C11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Předseda evidenčního senátu v pozvánce uvede rozhodnutí, která budou na zasedání evidenčního senátu projednána. Odborný referent spolu s pozvánkou rozešle členům senátu uvedená rozhodnutí.</w:t>
      </w:r>
    </w:p>
    <w:p w14:paraId="0C60D64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A09B889"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Nebyla-li u rozhodnutí navržena právní věta nebo heslo, připraví návrh jejich znění pro zasedání evidenčního senátu jeho předseda nebo ten jeho člen, kterému bylo rozhodnutí přiděleno nebo který byl určen pro sledování rozhodnutí podle druhu řešené právní otázky. Návrh může připravit i soudce nebo jiný odborný zaměstnanec soudu, pověří-li ho tím předseda evidenčního senátu.</w:t>
      </w:r>
    </w:p>
    <w:p w14:paraId="61F94FEF"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347C80E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11</w:t>
      </w:r>
    </w:p>
    <w:p w14:paraId="276917A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05BD01F7"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 při svém zasedání rozhodne o zařazení do skupiny, o znění právní věty nebo hesla a</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tom, která ustanovení rozhodnutí řeší. Vyžaduje-li to význam rozhodnutí, může stanovit, že se zařazuje do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jiné skupiny, než byla navržena.</w:t>
      </w:r>
    </w:p>
    <w:p w14:paraId="3F011F3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291793E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Neschválí-li evidenční senát znění právní věty, hesla, zařazení rozhodnutí do skupiny nebo jeho uveřejnění v centrální evidenci soudních rozhodnutí, předloží rozhodnutí k posouzení poradě úseku soudu. Závěr porady úseku bude zaznamenán do elektronické evidence namísto rozhodnutí evidenčního senátu.</w:t>
      </w:r>
    </w:p>
    <w:p w14:paraId="0892596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17D1670"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Podle závěrů evidenčního senátu učiněných ve smyslu odstavce 1 odborný referent provede potřebné záznamy v programu JUDIKATURA. Byla-li schválena změna zařazení rozhodnutí, provede změnu v návrhu na</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zařazení, vyznačí právní větu (její změnu) a uvede, že</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 tom rozhodl evidenční senát a kdy tak učinil.</w:t>
      </w:r>
    </w:p>
    <w:p w14:paraId="66D2CC35"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3FF10178"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HLAVA II.</w:t>
      </w:r>
    </w:p>
    <w:p w14:paraId="1BD227D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Rozhodnutí okresních soudů</w:t>
      </w:r>
    </w:p>
    <w:p w14:paraId="6850503B"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6C22C67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12</w:t>
      </w:r>
    </w:p>
    <w:p w14:paraId="0D23C32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003855E"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senáty krajských a vrchních soudů mohou do evidence zařadit pravomocná rozhodnutí okresních soudů v oblasti své působnosti, která byla soudu zaslána justičními orgány nebo která si sám vyžádal. Předsedové jednotlivých senátů okresního soudu přitom poskytují potřebnou součinnost.</w:t>
      </w:r>
    </w:p>
    <w:p w14:paraId="12202FD5"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7D7B932"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lastRenderedPageBreak/>
        <w:t>(2) Evidenční senáty vrchních soudů mají toto oprávnění i vůči rozhodnutím krajských soudů. Předsedové jednotlivých senátů krajského soudu přitom poskytují potřebnou součinnost.</w:t>
      </w:r>
    </w:p>
    <w:p w14:paraId="29E8A38F"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CD76A1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Z hlediska významu pro judikaturu soudů se rozhodnutí evidují ve skupinách podle §</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5 a při jejich evidenci se postupuje podle § 5 až § 11.</w:t>
      </w:r>
    </w:p>
    <w:p w14:paraId="4F0E80BF"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A6E11A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Schválil-li evidenční senát zařazení takového rozhodnutí do skupin určených k</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uveřejnění v centrální evidenci (skupiny A až C), je povinen vyrozumět o tom soud, který rozhodnutí vydal.</w:t>
      </w:r>
    </w:p>
    <w:p w14:paraId="6BA80D94"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291DE5C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TŘETÍ</w:t>
      </w:r>
    </w:p>
    <w:p w14:paraId="7B048BE8"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Evidence rozhodnutí v centrální evidenci soudních rozhodnutí</w:t>
      </w:r>
    </w:p>
    <w:p w14:paraId="78783F36"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381DE53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13</w:t>
      </w:r>
    </w:p>
    <w:p w14:paraId="6DF0414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505451E"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V centrální evidenci soudních rozhodnutí se uveřejňují rozhodnutí </w:t>
      </w:r>
      <w:r w:rsidR="007A5DF6" w:rsidRPr="00B9052B">
        <w:rPr>
          <w:rFonts w:ascii="Times New Roman" w:hAnsi="Times New Roman" w:cs="Times New Roman"/>
          <w:bCs/>
          <w:sz w:val="24"/>
          <w:szCs w:val="24"/>
          <w:highlight w:val="white"/>
        </w:rPr>
        <w:t>zařazená do skupin A, B, C a EU</w:t>
      </w:r>
      <w:r w:rsidRPr="004051FF">
        <w:rPr>
          <w:rFonts w:ascii="Times New Roman" w:hAnsi="Times New Roman" w:cs="Times New Roman"/>
          <w:sz w:val="24"/>
          <w:szCs w:val="24"/>
          <w:highlight w:val="white"/>
        </w:rPr>
        <w:t>. Rozhodnutí, schválená evidenčním senátem, zařadí odborný referent k odeslání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centrální evidence na pokyn předsedy evidenčního senátu.</w:t>
      </w:r>
    </w:p>
    <w:p w14:paraId="2639615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25857D2"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Pro účely uveřejnění v centrální evidenci odborný referent evidenčního senátu upraví jednotlivé rozhodnutí tak, aby obsahovalo všechny údaje povinné pro zařazení judikátu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centrální evidence a provede jeho </w:t>
      </w:r>
      <w:r w:rsidR="007A5DF6" w:rsidRPr="00B9052B">
        <w:rPr>
          <w:rFonts w:ascii="Times New Roman" w:hAnsi="Times New Roman" w:cs="Times New Roman"/>
          <w:bCs/>
          <w:sz w:val="24"/>
          <w:szCs w:val="24"/>
          <w:highlight w:val="white"/>
        </w:rPr>
        <w:t>pseudonymizaci</w:t>
      </w:r>
      <w:r w:rsidRPr="004051FF">
        <w:rPr>
          <w:rFonts w:ascii="Times New Roman" w:hAnsi="Times New Roman" w:cs="Times New Roman"/>
          <w:sz w:val="24"/>
          <w:szCs w:val="24"/>
          <w:highlight w:val="white"/>
        </w:rPr>
        <w:t>.</w:t>
      </w:r>
    </w:p>
    <w:p w14:paraId="122DC784"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14BDD97"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Údaji povinnými pro zařazení do centrální evidence jsou:</w:t>
      </w:r>
    </w:p>
    <w:p w14:paraId="56808AAC"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a) právní věta judikátu nebo heslo charakterizující obsahovou náplň rozhodnutí,</w:t>
      </w:r>
    </w:p>
    <w:p w14:paraId="1C54D7C2"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spisová značka rozhodnutí,</w:t>
      </w:r>
    </w:p>
    <w:p w14:paraId="7DE5E24C"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c) soud, který rozhodnutí vydal,</w:t>
      </w:r>
    </w:p>
    <w:p w14:paraId="77277FFB"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 označení ustanovení předpisů, jichž se rozhodnutí týká ("dotčené předpisy"),</w:t>
      </w:r>
    </w:p>
    <w:p w14:paraId="4165C27C"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e) forma rozhodnutí,</w:t>
      </w:r>
    </w:p>
    <w:p w14:paraId="77E2E416"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f) datum vydání rozhodnutí,</w:t>
      </w:r>
    </w:p>
    <w:p w14:paraId="5655266A"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g) který orgán schválil zařazení do centrální evidence a datum schválení,</w:t>
      </w:r>
    </w:p>
    <w:p w14:paraId="1BAF8541"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h) úsek soudu, který rozhodnutí vydal,</w:t>
      </w:r>
    </w:p>
    <w:p w14:paraId="3797D2CD"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i) text judikátu.</w:t>
      </w:r>
    </w:p>
    <w:p w14:paraId="567EC130"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57C6298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Předseda evidenčního senátu nebo pověřený člen evidenčního senátu rozhodne, zda budou v centrální evidenci publikovány ještě další údaje zaznamenané ve vnitřní evidenci programu JUDIKATURA.</w:t>
      </w:r>
    </w:p>
    <w:p w14:paraId="6834DB44"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4ECC9FC3"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14</w:t>
      </w:r>
    </w:p>
    <w:p w14:paraId="1B19D070" w14:textId="77777777" w:rsidR="004051FF" w:rsidRPr="004051FF" w:rsidRDefault="007A5DF6"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B9052B">
        <w:rPr>
          <w:rFonts w:ascii="Times New Roman" w:hAnsi="Times New Roman" w:cs="Times New Roman"/>
          <w:b/>
          <w:bCs/>
          <w:sz w:val="24"/>
          <w:szCs w:val="24"/>
          <w:highlight w:val="white"/>
        </w:rPr>
        <w:t>Pseudonymizace</w:t>
      </w:r>
      <w:r w:rsidR="004051FF" w:rsidRPr="004051FF">
        <w:rPr>
          <w:rFonts w:ascii="Times New Roman" w:hAnsi="Times New Roman" w:cs="Times New Roman"/>
          <w:b/>
          <w:bCs/>
          <w:sz w:val="24"/>
          <w:szCs w:val="24"/>
          <w:highlight w:val="white"/>
        </w:rPr>
        <w:t xml:space="preserve"> a úprava rozhodnutí schválených k zařazení do centrální evidence</w:t>
      </w:r>
    </w:p>
    <w:p w14:paraId="485E0EE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5B6FD425" w14:textId="7C404173" w:rsidR="004051FF" w:rsidRPr="009B4844"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76671A">
        <w:rPr>
          <w:rFonts w:ascii="Times New Roman" w:hAnsi="Times New Roman" w:cs="Times New Roman"/>
          <w:sz w:val="24"/>
          <w:szCs w:val="24"/>
          <w:highlight w:val="white"/>
        </w:rPr>
        <w:t xml:space="preserve">(1) U rozhodnutí schválených k zařazení do centrální evidence provede odborný referent v programu JUDIKATURA jejich </w:t>
      </w:r>
      <w:r w:rsidR="007A5DF6" w:rsidRPr="00B9052B">
        <w:rPr>
          <w:rFonts w:ascii="Times New Roman" w:hAnsi="Times New Roman" w:cs="Times New Roman"/>
          <w:bCs/>
          <w:sz w:val="24"/>
          <w:szCs w:val="24"/>
          <w:highlight w:val="white"/>
        </w:rPr>
        <w:t xml:space="preserve">pseudonymizaci </w:t>
      </w:r>
      <w:r w:rsidR="007A5DF6">
        <w:rPr>
          <w:rFonts w:ascii="Times New Roman" w:hAnsi="Times New Roman" w:cs="Times New Roman"/>
          <w:sz w:val="24"/>
          <w:szCs w:val="24"/>
          <w:highlight w:val="white"/>
        </w:rPr>
        <w:t>a úpravy.</w:t>
      </w:r>
      <w:r w:rsidR="007A5DF6" w:rsidRPr="007A5DF6">
        <w:rPr>
          <w:rFonts w:ascii="Garamond" w:eastAsia="MS Mincho" w:hAnsi="Garamond"/>
          <w:color w:val="00B0F0"/>
          <w:sz w:val="16"/>
          <w:szCs w:val="16"/>
        </w:rPr>
        <w:t xml:space="preserve"> </w:t>
      </w:r>
    </w:p>
    <w:p w14:paraId="6C2A69CD"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u w:val="single"/>
        </w:rPr>
      </w:pPr>
    </w:p>
    <w:p w14:paraId="3229DFE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Odborný referent rovněž opraví překlepy, zjevné chyby v psaní a případné gramatické chyby, které jsou obsaženy v písemném vyhotovení rozhodnutí.</w:t>
      </w:r>
    </w:p>
    <w:p w14:paraId="0B8043B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2B29B4C"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(3) Vzniknou-li pochybnosti, jak mají být </w:t>
      </w:r>
      <w:r w:rsidR="007A5DF6" w:rsidRPr="00B9052B">
        <w:rPr>
          <w:rFonts w:ascii="Times New Roman" w:hAnsi="Times New Roman" w:cs="Times New Roman"/>
          <w:bCs/>
          <w:sz w:val="24"/>
          <w:szCs w:val="24"/>
          <w:highlight w:val="white"/>
        </w:rPr>
        <w:t>pseudonymizace</w:t>
      </w:r>
      <w:r w:rsidRPr="004051FF">
        <w:rPr>
          <w:rFonts w:ascii="Times New Roman" w:hAnsi="Times New Roman" w:cs="Times New Roman"/>
          <w:sz w:val="24"/>
          <w:szCs w:val="24"/>
          <w:highlight w:val="white"/>
        </w:rPr>
        <w:t xml:space="preserve"> a úpravy provedeny, vyžádá si</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odborný referent pokyn od předsedy evidenčního senátu nebo pověřeného člena evidenčního senátu.</w:t>
      </w:r>
    </w:p>
    <w:p w14:paraId="28FC87F4"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AF87135"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V rozhodnutí provede odborný referent další změny a úpravy, rozhodl-li o tom evidenční senát.</w:t>
      </w:r>
    </w:p>
    <w:p w14:paraId="281BE8B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1BC05C1" w14:textId="77777777" w:rsidR="004051FF" w:rsidRPr="0076671A" w:rsidRDefault="005D66C9"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B9052B">
        <w:rPr>
          <w:rFonts w:ascii="Times New Roman" w:hAnsi="Times New Roman" w:cs="Times New Roman"/>
          <w:bCs/>
          <w:sz w:val="24"/>
          <w:szCs w:val="24"/>
          <w:highlight w:val="white"/>
        </w:rPr>
        <w:t>(5)</w:t>
      </w:r>
      <w:r w:rsidR="004051FF" w:rsidRPr="00B9052B">
        <w:rPr>
          <w:rFonts w:ascii="Times New Roman" w:hAnsi="Times New Roman" w:cs="Times New Roman"/>
          <w:sz w:val="24"/>
          <w:szCs w:val="24"/>
          <w:highlight w:val="white"/>
        </w:rPr>
        <w:t xml:space="preserve"> </w:t>
      </w:r>
      <w:r w:rsidR="004051FF" w:rsidRPr="0076671A">
        <w:rPr>
          <w:rFonts w:ascii="Times New Roman" w:hAnsi="Times New Roman" w:cs="Times New Roman"/>
          <w:sz w:val="24"/>
          <w:szCs w:val="24"/>
          <w:highlight w:val="white"/>
        </w:rPr>
        <w:t xml:space="preserve">Za správnost provedení </w:t>
      </w:r>
      <w:r w:rsidR="007A5DF6" w:rsidRPr="00B9052B">
        <w:rPr>
          <w:rFonts w:ascii="Times New Roman" w:hAnsi="Times New Roman" w:cs="Times New Roman"/>
          <w:bCs/>
          <w:sz w:val="24"/>
          <w:szCs w:val="24"/>
          <w:highlight w:val="white"/>
        </w:rPr>
        <w:t>pseudonymizace</w:t>
      </w:r>
      <w:r w:rsidR="004051FF" w:rsidRPr="0076671A">
        <w:rPr>
          <w:rFonts w:ascii="Times New Roman" w:hAnsi="Times New Roman" w:cs="Times New Roman"/>
          <w:sz w:val="24"/>
          <w:szCs w:val="24"/>
          <w:highlight w:val="white"/>
        </w:rPr>
        <w:t>, shody zveřejňovaného rozhodnutí s</w:t>
      </w:r>
      <w:r>
        <w:rPr>
          <w:rFonts w:ascii="Times New Roman" w:hAnsi="Times New Roman" w:cs="Times New Roman"/>
          <w:sz w:val="24"/>
          <w:szCs w:val="24"/>
          <w:highlight w:val="white"/>
        </w:rPr>
        <w:t> </w:t>
      </w:r>
      <w:r w:rsidR="004051FF" w:rsidRPr="0076671A">
        <w:rPr>
          <w:rFonts w:ascii="Times New Roman" w:hAnsi="Times New Roman" w:cs="Times New Roman"/>
          <w:sz w:val="24"/>
          <w:szCs w:val="24"/>
          <w:highlight w:val="white"/>
        </w:rPr>
        <w:t>originálem, popřípadě event. dalších změn a úprav, odpovídá odborný referent.</w:t>
      </w:r>
    </w:p>
    <w:p w14:paraId="3535A351"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i/>
          <w:iCs/>
          <w:sz w:val="24"/>
          <w:szCs w:val="24"/>
          <w:highlight w:val="white"/>
          <w:u w:val="single"/>
        </w:rPr>
      </w:pPr>
    </w:p>
    <w:p w14:paraId="65C72AF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15</w:t>
      </w:r>
    </w:p>
    <w:p w14:paraId="24C8766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9737FD3"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Předseda nebo pověřený člen evidenčního senátu mohou v rozhodnutí navrhnout provedení dalších úprav, ukazuje-li se to potřebné pro splnění účelu zařazení příslušného rozhodnutí do centrální evidence. Tyto další úpravy mohou spočívat v tom, že se vypustí část odůvodnění (jednotlivá slova, věty nebo odstavce), které se netýkají problematiky řešené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právní větě nebo z jiných důvodů jsou nevhodné k publikaci.</w:t>
      </w:r>
    </w:p>
    <w:p w14:paraId="1EFB87CA"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295047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Provedení dalších úprav podle odstavce 1 předseda nebo pověřený člen evidenčního senátu projedná s</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příslušným předsedou senátu; úpravy mohou být provedeny jen tehdy, jestliže s nimi příslušný předseda senátu vysloví souhlas.</w:t>
      </w:r>
    </w:p>
    <w:p w14:paraId="19D8DF90"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0054FBC"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Úpravy provedené předsedou nebo pověřeným členem evidenčního senátu podle odstavce 1 zanese odborný referent do programu JUDIKATURA.</w:t>
      </w:r>
    </w:p>
    <w:p w14:paraId="1F10B443" w14:textId="77777777" w:rsidR="00535945" w:rsidRPr="004051FF" w:rsidRDefault="00535945"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5EE02EED"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16</w:t>
      </w:r>
    </w:p>
    <w:p w14:paraId="597529F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7ED7C9D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Před zařazením rozhodnutí k odeslání do centrální evidence předseda evidenčního senátu nebo jím pověřený člen evidenčního senátu zkontroluje, zda bylo rozhodnutí </w:t>
      </w:r>
      <w:proofErr w:type="spellStart"/>
      <w:r w:rsidR="005D66C9" w:rsidRPr="00B9052B">
        <w:rPr>
          <w:rFonts w:ascii="Times New Roman" w:hAnsi="Times New Roman" w:cs="Times New Roman"/>
          <w:bCs/>
          <w:sz w:val="24"/>
          <w:szCs w:val="24"/>
          <w:highlight w:val="white"/>
        </w:rPr>
        <w:t>pseudonymizováno</w:t>
      </w:r>
      <w:proofErr w:type="spellEnd"/>
      <w:r w:rsidRPr="00B9052B">
        <w:rPr>
          <w:rFonts w:ascii="Times New Roman" w:hAnsi="Times New Roman" w:cs="Times New Roman"/>
          <w:bCs/>
          <w:sz w:val="24"/>
          <w:szCs w:val="24"/>
          <w:highlight w:val="white"/>
        </w:rPr>
        <w:t xml:space="preserve"> a</w:t>
      </w:r>
      <w:r w:rsidRPr="004051FF">
        <w:rPr>
          <w:rFonts w:ascii="Times New Roman" w:hAnsi="Times New Roman" w:cs="Times New Roman"/>
          <w:sz w:val="24"/>
          <w:szCs w:val="24"/>
          <w:highlight w:val="white"/>
        </w:rPr>
        <w:t xml:space="preserve"> byly provedeny příslušné úpravy v souladu s § 14 a zda jsou vyplněny všechny údaje povinně uváděné v centrální evidenci.</w:t>
      </w:r>
    </w:p>
    <w:p w14:paraId="3767002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57E3AF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(2) Po provedení </w:t>
      </w:r>
      <w:r w:rsidR="007A5DF6" w:rsidRPr="00B9052B">
        <w:rPr>
          <w:rFonts w:ascii="Times New Roman" w:hAnsi="Times New Roman" w:cs="Times New Roman"/>
          <w:bCs/>
          <w:sz w:val="24"/>
          <w:szCs w:val="24"/>
          <w:highlight w:val="white"/>
        </w:rPr>
        <w:t>pseudonymizace</w:t>
      </w:r>
      <w:r w:rsidRPr="004051FF">
        <w:rPr>
          <w:rFonts w:ascii="Times New Roman" w:hAnsi="Times New Roman" w:cs="Times New Roman"/>
          <w:sz w:val="24"/>
          <w:szCs w:val="24"/>
          <w:highlight w:val="white"/>
        </w:rPr>
        <w:t xml:space="preserve"> a úprav podle § 15 odborný referent evidenčního senátu příslušné rozhodnutí v programu JUDIKATURA zařadí k odeslání do centrální evidence soudních rozhodnutí.</w:t>
      </w:r>
    </w:p>
    <w:p w14:paraId="56A95BFD"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A3AEA94"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O zařazení rozhodnutí do centrální evidence vyrozumí odborný referent evidenčního senátu předsedu senátu, který rozhodnutí vydal.</w:t>
      </w:r>
    </w:p>
    <w:p w14:paraId="0145F84D"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74534EDA"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17</w:t>
      </w:r>
    </w:p>
    <w:p w14:paraId="3B04F9D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Opravy překlepů, chyb v psaní nebo v počtech a jiných zřejmých nesprávností</w:t>
      </w:r>
    </w:p>
    <w:p w14:paraId="48F1305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7D7D91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Ukáže-li se dodatečně, že ve znění právní věty nebo textu judikátu je potřebné provést opravu překlepů, chyb v psaní nebo gramatických chyb, postupuje se přiměřeně podle § 14 odst. 2. Opravy lze provést jen tehdy, vysloví-li s nimi evidenční senát souhlas a pouze u</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rozhodnutí, jež byla do evidence zařazena na základě jeho schválení.</w:t>
      </w:r>
    </w:p>
    <w:p w14:paraId="5EB00146"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212DC3EE"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18</w:t>
      </w:r>
    </w:p>
    <w:p w14:paraId="73C251B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Další úkony po zařazení rozhodnutí do centrální evidence</w:t>
      </w:r>
    </w:p>
    <w:p w14:paraId="00C57B3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314237A"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Po zařazení rozhodnutí do centrální evidence odborný referent evidenčního senátu:</w:t>
      </w:r>
    </w:p>
    <w:p w14:paraId="26A1D1E5" w14:textId="77777777" w:rsidR="004051FF" w:rsidRPr="00DF4A24" w:rsidRDefault="004051FF" w:rsidP="0076671A">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a) </w:t>
      </w:r>
      <w:r w:rsidR="0076671A">
        <w:rPr>
          <w:rFonts w:ascii="Times New Roman" w:hAnsi="Times New Roman" w:cs="Times New Roman"/>
          <w:sz w:val="24"/>
          <w:szCs w:val="24"/>
          <w:highlight w:val="white"/>
        </w:rPr>
        <w:tab/>
        <w:t>v</w:t>
      </w:r>
      <w:r w:rsidRPr="004051FF">
        <w:rPr>
          <w:rFonts w:ascii="Times New Roman" w:hAnsi="Times New Roman" w:cs="Times New Roman"/>
          <w:sz w:val="24"/>
          <w:szCs w:val="24"/>
          <w:highlight w:val="white"/>
        </w:rPr>
        <w:t>yznačí u jednotlivých rozhodnutí v programu JUDIKATURA číslo, pod kterým bylo rozhodnutí publikováno ve Sbírce soudních rozhodnutí a stano</w:t>
      </w:r>
      <w:r w:rsidR="00DF4A24">
        <w:rPr>
          <w:rFonts w:ascii="Times New Roman" w:hAnsi="Times New Roman" w:cs="Times New Roman"/>
          <w:sz w:val="24"/>
          <w:szCs w:val="24"/>
          <w:highlight w:val="white"/>
        </w:rPr>
        <w:t xml:space="preserve">visek, a příslušné číslo </w:t>
      </w:r>
      <w:r w:rsidR="00DF4A24">
        <w:rPr>
          <w:rFonts w:ascii="Times New Roman" w:hAnsi="Times New Roman" w:cs="Times New Roman"/>
          <w:sz w:val="24"/>
          <w:szCs w:val="24"/>
          <w:highlight w:val="white"/>
        </w:rPr>
        <w:lastRenderedPageBreak/>
        <w:t>sešitu</w:t>
      </w:r>
      <w:r w:rsidR="00DF4A24">
        <w:rPr>
          <w:rFonts w:ascii="Times New Roman" w:hAnsi="Times New Roman" w:cs="Times New Roman"/>
          <w:b/>
          <w:color w:val="0070C0"/>
          <w:sz w:val="24"/>
          <w:szCs w:val="24"/>
          <w:highlight w:val="white"/>
        </w:rPr>
        <w:t>,</w:t>
      </w:r>
    </w:p>
    <w:p w14:paraId="28FE039D" w14:textId="77777777" w:rsidR="004051FF" w:rsidRPr="004051FF" w:rsidRDefault="004051FF" w:rsidP="0076671A">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b) </w:t>
      </w:r>
      <w:r w:rsidR="0076671A">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vyznačí v oddíle Poznámky, jak s rozh</w:t>
      </w:r>
      <w:r w:rsidR="0076671A">
        <w:rPr>
          <w:rFonts w:ascii="Times New Roman" w:hAnsi="Times New Roman" w:cs="Times New Roman"/>
          <w:sz w:val="24"/>
          <w:szCs w:val="24"/>
          <w:highlight w:val="white"/>
        </w:rPr>
        <w:t>odnutím naložil nadřízený soud.</w:t>
      </w:r>
    </w:p>
    <w:p w14:paraId="33DD6FD2"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51179BF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ČTVRTÁ</w:t>
      </w:r>
    </w:p>
    <w:p w14:paraId="11C69481" w14:textId="77777777" w:rsidR="004051FF" w:rsidRPr="004051FF" w:rsidRDefault="004051FF"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Opatření k z</w:t>
      </w:r>
      <w:r w:rsidR="0076671A">
        <w:rPr>
          <w:rFonts w:ascii="Times New Roman" w:hAnsi="Times New Roman" w:cs="Times New Roman"/>
          <w:b/>
          <w:bCs/>
          <w:sz w:val="24"/>
          <w:szCs w:val="24"/>
          <w:highlight w:val="white"/>
        </w:rPr>
        <w:t>ajištění jednotného rozhodování</w:t>
      </w:r>
    </w:p>
    <w:p w14:paraId="0A3BE52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6D26C7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19</w:t>
      </w:r>
    </w:p>
    <w:p w14:paraId="419821F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045CE46B" w14:textId="77777777" w:rsid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Dospěje-li evidenční senát k závěru, že jím projednávané rozhodnutí není v souladu s</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jinými rozhodnutími přijatými senáty jednotlivých úseků nebo s judikaturou publikovanou ve</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Sbírce soudních rozhodnutí a stanovisek či s judikaturou zařazenou do vnitřní evidence soudu, upozorní místopředsedu soudu, a jde-li o rozhodnutí okresního soudu, předsedu soudu, popřípadě mu navrhne k vyřešení zjištěného nesouladu vhodné opatření.</w:t>
      </w:r>
    </w:p>
    <w:p w14:paraId="7AB399DC" w14:textId="77777777" w:rsidR="00DF4A24"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14:paraId="57228794"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ČÁST PÁTÁ</w:t>
      </w:r>
    </w:p>
    <w:p w14:paraId="62B81FF1" w14:textId="6AC7DAE7" w:rsidR="00DF4A24" w:rsidRPr="00817E84" w:rsidRDefault="00817E84" w:rsidP="00817E84">
      <w:pPr>
        <w:widowControl w:val="0"/>
        <w:autoSpaceDE w:val="0"/>
        <w:autoSpaceDN w:val="0"/>
        <w:adjustRightInd w:val="0"/>
        <w:spacing w:after="0" w:line="240" w:lineRule="auto"/>
        <w:jc w:val="center"/>
        <w:rPr>
          <w:rFonts w:ascii="Times New Roman" w:hAnsi="Times New Roman" w:cs="Times New Roman"/>
          <w:b/>
          <w:i/>
          <w:iCs/>
          <w:color w:val="0070C0"/>
          <w:sz w:val="24"/>
          <w:szCs w:val="24"/>
          <w:highlight w:val="white"/>
        </w:rPr>
      </w:pPr>
      <w:r w:rsidRPr="00817E84">
        <w:rPr>
          <w:rFonts w:ascii="Times New Roman" w:hAnsi="Times New Roman" w:cs="Times New Roman"/>
          <w:b/>
          <w:i/>
          <w:iCs/>
          <w:color w:val="0070C0"/>
          <w:sz w:val="24"/>
          <w:szCs w:val="24"/>
          <w:highlight w:val="white"/>
        </w:rPr>
        <w:t>zrušena</w:t>
      </w:r>
    </w:p>
    <w:p w14:paraId="5576073E" w14:textId="15C35131" w:rsidR="00DF4A24" w:rsidRPr="00877623" w:rsidRDefault="00DF4A24" w:rsidP="00877623">
      <w:pPr>
        <w:widowControl w:val="0"/>
        <w:autoSpaceDE w:val="0"/>
        <w:autoSpaceDN w:val="0"/>
        <w:adjustRightInd w:val="0"/>
        <w:spacing w:after="0" w:line="240" w:lineRule="auto"/>
        <w:ind w:firstLine="720"/>
        <w:jc w:val="both"/>
        <w:rPr>
          <w:rFonts w:ascii="Times New Roman" w:hAnsi="Times New Roman" w:cs="Times New Roman"/>
          <w:b/>
          <w:bCs/>
          <w:color w:val="0070C0"/>
          <w:sz w:val="24"/>
          <w:szCs w:val="24"/>
          <w:highlight w:val="white"/>
        </w:rPr>
      </w:pPr>
      <w:r w:rsidRPr="00877623">
        <w:rPr>
          <w:rFonts w:ascii="Times New Roman" w:hAnsi="Times New Roman" w:cs="Times New Roman"/>
          <w:b/>
          <w:bCs/>
          <w:color w:val="0070C0"/>
          <w:sz w:val="24"/>
          <w:szCs w:val="24"/>
          <w:highlight w:val="white"/>
        </w:rPr>
        <w:t xml:space="preserve"> </w:t>
      </w:r>
    </w:p>
    <w:p w14:paraId="2C00B582"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324009D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xml:space="preserve">ČÁST </w:t>
      </w:r>
      <w:r w:rsidR="00DF4A24" w:rsidRPr="00B9052B">
        <w:rPr>
          <w:rFonts w:ascii="Times New Roman" w:hAnsi="Times New Roman" w:cs="Times New Roman"/>
          <w:b/>
          <w:bCs/>
          <w:sz w:val="24"/>
          <w:szCs w:val="24"/>
          <w:highlight w:val="white"/>
        </w:rPr>
        <w:t>ŠESTÁ</w:t>
      </w:r>
    </w:p>
    <w:p w14:paraId="5DC6D0ED"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Přechodná a závěrečná ustanovení</w:t>
      </w:r>
    </w:p>
    <w:p w14:paraId="2F4A010B"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4516E0E2"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20</w:t>
      </w:r>
    </w:p>
    <w:p w14:paraId="19BE086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A5644FF"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Podle této instrukce se zařazují rozhodnutí vyhlášená od data účinnosti instrukce.</w:t>
      </w:r>
    </w:p>
    <w:p w14:paraId="4AA1A6B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686215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Rozhodnutí vyhlášená před účinností instrukce je možné zařadit do elektronické evidence za podmínek stanovených v této instrukci.</w:t>
      </w:r>
    </w:p>
    <w:p w14:paraId="380B017C" w14:textId="77777777" w:rsidR="004051FF" w:rsidRPr="004051FF" w:rsidRDefault="004051FF" w:rsidP="0026452E">
      <w:pPr>
        <w:widowControl w:val="0"/>
        <w:autoSpaceDE w:val="0"/>
        <w:autoSpaceDN w:val="0"/>
        <w:adjustRightInd w:val="0"/>
        <w:spacing w:after="0" w:line="240" w:lineRule="auto"/>
        <w:rPr>
          <w:rFonts w:ascii="Times New Roman" w:hAnsi="Times New Roman" w:cs="Times New Roman"/>
          <w:sz w:val="24"/>
          <w:szCs w:val="24"/>
          <w:highlight w:val="white"/>
        </w:rPr>
      </w:pPr>
    </w:p>
    <w:p w14:paraId="1944CED0" w14:textId="77777777" w:rsidR="004051FF" w:rsidRPr="00727C89"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727C89">
        <w:rPr>
          <w:rFonts w:ascii="Times New Roman" w:hAnsi="Times New Roman" w:cs="Times New Roman"/>
          <w:b/>
          <w:bCs/>
          <w:sz w:val="24"/>
          <w:szCs w:val="24"/>
          <w:highlight w:val="white"/>
        </w:rPr>
        <w:t>§ 21</w:t>
      </w:r>
    </w:p>
    <w:p w14:paraId="7FBEB017" w14:textId="77777777" w:rsidR="004051FF" w:rsidRPr="00727C89"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51765AD7" w14:textId="249CF2AC" w:rsidR="004051FF" w:rsidRPr="00727C89" w:rsidRDefault="00024400" w:rsidP="00024400">
      <w:pPr>
        <w:widowControl w:val="0"/>
        <w:autoSpaceDE w:val="0"/>
        <w:autoSpaceDN w:val="0"/>
        <w:adjustRightInd w:val="0"/>
        <w:spacing w:after="0" w:line="240" w:lineRule="auto"/>
        <w:jc w:val="center"/>
        <w:rPr>
          <w:rFonts w:ascii="Times New Roman" w:hAnsi="Times New Roman" w:cs="Times New Roman"/>
          <w:i/>
          <w:iCs/>
          <w:sz w:val="24"/>
          <w:szCs w:val="24"/>
          <w:highlight w:val="white"/>
        </w:rPr>
      </w:pPr>
      <w:r w:rsidRPr="00727C89">
        <w:rPr>
          <w:rFonts w:ascii="Times New Roman" w:hAnsi="Times New Roman" w:cs="Times New Roman"/>
          <w:i/>
          <w:iCs/>
          <w:sz w:val="24"/>
          <w:szCs w:val="24"/>
          <w:highlight w:val="white"/>
        </w:rPr>
        <w:t>zrušen</w:t>
      </w:r>
    </w:p>
    <w:p w14:paraId="27E7E76A" w14:textId="77777777" w:rsidR="004051FF" w:rsidRPr="004051FF" w:rsidRDefault="004051FF" w:rsidP="0026452E">
      <w:pPr>
        <w:widowControl w:val="0"/>
        <w:autoSpaceDE w:val="0"/>
        <w:autoSpaceDN w:val="0"/>
        <w:adjustRightInd w:val="0"/>
        <w:spacing w:after="0" w:line="240" w:lineRule="auto"/>
        <w:rPr>
          <w:rFonts w:ascii="Times New Roman" w:hAnsi="Times New Roman" w:cs="Times New Roman"/>
          <w:sz w:val="24"/>
          <w:szCs w:val="24"/>
          <w:highlight w:val="white"/>
        </w:rPr>
      </w:pPr>
    </w:p>
    <w:p w14:paraId="06A59B8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22</w:t>
      </w:r>
    </w:p>
    <w:p w14:paraId="1A4BA77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3634C07" w14:textId="24DC143D" w:rsidR="00B9052B" w:rsidRDefault="004051FF" w:rsidP="00B9052B">
      <w:pPr>
        <w:widowControl w:val="0"/>
        <w:autoSpaceDE w:val="0"/>
        <w:autoSpaceDN w:val="0"/>
        <w:adjustRightInd w:val="0"/>
        <w:spacing w:after="0" w:line="240" w:lineRule="auto"/>
        <w:ind w:firstLine="600"/>
        <w:rPr>
          <w:rFonts w:ascii="Times New Roman" w:hAnsi="Times New Roman" w:cs="Times New Roman"/>
          <w:sz w:val="24"/>
          <w:szCs w:val="24"/>
        </w:rPr>
      </w:pPr>
      <w:r w:rsidRPr="004051FF">
        <w:rPr>
          <w:rFonts w:ascii="Times New Roman" w:hAnsi="Times New Roman" w:cs="Times New Roman"/>
          <w:sz w:val="24"/>
          <w:szCs w:val="24"/>
          <w:highlight w:val="white"/>
        </w:rPr>
        <w:t>Tato instrukce nabývá účinnosti dnem 1. ledna 2003.</w:t>
      </w:r>
    </w:p>
    <w:p w14:paraId="6D42C9EA" w14:textId="0C4AD92D" w:rsidR="00726F49" w:rsidRDefault="00726F49" w:rsidP="00B9052B">
      <w:pPr>
        <w:widowControl w:val="0"/>
        <w:autoSpaceDE w:val="0"/>
        <w:autoSpaceDN w:val="0"/>
        <w:adjustRightInd w:val="0"/>
        <w:spacing w:after="0" w:line="240" w:lineRule="auto"/>
        <w:rPr>
          <w:rFonts w:ascii="Times New Roman" w:hAnsi="Times New Roman" w:cs="Times New Roman"/>
          <w:sz w:val="24"/>
          <w:szCs w:val="24"/>
          <w:highlight w:val="white"/>
        </w:rPr>
        <w:sectPr w:rsidR="00726F49" w:rsidSect="003F08F7">
          <w:headerReference w:type="default" r:id="rId10"/>
          <w:footerReference w:type="default" r:id="rId11"/>
          <w:headerReference w:type="first" r:id="rId12"/>
          <w:footerReference w:type="first" r:id="rId13"/>
          <w:pgSz w:w="11906" w:h="16838"/>
          <w:pgMar w:top="1417" w:right="1417" w:bottom="1417" w:left="1417" w:header="708" w:footer="708" w:gutter="0"/>
          <w:cols w:space="708"/>
          <w:noEndnote/>
          <w:docGrid w:linePitch="299"/>
        </w:sectPr>
      </w:pPr>
    </w:p>
    <w:p w14:paraId="3649074D" w14:textId="77777777" w:rsidR="003F08F7" w:rsidRDefault="003F08F7" w:rsidP="00726F49">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2AA9E107" w14:textId="77777777" w:rsidR="004051FF" w:rsidRPr="00997687" w:rsidRDefault="004051FF" w:rsidP="004051FF">
      <w:pPr>
        <w:widowControl w:val="0"/>
        <w:autoSpaceDE w:val="0"/>
        <w:autoSpaceDN w:val="0"/>
        <w:adjustRightInd w:val="0"/>
        <w:spacing w:after="0" w:line="240" w:lineRule="auto"/>
        <w:jc w:val="center"/>
        <w:rPr>
          <w:rFonts w:ascii="Times New Roman" w:hAnsi="Times New Roman" w:cs="Times New Roman"/>
          <w:bCs/>
          <w:sz w:val="24"/>
          <w:szCs w:val="24"/>
          <w:highlight w:val="white"/>
        </w:rPr>
      </w:pPr>
      <w:r w:rsidRPr="00997687">
        <w:rPr>
          <w:rFonts w:ascii="Times New Roman" w:hAnsi="Times New Roman" w:cs="Times New Roman"/>
          <w:bCs/>
          <w:sz w:val="24"/>
          <w:szCs w:val="24"/>
          <w:highlight w:val="white"/>
        </w:rPr>
        <w:t>V</w:t>
      </w:r>
      <w:r w:rsidR="007F55A6" w:rsidRPr="00997687">
        <w:rPr>
          <w:rFonts w:ascii="Times New Roman" w:hAnsi="Times New Roman" w:cs="Times New Roman"/>
          <w:bCs/>
          <w:sz w:val="24"/>
          <w:szCs w:val="24"/>
          <w:highlight w:val="white"/>
        </w:rPr>
        <w:t>ZOR</w:t>
      </w:r>
    </w:p>
    <w:p w14:paraId="522A8B08" w14:textId="77777777" w:rsidR="007F55A6" w:rsidRPr="004051FF" w:rsidRDefault="007F55A6"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4524824E" w14:textId="77777777" w:rsidR="00BC5549" w:rsidRPr="00BC5549" w:rsidRDefault="00BC5549" w:rsidP="00BC5549">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Závěrečný referát</w:t>
      </w:r>
    </w:p>
    <w:p w14:paraId="24A7C05B" w14:textId="77777777" w:rsidR="00BC5549" w:rsidRPr="00997687" w:rsidRDefault="007F55A6"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 xml:space="preserve">podle § 6 </w:t>
      </w:r>
      <w:r w:rsidR="00A1171D" w:rsidRPr="00B9052B">
        <w:rPr>
          <w:rFonts w:ascii="Times New Roman" w:hAnsi="Times New Roman" w:cs="Times New Roman"/>
          <w:b/>
          <w:sz w:val="24"/>
          <w:szCs w:val="24"/>
          <w:highlight w:val="white"/>
        </w:rPr>
        <w:t>instrukce</w:t>
      </w:r>
      <w:r w:rsidRPr="00997687">
        <w:rPr>
          <w:rFonts w:ascii="Times New Roman" w:hAnsi="Times New Roman" w:cs="Times New Roman"/>
          <w:b/>
          <w:bCs/>
          <w:sz w:val="24"/>
          <w:szCs w:val="24"/>
          <w:highlight w:val="white"/>
        </w:rPr>
        <w:t>, kterou se upravuje postup při ev</w:t>
      </w:r>
      <w:r w:rsidR="00BC5549" w:rsidRPr="00997687">
        <w:rPr>
          <w:rFonts w:ascii="Times New Roman" w:hAnsi="Times New Roman" w:cs="Times New Roman"/>
          <w:b/>
          <w:bCs/>
          <w:sz w:val="24"/>
          <w:szCs w:val="24"/>
          <w:highlight w:val="white"/>
        </w:rPr>
        <w:t>idenci a zařazování rozhodnutí</w:t>
      </w:r>
    </w:p>
    <w:p w14:paraId="528B2A9D" w14:textId="77777777" w:rsidR="00BC5549" w:rsidRPr="00997687" w:rsidRDefault="007F55A6"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okresních, krajských a vrchních soudů</w:t>
      </w:r>
    </w:p>
    <w:p w14:paraId="3FEEB4C8" w14:textId="77777777" w:rsidR="007F55A6" w:rsidRPr="00997687" w:rsidRDefault="00BC5549"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do systému elektronick</w:t>
      </w:r>
      <w:r w:rsidR="007F55A6" w:rsidRPr="00997687">
        <w:rPr>
          <w:rFonts w:ascii="Times New Roman" w:hAnsi="Times New Roman" w:cs="Times New Roman"/>
          <w:b/>
          <w:bCs/>
          <w:sz w:val="24"/>
          <w:szCs w:val="24"/>
          <w:highlight w:val="white"/>
        </w:rPr>
        <w:t>é evidence soudní judikatury</w:t>
      </w:r>
    </w:p>
    <w:p w14:paraId="439A3E23" w14:textId="77777777" w:rsidR="004051FF" w:rsidRPr="004051FF" w:rsidRDefault="004051FF" w:rsidP="007F55A6">
      <w:pPr>
        <w:widowControl w:val="0"/>
        <w:autoSpaceDE w:val="0"/>
        <w:autoSpaceDN w:val="0"/>
        <w:adjustRightInd w:val="0"/>
        <w:spacing w:after="0" w:line="240" w:lineRule="auto"/>
        <w:ind w:right="-20000"/>
        <w:jc w:val="center"/>
        <w:rPr>
          <w:rFonts w:ascii="Times New Roman" w:hAnsi="Times New Roman" w:cs="Times New Roman"/>
          <w:sz w:val="24"/>
          <w:szCs w:val="24"/>
          <w:highlight w:val="white"/>
        </w:rPr>
      </w:pPr>
    </w:p>
    <w:p w14:paraId="0F4EAA9F" w14:textId="77777777" w:rsidR="004051FF" w:rsidRPr="00817E84"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p>
    <w:p w14:paraId="68E07C51" w14:textId="191BBD1B" w:rsidR="00024400" w:rsidRPr="00817E84" w:rsidRDefault="004051FF" w:rsidP="00024400">
      <w:pPr>
        <w:widowControl w:val="0"/>
        <w:autoSpaceDE w:val="0"/>
        <w:autoSpaceDN w:val="0"/>
        <w:adjustRightInd w:val="0"/>
        <w:spacing w:after="0" w:line="240" w:lineRule="auto"/>
        <w:ind w:right="-20000"/>
        <w:rPr>
          <w:rFonts w:ascii="Times New Roman" w:hAnsi="Times New Roman" w:cs="Times New Roman"/>
          <w:sz w:val="24"/>
          <w:szCs w:val="24"/>
          <w:highlight w:val="white"/>
        </w:rPr>
      </w:pPr>
      <w:r w:rsidRPr="00817E84">
        <w:rPr>
          <w:rFonts w:ascii="Times New Roman" w:hAnsi="Times New Roman" w:cs="Times New Roman"/>
          <w:sz w:val="24"/>
          <w:szCs w:val="24"/>
          <w:highlight w:val="white"/>
        </w:rPr>
        <w:t xml:space="preserve">A) </w:t>
      </w:r>
      <w:r w:rsidR="00024400" w:rsidRPr="00817E84">
        <w:rPr>
          <w:rFonts w:ascii="Times New Roman" w:hAnsi="Times New Roman" w:cs="Times New Roman"/>
          <w:sz w:val="24"/>
          <w:szCs w:val="24"/>
          <w:highlight w:val="white"/>
        </w:rPr>
        <w:t xml:space="preserve">Zařazení do skupin z hlediska evidence judikatury </w:t>
      </w:r>
    </w:p>
    <w:p w14:paraId="070E27EA" w14:textId="77777777" w:rsidR="00024400" w:rsidRPr="00817E84" w:rsidRDefault="00024400" w:rsidP="00024400">
      <w:pPr>
        <w:widowControl w:val="0"/>
        <w:autoSpaceDE w:val="0"/>
        <w:autoSpaceDN w:val="0"/>
        <w:adjustRightInd w:val="0"/>
        <w:spacing w:after="0" w:line="240" w:lineRule="auto"/>
        <w:ind w:right="-20000"/>
        <w:rPr>
          <w:rFonts w:ascii="Times New Roman" w:hAnsi="Times New Roman" w:cs="Times New Roman"/>
          <w:sz w:val="24"/>
          <w:szCs w:val="24"/>
          <w:highlight w:val="white"/>
        </w:rPr>
      </w:pPr>
      <w:r w:rsidRPr="00817E84">
        <w:rPr>
          <w:rFonts w:ascii="Times New Roman" w:hAnsi="Times New Roman" w:cs="Times New Roman"/>
          <w:sz w:val="24"/>
          <w:szCs w:val="24"/>
          <w:highlight w:val="white"/>
        </w:rPr>
        <w:t xml:space="preserve"> </w:t>
      </w:r>
    </w:p>
    <w:p w14:paraId="789DB504" w14:textId="451DF27B" w:rsidR="004051FF" w:rsidRPr="00817E84" w:rsidRDefault="00024400" w:rsidP="00024400">
      <w:pPr>
        <w:widowControl w:val="0"/>
        <w:autoSpaceDE w:val="0"/>
        <w:autoSpaceDN w:val="0"/>
        <w:adjustRightInd w:val="0"/>
        <w:spacing w:after="0" w:line="240" w:lineRule="auto"/>
        <w:ind w:right="-20000"/>
        <w:rPr>
          <w:rFonts w:ascii="Times New Roman" w:hAnsi="Times New Roman" w:cs="Times New Roman"/>
          <w:sz w:val="24"/>
          <w:szCs w:val="24"/>
          <w:highlight w:val="white"/>
        </w:rPr>
      </w:pPr>
      <w:r w:rsidRPr="00817E84">
        <w:rPr>
          <w:rFonts w:ascii="Times New Roman" w:hAnsi="Times New Roman" w:cs="Times New Roman"/>
          <w:sz w:val="24"/>
          <w:szCs w:val="24"/>
          <w:highlight w:val="white"/>
        </w:rPr>
        <w:tab/>
        <w:t>A</w:t>
      </w:r>
      <w:r w:rsidRPr="00817E84">
        <w:rPr>
          <w:rFonts w:ascii="Times New Roman" w:hAnsi="Times New Roman" w:cs="Times New Roman"/>
          <w:sz w:val="24"/>
          <w:szCs w:val="24"/>
          <w:highlight w:val="white"/>
        </w:rPr>
        <w:tab/>
        <w:t>B</w:t>
      </w:r>
      <w:r w:rsidRPr="00817E84">
        <w:rPr>
          <w:rFonts w:ascii="Times New Roman" w:hAnsi="Times New Roman" w:cs="Times New Roman"/>
          <w:sz w:val="24"/>
          <w:szCs w:val="24"/>
          <w:highlight w:val="white"/>
        </w:rPr>
        <w:tab/>
        <w:t>C</w:t>
      </w:r>
      <w:r w:rsidRPr="00817E84">
        <w:rPr>
          <w:rFonts w:ascii="Times New Roman" w:hAnsi="Times New Roman" w:cs="Times New Roman"/>
          <w:sz w:val="24"/>
          <w:szCs w:val="24"/>
          <w:highlight w:val="white"/>
        </w:rPr>
        <w:tab/>
        <w:t>EU</w:t>
      </w:r>
    </w:p>
    <w:p w14:paraId="55365509" w14:textId="77777777"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p>
    <w:p w14:paraId="20691A6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Ustanovení, jejichž výklad rozhodnutí řeší</w:t>
      </w:r>
    </w:p>
    <w:p w14:paraId="7B26BCFA"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14:paraId="182CC1AD"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080ED142"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C) Návrh rejst</w:t>
      </w:r>
      <w:r w:rsidR="00BC5549">
        <w:rPr>
          <w:rFonts w:ascii="Times New Roman" w:hAnsi="Times New Roman" w:cs="Times New Roman"/>
          <w:sz w:val="24"/>
          <w:szCs w:val="24"/>
          <w:highlight w:val="white"/>
        </w:rPr>
        <w:t xml:space="preserve">říkového hesla </w:t>
      </w:r>
      <w:r w:rsidRPr="004051FF">
        <w:rPr>
          <w:rFonts w:ascii="Times New Roman" w:hAnsi="Times New Roman" w:cs="Times New Roman"/>
          <w:sz w:val="24"/>
          <w:szCs w:val="24"/>
          <w:highlight w:val="white"/>
        </w:rPr>
        <w:t>(je-li rozhodnutí navrhováno k zařazení do skupiny A - C)</w:t>
      </w:r>
    </w:p>
    <w:p w14:paraId="3B7E886D"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14:paraId="004480F6"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5F141C2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 Návrh právní věty</w:t>
      </w:r>
      <w:r w:rsidR="00BC5549">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(je-li rozhodnutí navrhováno k zařazení do skupiny A)</w:t>
      </w:r>
    </w:p>
    <w:p w14:paraId="21890C9E"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14:paraId="21B5C259"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54ED859B"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E) Vyznačení poznámky v programu JUDIKATURA</w:t>
      </w:r>
    </w:p>
    <w:p w14:paraId="372B6AC5" w14:textId="77777777" w:rsidR="00BC5549" w:rsidRPr="004051FF" w:rsidRDefault="00BC5549"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p>
    <w:p w14:paraId="17ABCAC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348F0B83"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6EB9648C"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59534565"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V ...............</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 xml:space="preserve"> dne ..........</w:t>
      </w:r>
      <w:r w:rsidR="00BC5549">
        <w:rPr>
          <w:rFonts w:ascii="Times New Roman" w:hAnsi="Times New Roman" w:cs="Times New Roman"/>
          <w:sz w:val="24"/>
          <w:szCs w:val="24"/>
          <w:highlight w:val="white"/>
        </w:rPr>
        <w:t>...................</w:t>
      </w:r>
    </w:p>
    <w:p w14:paraId="6A9A1B51"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3516D44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47DAB089"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2BB36491"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                                        .........................</w:t>
      </w:r>
      <w:r w:rsidR="00BC5549">
        <w:rPr>
          <w:rFonts w:ascii="Times New Roman" w:hAnsi="Times New Roman" w:cs="Times New Roman"/>
          <w:sz w:val="24"/>
          <w:szCs w:val="24"/>
          <w:highlight w:val="white"/>
        </w:rPr>
        <w:t>........................</w:t>
      </w:r>
    </w:p>
    <w:p w14:paraId="1C25DEA0"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                                                 podpis</w:t>
      </w:r>
    </w:p>
    <w:p w14:paraId="73DA72B1"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1E6EF6F3" w14:textId="77777777" w:rsidR="008F6828" w:rsidRDefault="008F6828" w:rsidP="00BC5549">
      <w:pPr>
        <w:widowControl w:val="0"/>
        <w:autoSpaceDE w:val="0"/>
        <w:autoSpaceDN w:val="0"/>
        <w:adjustRightInd w:val="0"/>
        <w:spacing w:after="0" w:line="240" w:lineRule="auto"/>
        <w:rPr>
          <w:rFonts w:ascii="Times New Roman" w:hAnsi="Times New Roman" w:cs="Times New Roman"/>
          <w:sz w:val="24"/>
          <w:szCs w:val="24"/>
          <w:highlight w:val="white"/>
        </w:rPr>
        <w:sectPr w:rsidR="008F6828" w:rsidSect="00726F49">
          <w:pgSz w:w="11906" w:h="16838"/>
          <w:pgMar w:top="1417" w:right="1417" w:bottom="1417" w:left="1417" w:header="708" w:footer="708" w:gutter="0"/>
          <w:cols w:space="708"/>
          <w:noEndnote/>
          <w:titlePg/>
          <w:docGrid w:linePitch="299"/>
        </w:sectPr>
      </w:pPr>
    </w:p>
    <w:p w14:paraId="22048B7D"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236811A1" w14:textId="77777777" w:rsidR="00195B20" w:rsidRPr="00195B20" w:rsidRDefault="00195B20" w:rsidP="00195B2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p w14:paraId="5106B108" w14:textId="1123F689" w:rsidR="00195B20" w:rsidRPr="00817E84" w:rsidRDefault="00817E84" w:rsidP="007D388A">
      <w:pPr>
        <w:widowControl w:val="0"/>
        <w:autoSpaceDE w:val="0"/>
        <w:autoSpaceDN w:val="0"/>
        <w:adjustRightInd w:val="0"/>
        <w:spacing w:after="0" w:line="240" w:lineRule="auto"/>
        <w:jc w:val="center"/>
        <w:rPr>
          <w:rFonts w:ascii="Times New Roman" w:hAnsi="Times New Roman" w:cs="Times New Roman"/>
          <w:bCs/>
          <w:i/>
          <w:iCs/>
          <w:color w:val="0070C0"/>
          <w:sz w:val="24"/>
          <w:szCs w:val="24"/>
          <w:highlight w:val="white"/>
        </w:rPr>
      </w:pPr>
      <w:r w:rsidRPr="00817E84">
        <w:rPr>
          <w:rFonts w:ascii="Times New Roman" w:hAnsi="Times New Roman" w:cs="Times New Roman"/>
          <w:b/>
          <w:i/>
          <w:iCs/>
          <w:color w:val="0070C0"/>
          <w:sz w:val="24"/>
          <w:szCs w:val="24"/>
          <w:highlight w:val="white"/>
        </w:rPr>
        <w:t>zrušena</w:t>
      </w:r>
    </w:p>
    <w:p w14:paraId="08C24F7C" w14:textId="77777777" w:rsidR="00195B20" w:rsidRPr="00024400" w:rsidRDefault="00195B20" w:rsidP="007D388A">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p w14:paraId="216FF7C7" w14:textId="77777777" w:rsidR="00195B20" w:rsidRDefault="00195B20"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5F815BD1"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0AC488E"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C682B14"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34980A5" w14:textId="72630C61"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5CDED21C" w14:textId="6B2F5329"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119647AE" w14:textId="4D489462"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47159F3" w14:textId="3B94C420"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5534DB69" w14:textId="67D2388A"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6CFE778" w14:textId="70EF9832"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32AE9972" w14:textId="6F4177D0"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3D9E58C1" w14:textId="7EBFB70E"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1BDE9737" w14:textId="455BC7A9"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D077E73" w14:textId="538AFCBC"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160E94FC" w14:textId="48765579"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EB9D932" w14:textId="3ACE55FD"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18C5AA72" w14:textId="7228A197"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1BCC1751" w14:textId="7FA742D5"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4EBBDF5D" w14:textId="1874C18A"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52317AF0" w14:textId="4F461EAE"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5013DCB7" w14:textId="25073AB7"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16436FB" w14:textId="1C9DED03"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19A5DE9" w14:textId="4A119AF8"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0730884" w14:textId="781A836C"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C30AD6A" w14:textId="627973A1"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855C333" w14:textId="3D2E61F4"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3770B318" w14:textId="7993774F"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954F881" w14:textId="3BCE286F"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EF1ED4F" w14:textId="5229D860"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A5EAB46" w14:textId="0CDD7273"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67C6D56" w14:textId="0E7B41A1"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991789C" w14:textId="4CCCB836"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4C3CAA7" w14:textId="46425D1B"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AFAB8FC" w14:textId="7F979620"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567501E" w14:textId="177990E7"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DB8A717" w14:textId="1FEEE789"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B3545DE" w14:textId="35C619FC"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BDFA534" w14:textId="1DD16867"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59EE6DA" w14:textId="3C0AEBD9"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A06B595" w14:textId="3E70CF20"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8C6C8BC" w14:textId="4D0F7A0F"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5CA8044" w14:textId="24A7A358"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4E323D5C" w14:textId="7868DCD1"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9EC3B6E" w14:textId="77777777" w:rsidR="003E3E9B" w:rsidRDefault="003E3E9B"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5D93259"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47E11632"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11D57E1" w14:textId="77777777" w:rsidR="004051FF" w:rsidRPr="007D388A" w:rsidRDefault="007D388A"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7D388A">
        <w:rPr>
          <w:rFonts w:ascii="Times New Roman" w:hAnsi="Times New Roman" w:cs="Times New Roman"/>
          <w:b/>
          <w:sz w:val="24"/>
          <w:szCs w:val="24"/>
          <w:highlight w:val="white"/>
        </w:rPr>
        <w:lastRenderedPageBreak/>
        <w:t>P o z n á m k y</w:t>
      </w:r>
    </w:p>
    <w:p w14:paraId="7DC112CC"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72FB27EC" w14:textId="77777777" w:rsidR="0076671A" w:rsidRPr="00B9052B" w:rsidRDefault="0076671A" w:rsidP="006114A5">
      <w:pPr>
        <w:widowControl w:val="0"/>
        <w:autoSpaceDE w:val="0"/>
        <w:autoSpaceDN w:val="0"/>
        <w:adjustRightInd w:val="0"/>
        <w:spacing w:after="0" w:line="240" w:lineRule="auto"/>
        <w:ind w:left="284" w:hanging="284"/>
        <w:rPr>
          <w:rFonts w:ascii="Times New Roman" w:hAnsi="Times New Roman" w:cs="Times New Roman"/>
          <w:iCs/>
          <w:sz w:val="24"/>
          <w:szCs w:val="24"/>
          <w:highlight w:val="white"/>
          <w:vertAlign w:val="superscript"/>
        </w:rPr>
      </w:pPr>
      <w:bookmarkStart w:id="0" w:name="Poznámka1"/>
      <w:r w:rsidRPr="00B9052B">
        <w:rPr>
          <w:rFonts w:ascii="Times New Roman" w:hAnsi="Times New Roman" w:cs="Times New Roman"/>
          <w:iCs/>
          <w:sz w:val="24"/>
          <w:szCs w:val="24"/>
          <w:highlight w:val="white"/>
          <w:vertAlign w:val="superscript"/>
        </w:rPr>
        <w:t xml:space="preserve">1) </w:t>
      </w:r>
      <w:r w:rsidR="006114A5" w:rsidRPr="00B9052B">
        <w:rPr>
          <w:rFonts w:ascii="Times New Roman" w:hAnsi="Times New Roman" w:cs="Times New Roman"/>
          <w:iCs/>
          <w:sz w:val="24"/>
          <w:szCs w:val="24"/>
          <w:highlight w:val="white"/>
          <w:vertAlign w:val="superscript"/>
        </w:rPr>
        <w:tab/>
      </w:r>
      <w:r w:rsidR="009B4844" w:rsidRPr="00B9052B">
        <w:rPr>
          <w:rFonts w:ascii="Times New Roman" w:hAnsi="Times New Roman" w:cs="Times New Roman"/>
          <w:i/>
          <w:iCs/>
          <w:sz w:val="24"/>
          <w:szCs w:val="24"/>
          <w:highlight w:val="white"/>
          <w:vertAlign w:val="superscript"/>
        </w:rPr>
        <w:t>Zrušena</w:t>
      </w:r>
    </w:p>
    <w:p w14:paraId="283786D7" w14:textId="5CE86421" w:rsidR="00A1171D" w:rsidRPr="00B9052B" w:rsidRDefault="00A1171D" w:rsidP="006114A5">
      <w:pPr>
        <w:widowControl w:val="0"/>
        <w:autoSpaceDE w:val="0"/>
        <w:autoSpaceDN w:val="0"/>
        <w:adjustRightInd w:val="0"/>
        <w:spacing w:after="0" w:line="240" w:lineRule="auto"/>
        <w:ind w:left="284" w:hanging="284"/>
        <w:jc w:val="both"/>
        <w:rPr>
          <w:rFonts w:ascii="Times New Roman" w:hAnsi="Times New Roman" w:cs="Times New Roman"/>
          <w:sz w:val="24"/>
          <w:szCs w:val="24"/>
          <w:highlight w:val="white"/>
          <w:vertAlign w:val="superscript"/>
        </w:rPr>
      </w:pPr>
      <w:bookmarkStart w:id="1" w:name="Poznámka2"/>
      <w:bookmarkEnd w:id="0"/>
      <w:r w:rsidRPr="00B9052B">
        <w:rPr>
          <w:rFonts w:ascii="Times New Roman" w:hAnsi="Times New Roman" w:cs="Times New Roman"/>
          <w:sz w:val="24"/>
          <w:szCs w:val="24"/>
          <w:highlight w:val="white"/>
          <w:vertAlign w:val="superscript"/>
        </w:rPr>
        <w:t xml:space="preserve">2) </w:t>
      </w:r>
      <w:r w:rsidRPr="00B9052B">
        <w:rPr>
          <w:rFonts w:ascii="Times New Roman" w:hAnsi="Times New Roman" w:cs="Times New Roman"/>
          <w:sz w:val="24"/>
          <w:szCs w:val="24"/>
          <w:highlight w:val="white"/>
          <w:vertAlign w:val="superscript"/>
        </w:rPr>
        <w:tab/>
      </w:r>
      <w:bookmarkStart w:id="2" w:name="_Hlk127782190"/>
      <w:r w:rsidR="00817E84" w:rsidRPr="00F83BE6">
        <w:rPr>
          <w:rFonts w:ascii="Times New Roman" w:hAnsi="Times New Roman" w:cs="Times New Roman"/>
          <w:b/>
          <w:bCs/>
          <w:i/>
          <w:iCs/>
          <w:color w:val="0070C0"/>
          <w:sz w:val="24"/>
          <w:szCs w:val="24"/>
          <w:highlight w:val="white"/>
          <w:vertAlign w:val="superscript"/>
        </w:rPr>
        <w:t>Zrušena</w:t>
      </w:r>
      <w:bookmarkEnd w:id="2"/>
      <w:r w:rsidR="00817E84" w:rsidRPr="00F83BE6">
        <w:rPr>
          <w:rFonts w:ascii="Times New Roman" w:hAnsi="Times New Roman" w:cs="Times New Roman"/>
          <w:i/>
          <w:iCs/>
          <w:sz w:val="24"/>
          <w:szCs w:val="24"/>
          <w:highlight w:val="white"/>
          <w:vertAlign w:val="superscript"/>
        </w:rPr>
        <w:t xml:space="preserve"> </w:t>
      </w:r>
    </w:p>
    <w:p w14:paraId="753CB48D" w14:textId="1F0B6F57" w:rsidR="00A1171D" w:rsidRPr="00B9052B" w:rsidRDefault="00A1171D" w:rsidP="006114A5">
      <w:pPr>
        <w:widowControl w:val="0"/>
        <w:autoSpaceDE w:val="0"/>
        <w:autoSpaceDN w:val="0"/>
        <w:adjustRightInd w:val="0"/>
        <w:spacing w:after="0" w:line="240" w:lineRule="auto"/>
        <w:ind w:left="284" w:hanging="284"/>
        <w:jc w:val="both"/>
        <w:rPr>
          <w:rFonts w:ascii="Times New Roman" w:hAnsi="Times New Roman" w:cs="Times New Roman"/>
          <w:sz w:val="24"/>
          <w:szCs w:val="24"/>
          <w:highlight w:val="white"/>
          <w:vertAlign w:val="superscript"/>
        </w:rPr>
      </w:pPr>
      <w:bookmarkStart w:id="3" w:name="Poznámka3"/>
      <w:bookmarkEnd w:id="1"/>
      <w:r w:rsidRPr="00B9052B">
        <w:rPr>
          <w:rFonts w:ascii="Times New Roman" w:hAnsi="Times New Roman" w:cs="Times New Roman"/>
          <w:sz w:val="24"/>
          <w:szCs w:val="24"/>
          <w:highlight w:val="white"/>
          <w:vertAlign w:val="superscript"/>
        </w:rPr>
        <w:t xml:space="preserve">3) </w:t>
      </w:r>
      <w:r w:rsidRPr="00B9052B">
        <w:rPr>
          <w:rFonts w:ascii="Times New Roman" w:hAnsi="Times New Roman" w:cs="Times New Roman"/>
          <w:sz w:val="24"/>
          <w:szCs w:val="24"/>
          <w:highlight w:val="white"/>
          <w:vertAlign w:val="superscript"/>
        </w:rPr>
        <w:tab/>
      </w:r>
      <w:r w:rsidR="00817E84" w:rsidRPr="00F83BE6">
        <w:rPr>
          <w:rFonts w:ascii="Times New Roman" w:hAnsi="Times New Roman" w:cs="Times New Roman"/>
          <w:b/>
          <w:bCs/>
          <w:i/>
          <w:iCs/>
          <w:color w:val="0070C0"/>
          <w:sz w:val="24"/>
          <w:szCs w:val="24"/>
          <w:highlight w:val="white"/>
          <w:vertAlign w:val="superscript"/>
        </w:rPr>
        <w:t>Zrušena</w:t>
      </w:r>
    </w:p>
    <w:bookmarkEnd w:id="3"/>
    <w:p w14:paraId="34E78C3F" w14:textId="77777777" w:rsidR="00A1171D" w:rsidRPr="004051FF" w:rsidRDefault="00A1171D" w:rsidP="00BC5549">
      <w:pPr>
        <w:widowControl w:val="0"/>
        <w:autoSpaceDE w:val="0"/>
        <w:autoSpaceDN w:val="0"/>
        <w:adjustRightInd w:val="0"/>
        <w:spacing w:after="0" w:line="240" w:lineRule="auto"/>
        <w:rPr>
          <w:rFonts w:ascii="Times New Roman" w:hAnsi="Times New Roman" w:cs="Times New Roman"/>
          <w:b/>
          <w:bCs/>
          <w:sz w:val="24"/>
          <w:szCs w:val="24"/>
        </w:rPr>
      </w:pPr>
    </w:p>
    <w:sectPr w:rsidR="00A1171D" w:rsidRPr="004051FF" w:rsidSect="00191E56">
      <w:headerReference w:type="default" r:id="rId14"/>
      <w:headerReference w:type="first" r:id="rId15"/>
      <w:pgSz w:w="11906" w:h="16838"/>
      <w:pgMar w:top="1418" w:right="1418" w:bottom="1418" w:left="1418"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BDC6" w14:textId="77777777" w:rsidR="00421B6A" w:rsidRDefault="00421B6A" w:rsidP="00726F49">
      <w:pPr>
        <w:spacing w:after="0" w:line="240" w:lineRule="auto"/>
      </w:pPr>
      <w:r>
        <w:separator/>
      </w:r>
    </w:p>
  </w:endnote>
  <w:endnote w:type="continuationSeparator" w:id="0">
    <w:p w14:paraId="11204314" w14:textId="77777777" w:rsidR="00421B6A" w:rsidRDefault="00421B6A" w:rsidP="0072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61751"/>
      <w:docPartObj>
        <w:docPartGallery w:val="Page Numbers (Bottom of Page)"/>
        <w:docPartUnique/>
      </w:docPartObj>
    </w:sdtPr>
    <w:sdtEndPr/>
    <w:sdtContent>
      <w:p w14:paraId="2D8FFF73" w14:textId="77777777" w:rsidR="00421B6A" w:rsidRDefault="00421B6A">
        <w:pPr>
          <w:pStyle w:val="Zpat"/>
          <w:jc w:val="center"/>
        </w:pPr>
        <w:r>
          <w:fldChar w:fldCharType="begin"/>
        </w:r>
        <w:r>
          <w:instrText>PAGE   \* MERGEFORMAT</w:instrText>
        </w:r>
        <w:r>
          <w:fldChar w:fldCharType="separate"/>
        </w:r>
        <w:r>
          <w:rPr>
            <w:noProof/>
          </w:rPr>
          <w:t>14</w:t>
        </w:r>
        <w:r>
          <w:fldChar w:fldCharType="end"/>
        </w:r>
      </w:p>
    </w:sdtContent>
  </w:sdt>
  <w:p w14:paraId="084798B3" w14:textId="77777777" w:rsidR="00421B6A" w:rsidRDefault="00421B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362615"/>
      <w:docPartObj>
        <w:docPartGallery w:val="Page Numbers (Bottom of Page)"/>
        <w:docPartUnique/>
      </w:docPartObj>
    </w:sdtPr>
    <w:sdtEndPr/>
    <w:sdtContent>
      <w:p w14:paraId="4262ADE0" w14:textId="77777777" w:rsidR="00421B6A" w:rsidRDefault="00421B6A">
        <w:pPr>
          <w:pStyle w:val="Zpat"/>
          <w:jc w:val="center"/>
        </w:pPr>
        <w:r>
          <w:fldChar w:fldCharType="begin"/>
        </w:r>
        <w:r>
          <w:instrText>PAGE   \* MERGEFORMAT</w:instrText>
        </w:r>
        <w:r>
          <w:fldChar w:fldCharType="separate"/>
        </w:r>
        <w:r>
          <w:rPr>
            <w:noProof/>
          </w:rPr>
          <w:t>13</w:t>
        </w:r>
        <w:r>
          <w:fldChar w:fldCharType="end"/>
        </w:r>
      </w:p>
    </w:sdtContent>
  </w:sdt>
  <w:p w14:paraId="5EB55320" w14:textId="77777777" w:rsidR="00421B6A" w:rsidRDefault="00421B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9A87" w14:textId="77777777" w:rsidR="00421B6A" w:rsidRDefault="00421B6A" w:rsidP="00726F49">
      <w:pPr>
        <w:spacing w:after="0" w:line="240" w:lineRule="auto"/>
      </w:pPr>
      <w:r>
        <w:separator/>
      </w:r>
    </w:p>
  </w:footnote>
  <w:footnote w:type="continuationSeparator" w:id="0">
    <w:p w14:paraId="4F8A1977" w14:textId="77777777" w:rsidR="00421B6A" w:rsidRDefault="00421B6A" w:rsidP="0072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EB50" w14:textId="13993197" w:rsidR="00421B6A" w:rsidRPr="00726F49" w:rsidRDefault="0033462C" w:rsidP="00726F49">
    <w:pPr>
      <w:pStyle w:val="Zhlav"/>
      <w:jc w:val="right"/>
      <w:rPr>
        <w:rFonts w:ascii="Times New Roman" w:hAnsi="Times New Roman" w:cs="Times New Roman"/>
      </w:rPr>
    </w:pPr>
    <w:r w:rsidRPr="0033462C">
      <w:rPr>
        <w:rFonts w:ascii="Times New Roman" w:hAnsi="Times New Roman" w:cs="Times New Roman"/>
      </w:rPr>
      <w:t xml:space="preserve">Úplné znění ke dni </w:t>
    </w:r>
    <w:r>
      <w:rPr>
        <w:rFonts w:ascii="Times New Roman" w:hAnsi="Times New Roman" w:cs="Times New Roman"/>
      </w:rPr>
      <w:t>1</w:t>
    </w:r>
    <w:r w:rsidRPr="0033462C">
      <w:rPr>
        <w:rFonts w:ascii="Times New Roman" w:hAnsi="Times New Roman" w:cs="Times New Roman"/>
      </w:rPr>
      <w:t xml:space="preserve">. </w:t>
    </w:r>
    <w:r>
      <w:rPr>
        <w:rFonts w:ascii="Times New Roman" w:hAnsi="Times New Roman" w:cs="Times New Roman"/>
      </w:rPr>
      <w:t>3</w:t>
    </w:r>
    <w:r w:rsidRPr="0033462C">
      <w:rPr>
        <w:rFonts w:ascii="Times New Roman" w:hAnsi="Times New Roman" w:cs="Times New Roman"/>
      </w:rPr>
      <w:t>. 2023. Dokument má pouze informativní charakter.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F182" w14:textId="77777777" w:rsidR="00421B6A" w:rsidRPr="00B9052B" w:rsidRDefault="00421B6A" w:rsidP="00726F49">
    <w:pPr>
      <w:pStyle w:val="Zhlav"/>
      <w:jc w:val="right"/>
      <w:rPr>
        <w:rFonts w:ascii="Times New Roman" w:hAnsi="Times New Roman" w:cs="Times New Roman"/>
        <w:bCs/>
      </w:rPr>
    </w:pPr>
    <w:r w:rsidRPr="00B9052B">
      <w:rPr>
        <w:rFonts w:ascii="Times New Roman" w:hAnsi="Times New Roman" w:cs="Times New Roman"/>
        <w:bCs/>
      </w:rPr>
      <w:t>Příloha č. 1</w:t>
    </w:r>
  </w:p>
  <w:p w14:paraId="1D0BD04F" w14:textId="77777777" w:rsidR="00421B6A" w:rsidRPr="00B9052B" w:rsidRDefault="00421B6A" w:rsidP="00191E56">
    <w:pPr>
      <w:pStyle w:val="Zhlav"/>
      <w:jc w:val="right"/>
      <w:rPr>
        <w:rFonts w:ascii="Times New Roman" w:hAnsi="Times New Roman" w:cs="Times New Roman"/>
        <w:bCs/>
      </w:rPr>
    </w:pPr>
    <w:r w:rsidRPr="00B9052B">
      <w:rPr>
        <w:rFonts w:ascii="Times New Roman" w:hAnsi="Times New Roman" w:cs="Times New Roman"/>
        <w:bCs/>
      </w:rPr>
      <w:t>instrukce o zařazování rozhodnutí</w:t>
    </w:r>
  </w:p>
  <w:p w14:paraId="6943367F" w14:textId="77777777" w:rsidR="00421B6A" w:rsidRPr="00B9052B" w:rsidRDefault="00421B6A" w:rsidP="00191E56">
    <w:pPr>
      <w:pStyle w:val="Zhlav"/>
      <w:jc w:val="right"/>
      <w:rPr>
        <w:rFonts w:ascii="Times New Roman" w:hAnsi="Times New Roman" w:cs="Times New Roman"/>
        <w:bCs/>
      </w:rPr>
    </w:pPr>
    <w:r w:rsidRPr="00B9052B">
      <w:rPr>
        <w:rFonts w:ascii="Times New Roman" w:hAnsi="Times New Roman" w:cs="Times New Roman"/>
        <w:bCs/>
      </w:rPr>
      <w:t>do databáze soudních rozhodnutí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2C40" w14:textId="77777777" w:rsidR="00421B6A" w:rsidRPr="004E7EBD" w:rsidRDefault="00421B6A" w:rsidP="00726F49">
    <w:pPr>
      <w:pStyle w:val="Zhlav"/>
      <w:jc w:val="right"/>
      <w:rPr>
        <w:rFonts w:ascii="Times New Roman" w:hAnsi="Times New Roman" w:cs="Times New Roman"/>
        <w:b/>
        <w:color w:val="0070C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46AB" w14:textId="77777777" w:rsidR="00421B6A" w:rsidRPr="00817E84" w:rsidRDefault="00421B6A" w:rsidP="00726F49">
    <w:pPr>
      <w:pStyle w:val="Zhlav"/>
      <w:jc w:val="right"/>
      <w:rPr>
        <w:rFonts w:ascii="Times New Roman" w:hAnsi="Times New Roman" w:cs="Times New Roman"/>
        <w:bCs/>
      </w:rPr>
    </w:pPr>
    <w:r w:rsidRPr="00817E84">
      <w:rPr>
        <w:rFonts w:ascii="Times New Roman" w:hAnsi="Times New Roman" w:cs="Times New Roman"/>
        <w:bCs/>
      </w:rPr>
      <w:t>Příloha č. 2</w:t>
    </w:r>
  </w:p>
  <w:p w14:paraId="045FFE25" w14:textId="77777777" w:rsidR="00421B6A" w:rsidRPr="00817E84" w:rsidRDefault="00421B6A" w:rsidP="00191E56">
    <w:pPr>
      <w:pStyle w:val="Zhlav"/>
      <w:jc w:val="right"/>
      <w:rPr>
        <w:rFonts w:ascii="Times New Roman" w:hAnsi="Times New Roman" w:cs="Times New Roman"/>
        <w:bCs/>
      </w:rPr>
    </w:pPr>
    <w:r w:rsidRPr="00817E84">
      <w:rPr>
        <w:rFonts w:ascii="Times New Roman" w:hAnsi="Times New Roman" w:cs="Times New Roman"/>
        <w:bCs/>
      </w:rPr>
      <w:t>instrukce o zařazování rozhodnutí</w:t>
    </w:r>
  </w:p>
  <w:p w14:paraId="71A573D5" w14:textId="77777777" w:rsidR="00421B6A" w:rsidRPr="00817E84" w:rsidRDefault="00421B6A" w:rsidP="00191E56">
    <w:pPr>
      <w:pStyle w:val="Zhlav"/>
      <w:jc w:val="right"/>
      <w:rPr>
        <w:rFonts w:ascii="Times New Roman" w:hAnsi="Times New Roman" w:cs="Times New Roman"/>
        <w:bCs/>
      </w:rPr>
    </w:pPr>
    <w:r w:rsidRPr="00817E84">
      <w:rPr>
        <w:rFonts w:ascii="Times New Roman" w:hAnsi="Times New Roman" w:cs="Times New Roman"/>
        <w:bCs/>
      </w:rPr>
      <w:t>do databáze soudních rozhodnutí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F2"/>
    <w:rsid w:val="00024400"/>
    <w:rsid w:val="00191E56"/>
    <w:rsid w:val="00195B20"/>
    <w:rsid w:val="00200AA4"/>
    <w:rsid w:val="0026452E"/>
    <w:rsid w:val="0033462C"/>
    <w:rsid w:val="003E386D"/>
    <w:rsid w:val="003E3E9B"/>
    <w:rsid w:val="003F08F7"/>
    <w:rsid w:val="004051FF"/>
    <w:rsid w:val="00421B6A"/>
    <w:rsid w:val="00462217"/>
    <w:rsid w:val="004B0819"/>
    <w:rsid w:val="004E7EBD"/>
    <w:rsid w:val="004F3479"/>
    <w:rsid w:val="00535945"/>
    <w:rsid w:val="005D66C9"/>
    <w:rsid w:val="006114A5"/>
    <w:rsid w:val="00726F49"/>
    <w:rsid w:val="00727C89"/>
    <w:rsid w:val="0076671A"/>
    <w:rsid w:val="00790BFA"/>
    <w:rsid w:val="007956BB"/>
    <w:rsid w:val="007A5DF6"/>
    <w:rsid w:val="007D388A"/>
    <w:rsid w:val="007F55A6"/>
    <w:rsid w:val="00817E84"/>
    <w:rsid w:val="008353BF"/>
    <w:rsid w:val="00877623"/>
    <w:rsid w:val="008E1384"/>
    <w:rsid w:val="008F6828"/>
    <w:rsid w:val="00997687"/>
    <w:rsid w:val="009B4844"/>
    <w:rsid w:val="00A1171D"/>
    <w:rsid w:val="00AF284A"/>
    <w:rsid w:val="00B9052B"/>
    <w:rsid w:val="00BC5549"/>
    <w:rsid w:val="00C83BB9"/>
    <w:rsid w:val="00D46AB4"/>
    <w:rsid w:val="00DF4A24"/>
    <w:rsid w:val="00E648E8"/>
    <w:rsid w:val="00F07269"/>
    <w:rsid w:val="00F454F2"/>
    <w:rsid w:val="00F83B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8778F0E"/>
  <w14:defaultImageDpi w14:val="0"/>
  <w15:docId w15:val="{8B1E9188-2099-4CE0-8A7D-B36DAC7B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6F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F49"/>
  </w:style>
  <w:style w:type="paragraph" w:styleId="Zpat">
    <w:name w:val="footer"/>
    <w:basedOn w:val="Normln"/>
    <w:link w:val="ZpatChar"/>
    <w:uiPriority w:val="99"/>
    <w:unhideWhenUsed/>
    <w:rsid w:val="00726F49"/>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F49"/>
  </w:style>
  <w:style w:type="paragraph" w:styleId="Textvysvtlivek">
    <w:name w:val="endnote text"/>
    <w:basedOn w:val="Normln"/>
    <w:link w:val="TextvysvtlivekChar"/>
    <w:uiPriority w:val="99"/>
    <w:semiHidden/>
    <w:unhideWhenUsed/>
    <w:rsid w:val="0053594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35945"/>
    <w:rPr>
      <w:sz w:val="20"/>
      <w:szCs w:val="20"/>
    </w:rPr>
  </w:style>
  <w:style w:type="character" w:styleId="Odkaznavysvtlivky">
    <w:name w:val="endnote reference"/>
    <w:basedOn w:val="Standardnpsmoodstavce"/>
    <w:uiPriority w:val="99"/>
    <w:semiHidden/>
    <w:unhideWhenUsed/>
    <w:rsid w:val="00535945"/>
    <w:rPr>
      <w:vertAlign w:val="superscript"/>
    </w:rPr>
  </w:style>
  <w:style w:type="character" w:styleId="Hypertextovodkaz">
    <w:name w:val="Hyperlink"/>
    <w:basedOn w:val="Standardnpsmoodstavce"/>
    <w:uiPriority w:val="99"/>
    <w:unhideWhenUsed/>
    <w:rsid w:val="00535945"/>
    <w:rPr>
      <w:color w:val="0563C1" w:themeColor="hyperlink"/>
      <w:u w:val="single"/>
    </w:rPr>
  </w:style>
  <w:style w:type="character" w:styleId="Sledovanodkaz">
    <w:name w:val="FollowedHyperlink"/>
    <w:basedOn w:val="Standardnpsmoodstavce"/>
    <w:uiPriority w:val="99"/>
    <w:semiHidden/>
    <w:unhideWhenUsed/>
    <w:rsid w:val="005359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9750">
      <w:bodyDiv w:val="1"/>
      <w:marLeft w:val="0"/>
      <w:marRight w:val="0"/>
      <w:marTop w:val="0"/>
      <w:marBottom w:val="0"/>
      <w:divBdr>
        <w:top w:val="none" w:sz="0" w:space="0" w:color="auto"/>
        <w:left w:val="none" w:sz="0" w:space="0" w:color="auto"/>
        <w:bottom w:val="none" w:sz="0" w:space="0" w:color="auto"/>
        <w:right w:val="none" w:sz="0" w:space="0" w:color="auto"/>
      </w:divBdr>
    </w:div>
    <w:div w:id="317729696">
      <w:bodyDiv w:val="1"/>
      <w:marLeft w:val="0"/>
      <w:marRight w:val="0"/>
      <w:marTop w:val="0"/>
      <w:marBottom w:val="0"/>
      <w:divBdr>
        <w:top w:val="none" w:sz="0" w:space="0" w:color="auto"/>
        <w:left w:val="none" w:sz="0" w:space="0" w:color="auto"/>
        <w:bottom w:val="none" w:sz="0" w:space="0" w:color="auto"/>
        <w:right w:val="none" w:sz="0" w:space="0" w:color="auto"/>
      </w:divBdr>
    </w:div>
    <w:div w:id="464854923">
      <w:bodyDiv w:val="1"/>
      <w:marLeft w:val="0"/>
      <w:marRight w:val="0"/>
      <w:marTop w:val="0"/>
      <w:marBottom w:val="0"/>
      <w:divBdr>
        <w:top w:val="none" w:sz="0" w:space="0" w:color="auto"/>
        <w:left w:val="none" w:sz="0" w:space="0" w:color="auto"/>
        <w:bottom w:val="none" w:sz="0" w:space="0" w:color="auto"/>
        <w:right w:val="none" w:sz="0" w:space="0" w:color="auto"/>
      </w:divBdr>
    </w:div>
    <w:div w:id="538399750">
      <w:bodyDiv w:val="1"/>
      <w:marLeft w:val="0"/>
      <w:marRight w:val="0"/>
      <w:marTop w:val="0"/>
      <w:marBottom w:val="0"/>
      <w:divBdr>
        <w:top w:val="none" w:sz="0" w:space="0" w:color="auto"/>
        <w:left w:val="none" w:sz="0" w:space="0" w:color="auto"/>
        <w:bottom w:val="none" w:sz="0" w:space="0" w:color="auto"/>
        <w:right w:val="none" w:sz="0" w:space="0" w:color="auto"/>
      </w:divBdr>
    </w:div>
    <w:div w:id="568538357">
      <w:bodyDiv w:val="1"/>
      <w:marLeft w:val="0"/>
      <w:marRight w:val="0"/>
      <w:marTop w:val="0"/>
      <w:marBottom w:val="0"/>
      <w:divBdr>
        <w:top w:val="none" w:sz="0" w:space="0" w:color="auto"/>
        <w:left w:val="none" w:sz="0" w:space="0" w:color="auto"/>
        <w:bottom w:val="none" w:sz="0" w:space="0" w:color="auto"/>
        <w:right w:val="none" w:sz="0" w:space="0" w:color="auto"/>
      </w:divBdr>
    </w:div>
    <w:div w:id="797994569">
      <w:bodyDiv w:val="1"/>
      <w:marLeft w:val="0"/>
      <w:marRight w:val="0"/>
      <w:marTop w:val="0"/>
      <w:marBottom w:val="0"/>
      <w:divBdr>
        <w:top w:val="none" w:sz="0" w:space="0" w:color="auto"/>
        <w:left w:val="none" w:sz="0" w:space="0" w:color="auto"/>
        <w:bottom w:val="none" w:sz="0" w:space="0" w:color="auto"/>
        <w:right w:val="none" w:sz="0" w:space="0" w:color="auto"/>
      </w:divBdr>
    </w:div>
    <w:div w:id="1116867981">
      <w:bodyDiv w:val="1"/>
      <w:marLeft w:val="0"/>
      <w:marRight w:val="0"/>
      <w:marTop w:val="0"/>
      <w:marBottom w:val="0"/>
      <w:divBdr>
        <w:top w:val="none" w:sz="0" w:space="0" w:color="auto"/>
        <w:left w:val="none" w:sz="0" w:space="0" w:color="auto"/>
        <w:bottom w:val="none" w:sz="0" w:space="0" w:color="auto"/>
        <w:right w:val="none" w:sz="0" w:space="0" w:color="auto"/>
      </w:divBdr>
    </w:div>
    <w:div w:id="1622493711">
      <w:bodyDiv w:val="1"/>
      <w:marLeft w:val="0"/>
      <w:marRight w:val="0"/>
      <w:marTop w:val="0"/>
      <w:marBottom w:val="0"/>
      <w:divBdr>
        <w:top w:val="none" w:sz="0" w:space="0" w:color="auto"/>
        <w:left w:val="none" w:sz="0" w:space="0" w:color="auto"/>
        <w:bottom w:val="none" w:sz="0" w:space="0" w:color="auto"/>
        <w:right w:val="none" w:sz="0" w:space="0" w:color="auto"/>
      </w:divBdr>
    </w:div>
    <w:div w:id="1670014085">
      <w:bodyDiv w:val="1"/>
      <w:marLeft w:val="0"/>
      <w:marRight w:val="0"/>
      <w:marTop w:val="0"/>
      <w:marBottom w:val="0"/>
      <w:divBdr>
        <w:top w:val="none" w:sz="0" w:space="0" w:color="auto"/>
        <w:left w:val="none" w:sz="0" w:space="0" w:color="auto"/>
        <w:bottom w:val="none" w:sz="0" w:space="0" w:color="auto"/>
        <w:right w:val="none" w:sz="0" w:space="0" w:color="auto"/>
      </w:divBdr>
    </w:div>
    <w:div w:id="1839226162">
      <w:bodyDiv w:val="1"/>
      <w:marLeft w:val="0"/>
      <w:marRight w:val="0"/>
      <w:marTop w:val="0"/>
      <w:marBottom w:val="0"/>
      <w:divBdr>
        <w:top w:val="none" w:sz="0" w:space="0" w:color="auto"/>
        <w:left w:val="none" w:sz="0" w:space="0" w:color="auto"/>
        <w:bottom w:val="none" w:sz="0" w:space="0" w:color="auto"/>
        <w:right w:val="none" w:sz="0" w:space="0" w:color="auto"/>
      </w:divBdr>
    </w:div>
    <w:div w:id="1913857274">
      <w:bodyDiv w:val="1"/>
      <w:marLeft w:val="0"/>
      <w:marRight w:val="0"/>
      <w:marTop w:val="0"/>
      <w:marBottom w:val="0"/>
      <w:divBdr>
        <w:top w:val="none" w:sz="0" w:space="0" w:color="auto"/>
        <w:left w:val="none" w:sz="0" w:space="0" w:color="auto"/>
        <w:bottom w:val="none" w:sz="0" w:space="0" w:color="auto"/>
        <w:right w:val="none" w:sz="0" w:space="0" w:color="auto"/>
      </w:divBdr>
    </w:div>
    <w:div w:id="20876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0A0DCF3EEDD145A8A4BC6495BA6A78" ma:contentTypeVersion="7" ma:contentTypeDescription="Vytvoří nový dokument" ma:contentTypeScope="" ma:versionID="ee51505a1c5d0f33a6a53cf64bb99b62">
  <xsd:schema xmlns:xsd="http://www.w3.org/2001/XMLSchema" xmlns:xs="http://www.w3.org/2001/XMLSchema" xmlns:p="http://schemas.microsoft.com/office/2006/metadata/properties" xmlns:ns2="f853cb51-0ecb-4abc-8266-23ae07d85253" xmlns:ns3="a9d04276-c212-45ba-b795-f454890b3036" targetNamespace="http://schemas.microsoft.com/office/2006/metadata/properties" ma:root="true" ma:fieldsID="5a93a1e6074a7a5f1f524ab37cd6f037" ns2:_="" ns3:_="">
    <xsd:import namespace="f853cb51-0ecb-4abc-8266-23ae07d85253"/>
    <xsd:import namespace="a9d04276-c212-45ba-b795-f454890b3036"/>
    <xsd:element name="properties">
      <xsd:complexType>
        <xsd:sequence>
          <xsd:element name="documentManagement">
            <xsd:complexType>
              <xsd:all>
                <xsd:element ref="ns2:Stav_x0020_k" minOccurs="0"/>
                <xsd:element ref="ns2:Skupina" minOccurs="0"/>
                <xsd:element ref="ns3:SharedWithUsers" minOccurs="0"/>
                <xsd:element ref="ns2:nbv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3cb51-0ecb-4abc-8266-23ae07d85253" elementFormDefault="qualified">
    <xsd:import namespace="http://schemas.microsoft.com/office/2006/documentManagement/types"/>
    <xsd:import namespace="http://schemas.microsoft.com/office/infopath/2007/PartnerControls"/>
    <xsd:element name="Stav_x0020_k" ma:index="8" nillable="true" ma:displayName="Stav k" ma:format="DateOnly" ma:internalName="Stav_x0020_k">
      <xsd:simpleType>
        <xsd:restriction base="dms:DateTime"/>
      </xsd:simpleType>
    </xsd:element>
    <xsd:element name="Skupina" ma:index="9" nillable="true" ma:displayName="Skupina" ma:format="Dropdown" ma:internalName="Skupina">
      <xsd:simpleType>
        <xsd:restriction base="dms:Choice">
          <xsd:enumeration value="Zadejte volbu 1"/>
          <xsd:enumeration value="Zadejte volbu 2"/>
          <xsd:enumeration value="Zadejte volbu 3"/>
        </xsd:restriction>
      </xsd:simpleType>
    </xsd:element>
    <xsd:element name="nbvj" ma:index="11" nillable="true" ma:displayName="Text" ma:internalName="nbvj">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04276-c212-45ba-b795-f454890b303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v_x0020_k xmlns="f853cb51-0ecb-4abc-8266-23ae07d85253">2021-12-31T23:00:00+00:00</Stav_x0020_k>
    <Skupina xmlns="f853cb51-0ecb-4abc-8266-23ae07d85253" xsi:nil="true"/>
    <nbvj xmlns="f853cb51-0ecb-4abc-8266-23ae07d852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3900-6929-45A2-B2C1-98D741B7D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3cb51-0ecb-4abc-8266-23ae07d85253"/>
    <ds:schemaRef ds:uri="a9d04276-c212-45ba-b795-f454890b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C3EA3-8BA8-408B-B366-9C359004051E}">
  <ds:schemaRefs>
    <ds:schemaRef ds:uri="http://purl.org/dc/elements/1.1/"/>
    <ds:schemaRef ds:uri="http://schemas.microsoft.com/office/2006/metadata/properties"/>
    <ds:schemaRef ds:uri="f853cb51-0ecb-4abc-8266-23ae07d85253"/>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a9d04276-c212-45ba-b795-f454890b3036"/>
  </ds:schemaRefs>
</ds:datastoreItem>
</file>

<file path=customXml/itemProps3.xml><?xml version="1.0" encoding="utf-8"?>
<ds:datastoreItem xmlns:ds="http://schemas.openxmlformats.org/officeDocument/2006/customXml" ds:itemID="{285012E5-A0DB-4FC9-8DCD-3FD39249F31A}">
  <ds:schemaRefs>
    <ds:schemaRef ds:uri="http://schemas.microsoft.com/sharepoint/v3/contenttype/forms"/>
  </ds:schemaRefs>
</ds:datastoreItem>
</file>

<file path=customXml/itemProps4.xml><?xml version="1.0" encoding="utf-8"?>
<ds:datastoreItem xmlns:ds="http://schemas.openxmlformats.org/officeDocument/2006/customXml" ds:itemID="{137FE358-D04E-456E-85F5-31DFAA7B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11</Pages>
  <Words>2589</Words>
  <Characters>18624</Characters>
  <Application>Microsoft Office Word</Application>
  <DocSecurity>0</DocSecurity>
  <Lines>155</Lines>
  <Paragraphs>42</Paragraphs>
  <ScaleCrop>false</ScaleCrop>
  <HeadingPairs>
    <vt:vector size="2" baseType="variant">
      <vt:variant>
        <vt:lpstr>Název</vt:lpstr>
      </vt:variant>
      <vt:variant>
        <vt:i4>1</vt:i4>
      </vt:variant>
    </vt:vector>
  </HeadingPairs>
  <TitlesOfParts>
    <vt:vector size="1" baseType="lpstr">
      <vt:lpstr>Úplné znění instrukce o evidenci judikatury k 1. 1. 2022 (s vyznačenými změnami)</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Úplné znění instrukce o evidenci judikatury k 1. 1. 2022 (s vyznačenými změnami)</dc:title>
  <dc:subject/>
  <dc:creator>Brandejsová Barbara Mgr. Bc.</dc:creator>
  <cp:keywords/>
  <dc:description/>
  <cp:lastModifiedBy>Vašíček Martin</cp:lastModifiedBy>
  <cp:revision>8</cp:revision>
  <dcterms:created xsi:type="dcterms:W3CDTF">2023-02-20T09:25:00Z</dcterms:created>
  <dcterms:modified xsi:type="dcterms:W3CDTF">2023-03-02T10:46:00Z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0x010100230A0DCF3EEDD145A8A4BC6495BA6A78</vt:lpwstr>
  </property>
</Properties>
</file>