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F1" w:rsidRPr="00BF7BF1" w:rsidRDefault="00EE5EFF" w:rsidP="00BF7BF1">
      <w:pPr>
        <w:autoSpaceDE w:val="0"/>
        <w:autoSpaceDN w:val="0"/>
        <w:adjustRightInd w:val="0"/>
        <w:spacing w:before="40" w:afterLines="40" w:after="96"/>
        <w:jc w:val="center"/>
        <w:rPr>
          <w:rFonts w:ascii="TimesNewRoman" w:hAnsi="TimesNewRoman" w:cs="TimesNewRoman"/>
          <w:b/>
        </w:rPr>
      </w:pPr>
      <w:r>
        <w:rPr>
          <w:rFonts w:ascii="TimesNewRoman" w:hAnsi="TimesNewRoman" w:cs="TimesNewRoman"/>
          <w:b/>
        </w:rPr>
        <w:t>Úplné znění ke dni 20</w:t>
      </w:r>
      <w:bookmarkStart w:id="0" w:name="_GoBack"/>
      <w:bookmarkEnd w:id="0"/>
      <w:r w:rsidR="00BF7BF1">
        <w:rPr>
          <w:rFonts w:ascii="TimesNewRoman" w:hAnsi="TimesNewRoman" w:cs="TimesNewRoman"/>
          <w:b/>
        </w:rPr>
        <w:t xml:space="preserve">. 9. 2020 </w:t>
      </w:r>
    </w:p>
    <w:p w:rsidR="007F272A" w:rsidRPr="007F272A" w:rsidRDefault="007F272A" w:rsidP="007F272A">
      <w:pPr>
        <w:autoSpaceDE w:val="0"/>
        <w:autoSpaceDN w:val="0"/>
        <w:adjustRightInd w:val="0"/>
        <w:spacing w:before="40" w:afterLines="40" w:after="96" w:line="276" w:lineRule="auto"/>
        <w:jc w:val="center"/>
        <w:rPr>
          <w:rFonts w:ascii="TimesNewRoman" w:eastAsia="Times New Roman" w:hAnsi="TimesNewRoman" w:cs="TimesNewRoman"/>
          <w:b/>
        </w:rPr>
      </w:pPr>
      <w:r w:rsidRPr="007F272A">
        <w:rPr>
          <w:rFonts w:ascii="TimesNewRoman" w:eastAsia="Times New Roman" w:hAnsi="TimesNewRoman" w:cs="TimesNewRoman"/>
          <w:b/>
        </w:rPr>
        <w:t xml:space="preserve">Tento dokument má pouze informativní charakter </w:t>
      </w:r>
    </w:p>
    <w:p w:rsidR="007F272A" w:rsidRDefault="007F272A" w:rsidP="007956BB">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7F272A" w:rsidRDefault="007F272A" w:rsidP="007956BB">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956BB">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INSTRUKCE</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Ministerstva spravedlnosti</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ze dne 20. června 2002,</w:t>
      </w:r>
      <w:r>
        <w:rPr>
          <w:rFonts w:ascii="Times New Roman" w:hAnsi="Times New Roman" w:cs="Times New Roman"/>
          <w:sz w:val="24"/>
          <w:szCs w:val="24"/>
          <w:highlight w:val="white"/>
        </w:rPr>
        <w:t xml:space="preserve"> č. j. 20/2002-SM,</w:t>
      </w:r>
    </w:p>
    <w:p w:rsid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kterou se upravuje postup při evidenci a zařazování rozhodnutí okresních, krajských a</w:t>
      </w:r>
      <w:r w:rsidR="003F08F7">
        <w:rPr>
          <w:rFonts w:ascii="Times New Roman" w:hAnsi="Times New Roman" w:cs="Times New Roman"/>
          <w:b/>
          <w:bCs/>
          <w:sz w:val="24"/>
          <w:szCs w:val="24"/>
          <w:highlight w:val="white"/>
        </w:rPr>
        <w:t> </w:t>
      </w:r>
      <w:r w:rsidRPr="004051FF">
        <w:rPr>
          <w:rFonts w:ascii="Times New Roman" w:hAnsi="Times New Roman" w:cs="Times New Roman"/>
          <w:b/>
          <w:bCs/>
          <w:sz w:val="24"/>
          <w:szCs w:val="24"/>
          <w:highlight w:val="white"/>
        </w:rPr>
        <w:t>vrchních soudů do systému elektronické evidence soudní judikatury</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569A6" w:rsidRPr="004569A6" w:rsidRDefault="004051FF" w:rsidP="004569A6">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ve znění instrukce Ministerstva spravedlnosti ze dne 2. dubna 2004, č. j. 214/2004-Org, uveřejněné pod č. 31/2004 Sbírky instrukcí a sdělení Ministerstva spravedlnosti, instrukce Ministerstva spravedlnosti ze dne 9. září 2004, č. j. 214/2004-Org, uveřejněné pod č. 33/2004 Sbírky instrukcí a sdělení Ministerstva spravedlnosti, instrukce Ministerstva spravedlnosti ze dne 16. listopadu 2005, č. j. 290/2005-Org, uveřejněné pod č. 3/2006 Sbírky instrukcí a sdělení</w:t>
      </w:r>
      <w:r w:rsidR="004569A6">
        <w:rPr>
          <w:rFonts w:ascii="Times New Roman" w:hAnsi="Times New Roman" w:cs="Times New Roman"/>
          <w:sz w:val="24"/>
          <w:szCs w:val="24"/>
          <w:highlight w:val="white"/>
        </w:rPr>
        <w:t xml:space="preserve"> Ministerstva spravedlnosti, </w:t>
      </w:r>
      <w:r w:rsidRPr="004051FF">
        <w:rPr>
          <w:rFonts w:ascii="Times New Roman" w:hAnsi="Times New Roman" w:cs="Times New Roman"/>
          <w:sz w:val="24"/>
          <w:szCs w:val="24"/>
          <w:highlight w:val="white"/>
        </w:rPr>
        <w:t>instrukce Ministerstva spravedlnosti ze dne 15.</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března 2011, č. j. 223/2010-OD-ST, uveřejněné pod č. 14/2011 Sbírky instrukcí a sdělení Ministerstva spravedlnosti</w:t>
      </w:r>
      <w:r w:rsidR="004569A6">
        <w:rPr>
          <w:rFonts w:ascii="Times New Roman" w:hAnsi="Times New Roman" w:cs="Times New Roman"/>
          <w:sz w:val="24"/>
          <w:szCs w:val="24"/>
          <w:highlight w:val="white"/>
        </w:rPr>
        <w:t xml:space="preserve"> </w:t>
      </w:r>
      <w:r w:rsidR="004569A6" w:rsidRPr="004569A6">
        <w:rPr>
          <w:rFonts w:ascii="Times New Roman" w:hAnsi="Times New Roman" w:cs="Times New Roman"/>
          <w:sz w:val="24"/>
          <w:szCs w:val="24"/>
          <w:highlight w:val="white"/>
        </w:rPr>
        <w:t>a instrukce Ministerstva spravedlnosti ze dne 8. září 2020, č. j. 16/2020-ODKA-MET</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Ministerstvo spravedlnosti ČR stanoví:</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PRVNÍ</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Obecná ustanovení</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Předmět úpravy</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 xml:space="preserve">(1) Tato </w:t>
      </w:r>
      <w:r w:rsidR="00A1171D" w:rsidRPr="00FD4EBF">
        <w:rPr>
          <w:rFonts w:ascii="Times New Roman" w:hAnsi="Times New Roman" w:cs="Times New Roman"/>
          <w:sz w:val="24"/>
          <w:szCs w:val="24"/>
          <w:highlight w:val="white"/>
        </w:rPr>
        <w:t>instrukce</w:t>
      </w:r>
      <w:r w:rsidR="004051FF" w:rsidRPr="004051FF">
        <w:rPr>
          <w:rFonts w:ascii="Times New Roman" w:hAnsi="Times New Roman" w:cs="Times New Roman"/>
          <w:sz w:val="24"/>
          <w:szCs w:val="24"/>
          <w:highlight w:val="white"/>
        </w:rPr>
        <w:t xml:space="preserve"> upravuje postup</w:t>
      </w:r>
    </w:p>
    <w:p w:rsidR="004051FF" w:rsidRPr="00A1171D"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předsedů senátů, evidenčního senátu, vedoucích soudních kanceláří a odborných referentů evidenčního senátu při evidenci rozhodnutí okresních, krajských a vrchních soudů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systému elektronické evidence soudní judikatury programu JUDIKATURA a při jejich zařazování do </w:t>
      </w:r>
      <w:r w:rsidR="00A1171D">
        <w:rPr>
          <w:rFonts w:ascii="Times New Roman" w:hAnsi="Times New Roman" w:cs="Times New Roman"/>
          <w:sz w:val="24"/>
          <w:szCs w:val="24"/>
          <w:highlight w:val="white"/>
        </w:rPr>
        <w:t>jednotlivých evidenčních skupin</w:t>
      </w:r>
      <w:r w:rsidR="00A1171D">
        <w:rPr>
          <w:rFonts w:ascii="Times New Roman" w:hAnsi="Times New Roman" w:cs="Times New Roman"/>
          <w:b/>
          <w:color w:val="0070C0"/>
          <w:sz w:val="24"/>
          <w:szCs w:val="24"/>
          <w:highlight w:val="white"/>
        </w:rPr>
        <w:t>,</w:t>
      </w:r>
    </w:p>
    <w:p w:rsidR="004051FF"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b)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evidenčního senátu a odborných referentů při přípravě rozhodnutí, která byla navržena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evidenčních skupin určených k zařazení do centrální evidence soudních rozhodnutí v</w:t>
      </w:r>
      <w:r w:rsidR="003F08F7">
        <w:rPr>
          <w:rFonts w:ascii="Times New Roman" w:hAnsi="Times New Roman" w:cs="Times New Roman"/>
          <w:sz w:val="24"/>
          <w:szCs w:val="24"/>
          <w:highlight w:val="white"/>
        </w:rPr>
        <w:t> </w:t>
      </w:r>
      <w:r w:rsidR="00A1171D">
        <w:rPr>
          <w:rFonts w:ascii="Times New Roman" w:hAnsi="Times New Roman" w:cs="Times New Roman"/>
          <w:sz w:val="24"/>
          <w:szCs w:val="24"/>
          <w:highlight w:val="white"/>
        </w:rPr>
        <w:t>programu JUDIKATURA</w:t>
      </w:r>
      <w:r w:rsidR="00A1171D">
        <w:rPr>
          <w:rFonts w:ascii="Times New Roman" w:hAnsi="Times New Roman" w:cs="Times New Roman"/>
          <w:b/>
          <w:color w:val="0070C0"/>
          <w:sz w:val="24"/>
          <w:szCs w:val="24"/>
          <w:highlight w:val="white"/>
        </w:rPr>
        <w:t>,</w:t>
      </w:r>
    </w:p>
    <w:p w:rsidR="00A1171D" w:rsidRPr="00FD4EBF" w:rsidRDefault="00A1171D"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D4EBF">
        <w:rPr>
          <w:rFonts w:ascii="Times New Roman" w:hAnsi="Times New Roman" w:cs="Times New Roman"/>
          <w:sz w:val="24"/>
          <w:szCs w:val="24"/>
          <w:highlight w:val="white"/>
        </w:rPr>
        <w:t xml:space="preserve">c) </w:t>
      </w:r>
      <w:r w:rsidRPr="00FD4EBF">
        <w:rPr>
          <w:rFonts w:ascii="Times New Roman" w:hAnsi="Times New Roman" w:cs="Times New Roman"/>
          <w:sz w:val="24"/>
          <w:szCs w:val="24"/>
          <w:highlight w:val="white"/>
        </w:rPr>
        <w:tab/>
        <w:t>soudů při zveřejňování dalších rozhodnutí podle části páté.</w:t>
      </w:r>
    </w:p>
    <w:p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 xml:space="preserve">(2) Tato </w:t>
      </w:r>
      <w:r w:rsidR="00A1171D" w:rsidRPr="00F72E3C">
        <w:rPr>
          <w:rFonts w:ascii="Times New Roman" w:hAnsi="Times New Roman" w:cs="Times New Roman"/>
          <w:sz w:val="24"/>
          <w:szCs w:val="24"/>
          <w:highlight w:val="white"/>
        </w:rPr>
        <w:t>instrukce</w:t>
      </w:r>
      <w:r w:rsidR="004051FF" w:rsidRPr="00F72E3C">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se nevztahuje na postup krajských soudů při evidenci a zařazování rozhodnutí ve věcech správního soudnictví do systému elektronické evidence soudní judikatury. Evidenci judikatury ve věcech správního soudnictví zajišťuje Nejvyšší správní soud.</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2</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Vymezení pojmů</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Pro účely této instrukce se rozumí:</w:t>
      </w:r>
    </w:p>
    <w:p w:rsidR="004051FF" w:rsidRPr="00A1171D"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vnitřní evidencí soudu (dále jen "vnitřní evidence") neveřejná databáze programu JUDIKATURA určená pro</w:t>
      </w:r>
      <w:r>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potřebu soudu, vytvářená na krajských a vrchních soudech z</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rozhodnutí těchto, případně okresních soudů; Vnitřní evidence je určena rovněž pro </w:t>
      </w:r>
      <w:r w:rsidRPr="004051FF">
        <w:rPr>
          <w:rFonts w:ascii="Times New Roman" w:hAnsi="Times New Roman" w:cs="Times New Roman"/>
          <w:sz w:val="24"/>
          <w:szCs w:val="24"/>
          <w:highlight w:val="white"/>
        </w:rPr>
        <w:lastRenderedPageBreak/>
        <w:t>potřebu Nejvyššího soudu</w:t>
      </w:r>
      <w:r w:rsidR="00A1171D">
        <w:rPr>
          <w:rFonts w:ascii="Times New Roman" w:hAnsi="Times New Roman" w:cs="Times New Roman"/>
          <w:b/>
          <w:color w:val="0070C0"/>
          <w:sz w:val="24"/>
          <w:szCs w:val="24"/>
          <w:highlight w:val="white"/>
        </w:rPr>
        <w:t>,</w:t>
      </w:r>
    </w:p>
    <w:p w:rsidR="004051FF" w:rsidRDefault="004051FF"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b) </w:t>
      </w:r>
      <w:r w:rsidRPr="004051FF">
        <w:rPr>
          <w:rFonts w:ascii="Times New Roman" w:hAnsi="Times New Roman" w:cs="Times New Roman"/>
          <w:sz w:val="24"/>
          <w:szCs w:val="24"/>
          <w:highlight w:val="white"/>
        </w:rPr>
        <w:tab/>
        <w:t>centrální evidencí soudních rozhodnutí (dále jen "centrální evidence") databáze programu JUDIKATURA umístěná na centrálním serveru vnitřní sítě resortu a veřejné sítě internetu obsahující vybraná rozhodnutí okresních, krajských a vrchních soudů přístupná všem soudům.</w:t>
      </w:r>
    </w:p>
    <w:p w:rsidR="00A1171D" w:rsidRDefault="00A1171D"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rsidR="00A1171D" w:rsidRPr="00F72E3C"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Postup soudu při pseudonymizaci rozhodnutí</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sz w:val="24"/>
          <w:szCs w:val="24"/>
          <w:highlight w:val="white"/>
        </w:rPr>
      </w:pPr>
    </w:p>
    <w:p w:rsidR="00A1171D" w:rsidRPr="00F72E3C"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2a</w:t>
      </w:r>
    </w:p>
    <w:p w:rsidR="00A1171D" w:rsidRPr="00F72E3C"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Obecná pravidla pseudonymizace</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rsidR="00A1171D"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A1171D" w:rsidRPr="00F72E3C">
        <w:rPr>
          <w:rFonts w:ascii="Times New Roman" w:hAnsi="Times New Roman" w:cs="Times New Roman"/>
          <w:sz w:val="24"/>
          <w:szCs w:val="24"/>
          <w:highlight w:val="white"/>
        </w:rPr>
        <w:t xml:space="preserve">(1) Pseudonymizace se provádí prostřednictvím k tomu určeného elektronického nástroje, který automaticky navrhne k nahrazení obecným pojmem (popisem entity) výchozí údaje podléhající pseudonymizaci. Následně odpovědná osoba provede kontrolu rozhodnutí tak, aby byly z rozhodnutí odstraněny v plném rozsahu údaje podle § 2b.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rsidR="00A1171D" w:rsidRPr="00F72E3C" w:rsidRDefault="00A1171D" w:rsidP="00A1171D">
      <w:pPr>
        <w:widowControl w:val="0"/>
        <w:autoSpaceDE w:val="0"/>
        <w:autoSpaceDN w:val="0"/>
        <w:adjustRightInd w:val="0"/>
        <w:spacing w:after="0" w:line="240" w:lineRule="auto"/>
        <w:ind w:firstLine="709"/>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(2) Pseudonymizaci je třeba provést tak, aby ani ve spojení s dalšími okolnostmi vyplývajícími z rozhodnutí nebylo možno identifikovat fyzické osoby, případně spojit jakékoliv osobní údaje v rozhodnutí obsažené s konkrétní fyzickou osobou.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rsidR="00A1171D" w:rsidRPr="00F72E3C" w:rsidRDefault="00A1171D" w:rsidP="00A1171D">
      <w:pPr>
        <w:widowControl w:val="0"/>
        <w:autoSpaceDE w:val="0"/>
        <w:autoSpaceDN w:val="0"/>
        <w:adjustRightInd w:val="0"/>
        <w:spacing w:after="0" w:line="240" w:lineRule="auto"/>
        <w:ind w:firstLine="709"/>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(3) Konkrétní postup pseudonymizace stanoví Ministerstvo spravedlnosti formou sdělení. </w:t>
      </w:r>
    </w:p>
    <w:p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rsidR="00A1171D" w:rsidRPr="00F72E3C"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2b</w:t>
      </w:r>
    </w:p>
    <w:p w:rsidR="00A1171D" w:rsidRPr="00F72E3C"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Rozsah údajů podléhajících pseudonymizaci</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rsidR="00A1171D" w:rsidRPr="00F72E3C" w:rsidRDefault="006114A5" w:rsidP="006114A5">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A1171D" w:rsidRPr="00F72E3C">
        <w:rPr>
          <w:rFonts w:ascii="Times New Roman" w:hAnsi="Times New Roman" w:cs="Times New Roman"/>
          <w:sz w:val="24"/>
          <w:szCs w:val="24"/>
          <w:highlight w:val="white"/>
        </w:rPr>
        <w:t xml:space="preserve">(1) Pseudonymizaci ohledně fyzických osob podléhají zejména tyto údaje: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a) </w:t>
      </w:r>
      <w:r w:rsidRPr="00F72E3C">
        <w:rPr>
          <w:rFonts w:ascii="Times New Roman" w:hAnsi="Times New Roman" w:cs="Times New Roman"/>
          <w:sz w:val="24"/>
          <w:szCs w:val="24"/>
          <w:highlight w:val="white"/>
        </w:rPr>
        <w:tab/>
        <w:t>osobní jméno a příjmení fyzické osoby, její bydliště, datum narození, rodné číslo, akademické tituly, obchodní firma, IČO, DIČ, číslo účtu, IBAN a klientské číslo banky, variabilní symbol, číslo dokladu prokazujícího totožnost osoby, identifikátor datové schránky, telefonní číslo, IP adresa, adresa elektronické pošty, osobní údaje spadající do zvláštní kategorie podle předpisů upravujících ochranu osobních údajů</w:t>
      </w:r>
      <w:hyperlink w:anchor="Poznámka2" w:history="1">
        <w:r w:rsidRPr="00F72E3C">
          <w:rPr>
            <w:rStyle w:val="Hypertextovodkaz"/>
            <w:rFonts w:ascii="Times New Roman" w:hAnsi="Times New Roman" w:cs="Times New Roman"/>
            <w:color w:val="auto"/>
            <w:sz w:val="24"/>
            <w:szCs w:val="24"/>
            <w:highlight w:val="white"/>
            <w:vertAlign w:val="superscript"/>
          </w:rPr>
          <w:t>2)</w:t>
        </w:r>
      </w:hyperlink>
      <w:r w:rsidRPr="00F72E3C">
        <w:rPr>
          <w:rFonts w:ascii="Times New Roman" w:hAnsi="Times New Roman" w:cs="Times New Roman"/>
          <w:sz w:val="24"/>
          <w:szCs w:val="24"/>
          <w:highlight w:val="white"/>
        </w:rPr>
        <w:t xml:space="preserve"> a další informace, podle nichž by bylo možno fyzickou osobu identifikovat,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b)</w:t>
      </w:r>
      <w:r w:rsidRPr="00F72E3C">
        <w:rPr>
          <w:rFonts w:ascii="Times New Roman" w:hAnsi="Times New Roman" w:cs="Times New Roman"/>
          <w:sz w:val="24"/>
          <w:szCs w:val="24"/>
          <w:highlight w:val="white"/>
        </w:rPr>
        <w:tab/>
        <w:t>spisová značka insolvenčního řízení a souvisejících incidenčních sporů; uvedené neplatí pro zveřejňování dokumentů v insolvenčním rejstříku podle zvláštního právního předpisu,</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c)</w:t>
      </w:r>
      <w:r w:rsidRPr="00F72E3C">
        <w:rPr>
          <w:rFonts w:ascii="Times New Roman" w:hAnsi="Times New Roman" w:cs="Times New Roman"/>
          <w:sz w:val="24"/>
          <w:szCs w:val="24"/>
          <w:highlight w:val="white"/>
        </w:rPr>
        <w:tab/>
        <w:t>zeměpisná označení, označení katastrálního území a číslo listu vlastnictví, parcelní číslo, čísla popisná a orientační, označení katastrálních úřadů a katastrálních pracovišť,</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d) </w:t>
      </w:r>
      <w:r w:rsidRPr="00F72E3C">
        <w:rPr>
          <w:rFonts w:ascii="Times New Roman" w:hAnsi="Times New Roman" w:cs="Times New Roman"/>
          <w:sz w:val="24"/>
          <w:szCs w:val="24"/>
          <w:highlight w:val="white"/>
        </w:rPr>
        <w:tab/>
        <w:t xml:space="preserve">obchodní, bankovní nebo obdobné tajemství,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e) </w:t>
      </w:r>
      <w:r w:rsidR="006114A5"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v případech hodných zvláštního zřetele další údaje podle pokynu osoby, která rozhodnutí vydala. </w:t>
      </w:r>
    </w:p>
    <w:p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rsidR="00A1171D" w:rsidRPr="00F72E3C" w:rsidRDefault="00A1171D" w:rsidP="006114A5">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(2) Pseudonymizaci ohledně právnických osob a orgánů veřejné moci podléhají zejména tyto údaje: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a) </w:t>
      </w:r>
      <w:r w:rsidRPr="00F72E3C">
        <w:rPr>
          <w:rFonts w:ascii="Times New Roman" w:hAnsi="Times New Roman" w:cs="Times New Roman"/>
          <w:sz w:val="24"/>
          <w:szCs w:val="24"/>
          <w:highlight w:val="white"/>
        </w:rPr>
        <w:tab/>
        <w:t xml:space="preserve">název právnické osoby nebo orgánu veřejné moci, označení územní působnosti orgánu veřejné moci, sídlo, IČO, DIČ, číslo účtu, IBAN a klientské číslo banky, variabilní symbol, identifikátor datové schránky, telefonní číslo, IP adresa, adresa elektronické pošty,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b) </w:t>
      </w:r>
      <w:r w:rsidRPr="00F72E3C">
        <w:rPr>
          <w:rFonts w:ascii="Times New Roman" w:hAnsi="Times New Roman" w:cs="Times New Roman"/>
          <w:sz w:val="24"/>
          <w:szCs w:val="24"/>
          <w:highlight w:val="white"/>
        </w:rPr>
        <w:tab/>
        <w:t xml:space="preserve">údaje uvedené v odstavci 1 písm. b) až e). </w:t>
      </w:r>
    </w:p>
    <w:p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rsidR="00A1171D" w:rsidRPr="00F72E3C" w:rsidRDefault="00A1171D" w:rsidP="006114A5">
      <w:pPr>
        <w:widowControl w:val="0"/>
        <w:autoSpaceDE w:val="0"/>
        <w:autoSpaceDN w:val="0"/>
        <w:adjustRightInd w:val="0"/>
        <w:spacing w:after="0" w:line="240" w:lineRule="auto"/>
        <w:ind w:firstLine="709"/>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t xml:space="preserve">(3) Pseudonymizaci zpravidla nepodléhají zejména tyto údaje: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a) </w:t>
      </w:r>
      <w:r w:rsidRPr="00F72E3C">
        <w:rPr>
          <w:rFonts w:ascii="Times New Roman" w:hAnsi="Times New Roman" w:cs="Times New Roman"/>
          <w:sz w:val="24"/>
          <w:szCs w:val="24"/>
          <w:highlight w:val="white"/>
        </w:rPr>
        <w:tab/>
        <w:t xml:space="preserve">název a sídlo soudu nebo státního zastupitelství,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lastRenderedPageBreak/>
        <w:t xml:space="preserve">b) </w:t>
      </w:r>
      <w:r w:rsidRPr="00F72E3C">
        <w:rPr>
          <w:rFonts w:ascii="Times New Roman" w:hAnsi="Times New Roman" w:cs="Times New Roman"/>
          <w:sz w:val="24"/>
          <w:szCs w:val="24"/>
          <w:highlight w:val="white"/>
        </w:rPr>
        <w:tab/>
        <w:t xml:space="preserve">spisové značky s výjimkou spisových značek podle odstavce 1 písm. b), </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c) </w:t>
      </w:r>
      <w:r w:rsidRPr="00F72E3C">
        <w:rPr>
          <w:rFonts w:ascii="Times New Roman" w:hAnsi="Times New Roman" w:cs="Times New Roman"/>
          <w:sz w:val="24"/>
          <w:szCs w:val="24"/>
          <w:highlight w:val="white"/>
        </w:rPr>
        <w:tab/>
        <w:t>peněžité částky,</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d) </w:t>
      </w:r>
      <w:r w:rsidRPr="00F72E3C">
        <w:rPr>
          <w:rFonts w:ascii="Times New Roman" w:hAnsi="Times New Roman" w:cs="Times New Roman"/>
          <w:sz w:val="24"/>
          <w:szCs w:val="24"/>
          <w:highlight w:val="white"/>
        </w:rPr>
        <w:tab/>
        <w:t>osobní jména a příjmení soudců a přísedících, pokud jsou uvedeny v souvislosti s jejich rozhodovací činností,</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e)</w:t>
      </w:r>
      <w:r w:rsidRPr="00F72E3C">
        <w:rPr>
          <w:rFonts w:ascii="Times New Roman" w:hAnsi="Times New Roman" w:cs="Times New Roman"/>
          <w:sz w:val="24"/>
          <w:szCs w:val="24"/>
          <w:highlight w:val="white"/>
        </w:rPr>
        <w:tab/>
        <w:t>osobní jména a příjmení osob uvedená v citacích rozhodnutí mezinárodních soudů a</w:t>
      </w:r>
      <w:r w:rsidR="006114A5" w:rsidRPr="00F72E3C">
        <w:rPr>
          <w:rFonts w:ascii="Times New Roman" w:hAnsi="Times New Roman" w:cs="Times New Roman"/>
          <w:sz w:val="24"/>
          <w:szCs w:val="24"/>
          <w:highlight w:val="white"/>
        </w:rPr>
        <w:t> </w:t>
      </w:r>
      <w:r w:rsidRPr="00F72E3C">
        <w:rPr>
          <w:rFonts w:ascii="Times New Roman" w:hAnsi="Times New Roman" w:cs="Times New Roman"/>
          <w:sz w:val="24"/>
          <w:szCs w:val="24"/>
          <w:highlight w:val="white"/>
        </w:rPr>
        <w:t>osobní jména a příjmení autorů citovaných odborných textů a publikací.</w:t>
      </w:r>
    </w:p>
    <w:p w:rsidR="00A1171D" w:rsidRPr="00F72E3C" w:rsidRDefault="00A1171D" w:rsidP="00A1171D">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rsidR="00A1171D" w:rsidRDefault="00A1171D" w:rsidP="00F72E3C">
      <w:pPr>
        <w:widowControl w:val="0"/>
        <w:autoSpaceDE w:val="0"/>
        <w:autoSpaceDN w:val="0"/>
        <w:adjustRightInd w:val="0"/>
        <w:spacing w:after="0" w:line="240" w:lineRule="auto"/>
        <w:ind w:firstLine="709"/>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(4) Změnu rozsahu pseudonymizovaných údajů zveřejněného rozhodnutí lze provést na základě práva uplatněného subjektem osobních údajů podle předpisů upravujících ochranu osobních údajů</w:t>
      </w:r>
      <w:hyperlink w:anchor="Poznámka3" w:history="1">
        <w:r w:rsidRPr="00F72E3C">
          <w:rPr>
            <w:rStyle w:val="Hypertextovodkaz"/>
            <w:rFonts w:ascii="Times New Roman" w:hAnsi="Times New Roman" w:cs="Times New Roman"/>
            <w:color w:val="auto"/>
            <w:sz w:val="24"/>
            <w:szCs w:val="24"/>
            <w:highlight w:val="white"/>
            <w:vertAlign w:val="superscript"/>
          </w:rPr>
          <w:t>3)</w:t>
        </w:r>
      </w:hyperlink>
      <w:r w:rsidRPr="00F72E3C">
        <w:rPr>
          <w:rFonts w:ascii="Times New Roman" w:hAnsi="Times New Roman" w:cs="Times New Roman"/>
          <w:sz w:val="24"/>
          <w:szCs w:val="24"/>
          <w:highlight w:val="white"/>
        </w:rPr>
        <w:t>, nebo na základě pokynu orgánu soudního dohle</w:t>
      </w:r>
      <w:r w:rsidR="00F72E3C">
        <w:rPr>
          <w:rFonts w:ascii="Times New Roman" w:hAnsi="Times New Roman" w:cs="Times New Roman"/>
          <w:sz w:val="24"/>
          <w:szCs w:val="24"/>
          <w:highlight w:val="white"/>
        </w:rPr>
        <w:t>du či podnětu dozorového úřadu.</w:t>
      </w:r>
    </w:p>
    <w:p w:rsidR="004051FF" w:rsidRPr="004051FF" w:rsidRDefault="004051FF" w:rsidP="006114A5">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3</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Evidenční senát</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 je v každém úseku krajských a vrchních soudů určen rozvrhem práce nejméně ze tří soudců. Jednání řídí předseda evidenčního senátu nebo jeho pověřený člen.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ostatních případech jedná za</w:t>
      </w:r>
      <w:r>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evidenční senát jeho předseda nebo jím pověřený člen.</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Na práci evidenčního senátu se mohou podílet i další odborní zaměstnanci soudu, mají-li vysokoškolské vzdělání (magisterské) v oboru právo a rozhodl-li o tom předseda soudu.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Předseda soudu může na návrh úseku soudu zřídit více evidenčních senátů v jednom úseku nebo sloučit evidenční senáty jednotlivých úseků.</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4</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Kancelář evidenčního senátu</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Administrativní práce evidenčního senátu zajišťuje kancelář evidenčního senátu. Činnosti svěřené této kanceláři vykonává odborný referent evidenčního senátu, popřípadě jím řízený další referent.</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Činnost odborného referenta evidenčního senátu (dále jen "odborného referenta") podle těchto pokynů řídí, organizuje a kontroluje předseda evidenčního senátu.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Při provádění jednotlivých úkonů se odborný referent řídí pokyny pověřeného člena evidenčního senátu.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DRUHÁ</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Evidence rozhodnutí a jejich zařazování do evidenčních skupin vnitřní evidence soudu</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HLAVA I.</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Zařazování rozhodnutí soudu do vnitřní evidence</w:t>
      </w:r>
    </w:p>
    <w:p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5</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F72E3C">
        <w:rPr>
          <w:rFonts w:ascii="Times New Roman" w:hAnsi="Times New Roman" w:cs="Times New Roman"/>
          <w:sz w:val="24"/>
          <w:szCs w:val="24"/>
          <w:highlight w:val="white"/>
        </w:rPr>
        <w:t>(1) Z hlediska významu pro rozhodovací činnost soudů se rozhodnutí evidují ve skupinách A až D, EU a F.</w:t>
      </w:r>
    </w:p>
    <w:p w:rsidR="006114A5" w:rsidRPr="00F72E3C" w:rsidRDefault="006114A5" w:rsidP="006114A5">
      <w:pPr>
        <w:widowControl w:val="0"/>
        <w:autoSpaceDE w:val="0"/>
        <w:autoSpaceDN w:val="0"/>
        <w:adjustRightInd w:val="0"/>
        <w:spacing w:after="0" w:line="240" w:lineRule="auto"/>
        <w:ind w:firstLine="567"/>
        <w:jc w:val="both"/>
        <w:rPr>
          <w:rFonts w:ascii="Times New Roman" w:hAnsi="Times New Roman" w:cs="Times New Roman"/>
          <w:sz w:val="24"/>
          <w:szCs w:val="24"/>
          <w:highlight w:val="white"/>
        </w:rPr>
      </w:pPr>
    </w:p>
    <w:p w:rsidR="006114A5"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6114A5" w:rsidRPr="00F72E3C">
        <w:rPr>
          <w:rFonts w:ascii="Times New Roman" w:hAnsi="Times New Roman" w:cs="Times New Roman"/>
          <w:sz w:val="24"/>
          <w:szCs w:val="24"/>
          <w:highlight w:val="white"/>
        </w:rPr>
        <w:t xml:space="preserve">(2) Ve skupině A se evidují významná rozhodnutí zásadní povahy navržená k uveřejnění ve Sbírce soudních rozhodnutí a stanovisek, určená k zařazení do centrální </w:t>
      </w:r>
      <w:r w:rsidR="006114A5" w:rsidRPr="00F72E3C">
        <w:rPr>
          <w:rFonts w:ascii="Times New Roman" w:hAnsi="Times New Roman" w:cs="Times New Roman"/>
          <w:sz w:val="24"/>
          <w:szCs w:val="24"/>
          <w:highlight w:val="white"/>
        </w:rPr>
        <w:lastRenderedPageBreak/>
        <w:t xml:space="preserve">evidence soudních rozhodnutí. </w:t>
      </w:r>
    </w:p>
    <w:p w:rsidR="006114A5" w:rsidRPr="00F72E3C" w:rsidRDefault="006114A5" w:rsidP="006114A5">
      <w:pPr>
        <w:widowControl w:val="0"/>
        <w:autoSpaceDE w:val="0"/>
        <w:autoSpaceDN w:val="0"/>
        <w:adjustRightInd w:val="0"/>
        <w:spacing w:after="0" w:line="240" w:lineRule="auto"/>
        <w:ind w:firstLine="567"/>
        <w:jc w:val="both"/>
        <w:rPr>
          <w:rFonts w:ascii="Times New Roman" w:hAnsi="Times New Roman" w:cs="Times New Roman"/>
          <w:sz w:val="24"/>
          <w:szCs w:val="24"/>
          <w:highlight w:val="white"/>
        </w:rPr>
      </w:pPr>
    </w:p>
    <w:p w:rsidR="006114A5"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6114A5" w:rsidRPr="00F72E3C">
        <w:rPr>
          <w:rFonts w:ascii="Times New Roman" w:hAnsi="Times New Roman" w:cs="Times New Roman"/>
          <w:sz w:val="24"/>
          <w:szCs w:val="24"/>
          <w:highlight w:val="white"/>
        </w:rPr>
        <w:t xml:space="preserve">(3) Ve skupině B se evidují významná rozhodnutí řešící otázky hmotněprávní povahy z okruhu často řešené problematiky určená k uveřejnění v centrální evidenci soudních rozhodnutí, která je možno využít jako nástroj pro tvorbu obdobných rozhodnutí. </w:t>
      </w:r>
    </w:p>
    <w:p w:rsidR="006114A5" w:rsidRPr="006114A5" w:rsidRDefault="006114A5" w:rsidP="006114A5">
      <w:pPr>
        <w:widowControl w:val="0"/>
        <w:autoSpaceDE w:val="0"/>
        <w:autoSpaceDN w:val="0"/>
        <w:adjustRightInd w:val="0"/>
        <w:spacing w:after="0" w:line="240" w:lineRule="auto"/>
        <w:ind w:firstLine="567"/>
        <w:jc w:val="both"/>
        <w:rPr>
          <w:rFonts w:ascii="Times New Roman" w:hAnsi="Times New Roman" w:cs="Times New Roman"/>
          <w:b/>
          <w:color w:val="0070C0"/>
          <w:sz w:val="24"/>
          <w:szCs w:val="24"/>
          <w:highlight w:val="white"/>
        </w:rPr>
      </w:pPr>
    </w:p>
    <w:p w:rsidR="006114A5"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F72E3C">
        <w:rPr>
          <w:rFonts w:ascii="Times New Roman" w:hAnsi="Times New Roman" w:cs="Times New Roman"/>
          <w:sz w:val="24"/>
          <w:szCs w:val="24"/>
          <w:highlight w:val="white"/>
        </w:rPr>
        <w:t xml:space="preserve">(4) Ve skupině C se evidují významná rozhodnutí řešící procesní problematiku určená k uveřejnění v centrální evidenci soudních rozhodnutí. </w:t>
      </w:r>
    </w:p>
    <w:p w:rsidR="006114A5" w:rsidRPr="00F72E3C" w:rsidRDefault="006114A5" w:rsidP="006114A5">
      <w:pPr>
        <w:widowControl w:val="0"/>
        <w:autoSpaceDE w:val="0"/>
        <w:autoSpaceDN w:val="0"/>
        <w:adjustRightInd w:val="0"/>
        <w:spacing w:after="0" w:line="240" w:lineRule="auto"/>
        <w:ind w:firstLine="567"/>
        <w:jc w:val="both"/>
        <w:rPr>
          <w:rFonts w:ascii="Times New Roman" w:hAnsi="Times New Roman" w:cs="Times New Roman"/>
          <w:sz w:val="24"/>
          <w:szCs w:val="24"/>
          <w:highlight w:val="white"/>
        </w:rPr>
      </w:pPr>
    </w:p>
    <w:p w:rsidR="006114A5"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6114A5" w:rsidRPr="00F72E3C">
        <w:rPr>
          <w:rFonts w:ascii="Times New Roman" w:hAnsi="Times New Roman" w:cs="Times New Roman"/>
          <w:sz w:val="24"/>
          <w:szCs w:val="24"/>
          <w:highlight w:val="white"/>
        </w:rPr>
        <w:t xml:space="preserve">(5) Ve skupině D se evidují rozhodnutí zařazená do vnitřní evidence rozhodnutím evidenčního senátu, pokud nebyla zařazena do skupiny A až C a EU. </w:t>
      </w:r>
    </w:p>
    <w:p w:rsidR="006114A5" w:rsidRPr="00F72E3C" w:rsidRDefault="006114A5" w:rsidP="006114A5">
      <w:pPr>
        <w:widowControl w:val="0"/>
        <w:autoSpaceDE w:val="0"/>
        <w:autoSpaceDN w:val="0"/>
        <w:adjustRightInd w:val="0"/>
        <w:spacing w:after="0" w:line="240" w:lineRule="auto"/>
        <w:ind w:firstLine="567"/>
        <w:jc w:val="both"/>
        <w:rPr>
          <w:rFonts w:ascii="Times New Roman" w:hAnsi="Times New Roman" w:cs="Times New Roman"/>
          <w:sz w:val="24"/>
          <w:szCs w:val="24"/>
          <w:highlight w:val="white"/>
        </w:rPr>
      </w:pPr>
    </w:p>
    <w:p w:rsidR="006114A5"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6114A5" w:rsidRPr="00F72E3C">
        <w:rPr>
          <w:rFonts w:ascii="Times New Roman" w:hAnsi="Times New Roman" w:cs="Times New Roman"/>
          <w:sz w:val="24"/>
          <w:szCs w:val="24"/>
          <w:highlight w:val="white"/>
        </w:rPr>
        <w:t>(6) Ve skupině EU se evidují veškerá rozhodnutí soudů všech stupňů, která se týkají či obsahují odkaz na:</w:t>
      </w:r>
    </w:p>
    <w:p w:rsidR="006114A5" w:rsidRPr="00F72E3C" w:rsidRDefault="006114A5"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a) </w:t>
      </w:r>
      <w:r w:rsidR="00AF284A"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Smlouvu o Evropském společenství uhlí a oceli, Smlouvu o Evropském hospodářském společenství, Smlouvu Euratom, Smlouvu o Evropské unii a Smlouvu o fungování Evropské unie včetně jejich příloh, protokolů a prohlášení k nim, jakož i akty je pozměňující a akty o přistoupení členských států k nim, </w:t>
      </w:r>
    </w:p>
    <w:p w:rsidR="006114A5" w:rsidRPr="00F72E3C" w:rsidRDefault="006114A5"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b) </w:t>
      </w:r>
      <w:r w:rsidR="00AF284A"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Listinu základních práv Evropské unie, </w:t>
      </w:r>
    </w:p>
    <w:p w:rsidR="006114A5" w:rsidRPr="00F72E3C" w:rsidRDefault="006114A5"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c) </w:t>
      </w:r>
      <w:r w:rsidR="00AF284A"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obecné zásady práva Evropské unie, </w:t>
      </w:r>
    </w:p>
    <w:p w:rsidR="006114A5" w:rsidRPr="00F72E3C" w:rsidRDefault="006114A5"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d) </w:t>
      </w:r>
      <w:r w:rsidR="00AF284A"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mezinárodní smlouvy a dohody sjednané Evropskou unií, </w:t>
      </w:r>
    </w:p>
    <w:p w:rsidR="006114A5" w:rsidRPr="00F72E3C" w:rsidRDefault="006114A5"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e) </w:t>
      </w:r>
      <w:r w:rsidR="00AF284A"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rozhodnutí Soudního dvora Evropské unie, Tribunálu Evropské unie a dalších soudních orgánů Evropské unie, </w:t>
      </w:r>
    </w:p>
    <w:p w:rsidR="006114A5" w:rsidRPr="00F72E3C" w:rsidRDefault="006114A5"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f) </w:t>
      </w:r>
      <w:r w:rsidR="00AF284A" w:rsidRPr="00F72E3C">
        <w:rPr>
          <w:rFonts w:ascii="Times New Roman" w:hAnsi="Times New Roman" w:cs="Times New Roman"/>
          <w:sz w:val="24"/>
          <w:szCs w:val="24"/>
          <w:highlight w:val="white"/>
        </w:rPr>
        <w:tab/>
      </w:r>
      <w:r w:rsidRPr="00F72E3C">
        <w:rPr>
          <w:rFonts w:ascii="Times New Roman" w:hAnsi="Times New Roman" w:cs="Times New Roman"/>
          <w:sz w:val="24"/>
          <w:szCs w:val="24"/>
          <w:highlight w:val="white"/>
        </w:rPr>
        <w:t xml:space="preserve">nařízení, směrnice, rámcová rozhodnutí nebo rozhodnutí orgánů Evropské unie včetně rozhodnutí Evropské komise v oblasti ochrany hospodářské soutěže. </w:t>
      </w:r>
    </w:p>
    <w:p w:rsidR="006114A5" w:rsidRPr="00F72E3C" w:rsidRDefault="006114A5" w:rsidP="006114A5">
      <w:pPr>
        <w:widowControl w:val="0"/>
        <w:autoSpaceDE w:val="0"/>
        <w:autoSpaceDN w:val="0"/>
        <w:adjustRightInd w:val="0"/>
        <w:spacing w:after="0" w:line="240" w:lineRule="auto"/>
        <w:ind w:firstLine="567"/>
        <w:jc w:val="both"/>
        <w:rPr>
          <w:rFonts w:ascii="Times New Roman" w:hAnsi="Times New Roman" w:cs="Times New Roman"/>
          <w:sz w:val="24"/>
          <w:szCs w:val="24"/>
          <w:highlight w:val="white"/>
        </w:rPr>
      </w:pPr>
    </w:p>
    <w:p w:rsidR="006114A5" w:rsidRPr="00F72E3C"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r>
      <w:r w:rsidR="006114A5" w:rsidRPr="00F72E3C">
        <w:rPr>
          <w:rFonts w:ascii="Times New Roman" w:hAnsi="Times New Roman" w:cs="Times New Roman"/>
          <w:sz w:val="24"/>
          <w:szCs w:val="24"/>
          <w:highlight w:val="white"/>
        </w:rPr>
        <w:t xml:space="preserve">(7) Ve skupině F se evidují ostatní rozhodnutí. </w:t>
      </w:r>
    </w:p>
    <w:p w:rsidR="006114A5" w:rsidRPr="006114A5" w:rsidRDefault="006114A5" w:rsidP="006114A5">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F72E3C">
        <w:rPr>
          <w:rFonts w:ascii="Times New Roman" w:hAnsi="Times New Roman" w:cs="Times New Roman"/>
          <w:sz w:val="24"/>
          <w:szCs w:val="24"/>
          <w:highlight w:val="white"/>
        </w:rPr>
        <w:t>(8)</w:t>
      </w:r>
      <w:r w:rsidR="004051FF" w:rsidRPr="00F72E3C">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 xml:space="preserve">Do vnitřní evidence soudu se zařazují všechna rozhodnutí přijatá jednotlivými senáty, u nichž bylo navrženo zařazení do skupiny A, B, C </w:t>
      </w:r>
      <w:r w:rsidR="006114A5" w:rsidRPr="00F72E3C">
        <w:rPr>
          <w:rFonts w:ascii="Times New Roman" w:hAnsi="Times New Roman" w:cs="Times New Roman"/>
          <w:sz w:val="24"/>
          <w:szCs w:val="24"/>
          <w:highlight w:val="white"/>
        </w:rPr>
        <w:t xml:space="preserve">a EU </w:t>
      </w:r>
      <w:r w:rsidR="004051FF" w:rsidRPr="004051FF">
        <w:rPr>
          <w:rFonts w:ascii="Times New Roman" w:hAnsi="Times New Roman" w:cs="Times New Roman"/>
          <w:sz w:val="24"/>
          <w:szCs w:val="24"/>
          <w:highlight w:val="white"/>
        </w:rPr>
        <w:t>a rozhodnutí, jejichž zařazení do</w:t>
      </w:r>
      <w:r w:rsidR="006114A5">
        <w:rPr>
          <w:rFonts w:ascii="Times New Roman" w:hAnsi="Times New Roman" w:cs="Times New Roman"/>
          <w:sz w:val="24"/>
          <w:szCs w:val="24"/>
          <w:highlight w:val="white"/>
        </w:rPr>
        <w:t> </w:t>
      </w:r>
      <w:r w:rsidR="004051FF" w:rsidRPr="004051FF">
        <w:rPr>
          <w:rFonts w:ascii="Times New Roman" w:hAnsi="Times New Roman" w:cs="Times New Roman"/>
          <w:sz w:val="24"/>
          <w:szCs w:val="24"/>
          <w:highlight w:val="white"/>
        </w:rPr>
        <w:t>evidence navrhl evidenční senát (skupina</w:t>
      </w:r>
      <w:r w:rsidR="0076671A">
        <w:rPr>
          <w:rFonts w:ascii="Times New Roman" w:hAnsi="Times New Roman" w:cs="Times New Roman"/>
          <w:sz w:val="24"/>
          <w:szCs w:val="24"/>
          <w:highlight w:val="white"/>
        </w:rPr>
        <w:t> </w:t>
      </w:r>
      <w:r w:rsidR="004051FF" w:rsidRPr="004051FF">
        <w:rPr>
          <w:rFonts w:ascii="Times New Roman" w:hAnsi="Times New Roman" w:cs="Times New Roman"/>
          <w:sz w:val="24"/>
          <w:szCs w:val="24"/>
          <w:highlight w:val="white"/>
        </w:rPr>
        <w:t>D).</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F72E3C">
        <w:rPr>
          <w:rFonts w:ascii="Times New Roman" w:hAnsi="Times New Roman" w:cs="Times New Roman"/>
          <w:sz w:val="24"/>
          <w:szCs w:val="24"/>
          <w:highlight w:val="white"/>
        </w:rPr>
        <w:t>(9)</w:t>
      </w:r>
      <w:r w:rsidR="004051FF" w:rsidRPr="00F72E3C">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Rozhodnutí navržená do skupiny F se do vnitřní evidence nezařazují.</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6</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předsedů senátů</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Předseda senátu v závěrečném referátu (při předání rozhodnutí se spisem do příslušné soudní kanceláře k vypravení) uvede</w:t>
      </w:r>
    </w:p>
    <w:p w:rsidR="004051FF" w:rsidRPr="004051FF" w:rsidRDefault="004051FF" w:rsidP="0076671A">
      <w:pPr>
        <w:widowControl w:val="0"/>
        <w:autoSpaceDE w:val="0"/>
        <w:autoSpaceDN w:val="0"/>
        <w:adjustRightInd w:val="0"/>
        <w:spacing w:after="0" w:line="240" w:lineRule="auto"/>
        <w:ind w:left="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a) návrh, do které ze skupin uvedených v </w:t>
      </w:r>
      <w:r w:rsidR="006114A5" w:rsidRPr="00F72E3C">
        <w:rPr>
          <w:rFonts w:ascii="Times New Roman" w:hAnsi="Times New Roman" w:cs="Times New Roman"/>
          <w:sz w:val="24"/>
          <w:szCs w:val="24"/>
          <w:highlight w:val="white"/>
        </w:rPr>
        <w:t>§ 5 odst. 2 až 7</w:t>
      </w:r>
      <w:r w:rsidRPr="00F72E3C">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má být rozhodnutí zařazeno,</w:t>
      </w:r>
    </w:p>
    <w:p w:rsidR="004051FF" w:rsidRPr="004051FF" w:rsidRDefault="004051FF" w:rsidP="0076671A">
      <w:pPr>
        <w:widowControl w:val="0"/>
        <w:autoSpaceDE w:val="0"/>
        <w:autoSpaceDN w:val="0"/>
        <w:adjustRightInd w:val="0"/>
        <w:spacing w:after="0" w:line="240" w:lineRule="auto"/>
        <w:ind w:left="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ustanovení, jejichž výklad rozhodnutí řeší.</w:t>
      </w:r>
    </w:p>
    <w:p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Navrhne-li předseda senátu zařazení rozhodnutí do skupiny A, B nebo C, připojí též návrh rejstříkového hesla, charakterizujícího obsahovou náplň rozhodnutí. Při návrhu vybírá přednostně z rejstříkových hesel již použitých v centrální evidenci.</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Navrhne-li předseda senátu zařazení rozhodnutí do skupiny A, připojí též návrh právní věty. U ostatních rozhodnutí návrh právní věty může připojit, považuje-li to za vhodné.</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(4) Rozhodnutí zařazená </w:t>
      </w:r>
      <w:r w:rsidR="007A5DF6" w:rsidRPr="00F72E3C">
        <w:rPr>
          <w:rFonts w:ascii="Times New Roman" w:hAnsi="Times New Roman" w:cs="Times New Roman"/>
          <w:sz w:val="24"/>
          <w:szCs w:val="24"/>
          <w:highlight w:val="white"/>
        </w:rPr>
        <w:t>do skupiny EU</w:t>
      </w:r>
      <w:r w:rsidRPr="00F72E3C">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 xml:space="preserve">se do centrální evidence zadávají všechna, </w:t>
      </w:r>
      <w:r w:rsidRPr="004051FF">
        <w:rPr>
          <w:rFonts w:ascii="Times New Roman" w:hAnsi="Times New Roman" w:cs="Times New Roman"/>
          <w:sz w:val="24"/>
          <w:szCs w:val="24"/>
          <w:highlight w:val="white"/>
        </w:rPr>
        <w:lastRenderedPageBreak/>
        <w:t>bez</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výběru.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(5) Předseda senátu, jehož rozhodnutí zrušil nebo změnil soud vyšší instance, nebo Ústavní soud, je</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povinen zajistit předání stejnopisu rozhodnutí s informací o tom, jak bylo s</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rozhodnutím naloženo soudem vyšší instance nebo Ústavním soudem, kanceláři evidenčního senátu k vyznačení příslušné poznámky v programu JUDIKATURA.</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7</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vedoucích soudní kanceláře</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Vedoucí soudní kanceláře (pověřený odborný referent) předá kanceláři evidenčního senátu stejnopis každého rozhodnutí přijatého senátem soudu navrhovaného k zařazení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skupin </w:t>
      </w:r>
      <w:r w:rsidR="007A5DF6" w:rsidRPr="00F72E3C">
        <w:rPr>
          <w:rFonts w:ascii="Times New Roman" w:hAnsi="Times New Roman" w:cs="Times New Roman"/>
          <w:sz w:val="24"/>
          <w:szCs w:val="24"/>
          <w:highlight w:val="white"/>
        </w:rPr>
        <w:t>A až C a EU</w:t>
      </w:r>
      <w:r w:rsidRPr="004051FF">
        <w:rPr>
          <w:rFonts w:ascii="Times New Roman" w:hAnsi="Times New Roman" w:cs="Times New Roman"/>
          <w:sz w:val="24"/>
          <w:szCs w:val="24"/>
          <w:highlight w:val="white"/>
        </w:rPr>
        <w:t>. Na rozhodnutí poznamená ustanovení, jejichž výklad rozhodnutí řeší, návrh a zařazení uvedená předsedou senátu podle § 5; bude-li navržena právní věta nebo příslušné heslo, připojí je trvalým způsobem k rozhodnutí. Toto předání je možné učinit i</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elektronicky.</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3F08F7">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Předání stejnopisu rozhodnutí poznamená vedoucí soudní kanceláře v příslušném spisu.</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8</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odborného referenta</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Stejnopisy rozhodnutí určené pro evidenční senát převezme od vedoucích soudních kanceláří odborný referent. Stejnopisy je možné předat odbornému referentu i v elektronické podobě.</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Rozhodnutí převzatá podle odstavce 1 vloží odborný referent do vnitřní evidence soudu v programu JUDIKATURA. U každého rozhodnutí uvede ustanovení, jejichž výklad rozhodnutí řeší, návrh na zařazení do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skupiny podle </w:t>
      </w:r>
      <w:r w:rsidR="007A5DF6" w:rsidRPr="00F72E3C">
        <w:rPr>
          <w:rFonts w:ascii="Times New Roman" w:hAnsi="Times New Roman" w:cs="Times New Roman"/>
          <w:sz w:val="24"/>
          <w:szCs w:val="24"/>
          <w:highlight w:val="white"/>
        </w:rPr>
        <w:t>§ 5 odst. 2 až 6</w:t>
      </w:r>
      <w:r w:rsidRPr="004051FF">
        <w:rPr>
          <w:rFonts w:ascii="Times New Roman" w:hAnsi="Times New Roman" w:cs="Times New Roman"/>
          <w:sz w:val="24"/>
          <w:szCs w:val="24"/>
          <w:highlight w:val="white"/>
        </w:rPr>
        <w:t>, soud, o jehož rozhodnutí jde, formu rozhodnutí, spisovou značku, datum rozhodnutí, rejstříkové heslo a právní větu, byla-li navržena.</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76671A"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76671A">
        <w:rPr>
          <w:rFonts w:ascii="Times New Roman" w:hAnsi="Times New Roman" w:cs="Times New Roman"/>
          <w:sz w:val="24"/>
          <w:szCs w:val="24"/>
          <w:highlight w:val="white"/>
        </w:rPr>
        <w:t>(3) O vložení nových rozhodnutí do vnitřní evidence soudu odborný referent bezodkladně informuje předsedu evidenčního senátu. Se stejnopisy rozhodnutí došlými evidenčnímu senátu odborný referent naloží podle pokynů předsedy evidenčního senátu a učiní o tom záznam do</w:t>
      </w:r>
      <w:r w:rsidR="003F08F7">
        <w:rPr>
          <w:rFonts w:ascii="Times New Roman" w:hAnsi="Times New Roman" w:cs="Times New Roman"/>
          <w:sz w:val="24"/>
          <w:szCs w:val="24"/>
          <w:highlight w:val="white"/>
        </w:rPr>
        <w:t> </w:t>
      </w:r>
      <w:r w:rsidRPr="0076671A">
        <w:rPr>
          <w:rFonts w:ascii="Times New Roman" w:hAnsi="Times New Roman" w:cs="Times New Roman"/>
          <w:sz w:val="24"/>
          <w:szCs w:val="24"/>
          <w:highlight w:val="white"/>
        </w:rPr>
        <w:t>vnitřní evidence.</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u w:val="singl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9</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U rozhodnutí navržených do skupin A, B a C předseda evidenčního senátu nebo pověřený člen evidenčního senátu posoudí vhodnost zařazení rozhodnutí do některé ze skupin uvedených v </w:t>
      </w:r>
      <w:r w:rsidR="006114A5" w:rsidRPr="00F72E3C">
        <w:rPr>
          <w:rFonts w:ascii="Times New Roman" w:hAnsi="Times New Roman" w:cs="Times New Roman"/>
          <w:sz w:val="24"/>
          <w:szCs w:val="24"/>
          <w:highlight w:val="white"/>
        </w:rPr>
        <w:t>§ 5 odst. 2 až 7</w:t>
      </w:r>
      <w:r w:rsidRPr="004051FF">
        <w:rPr>
          <w:rFonts w:ascii="Times New Roman" w:hAnsi="Times New Roman" w:cs="Times New Roman"/>
          <w:sz w:val="24"/>
          <w:szCs w:val="24"/>
          <w:highlight w:val="white"/>
        </w:rPr>
        <w:t>. Navrhované zařazení může v odůvodněných případech změnit; změna může spočívat v tom, že rozhodnutí zařadí do skupiny významově nižší nebo do skupiny významově vyšší než bylo navrženo. Svůj závěr uvede v rubrice "Zařazeno". Nebylo-li navrženo znění právní věty nebo hesla, doplní u rozhodnutí též právní větu nebo příslušné heslo. Postupuje při tom přiměřeně podle § 6 odst. 2 a 3.</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(2) Odborný referent provede podle údajů uvedených v rubrice "Zařazeno" v programu JUDIKATURA určené zařazení, popřípadě učiněnou změnu v návrhu na zařazení do skupiny </w:t>
      </w:r>
      <w:r w:rsidRPr="004051FF">
        <w:rPr>
          <w:rFonts w:ascii="Times New Roman" w:hAnsi="Times New Roman" w:cs="Times New Roman"/>
          <w:sz w:val="24"/>
          <w:szCs w:val="24"/>
          <w:highlight w:val="white"/>
        </w:rPr>
        <w:lastRenderedPageBreak/>
        <w:t xml:space="preserve">podle </w:t>
      </w:r>
      <w:r w:rsidR="006114A5" w:rsidRPr="00F72E3C">
        <w:rPr>
          <w:rFonts w:ascii="Times New Roman" w:hAnsi="Times New Roman" w:cs="Times New Roman"/>
          <w:sz w:val="24"/>
          <w:szCs w:val="24"/>
          <w:highlight w:val="white"/>
        </w:rPr>
        <w:t>§ 5 odst. 2 až 7</w:t>
      </w:r>
      <w:r w:rsidRPr="004051FF">
        <w:rPr>
          <w:rFonts w:ascii="Times New Roman" w:hAnsi="Times New Roman" w:cs="Times New Roman"/>
          <w:sz w:val="24"/>
          <w:szCs w:val="24"/>
          <w:highlight w:val="white"/>
        </w:rPr>
        <w:t xml:space="preserve">, případně vyznačí též právní větu nebo heslo a uvede, který člen evidenčního senátu návrh učinil; s těmito rozhodnutími dále naloží stejně, jako s rozhodnutími, </w:t>
      </w:r>
      <w:r w:rsidR="007A5DF6" w:rsidRPr="00F72E3C">
        <w:rPr>
          <w:rFonts w:ascii="Times New Roman" w:hAnsi="Times New Roman" w:cs="Times New Roman"/>
          <w:sz w:val="24"/>
          <w:szCs w:val="24"/>
          <w:highlight w:val="white"/>
        </w:rPr>
        <w:t>která byla do skupin A, B a C navržena</w:t>
      </w:r>
      <w:r w:rsidRPr="00F72E3C">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předsedou senátu.</w:t>
      </w:r>
    </w:p>
    <w:p w:rsid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F565B2" w:rsidRPr="004051FF" w:rsidRDefault="00F565B2"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10</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K posouzení rozhodnutí, která byla navržena do skupiny A, B, C nebo D (předsedou příslušného senátu nebo evidenčním senátem), svolá předseda evidenčního senátu zasedání evidenčního senátu.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Předseda evidenčního senátu v pozvánce uvede rozhodnutí, která budou na zasedání evidenčního senátu projednána. Odborný referent spolu s pozvánkou rozešle členům senátu uvedená rozhodnutí.</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Nebyla-li u rozhodnutí navržena právní věta nebo heslo, připraví návrh jejich znění pro zasedání evidenčního senátu jeho předseda nebo ten jeho člen, kterému bylo rozhodnutí přiděleno nebo který byl určen pro sledování rozhodnutí podle druhu řešené právní otázky. Návrh může připravit i soudce nebo jiný odborný zaměstnanec soudu, pověří-li ho tím předseda evidenčního senátu.</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11</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 při svém zasedání rozhodne o zařazení do skupiny, o znění právní věty nebo hesla a</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tom, která ustanovení rozhodnutí řeší. Vyžaduje-li to význam rozhodnutí, může stanovit, že se zařazuje do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jiné skupiny, než byla navržena.</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Neschválí-li evidenční senát znění právní věty, hesla, zařazení rozhodnutí do skupiny nebo jeho uveřejnění v centrální evidenci soudních rozhodnutí, předloží rozhodnutí k posouzení poradě úseku soudu. Závěr porady úseku bude zaznamenán do elektronické evidence namísto rozhodnutí evidenčního senátu.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Podle závěrů evidenčního senátu učiněných ve smyslu odstavce 1 odborný referent provede potřebné záznamy v programu JUDIKATURA. Byla-li schválena změna zařazení rozhodnutí, provede změnu v návrhu na</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zařazení, vyznačí právní větu (její změnu) a uvede, že</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 tom rozhodl evidenční senát a kdy tak učinil.</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HLAVA II.</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Rozhodnutí okresních soudů</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12</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senáty krajských a vrchních soudů mohou do evidence zařadit pravomocná rozhodnutí okresních soudů v oblasti své působnosti, která byla soudu zaslána justičními orgány nebo která si sám vyžádal. Předsedové jednotlivých senátů okresního soudu přitom poskytují potřebnou součinnost.</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Evidenční senáty vrchních soudů mají toto oprávnění i vůči rozhodnutím krajských soudů. Předsedové jednotlivých senátů krajského soudu přitom poskytují potřebnou součinnost.</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lastRenderedPageBreak/>
        <w:t>(3) Z hlediska významu pro judikaturu soudů se rozhodnutí evidují ve skupinách podle §</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5 a při jejich evidenci se postupuje podle § 5 až § 11.</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Schválil-li evidenční senát zařazení takového rozhodnutí do skupin určených k</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uveřejnění v centrální evidenci (skupiny A až C), je povinen vyrozumět o tom soud, který rozhodnutí vydal.</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TŘETÍ</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Evidence rozhodnutí v centrální evidenci soudních rozhodnutí</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13</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V centrální evidenci soudních rozhodnutí se uveřejňují rozhodnutí </w:t>
      </w:r>
      <w:r w:rsidR="007A5DF6" w:rsidRPr="00F72E3C">
        <w:rPr>
          <w:rFonts w:ascii="Times New Roman" w:hAnsi="Times New Roman" w:cs="Times New Roman"/>
          <w:sz w:val="24"/>
          <w:szCs w:val="24"/>
          <w:highlight w:val="white"/>
        </w:rPr>
        <w:t>zařazená do skupin A, B, C a EU</w:t>
      </w:r>
      <w:r w:rsidRPr="004051FF">
        <w:rPr>
          <w:rFonts w:ascii="Times New Roman" w:hAnsi="Times New Roman" w:cs="Times New Roman"/>
          <w:sz w:val="24"/>
          <w:szCs w:val="24"/>
          <w:highlight w:val="white"/>
        </w:rPr>
        <w:t>. Rozhodnutí, schválená evidenčním senátem, zařadí odborný referent k odeslání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centrální evidence na pokyn předsedy evidenčního senátu.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Pro účely uveřejnění v centrální evidenci odborný referent evidenčního senátu upraví jednotlivé rozhodnutí tak, aby obsahovalo všechny údaje povinné pro zařazení judikátu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centrální evidence a provede jeho </w:t>
      </w:r>
      <w:r w:rsidR="007A5DF6" w:rsidRPr="00F72E3C">
        <w:rPr>
          <w:rFonts w:ascii="Times New Roman" w:hAnsi="Times New Roman" w:cs="Times New Roman"/>
          <w:sz w:val="24"/>
          <w:szCs w:val="24"/>
          <w:highlight w:val="white"/>
        </w:rPr>
        <w:t>pseudonymizaci</w:t>
      </w:r>
      <w:r w:rsidRPr="004051FF">
        <w:rPr>
          <w:rFonts w:ascii="Times New Roman" w:hAnsi="Times New Roman" w:cs="Times New Roman"/>
          <w:sz w:val="24"/>
          <w:szCs w:val="24"/>
          <w:highlight w:val="white"/>
        </w:rPr>
        <w:t>.</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Údaji povinnými pro zařazení do centrální evidence jsou:</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a) právní věta judikátu nebo heslo charakterizující obsahovou náplň rozhodnutí,</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spisová značka rozhodnutí,</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c) soud, který rozhodnutí vydal,</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 označení ustanovení předpisů, jichž se rozhodnutí týká ("dotčené předpisy"),</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e) forma rozhodnutí,</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f) datum vydání rozhodnutí,</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g) který orgán schválil zařazení do centrální evidence a datum schválení,</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h) úsek soudu, který rozhodnutí vydal,</w:t>
      </w:r>
    </w:p>
    <w:p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i) text judikátu.</w:t>
      </w:r>
    </w:p>
    <w:p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Předseda evidenčního senátu nebo pověřený člen evidenčního senátu rozhodne, zda budou v centrální evidenci publikovány ještě další údaje zaznamenané ve vnitřní evidenci programu JUDIKATURA.</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14</w:t>
      </w:r>
    </w:p>
    <w:p w:rsidR="004051FF" w:rsidRPr="004051FF" w:rsidRDefault="007A5DF6"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F72E3C">
        <w:rPr>
          <w:rFonts w:ascii="Times New Roman" w:hAnsi="Times New Roman" w:cs="Times New Roman"/>
          <w:b/>
          <w:bCs/>
          <w:sz w:val="24"/>
          <w:szCs w:val="24"/>
          <w:highlight w:val="white"/>
        </w:rPr>
        <w:t>Pseudonymizace</w:t>
      </w:r>
      <w:r w:rsidR="004051FF" w:rsidRPr="004051FF">
        <w:rPr>
          <w:rFonts w:ascii="Times New Roman" w:hAnsi="Times New Roman" w:cs="Times New Roman"/>
          <w:b/>
          <w:bCs/>
          <w:sz w:val="24"/>
          <w:szCs w:val="24"/>
          <w:highlight w:val="white"/>
        </w:rPr>
        <w:t xml:space="preserve"> a úprava rozhodnutí schválených k zařazení do centrální evidence</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9B4844"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76671A">
        <w:rPr>
          <w:rFonts w:ascii="Times New Roman" w:hAnsi="Times New Roman" w:cs="Times New Roman"/>
          <w:sz w:val="24"/>
          <w:szCs w:val="24"/>
          <w:highlight w:val="white"/>
        </w:rPr>
        <w:t>(1) U rozhodnutí schválených k zařazení do centrální evidence provede odborný referent v programu JUDIKATURA jejich</w:t>
      </w:r>
      <w:r w:rsidRPr="00F72E3C">
        <w:rPr>
          <w:rFonts w:ascii="Times New Roman" w:hAnsi="Times New Roman" w:cs="Times New Roman"/>
          <w:sz w:val="24"/>
          <w:szCs w:val="24"/>
          <w:highlight w:val="white"/>
        </w:rPr>
        <w:t xml:space="preserve"> </w:t>
      </w:r>
      <w:r w:rsidR="007A5DF6" w:rsidRPr="00F72E3C">
        <w:rPr>
          <w:rFonts w:ascii="Times New Roman" w:hAnsi="Times New Roman" w:cs="Times New Roman"/>
          <w:sz w:val="24"/>
          <w:szCs w:val="24"/>
          <w:highlight w:val="white"/>
        </w:rPr>
        <w:t xml:space="preserve">pseudonymizaci </w:t>
      </w:r>
      <w:r w:rsidR="007A5DF6">
        <w:rPr>
          <w:rFonts w:ascii="Times New Roman" w:hAnsi="Times New Roman" w:cs="Times New Roman"/>
          <w:sz w:val="24"/>
          <w:szCs w:val="24"/>
          <w:highlight w:val="white"/>
        </w:rPr>
        <w:t>a úpravy.</w:t>
      </w:r>
      <w:r w:rsidR="007A5DF6" w:rsidRPr="007A5DF6">
        <w:rPr>
          <w:rFonts w:ascii="Garamond" w:eastAsia="MS Mincho" w:hAnsi="Garamond"/>
          <w:color w:val="00B0F0"/>
          <w:sz w:val="16"/>
          <w:szCs w:val="16"/>
        </w:rPr>
        <w:t xml:space="preserve"> </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u w:val="singl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Odborný referent rovněž opraví překlepy, zjevné chyby v psaní a případné gramatické chyby, které jsou obsaženy v písemném vyhotovení rozhodnutí.</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(3) Vzniknou-li pochybnosti, jak mají být </w:t>
      </w:r>
      <w:r w:rsidR="007A5DF6" w:rsidRPr="00F72E3C">
        <w:rPr>
          <w:rFonts w:ascii="Times New Roman" w:hAnsi="Times New Roman" w:cs="Times New Roman"/>
          <w:sz w:val="24"/>
          <w:szCs w:val="24"/>
          <w:highlight w:val="white"/>
        </w:rPr>
        <w:t>pseudonymizace</w:t>
      </w:r>
      <w:r w:rsidRPr="004051FF">
        <w:rPr>
          <w:rFonts w:ascii="Times New Roman" w:hAnsi="Times New Roman" w:cs="Times New Roman"/>
          <w:sz w:val="24"/>
          <w:szCs w:val="24"/>
          <w:highlight w:val="white"/>
        </w:rPr>
        <w:t xml:space="preserve"> a úpravy provedeny, vyžádá si</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odborný referent pokyn od předsedy evidenčního senátu nebo pověřeného člena evidenčního senátu.</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V rozhodnutí provede odborný referent další změny a úpravy, rozhodl-li o tom evidenční senát.</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Default="005D66C9"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(5)</w:t>
      </w:r>
      <w:r w:rsidR="004051FF" w:rsidRPr="00F72E3C">
        <w:rPr>
          <w:rFonts w:ascii="Times New Roman" w:hAnsi="Times New Roman" w:cs="Times New Roman"/>
          <w:sz w:val="24"/>
          <w:szCs w:val="24"/>
          <w:highlight w:val="white"/>
        </w:rPr>
        <w:t xml:space="preserve"> </w:t>
      </w:r>
      <w:r w:rsidR="004051FF" w:rsidRPr="0076671A">
        <w:rPr>
          <w:rFonts w:ascii="Times New Roman" w:hAnsi="Times New Roman" w:cs="Times New Roman"/>
          <w:sz w:val="24"/>
          <w:szCs w:val="24"/>
          <w:highlight w:val="white"/>
        </w:rPr>
        <w:t xml:space="preserve">Za správnost provedení </w:t>
      </w:r>
      <w:r w:rsidR="007A5DF6" w:rsidRPr="00F72E3C">
        <w:rPr>
          <w:rFonts w:ascii="Times New Roman" w:hAnsi="Times New Roman" w:cs="Times New Roman"/>
          <w:sz w:val="24"/>
          <w:szCs w:val="24"/>
          <w:highlight w:val="white"/>
        </w:rPr>
        <w:t>pseudonymizace</w:t>
      </w:r>
      <w:r w:rsidR="004051FF" w:rsidRPr="0076671A">
        <w:rPr>
          <w:rFonts w:ascii="Times New Roman" w:hAnsi="Times New Roman" w:cs="Times New Roman"/>
          <w:sz w:val="24"/>
          <w:szCs w:val="24"/>
          <w:highlight w:val="white"/>
        </w:rPr>
        <w:t>, shody zveřejňovaného rozhodnutí s</w:t>
      </w:r>
      <w:r>
        <w:rPr>
          <w:rFonts w:ascii="Times New Roman" w:hAnsi="Times New Roman" w:cs="Times New Roman"/>
          <w:sz w:val="24"/>
          <w:szCs w:val="24"/>
          <w:highlight w:val="white"/>
        </w:rPr>
        <w:t> </w:t>
      </w:r>
      <w:r w:rsidR="004051FF" w:rsidRPr="0076671A">
        <w:rPr>
          <w:rFonts w:ascii="Times New Roman" w:hAnsi="Times New Roman" w:cs="Times New Roman"/>
          <w:sz w:val="24"/>
          <w:szCs w:val="24"/>
          <w:highlight w:val="white"/>
        </w:rPr>
        <w:t>originálem, popřípadě event. dalších změn a úprav, odpovídá odborný referent.</w:t>
      </w:r>
    </w:p>
    <w:p w:rsidR="008E47A4" w:rsidRPr="0076671A" w:rsidRDefault="008E47A4"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rPr>
          <w:rFonts w:ascii="Times New Roman" w:hAnsi="Times New Roman" w:cs="Times New Roman"/>
          <w:i/>
          <w:iCs/>
          <w:sz w:val="24"/>
          <w:szCs w:val="24"/>
          <w:highlight w:val="white"/>
          <w:u w:val="singl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15</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Předseda nebo pověřený člen evidenčního senátu mohou v rozhodnutí navrhnout provedení dalších úprav, ukazuje-li se to potřebné pro splnění účelu zařazení příslušného rozhodnutí do centrální evidence. Tyto další úpravy mohou spočívat v tom, že se vypustí část odůvodnění (jednotlivá slova, věty nebo odstavce), které se netýkají problematiky řešené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právní větě nebo z jiných důvodů jsou nevhodné k publikaci.</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Provedení dalších úprav podle odstavce 1 předseda nebo pověřený člen evidenčního senátu projedná s</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příslušným předsedou senátu; úpravy mohou být provedeny jen tehdy, jestliže s nimi příslušný předseda senátu vysloví souhlas.</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Úpravy provedené předsedou nebo pověřeným členem evidenčního senátu podle odstavce 1 zanese odborný referent do programu JUDIKATURA.</w:t>
      </w:r>
    </w:p>
    <w:p w:rsidR="00535945" w:rsidRPr="004051FF" w:rsidRDefault="00535945"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16</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Před zařazením rozhodnutí k odeslání do centrální evidence předseda evidenčního senátu nebo jím pověřený člen evidenčního senátu zkontroluje, zda bylo rozhodnutí </w:t>
      </w:r>
      <w:r w:rsidR="005D66C9" w:rsidRPr="00F72E3C">
        <w:rPr>
          <w:rFonts w:ascii="Times New Roman" w:hAnsi="Times New Roman" w:cs="Times New Roman"/>
          <w:sz w:val="24"/>
          <w:szCs w:val="24"/>
          <w:highlight w:val="white"/>
        </w:rPr>
        <w:t>pseudonymizováno</w:t>
      </w:r>
      <w:r w:rsidRPr="004051FF">
        <w:rPr>
          <w:rFonts w:ascii="Times New Roman" w:hAnsi="Times New Roman" w:cs="Times New Roman"/>
          <w:sz w:val="24"/>
          <w:szCs w:val="24"/>
          <w:highlight w:val="white"/>
        </w:rPr>
        <w:t xml:space="preserve"> a byly provedeny příslušné úpravy v souladu s § 14 a zda jsou vyplněny všechny údaje povinně uváděné v centrální evidenci.</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(2) Po provedení </w:t>
      </w:r>
      <w:r w:rsidR="007A5DF6" w:rsidRPr="00F72E3C">
        <w:rPr>
          <w:rFonts w:ascii="Times New Roman" w:hAnsi="Times New Roman" w:cs="Times New Roman"/>
          <w:sz w:val="24"/>
          <w:szCs w:val="24"/>
          <w:highlight w:val="white"/>
        </w:rPr>
        <w:t>pseudonymizace</w:t>
      </w:r>
      <w:r w:rsidRPr="004051FF">
        <w:rPr>
          <w:rFonts w:ascii="Times New Roman" w:hAnsi="Times New Roman" w:cs="Times New Roman"/>
          <w:sz w:val="24"/>
          <w:szCs w:val="24"/>
          <w:highlight w:val="white"/>
        </w:rPr>
        <w:t xml:space="preserve"> a úprav podle § 15 odborný referent evidenčního senátu příslušné rozhodnutí v programu JUDIKATURA zařadí k odeslání do centrální evidence soudních rozhodnutí.</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O zařazení rozhodnutí do centrální evidence vyrozumí odborný referent evidenčního senátu předsedu senátu, který rozhodnutí vydal.</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17</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Opravy překlepů, chyb v psaní nebo v počtech a jiných zřejmých nesprávností</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Ukáže-li se dodatečně, že ve znění právní věty nebo textu judikátu je potřebné provést opravu překlepů, chyb v psaní nebo gramatických chyb, postupuje se přiměřeně podle § 14 odst. 2. Opravy lze provést jen tehdy, vysloví-li s nimi evidenční senát souhlas a pouze u</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 jež byla do evidence zařazena na základě jeho schválení.</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18</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Další úkony po zařazení rozhodnutí do centrální evidence</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Po zařazení rozhodnutí do centrální evidence odborný referent evidenčního senátu:</w:t>
      </w:r>
    </w:p>
    <w:p w:rsidR="004051FF" w:rsidRPr="00DF4A24" w:rsidRDefault="004051FF" w:rsidP="0076671A">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sidR="0076671A">
        <w:rPr>
          <w:rFonts w:ascii="Times New Roman" w:hAnsi="Times New Roman" w:cs="Times New Roman"/>
          <w:sz w:val="24"/>
          <w:szCs w:val="24"/>
          <w:highlight w:val="white"/>
        </w:rPr>
        <w:tab/>
        <w:t>v</w:t>
      </w:r>
      <w:r w:rsidRPr="004051FF">
        <w:rPr>
          <w:rFonts w:ascii="Times New Roman" w:hAnsi="Times New Roman" w:cs="Times New Roman"/>
          <w:sz w:val="24"/>
          <w:szCs w:val="24"/>
          <w:highlight w:val="white"/>
        </w:rPr>
        <w:t>yznačí u jednotlivých rozhodnutí v programu JUDIKATURA číslo, pod kterým bylo rozhodnutí publikováno ve Sbírce soudních rozhodnutí a stano</w:t>
      </w:r>
      <w:r w:rsidR="00DF4A24">
        <w:rPr>
          <w:rFonts w:ascii="Times New Roman" w:hAnsi="Times New Roman" w:cs="Times New Roman"/>
          <w:sz w:val="24"/>
          <w:szCs w:val="24"/>
          <w:highlight w:val="white"/>
        </w:rPr>
        <w:t>visek, a příslušné číslo sešitu</w:t>
      </w:r>
      <w:r w:rsidR="00DF4A24">
        <w:rPr>
          <w:rFonts w:ascii="Times New Roman" w:hAnsi="Times New Roman" w:cs="Times New Roman"/>
          <w:b/>
          <w:color w:val="0070C0"/>
          <w:sz w:val="24"/>
          <w:szCs w:val="24"/>
          <w:highlight w:val="white"/>
        </w:rPr>
        <w:t>,</w:t>
      </w:r>
    </w:p>
    <w:p w:rsidR="004051FF" w:rsidRDefault="004051FF"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b) </w:t>
      </w:r>
      <w:r w:rsidR="0076671A">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vyznačí v oddíle Poznámky, jak s rozh</w:t>
      </w:r>
      <w:r w:rsidR="0076671A">
        <w:rPr>
          <w:rFonts w:ascii="Times New Roman" w:hAnsi="Times New Roman" w:cs="Times New Roman"/>
          <w:sz w:val="24"/>
          <w:szCs w:val="24"/>
          <w:highlight w:val="white"/>
        </w:rPr>
        <w:t>odnutím naložil nadřízený soud.</w:t>
      </w:r>
    </w:p>
    <w:p w:rsidR="008E47A4" w:rsidRDefault="008E47A4"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8E47A4" w:rsidRDefault="008E47A4"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8E47A4" w:rsidRDefault="008E47A4"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8E47A4" w:rsidRPr="004051FF" w:rsidRDefault="008E47A4"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ČTVRTÁ</w:t>
      </w:r>
    </w:p>
    <w:p w:rsidR="004051FF" w:rsidRPr="004051FF" w:rsidRDefault="004051FF"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Opatření k z</w:t>
      </w:r>
      <w:r w:rsidR="0076671A">
        <w:rPr>
          <w:rFonts w:ascii="Times New Roman" w:hAnsi="Times New Roman" w:cs="Times New Roman"/>
          <w:b/>
          <w:bCs/>
          <w:sz w:val="24"/>
          <w:szCs w:val="24"/>
          <w:highlight w:val="white"/>
        </w:rPr>
        <w:t>ajištění jednotného rozhodování</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19</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Dospěje-li evidenční senát k závěru, že jím projednávané rozhodnutí není v souladu s</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jinými rozhodnutími přijatými senáty jednotlivých úseků nebo s judikaturou publikovanou ve</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Sbírce soudních rozhodnutí a stanovisek či s judikaturou zařazenou do vnitřní evidence soudu, upozorní místopředsedu soudu, a jde-li o rozhodnutí okresního soudu, předsedu soudu, popřípadě mu navrhne k vyřešení zjištěného nesouladu vhodné opatření.</w:t>
      </w:r>
    </w:p>
    <w:p w:rsidR="00DF4A24"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ČÁST PÁTÁ</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b/>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Zveřejňování dalších rozhodnutí</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b/>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19a</w:t>
      </w: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Rozsah zveřejňovaných rozhodnutí</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(1) Není-li dále stanoveno jinak, soudy zveřejňují rozhodnutí ve věci samé v agendách uvedených v příloze č. 2 této instrukce.   </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F72E3C" w:rsidRDefault="00DF4A24" w:rsidP="00DF4A24">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(2) Nezveřejňují se platební rozkazy, elektronické platební rozkazy, evropské platební rozkazy, směnečné a šekové platební rozkazy, trestní příkazy, rozhodnutí neobsahující v souladu s příslušnými procesními předpisy odůvodnění, rozsudky pro uznání, rozsudky pro zmeškání, rozhodnutí o schválení smíru a rozhodnutí ve věcech rozvodu manželství bez zjišťování příčin rozvratu. Trestní příkaz nebo rozhodnutí neobsahující v souladu s příslušnými procesními předpisy odůvodnění se však zveřejní, jedná-li se o trestný čin podle § 331 až 333 trestního zákoníku. </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F72E3C" w:rsidRDefault="00DF4A24" w:rsidP="00DF4A24">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(3) Postup při zařazování rozhodnutí do vnitřní evidence a centrální evidence a při uveřejňování rozhodnutí podle předchozích částí zůstává ustanoveními této části nedotčen. </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F72E3C" w:rsidRDefault="00DF4A24" w:rsidP="00DF4A24">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(4) Na postup při zveřejňování rozhodnutí podle této části se nepoužijí ustanovení § 3 a</w:t>
      </w:r>
      <w:r w:rsidR="00F72E3C">
        <w:rPr>
          <w:rFonts w:ascii="Times New Roman" w:hAnsi="Times New Roman" w:cs="Times New Roman"/>
          <w:sz w:val="24"/>
          <w:szCs w:val="24"/>
          <w:highlight w:val="white"/>
        </w:rPr>
        <w:t> </w:t>
      </w:r>
      <w:r w:rsidRPr="00F72E3C">
        <w:rPr>
          <w:rFonts w:ascii="Times New Roman" w:hAnsi="Times New Roman" w:cs="Times New Roman"/>
          <w:sz w:val="24"/>
          <w:szCs w:val="24"/>
          <w:highlight w:val="white"/>
        </w:rPr>
        <w:t xml:space="preserve">4 a dále ustanovení části druhé až čtvrté. </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19b</w:t>
      </w: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Pokyn ke zveřejnění rozhodnutí</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Pokyn ke zveřejnění rozhodnutí vydá bezprostředně po právní moci rozhodnutí v referátu ten, kdo rozhodnutí vydal, případně pověřený vyšší soudní úředník, asistent soudce či justiční čekatel. Součástí tohoto pokynu je minimálně údaj podle § 19e písm. d) až f). </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19c</w:t>
      </w: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Odpovědné osoby</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ind w:firstLine="720"/>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Předseda soudu v rozvrhu práce určí osobu (osoby) odpovědnou za provádění pseudonymizace rozhodnutí a jejich vkládání do databáze soudních rozhodnutí. </w:t>
      </w:r>
    </w:p>
    <w:p w:rsid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19d</w:t>
      </w: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Postup při pseudonymizaci a zveřejňování rozhodnutí</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DF4A24">
        <w:rPr>
          <w:rFonts w:ascii="Times New Roman" w:hAnsi="Times New Roman" w:cs="Times New Roman"/>
          <w:b/>
          <w:color w:val="0070C0"/>
          <w:sz w:val="24"/>
          <w:szCs w:val="24"/>
          <w:highlight w:val="white"/>
        </w:rPr>
        <w:tab/>
      </w:r>
      <w:r w:rsidRPr="00F72E3C">
        <w:rPr>
          <w:rFonts w:ascii="Times New Roman" w:hAnsi="Times New Roman" w:cs="Times New Roman"/>
          <w:sz w:val="24"/>
          <w:szCs w:val="24"/>
          <w:highlight w:val="white"/>
        </w:rPr>
        <w:t xml:space="preserve">(1) Rozhodnutí podle § 19a pseudonymizovaná podle § 2a a 2b soud zveřejní v databázi soudních rozhodnutí, kterou zřizuje a spravuje Ministerstvo spravedlnosti. </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t xml:space="preserve">(2) Pseudonymizaci a zveřejnění rozhodnutí provede odpovědná osoba bezprostředně po vydání pokynu podle § 19b, zpravidla nejpozději zároveň s vyhotovením statistického listu, jedná-li se o agendu, v níž se statistický list vyhotovuje. Není-li to technicky možné, provede soud pseudonymizaci a zveřejnění rozhodnutí bezprostředně po odstranění technického problému, který této činnosti zabránil. </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F72E3C">
        <w:rPr>
          <w:rFonts w:ascii="Times New Roman" w:hAnsi="Times New Roman" w:cs="Times New Roman"/>
          <w:sz w:val="24"/>
          <w:szCs w:val="24"/>
          <w:highlight w:val="white"/>
        </w:rPr>
        <w:tab/>
        <w:t>(3) Soud podle této části pseudonymizuje pouze ta rozhodnutí, která vydal.</w:t>
      </w:r>
      <w:r w:rsidRPr="00DF4A24">
        <w:rPr>
          <w:rFonts w:ascii="Times New Roman" w:hAnsi="Times New Roman" w:cs="Times New Roman"/>
          <w:b/>
          <w:color w:val="0070C0"/>
          <w:sz w:val="24"/>
          <w:szCs w:val="24"/>
          <w:highlight w:val="white"/>
        </w:rPr>
        <w:t xml:space="preserve"> </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 19e</w:t>
      </w:r>
    </w:p>
    <w:p w:rsidR="00DF4A24" w:rsidRPr="00F72E3C"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F72E3C">
        <w:rPr>
          <w:rFonts w:ascii="Times New Roman" w:hAnsi="Times New Roman" w:cs="Times New Roman"/>
          <w:b/>
          <w:sz w:val="24"/>
          <w:szCs w:val="24"/>
          <w:highlight w:val="white"/>
        </w:rPr>
        <w:t>Povinné údaje pro zařazení do databáze soudních rozhodnutí</w:t>
      </w:r>
    </w:p>
    <w:p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t xml:space="preserve">(1) Rozhodnutí zveřejňovaná podle této části je třeba opatřit následujícími údaji: </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a) </w:t>
      </w:r>
      <w:r w:rsidRPr="00F72E3C">
        <w:rPr>
          <w:rFonts w:ascii="Times New Roman" w:hAnsi="Times New Roman" w:cs="Times New Roman"/>
          <w:sz w:val="24"/>
          <w:szCs w:val="24"/>
          <w:highlight w:val="white"/>
        </w:rPr>
        <w:tab/>
        <w:t>datum vydání rozhodnutí,</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b) </w:t>
      </w:r>
      <w:r w:rsidRPr="00F72E3C">
        <w:rPr>
          <w:rFonts w:ascii="Times New Roman" w:hAnsi="Times New Roman" w:cs="Times New Roman"/>
          <w:sz w:val="24"/>
          <w:szCs w:val="24"/>
          <w:highlight w:val="white"/>
        </w:rPr>
        <w:tab/>
        <w:t>forma rozhodnutí,</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c) </w:t>
      </w:r>
      <w:r w:rsidRPr="00F72E3C">
        <w:rPr>
          <w:rFonts w:ascii="Times New Roman" w:hAnsi="Times New Roman" w:cs="Times New Roman"/>
          <w:sz w:val="24"/>
          <w:szCs w:val="24"/>
          <w:highlight w:val="white"/>
        </w:rPr>
        <w:tab/>
        <w:t xml:space="preserve">spisová značka rozhodnutí, </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d) </w:t>
      </w:r>
      <w:r w:rsidRPr="00F72E3C">
        <w:rPr>
          <w:rFonts w:ascii="Times New Roman" w:hAnsi="Times New Roman" w:cs="Times New Roman"/>
          <w:sz w:val="24"/>
          <w:szCs w:val="24"/>
          <w:highlight w:val="white"/>
        </w:rPr>
        <w:tab/>
        <w:t>označení ustanovení předpisů, jichž se rozhodnutí týká,</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e)</w:t>
      </w:r>
      <w:r w:rsidRPr="00F72E3C">
        <w:rPr>
          <w:rFonts w:ascii="Times New Roman" w:hAnsi="Times New Roman" w:cs="Times New Roman"/>
          <w:sz w:val="24"/>
          <w:szCs w:val="24"/>
          <w:highlight w:val="white"/>
        </w:rPr>
        <w:tab/>
        <w:t xml:space="preserve">označení, zda se jedná o rozhodnutí, které se týká či obsahuje odkaz na Úmluvu o ochraně lidských práv a základních svobod ve znění jejích protokolů nebo rozhodnutí Evropského soudu pro lidská práva, </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f)</w:t>
      </w:r>
      <w:r w:rsidRPr="00F72E3C">
        <w:rPr>
          <w:rFonts w:ascii="Times New Roman" w:hAnsi="Times New Roman" w:cs="Times New Roman"/>
          <w:sz w:val="24"/>
          <w:szCs w:val="24"/>
          <w:highlight w:val="white"/>
        </w:rPr>
        <w:tab/>
        <w:t xml:space="preserve">označení, zda se jedná o rozhodnutí, které se týká či obsahuje odkaz na některý z pramenů práva Evropské unie vyjmenovaných v § 5 odst. 6, </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g) </w:t>
      </w:r>
      <w:r w:rsidRPr="00F72E3C">
        <w:rPr>
          <w:rFonts w:ascii="Times New Roman" w:hAnsi="Times New Roman" w:cs="Times New Roman"/>
          <w:sz w:val="24"/>
          <w:szCs w:val="24"/>
          <w:highlight w:val="white"/>
        </w:rPr>
        <w:tab/>
        <w:t>úsek soudu, který rozhodnutí vydal,</w:t>
      </w:r>
    </w:p>
    <w:p w:rsidR="00DF4A24" w:rsidRPr="00F72E3C" w:rsidRDefault="00DF4A24" w:rsidP="00AF284A">
      <w:pPr>
        <w:widowControl w:val="0"/>
        <w:autoSpaceDE w:val="0"/>
        <w:autoSpaceDN w:val="0"/>
        <w:adjustRightInd w:val="0"/>
        <w:spacing w:after="0" w:line="240" w:lineRule="auto"/>
        <w:ind w:left="426" w:hanging="426"/>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 xml:space="preserve">h) </w:t>
      </w:r>
      <w:r w:rsidRPr="00F72E3C">
        <w:rPr>
          <w:rFonts w:ascii="Times New Roman" w:hAnsi="Times New Roman" w:cs="Times New Roman"/>
          <w:sz w:val="24"/>
          <w:szCs w:val="24"/>
          <w:highlight w:val="white"/>
        </w:rPr>
        <w:tab/>
        <w:t>jméno a příjmení soudce (předsedy senátu).</w:t>
      </w: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rsidR="00DF4A24" w:rsidRPr="00F72E3C"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F72E3C">
        <w:rPr>
          <w:rFonts w:ascii="Times New Roman" w:hAnsi="Times New Roman" w:cs="Times New Roman"/>
          <w:sz w:val="24"/>
          <w:szCs w:val="24"/>
          <w:highlight w:val="white"/>
        </w:rPr>
        <w:tab/>
        <w:t xml:space="preserve">(2) Pokud jsou některé z údajů podle předchozího odstavce vyplňovány automaticky, osoba odpovědná za zveřejnění rozhodnutí tyto údaje zkontroluje, případně opraví či doplní údaje chybějící. </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xml:space="preserve">ČÁST </w:t>
      </w:r>
      <w:r w:rsidR="00DF4A24" w:rsidRPr="00F72E3C">
        <w:rPr>
          <w:rFonts w:ascii="Times New Roman" w:hAnsi="Times New Roman" w:cs="Times New Roman"/>
          <w:b/>
          <w:bCs/>
          <w:sz w:val="24"/>
          <w:szCs w:val="24"/>
          <w:highlight w:val="white"/>
        </w:rPr>
        <w:t>ŠESTÁ</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Přechodná a závěrečná ustanovení</w:t>
      </w:r>
    </w:p>
    <w:p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20</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Podle této instrukce se zařazují rozhodnutí vyhlášená od data účinnosti instrukce.</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Rozhodnutí vyhlášená před účinností instrukce je možné zařadit do elektronické evidence za podmínek stanovených v této instrukci.</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lastRenderedPageBreak/>
        <w:t>§ 21</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Přílohu této </w:t>
      </w:r>
      <w:r w:rsidR="00A1171D" w:rsidRPr="00F72E3C">
        <w:rPr>
          <w:rFonts w:ascii="Times New Roman" w:hAnsi="Times New Roman" w:cs="Times New Roman"/>
          <w:sz w:val="24"/>
          <w:szCs w:val="24"/>
          <w:highlight w:val="white"/>
        </w:rPr>
        <w:t>instrukce</w:t>
      </w:r>
      <w:r w:rsidRPr="004051FF">
        <w:rPr>
          <w:rFonts w:ascii="Times New Roman" w:hAnsi="Times New Roman" w:cs="Times New Roman"/>
          <w:sz w:val="24"/>
          <w:szCs w:val="24"/>
          <w:highlight w:val="white"/>
        </w:rPr>
        <w:t xml:space="preserve"> tvoří vzor závěrečného referátu pro účely elektronické evidence soudní judikatury podle § 6 </w:t>
      </w:r>
      <w:r w:rsidR="00A1171D" w:rsidRPr="00F72E3C">
        <w:rPr>
          <w:rFonts w:ascii="Times New Roman" w:hAnsi="Times New Roman" w:cs="Times New Roman"/>
          <w:sz w:val="24"/>
          <w:szCs w:val="24"/>
          <w:highlight w:val="white"/>
        </w:rPr>
        <w:t>instrukce</w:t>
      </w:r>
      <w:r w:rsidRPr="004051FF">
        <w:rPr>
          <w:rFonts w:ascii="Times New Roman" w:hAnsi="Times New Roman" w:cs="Times New Roman"/>
          <w:sz w:val="24"/>
          <w:szCs w:val="24"/>
          <w:highlight w:val="white"/>
        </w:rPr>
        <w:t>.</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22</w:t>
      </w:r>
    </w:p>
    <w:p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Tato instrukce nabývá účinnosti dnem 1. ledna 2003.</w:t>
      </w:r>
    </w:p>
    <w:p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6671A" w:rsidRDefault="0076671A"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3F08F7" w:rsidRDefault="003F08F7"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726F49" w:rsidRDefault="00726F49" w:rsidP="00726F49">
      <w:pPr>
        <w:widowControl w:val="0"/>
        <w:autoSpaceDE w:val="0"/>
        <w:autoSpaceDN w:val="0"/>
        <w:adjustRightInd w:val="0"/>
        <w:spacing w:after="0" w:line="240" w:lineRule="auto"/>
        <w:ind w:firstLine="600"/>
        <w:rPr>
          <w:rFonts w:ascii="Times New Roman" w:hAnsi="Times New Roman" w:cs="Times New Roman"/>
          <w:sz w:val="24"/>
          <w:szCs w:val="24"/>
          <w:highlight w:val="white"/>
        </w:rPr>
        <w:sectPr w:rsidR="00726F49" w:rsidSect="003F08F7">
          <w:headerReference w:type="default" r:id="rId7"/>
          <w:footerReference w:type="default" r:id="rId8"/>
          <w:headerReference w:type="first" r:id="rId9"/>
          <w:footerReference w:type="first" r:id="rId10"/>
          <w:pgSz w:w="11906" w:h="16838"/>
          <w:pgMar w:top="1417" w:right="1417" w:bottom="1417" w:left="1417" w:header="708" w:footer="708" w:gutter="0"/>
          <w:cols w:space="708"/>
          <w:noEndnote/>
          <w:docGrid w:linePitch="299"/>
        </w:sectPr>
      </w:pPr>
      <w:r>
        <w:rPr>
          <w:rFonts w:ascii="Times New Roman" w:hAnsi="Times New Roman" w:cs="Times New Roman"/>
          <w:sz w:val="24"/>
          <w:szCs w:val="24"/>
          <w:highlight w:val="white"/>
        </w:rPr>
        <w:br w:type="page"/>
      </w:r>
    </w:p>
    <w:p w:rsidR="003F08F7" w:rsidRDefault="003F08F7" w:rsidP="00726F49">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rsidR="004051FF" w:rsidRPr="00997687" w:rsidRDefault="004051FF" w:rsidP="004051FF">
      <w:pPr>
        <w:widowControl w:val="0"/>
        <w:autoSpaceDE w:val="0"/>
        <w:autoSpaceDN w:val="0"/>
        <w:adjustRightInd w:val="0"/>
        <w:spacing w:after="0" w:line="240" w:lineRule="auto"/>
        <w:jc w:val="center"/>
        <w:rPr>
          <w:rFonts w:ascii="Times New Roman" w:hAnsi="Times New Roman" w:cs="Times New Roman"/>
          <w:bCs/>
          <w:sz w:val="24"/>
          <w:szCs w:val="24"/>
          <w:highlight w:val="white"/>
        </w:rPr>
      </w:pPr>
      <w:r w:rsidRPr="00997687">
        <w:rPr>
          <w:rFonts w:ascii="Times New Roman" w:hAnsi="Times New Roman" w:cs="Times New Roman"/>
          <w:bCs/>
          <w:sz w:val="24"/>
          <w:szCs w:val="24"/>
          <w:highlight w:val="white"/>
        </w:rPr>
        <w:t>V</w:t>
      </w:r>
      <w:r w:rsidR="007F55A6" w:rsidRPr="00997687">
        <w:rPr>
          <w:rFonts w:ascii="Times New Roman" w:hAnsi="Times New Roman" w:cs="Times New Roman"/>
          <w:bCs/>
          <w:sz w:val="24"/>
          <w:szCs w:val="24"/>
          <w:highlight w:val="white"/>
        </w:rPr>
        <w:t>ZOR</w:t>
      </w:r>
    </w:p>
    <w:p w:rsidR="007F55A6" w:rsidRPr="004051FF" w:rsidRDefault="007F55A6"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rsidR="00BC5549" w:rsidRPr="00BC5549" w:rsidRDefault="00BC5549" w:rsidP="00BC5549">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Závěrečný referát</w:t>
      </w:r>
    </w:p>
    <w:p w:rsidR="00BC5549" w:rsidRPr="00997687" w:rsidRDefault="007F55A6"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 xml:space="preserve">podle § 6 </w:t>
      </w:r>
      <w:r w:rsidR="00A1171D" w:rsidRPr="008E47A4">
        <w:rPr>
          <w:rFonts w:ascii="Times New Roman" w:hAnsi="Times New Roman" w:cs="Times New Roman"/>
          <w:b/>
          <w:sz w:val="24"/>
          <w:szCs w:val="24"/>
          <w:highlight w:val="white"/>
        </w:rPr>
        <w:t>instrukce</w:t>
      </w:r>
      <w:r w:rsidRPr="00997687">
        <w:rPr>
          <w:rFonts w:ascii="Times New Roman" w:hAnsi="Times New Roman" w:cs="Times New Roman"/>
          <w:b/>
          <w:bCs/>
          <w:sz w:val="24"/>
          <w:szCs w:val="24"/>
          <w:highlight w:val="white"/>
        </w:rPr>
        <w:t>, kterou se upravuje postup při ev</w:t>
      </w:r>
      <w:r w:rsidR="00BC5549" w:rsidRPr="00997687">
        <w:rPr>
          <w:rFonts w:ascii="Times New Roman" w:hAnsi="Times New Roman" w:cs="Times New Roman"/>
          <w:b/>
          <w:bCs/>
          <w:sz w:val="24"/>
          <w:szCs w:val="24"/>
          <w:highlight w:val="white"/>
        </w:rPr>
        <w:t>idenci a zařazování rozhodnutí</w:t>
      </w:r>
    </w:p>
    <w:p w:rsidR="00BC5549" w:rsidRPr="00997687" w:rsidRDefault="007F55A6"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okresních, krajských a vrchních soudů</w:t>
      </w:r>
    </w:p>
    <w:p w:rsidR="007F55A6" w:rsidRPr="00997687" w:rsidRDefault="00BC5549"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do systému elektronick</w:t>
      </w:r>
      <w:r w:rsidR="007F55A6" w:rsidRPr="00997687">
        <w:rPr>
          <w:rFonts w:ascii="Times New Roman" w:hAnsi="Times New Roman" w:cs="Times New Roman"/>
          <w:b/>
          <w:bCs/>
          <w:sz w:val="24"/>
          <w:szCs w:val="24"/>
          <w:highlight w:val="white"/>
        </w:rPr>
        <w:t>é evidence soudní judikatury</w:t>
      </w:r>
    </w:p>
    <w:p w:rsidR="004051FF" w:rsidRPr="004051FF" w:rsidRDefault="004051FF" w:rsidP="007F55A6">
      <w:pPr>
        <w:widowControl w:val="0"/>
        <w:autoSpaceDE w:val="0"/>
        <w:autoSpaceDN w:val="0"/>
        <w:adjustRightInd w:val="0"/>
        <w:spacing w:after="0" w:line="240" w:lineRule="auto"/>
        <w:ind w:right="-20000"/>
        <w:jc w:val="center"/>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A) Zařazení do kategorie z hlediska evidence judikatury</w:t>
      </w:r>
    </w:p>
    <w:p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A           B           C            E</w:t>
      </w:r>
    </w:p>
    <w:p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Ustanovení, jejichž výklad rozhodnutí řeší</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C) Návrh rejst</w:t>
      </w:r>
      <w:r w:rsidR="00BC5549">
        <w:rPr>
          <w:rFonts w:ascii="Times New Roman" w:hAnsi="Times New Roman" w:cs="Times New Roman"/>
          <w:sz w:val="24"/>
          <w:szCs w:val="24"/>
          <w:highlight w:val="white"/>
        </w:rPr>
        <w:t xml:space="preserve">říkového hesla </w:t>
      </w:r>
      <w:r w:rsidRPr="004051FF">
        <w:rPr>
          <w:rFonts w:ascii="Times New Roman" w:hAnsi="Times New Roman" w:cs="Times New Roman"/>
          <w:sz w:val="24"/>
          <w:szCs w:val="24"/>
          <w:highlight w:val="white"/>
        </w:rPr>
        <w:t>(je-li rozhodnutí navrhováno k zařazení do skupiny A - C)</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 Návrh právní věty</w:t>
      </w:r>
      <w:r w:rsidR="00BC5549">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(je-li rozhodnutí navrhováno k zařazení do skupiny A)</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E) Vyznačení poznámky v programu JUDIKATURA</w:t>
      </w:r>
    </w:p>
    <w:p w:rsidR="00BC5549" w:rsidRPr="004051FF" w:rsidRDefault="00BC5549"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V ...............</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 xml:space="preserve"> dne ..........</w:t>
      </w:r>
      <w:r w:rsidR="00BC5549">
        <w:rPr>
          <w:rFonts w:ascii="Times New Roman" w:hAnsi="Times New Roman" w:cs="Times New Roman"/>
          <w:sz w:val="24"/>
          <w:szCs w:val="24"/>
          <w:highlight w:val="white"/>
        </w:rPr>
        <w:t>...................</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w:t>
      </w:r>
      <w:r w:rsidR="00BC5549">
        <w:rPr>
          <w:rFonts w:ascii="Times New Roman" w:hAnsi="Times New Roman" w:cs="Times New Roman"/>
          <w:sz w:val="24"/>
          <w:szCs w:val="24"/>
          <w:highlight w:val="white"/>
        </w:rPr>
        <w:t>........................</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podpis</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8F6828" w:rsidRDefault="008F6828" w:rsidP="00BC5549">
      <w:pPr>
        <w:widowControl w:val="0"/>
        <w:autoSpaceDE w:val="0"/>
        <w:autoSpaceDN w:val="0"/>
        <w:adjustRightInd w:val="0"/>
        <w:spacing w:after="0" w:line="240" w:lineRule="auto"/>
        <w:rPr>
          <w:rFonts w:ascii="Times New Roman" w:hAnsi="Times New Roman" w:cs="Times New Roman"/>
          <w:sz w:val="24"/>
          <w:szCs w:val="24"/>
          <w:highlight w:val="white"/>
        </w:rPr>
        <w:sectPr w:rsidR="008F6828" w:rsidSect="00726F49">
          <w:pgSz w:w="11906" w:h="16838"/>
          <w:pgMar w:top="1417" w:right="1417" w:bottom="1417" w:left="1417" w:header="708" w:footer="708" w:gutter="0"/>
          <w:cols w:space="708"/>
          <w:noEndnote/>
          <w:titlePg/>
          <w:docGrid w:linePitch="299"/>
        </w:sectPr>
      </w:pP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195B20" w:rsidRPr="00195B20" w:rsidRDefault="00195B20" w:rsidP="00195B2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p w:rsidR="00195B20" w:rsidRPr="008E47A4" w:rsidRDefault="00195B20" w:rsidP="00195B20">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Rozsah zveřejňovaných rozhodnutí</w:t>
      </w:r>
    </w:p>
    <w:p w:rsidR="00195B20" w:rsidRPr="008E47A4" w:rsidRDefault="00195B20" w:rsidP="00195B20">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8E47A4">
        <w:rPr>
          <w:rFonts w:ascii="Times New Roman" w:hAnsi="Times New Roman" w:cs="Times New Roman"/>
          <w:b/>
          <w:sz w:val="24"/>
          <w:szCs w:val="24"/>
          <w:highlight w:val="white"/>
        </w:rPr>
        <w:tab/>
      </w:r>
      <w:r w:rsidRPr="008E47A4">
        <w:rPr>
          <w:rFonts w:ascii="Times New Roman" w:hAnsi="Times New Roman" w:cs="Times New Roman"/>
          <w:sz w:val="24"/>
          <w:szCs w:val="24"/>
          <w:highlight w:val="white"/>
        </w:rPr>
        <w:t xml:space="preserve">Soudy zveřejňují v rozsahu podle § 19a rozhodnutí ve věci samé v níže uvedených agendách: </w:t>
      </w:r>
    </w:p>
    <w:p w:rsidR="00195B20" w:rsidRPr="008E47A4" w:rsidRDefault="00195B20" w:rsidP="00195B20">
      <w:pPr>
        <w:widowControl w:val="0"/>
        <w:autoSpaceDE w:val="0"/>
        <w:autoSpaceDN w:val="0"/>
        <w:adjustRightInd w:val="0"/>
        <w:spacing w:after="0" w:line="240" w:lineRule="auto"/>
        <w:jc w:val="center"/>
        <w:rPr>
          <w:rFonts w:ascii="Times New Roman" w:hAnsi="Times New Roman" w:cs="Times New Roman"/>
          <w:b/>
          <w:sz w:val="24"/>
          <w:szCs w:val="24"/>
          <w:highlight w:val="whit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437"/>
      </w:tblGrid>
      <w:tr w:rsidR="00195B20" w:rsidRPr="008E47A4" w:rsidTr="00195B20">
        <w:tc>
          <w:tcPr>
            <w:tcW w:w="9067" w:type="dxa"/>
            <w:gridSpan w:val="2"/>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Krajské soudy</w:t>
            </w:r>
          </w:p>
        </w:tc>
      </w:tr>
      <w:tr w:rsidR="00195B20" w:rsidRPr="008E47A4" w:rsidTr="00195B20">
        <w:tc>
          <w:tcPr>
            <w:tcW w:w="2628"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Agenda (rejstřík)</w:t>
            </w:r>
          </w:p>
        </w:tc>
        <w:tc>
          <w:tcPr>
            <w:tcW w:w="6439"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Rozsah zveřejňovaných rozhodnutí</w:t>
            </w:r>
          </w:p>
        </w:tc>
      </w:tr>
      <w:tr w:rsidR="00195B20" w:rsidRPr="008E47A4" w:rsidTr="00195B20">
        <w:tc>
          <w:tcPr>
            <w:tcW w:w="2628"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C</w:t>
            </w:r>
          </w:p>
        </w:tc>
        <w:tc>
          <w:tcPr>
            <w:tcW w:w="6439"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8E47A4">
              <w:rPr>
                <w:rFonts w:ascii="Times New Roman" w:hAnsi="Times New Roman" w:cs="Times New Roman"/>
                <w:sz w:val="24"/>
                <w:szCs w:val="24"/>
                <w:highlight w:val="white"/>
              </w:rPr>
              <w:t>Rozhodnutí v rozsahu podle § 19a</w:t>
            </w:r>
          </w:p>
        </w:tc>
      </w:tr>
      <w:tr w:rsidR="00195B20" w:rsidRPr="008E47A4" w:rsidTr="00195B20">
        <w:tc>
          <w:tcPr>
            <w:tcW w:w="2628"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T</w:t>
            </w:r>
          </w:p>
        </w:tc>
        <w:tc>
          <w:tcPr>
            <w:tcW w:w="6439"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8E47A4">
              <w:rPr>
                <w:rFonts w:ascii="Times New Roman" w:hAnsi="Times New Roman" w:cs="Times New Roman"/>
                <w:sz w:val="24"/>
                <w:szCs w:val="24"/>
                <w:highlight w:val="white"/>
              </w:rPr>
              <w:t>Rozhodnutí o trestných činech podle § 331 až 333 trestního zákoníku</w:t>
            </w:r>
          </w:p>
        </w:tc>
      </w:tr>
      <w:tr w:rsidR="00195B20" w:rsidRPr="008E47A4" w:rsidTr="00195B20">
        <w:tc>
          <w:tcPr>
            <w:tcW w:w="9067" w:type="dxa"/>
            <w:gridSpan w:val="2"/>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Okresní soudy</w:t>
            </w:r>
          </w:p>
        </w:tc>
      </w:tr>
      <w:tr w:rsidR="00195B20" w:rsidRPr="008E47A4" w:rsidTr="00195B20">
        <w:tc>
          <w:tcPr>
            <w:tcW w:w="2628"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C</w:t>
            </w:r>
          </w:p>
        </w:tc>
        <w:tc>
          <w:tcPr>
            <w:tcW w:w="6439"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8E47A4">
              <w:rPr>
                <w:rFonts w:ascii="Times New Roman" w:hAnsi="Times New Roman" w:cs="Times New Roman"/>
                <w:sz w:val="24"/>
                <w:szCs w:val="24"/>
                <w:highlight w:val="white"/>
              </w:rPr>
              <w:t>Rozhodnutí v rozsahu podle § 19a</w:t>
            </w:r>
          </w:p>
        </w:tc>
      </w:tr>
      <w:tr w:rsidR="00195B20" w:rsidRPr="008E47A4" w:rsidTr="00195B20">
        <w:tc>
          <w:tcPr>
            <w:tcW w:w="2628"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8E47A4">
              <w:rPr>
                <w:rFonts w:ascii="Times New Roman" w:hAnsi="Times New Roman" w:cs="Times New Roman"/>
                <w:b/>
                <w:sz w:val="24"/>
                <w:szCs w:val="24"/>
                <w:highlight w:val="white"/>
              </w:rPr>
              <w:t>T</w:t>
            </w:r>
          </w:p>
        </w:tc>
        <w:tc>
          <w:tcPr>
            <w:tcW w:w="6439" w:type="dxa"/>
            <w:tcBorders>
              <w:top w:val="single" w:sz="4" w:space="0" w:color="auto"/>
              <w:left w:val="single" w:sz="4" w:space="0" w:color="auto"/>
              <w:bottom w:val="single" w:sz="4" w:space="0" w:color="auto"/>
              <w:right w:val="single" w:sz="4" w:space="0" w:color="auto"/>
            </w:tcBorders>
            <w:hideMark/>
          </w:tcPr>
          <w:p w:rsidR="00195B20" w:rsidRPr="008E47A4" w:rsidRDefault="00195B20" w:rsidP="00195B20">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8E47A4">
              <w:rPr>
                <w:rFonts w:ascii="Times New Roman" w:hAnsi="Times New Roman" w:cs="Times New Roman"/>
                <w:sz w:val="24"/>
                <w:szCs w:val="24"/>
                <w:highlight w:val="white"/>
              </w:rPr>
              <w:t>Rozhodnutí o trestných činech podle § 331 až 333 trestního zákoníku</w:t>
            </w:r>
          </w:p>
        </w:tc>
      </w:tr>
    </w:tbl>
    <w:p w:rsidR="00195B20" w:rsidRPr="008E47A4" w:rsidRDefault="00195B20"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195B20" w:rsidRDefault="00195B20"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195B20" w:rsidRDefault="00195B20"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191E56" w:rsidRDefault="00191E56"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191E56" w:rsidRDefault="00191E56"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191E56" w:rsidRDefault="00191E56"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rsidR="004051FF" w:rsidRPr="007D388A" w:rsidRDefault="007D388A"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7D388A">
        <w:rPr>
          <w:rFonts w:ascii="Times New Roman" w:hAnsi="Times New Roman" w:cs="Times New Roman"/>
          <w:b/>
          <w:sz w:val="24"/>
          <w:szCs w:val="24"/>
          <w:highlight w:val="white"/>
        </w:rPr>
        <w:t>P o z n á m k y</w:t>
      </w:r>
    </w:p>
    <w:p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rsidR="0076671A" w:rsidRPr="008E47A4" w:rsidRDefault="0076671A" w:rsidP="006114A5">
      <w:pPr>
        <w:widowControl w:val="0"/>
        <w:autoSpaceDE w:val="0"/>
        <w:autoSpaceDN w:val="0"/>
        <w:adjustRightInd w:val="0"/>
        <w:spacing w:after="0" w:line="240" w:lineRule="auto"/>
        <w:ind w:left="284" w:hanging="284"/>
        <w:rPr>
          <w:rFonts w:ascii="Times New Roman" w:hAnsi="Times New Roman" w:cs="Times New Roman"/>
          <w:iCs/>
          <w:sz w:val="24"/>
          <w:szCs w:val="24"/>
          <w:highlight w:val="white"/>
          <w:vertAlign w:val="superscript"/>
        </w:rPr>
      </w:pPr>
      <w:bookmarkStart w:id="1" w:name="Poznámka1"/>
      <w:r w:rsidRPr="008E47A4">
        <w:rPr>
          <w:rFonts w:ascii="Times New Roman" w:hAnsi="Times New Roman" w:cs="Times New Roman"/>
          <w:iCs/>
          <w:sz w:val="24"/>
          <w:szCs w:val="24"/>
          <w:highlight w:val="white"/>
          <w:vertAlign w:val="superscript"/>
        </w:rPr>
        <w:t xml:space="preserve">1) </w:t>
      </w:r>
      <w:r w:rsidR="006114A5" w:rsidRPr="008E47A4">
        <w:rPr>
          <w:rFonts w:ascii="Times New Roman" w:hAnsi="Times New Roman" w:cs="Times New Roman"/>
          <w:iCs/>
          <w:sz w:val="24"/>
          <w:szCs w:val="24"/>
          <w:highlight w:val="white"/>
          <w:vertAlign w:val="superscript"/>
        </w:rPr>
        <w:tab/>
      </w:r>
      <w:r w:rsidR="009B4844" w:rsidRPr="008E47A4">
        <w:rPr>
          <w:rFonts w:ascii="Times New Roman" w:hAnsi="Times New Roman" w:cs="Times New Roman"/>
          <w:i/>
          <w:iCs/>
          <w:sz w:val="24"/>
          <w:szCs w:val="24"/>
          <w:highlight w:val="white"/>
          <w:vertAlign w:val="superscript"/>
        </w:rPr>
        <w:t>Zrušena</w:t>
      </w:r>
    </w:p>
    <w:p w:rsidR="00A1171D" w:rsidRPr="008E47A4" w:rsidRDefault="00A1171D" w:rsidP="006114A5">
      <w:pPr>
        <w:widowControl w:val="0"/>
        <w:autoSpaceDE w:val="0"/>
        <w:autoSpaceDN w:val="0"/>
        <w:adjustRightInd w:val="0"/>
        <w:spacing w:after="0" w:line="240" w:lineRule="auto"/>
        <w:ind w:left="284" w:hanging="284"/>
        <w:jc w:val="both"/>
        <w:rPr>
          <w:rFonts w:ascii="Times New Roman" w:hAnsi="Times New Roman" w:cs="Times New Roman"/>
          <w:sz w:val="24"/>
          <w:szCs w:val="24"/>
          <w:highlight w:val="white"/>
          <w:vertAlign w:val="superscript"/>
        </w:rPr>
      </w:pPr>
      <w:bookmarkStart w:id="2" w:name="Poznámka2"/>
      <w:bookmarkEnd w:id="1"/>
      <w:r w:rsidRPr="008E47A4">
        <w:rPr>
          <w:rFonts w:ascii="Times New Roman" w:hAnsi="Times New Roman" w:cs="Times New Roman"/>
          <w:sz w:val="24"/>
          <w:szCs w:val="24"/>
          <w:highlight w:val="white"/>
          <w:vertAlign w:val="superscript"/>
        </w:rPr>
        <w:t xml:space="preserve">2) </w:t>
      </w:r>
      <w:r w:rsidRPr="008E47A4">
        <w:rPr>
          <w:rFonts w:ascii="Times New Roman" w:hAnsi="Times New Roman" w:cs="Times New Roman"/>
          <w:sz w:val="24"/>
          <w:szCs w:val="24"/>
          <w:highlight w:val="white"/>
          <w:vertAlign w:val="superscript"/>
        </w:rPr>
        <w:tab/>
        <w:t>Čl. 9 a 10 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A1171D" w:rsidRPr="008E47A4" w:rsidRDefault="00A1171D" w:rsidP="006114A5">
      <w:pPr>
        <w:widowControl w:val="0"/>
        <w:autoSpaceDE w:val="0"/>
        <w:autoSpaceDN w:val="0"/>
        <w:adjustRightInd w:val="0"/>
        <w:spacing w:after="0" w:line="240" w:lineRule="auto"/>
        <w:ind w:left="284" w:hanging="284"/>
        <w:jc w:val="both"/>
        <w:rPr>
          <w:rFonts w:ascii="Times New Roman" w:hAnsi="Times New Roman" w:cs="Times New Roman"/>
          <w:sz w:val="24"/>
          <w:szCs w:val="24"/>
          <w:highlight w:val="white"/>
          <w:vertAlign w:val="superscript"/>
        </w:rPr>
      </w:pPr>
      <w:bookmarkStart w:id="3" w:name="Poznámka3"/>
      <w:bookmarkEnd w:id="2"/>
      <w:r w:rsidRPr="008E47A4">
        <w:rPr>
          <w:rFonts w:ascii="Times New Roman" w:hAnsi="Times New Roman" w:cs="Times New Roman"/>
          <w:sz w:val="24"/>
          <w:szCs w:val="24"/>
          <w:highlight w:val="white"/>
          <w:vertAlign w:val="superscript"/>
        </w:rPr>
        <w:t xml:space="preserve">3) </w:t>
      </w:r>
      <w:r w:rsidRPr="008E47A4">
        <w:rPr>
          <w:rFonts w:ascii="Times New Roman" w:hAnsi="Times New Roman" w:cs="Times New Roman"/>
          <w:sz w:val="24"/>
          <w:szCs w:val="24"/>
          <w:highlight w:val="white"/>
          <w:vertAlign w:val="superscript"/>
        </w:rPr>
        <w:tab/>
        <w:t>Např. čl. 21 odst. 1 Nařízení Evropského parlamentu a Rady (EU) 2016/679 ze dne 27. dubna 2016 o ochraně fyzických osob v</w:t>
      </w:r>
      <w:r w:rsidR="006114A5" w:rsidRPr="008E47A4">
        <w:rPr>
          <w:rFonts w:ascii="Times New Roman" w:hAnsi="Times New Roman" w:cs="Times New Roman"/>
          <w:sz w:val="24"/>
          <w:szCs w:val="24"/>
          <w:highlight w:val="white"/>
          <w:vertAlign w:val="superscript"/>
        </w:rPr>
        <w:t> </w:t>
      </w:r>
      <w:r w:rsidRPr="008E47A4">
        <w:rPr>
          <w:rFonts w:ascii="Times New Roman" w:hAnsi="Times New Roman" w:cs="Times New Roman"/>
          <w:sz w:val="24"/>
          <w:szCs w:val="24"/>
          <w:highlight w:val="white"/>
          <w:vertAlign w:val="superscript"/>
        </w:rPr>
        <w:t>souvislosti se zpracováním osobních údajů a o volném pohybu těchto údajů a o zrušení směrnice 95/46/ES (obecné naříz</w:t>
      </w:r>
      <w:r w:rsidR="006114A5" w:rsidRPr="008E47A4">
        <w:rPr>
          <w:rFonts w:ascii="Times New Roman" w:hAnsi="Times New Roman" w:cs="Times New Roman"/>
          <w:sz w:val="24"/>
          <w:szCs w:val="24"/>
          <w:highlight w:val="white"/>
          <w:vertAlign w:val="superscript"/>
        </w:rPr>
        <w:t>ení o ochraně osobních údajů).</w:t>
      </w:r>
    </w:p>
    <w:bookmarkEnd w:id="3"/>
    <w:p w:rsidR="00A1171D" w:rsidRPr="004051FF" w:rsidRDefault="00A1171D" w:rsidP="00BC5549">
      <w:pPr>
        <w:widowControl w:val="0"/>
        <w:autoSpaceDE w:val="0"/>
        <w:autoSpaceDN w:val="0"/>
        <w:adjustRightInd w:val="0"/>
        <w:spacing w:after="0" w:line="240" w:lineRule="auto"/>
        <w:rPr>
          <w:rFonts w:ascii="Times New Roman" w:hAnsi="Times New Roman" w:cs="Times New Roman"/>
          <w:b/>
          <w:bCs/>
          <w:sz w:val="24"/>
          <w:szCs w:val="24"/>
        </w:rPr>
      </w:pPr>
    </w:p>
    <w:sectPr w:rsidR="00A1171D" w:rsidRPr="004051FF" w:rsidSect="00191E56">
      <w:headerReference w:type="default" r:id="rId11"/>
      <w:headerReference w:type="first" r:id="rId12"/>
      <w:pgSz w:w="11906" w:h="16838"/>
      <w:pgMar w:top="1418" w:right="1418" w:bottom="1418" w:left="1418"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E3C" w:rsidRDefault="00F72E3C" w:rsidP="00726F49">
      <w:pPr>
        <w:spacing w:after="0" w:line="240" w:lineRule="auto"/>
      </w:pPr>
      <w:r>
        <w:separator/>
      </w:r>
    </w:p>
  </w:endnote>
  <w:endnote w:type="continuationSeparator" w:id="0">
    <w:p w:rsidR="00F72E3C" w:rsidRDefault="00F72E3C" w:rsidP="0072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661751"/>
      <w:docPartObj>
        <w:docPartGallery w:val="Page Numbers (Bottom of Page)"/>
        <w:docPartUnique/>
      </w:docPartObj>
    </w:sdtPr>
    <w:sdtEndPr/>
    <w:sdtContent>
      <w:p w:rsidR="00F72E3C" w:rsidRDefault="00F72E3C">
        <w:pPr>
          <w:pStyle w:val="Zpat"/>
          <w:jc w:val="center"/>
        </w:pPr>
        <w:r>
          <w:fldChar w:fldCharType="begin"/>
        </w:r>
        <w:r>
          <w:instrText>PAGE   \* MERGEFORMAT</w:instrText>
        </w:r>
        <w:r>
          <w:fldChar w:fldCharType="separate"/>
        </w:r>
        <w:r w:rsidR="00EE5EFF">
          <w:rPr>
            <w:noProof/>
          </w:rPr>
          <w:t>1</w:t>
        </w:r>
        <w:r>
          <w:fldChar w:fldCharType="end"/>
        </w:r>
      </w:p>
    </w:sdtContent>
  </w:sdt>
  <w:p w:rsidR="00F72E3C" w:rsidRDefault="00F72E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362615"/>
      <w:docPartObj>
        <w:docPartGallery w:val="Page Numbers (Bottom of Page)"/>
        <w:docPartUnique/>
      </w:docPartObj>
    </w:sdtPr>
    <w:sdtEndPr/>
    <w:sdtContent>
      <w:p w:rsidR="00F72E3C" w:rsidRDefault="00F72E3C">
        <w:pPr>
          <w:pStyle w:val="Zpat"/>
          <w:jc w:val="center"/>
        </w:pPr>
        <w:r>
          <w:fldChar w:fldCharType="begin"/>
        </w:r>
        <w:r>
          <w:instrText>PAGE   \* MERGEFORMAT</w:instrText>
        </w:r>
        <w:r>
          <w:fldChar w:fldCharType="separate"/>
        </w:r>
        <w:r w:rsidR="00EE5EFF">
          <w:rPr>
            <w:noProof/>
          </w:rPr>
          <w:t>13</w:t>
        </w:r>
        <w:r>
          <w:fldChar w:fldCharType="end"/>
        </w:r>
      </w:p>
    </w:sdtContent>
  </w:sdt>
  <w:p w:rsidR="00F72E3C" w:rsidRDefault="00F72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E3C" w:rsidRDefault="00F72E3C" w:rsidP="00726F49">
      <w:pPr>
        <w:spacing w:after="0" w:line="240" w:lineRule="auto"/>
      </w:pPr>
      <w:r>
        <w:separator/>
      </w:r>
    </w:p>
  </w:footnote>
  <w:footnote w:type="continuationSeparator" w:id="0">
    <w:p w:rsidR="00F72E3C" w:rsidRDefault="00F72E3C" w:rsidP="0072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3C" w:rsidRPr="00726F49" w:rsidRDefault="00F72E3C" w:rsidP="00726F49">
    <w:pPr>
      <w:pStyle w:val="Zhlav"/>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3C" w:rsidRPr="008E47A4" w:rsidRDefault="00F72E3C" w:rsidP="00726F49">
    <w:pPr>
      <w:pStyle w:val="Zhlav"/>
      <w:jc w:val="right"/>
      <w:rPr>
        <w:rFonts w:ascii="Times New Roman" w:hAnsi="Times New Roman" w:cs="Times New Roman"/>
        <w:b/>
      </w:rPr>
    </w:pPr>
    <w:r w:rsidRPr="008E47A4">
      <w:rPr>
        <w:rFonts w:ascii="Times New Roman" w:hAnsi="Times New Roman" w:cs="Times New Roman"/>
        <w:b/>
      </w:rPr>
      <w:t>Příloha č. 1</w:t>
    </w:r>
  </w:p>
  <w:p w:rsidR="00F72E3C" w:rsidRPr="008E47A4" w:rsidRDefault="00F72E3C" w:rsidP="00191E56">
    <w:pPr>
      <w:pStyle w:val="Zhlav"/>
      <w:jc w:val="right"/>
      <w:rPr>
        <w:rFonts w:ascii="Times New Roman" w:hAnsi="Times New Roman" w:cs="Times New Roman"/>
        <w:b/>
      </w:rPr>
    </w:pPr>
    <w:r w:rsidRPr="008E47A4">
      <w:rPr>
        <w:rFonts w:ascii="Times New Roman" w:hAnsi="Times New Roman" w:cs="Times New Roman"/>
        <w:b/>
      </w:rPr>
      <w:t>instrukce o zařazování rozhodnutí</w:t>
    </w:r>
  </w:p>
  <w:p w:rsidR="00F72E3C" w:rsidRPr="008E47A4" w:rsidRDefault="00F72E3C" w:rsidP="00191E56">
    <w:pPr>
      <w:pStyle w:val="Zhlav"/>
      <w:jc w:val="right"/>
      <w:rPr>
        <w:rFonts w:ascii="Times New Roman" w:hAnsi="Times New Roman" w:cs="Times New Roman"/>
        <w:b/>
      </w:rPr>
    </w:pPr>
    <w:r w:rsidRPr="008E47A4">
      <w:rPr>
        <w:rFonts w:ascii="Times New Roman" w:hAnsi="Times New Roman" w:cs="Times New Roman"/>
        <w:b/>
      </w:rPr>
      <w:t>do databáze soudních rozhodnutí</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3C" w:rsidRPr="004E7EBD" w:rsidRDefault="00F72E3C" w:rsidP="00726F49">
    <w:pPr>
      <w:pStyle w:val="Zhlav"/>
      <w:jc w:val="right"/>
      <w:rPr>
        <w:rFonts w:ascii="Times New Roman" w:hAnsi="Times New Roman" w:cs="Times New Roman"/>
        <w:b/>
        <w:color w:val="0070C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3C" w:rsidRPr="008E47A4" w:rsidRDefault="00F72E3C" w:rsidP="00726F49">
    <w:pPr>
      <w:pStyle w:val="Zhlav"/>
      <w:jc w:val="right"/>
      <w:rPr>
        <w:rFonts w:ascii="Times New Roman" w:hAnsi="Times New Roman" w:cs="Times New Roman"/>
        <w:b/>
      </w:rPr>
    </w:pPr>
    <w:r w:rsidRPr="008E47A4">
      <w:rPr>
        <w:rFonts w:ascii="Times New Roman" w:hAnsi="Times New Roman" w:cs="Times New Roman"/>
        <w:b/>
      </w:rPr>
      <w:t>Příloha č. 2</w:t>
    </w:r>
  </w:p>
  <w:p w:rsidR="00F72E3C" w:rsidRPr="008E47A4" w:rsidRDefault="00F72E3C" w:rsidP="00191E56">
    <w:pPr>
      <w:pStyle w:val="Zhlav"/>
      <w:jc w:val="right"/>
      <w:rPr>
        <w:rFonts w:ascii="Times New Roman" w:hAnsi="Times New Roman" w:cs="Times New Roman"/>
        <w:b/>
      </w:rPr>
    </w:pPr>
    <w:r w:rsidRPr="008E47A4">
      <w:rPr>
        <w:rFonts w:ascii="Times New Roman" w:hAnsi="Times New Roman" w:cs="Times New Roman"/>
        <w:b/>
      </w:rPr>
      <w:t>instrukce o zařazování rozhodnutí</w:t>
    </w:r>
  </w:p>
  <w:p w:rsidR="00F72E3C" w:rsidRPr="008E47A4" w:rsidRDefault="00F72E3C" w:rsidP="00191E56">
    <w:pPr>
      <w:pStyle w:val="Zhlav"/>
      <w:jc w:val="right"/>
      <w:rPr>
        <w:rFonts w:ascii="Times New Roman" w:hAnsi="Times New Roman" w:cs="Times New Roman"/>
        <w:b/>
      </w:rPr>
    </w:pPr>
    <w:r w:rsidRPr="008E47A4">
      <w:rPr>
        <w:rFonts w:ascii="Times New Roman" w:hAnsi="Times New Roman" w:cs="Times New Roman"/>
        <w:b/>
      </w:rPr>
      <w:t>do databáze soudních rozhodnutí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F2"/>
    <w:rsid w:val="00191E56"/>
    <w:rsid w:val="00195B20"/>
    <w:rsid w:val="00200AA4"/>
    <w:rsid w:val="002F170E"/>
    <w:rsid w:val="003F08F7"/>
    <w:rsid w:val="004051FF"/>
    <w:rsid w:val="004569A6"/>
    <w:rsid w:val="004E7EBD"/>
    <w:rsid w:val="004F3479"/>
    <w:rsid w:val="00535945"/>
    <w:rsid w:val="005D66C9"/>
    <w:rsid w:val="006114A5"/>
    <w:rsid w:val="00726F49"/>
    <w:rsid w:val="0076671A"/>
    <w:rsid w:val="007956BB"/>
    <w:rsid w:val="007A5DF6"/>
    <w:rsid w:val="007D388A"/>
    <w:rsid w:val="007F272A"/>
    <w:rsid w:val="007F55A6"/>
    <w:rsid w:val="008E47A4"/>
    <w:rsid w:val="008F6828"/>
    <w:rsid w:val="00997687"/>
    <w:rsid w:val="009B4844"/>
    <w:rsid w:val="00A1171D"/>
    <w:rsid w:val="00AF284A"/>
    <w:rsid w:val="00BC5549"/>
    <w:rsid w:val="00BF7BF1"/>
    <w:rsid w:val="00DF4A24"/>
    <w:rsid w:val="00EE5EFF"/>
    <w:rsid w:val="00F454F2"/>
    <w:rsid w:val="00F565B2"/>
    <w:rsid w:val="00F72E3C"/>
    <w:rsid w:val="00FD4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D87118B"/>
  <w14:defaultImageDpi w14:val="0"/>
  <w15:docId w15:val="{8B1E9188-2099-4CE0-8A7D-B36DAC7B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6F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F49"/>
  </w:style>
  <w:style w:type="paragraph" w:styleId="Zpat">
    <w:name w:val="footer"/>
    <w:basedOn w:val="Normln"/>
    <w:link w:val="ZpatChar"/>
    <w:uiPriority w:val="99"/>
    <w:unhideWhenUsed/>
    <w:rsid w:val="00726F49"/>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F49"/>
  </w:style>
  <w:style w:type="paragraph" w:styleId="Textvysvtlivek">
    <w:name w:val="endnote text"/>
    <w:basedOn w:val="Normln"/>
    <w:link w:val="TextvysvtlivekChar"/>
    <w:uiPriority w:val="99"/>
    <w:semiHidden/>
    <w:unhideWhenUsed/>
    <w:rsid w:val="0053594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35945"/>
    <w:rPr>
      <w:sz w:val="20"/>
      <w:szCs w:val="20"/>
    </w:rPr>
  </w:style>
  <w:style w:type="character" w:styleId="Odkaznavysvtlivky">
    <w:name w:val="endnote reference"/>
    <w:basedOn w:val="Standardnpsmoodstavce"/>
    <w:uiPriority w:val="99"/>
    <w:semiHidden/>
    <w:unhideWhenUsed/>
    <w:rsid w:val="00535945"/>
    <w:rPr>
      <w:vertAlign w:val="superscript"/>
    </w:rPr>
  </w:style>
  <w:style w:type="character" w:styleId="Hypertextovodkaz">
    <w:name w:val="Hyperlink"/>
    <w:basedOn w:val="Standardnpsmoodstavce"/>
    <w:uiPriority w:val="99"/>
    <w:unhideWhenUsed/>
    <w:rsid w:val="00535945"/>
    <w:rPr>
      <w:color w:val="0563C1" w:themeColor="hyperlink"/>
      <w:u w:val="single"/>
    </w:rPr>
  </w:style>
  <w:style w:type="character" w:styleId="Sledovanodkaz">
    <w:name w:val="FollowedHyperlink"/>
    <w:basedOn w:val="Standardnpsmoodstavce"/>
    <w:uiPriority w:val="99"/>
    <w:semiHidden/>
    <w:unhideWhenUsed/>
    <w:rsid w:val="00535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89750">
      <w:bodyDiv w:val="1"/>
      <w:marLeft w:val="0"/>
      <w:marRight w:val="0"/>
      <w:marTop w:val="0"/>
      <w:marBottom w:val="0"/>
      <w:divBdr>
        <w:top w:val="none" w:sz="0" w:space="0" w:color="auto"/>
        <w:left w:val="none" w:sz="0" w:space="0" w:color="auto"/>
        <w:bottom w:val="none" w:sz="0" w:space="0" w:color="auto"/>
        <w:right w:val="none" w:sz="0" w:space="0" w:color="auto"/>
      </w:divBdr>
    </w:div>
    <w:div w:id="317729696">
      <w:bodyDiv w:val="1"/>
      <w:marLeft w:val="0"/>
      <w:marRight w:val="0"/>
      <w:marTop w:val="0"/>
      <w:marBottom w:val="0"/>
      <w:divBdr>
        <w:top w:val="none" w:sz="0" w:space="0" w:color="auto"/>
        <w:left w:val="none" w:sz="0" w:space="0" w:color="auto"/>
        <w:bottom w:val="none" w:sz="0" w:space="0" w:color="auto"/>
        <w:right w:val="none" w:sz="0" w:space="0" w:color="auto"/>
      </w:divBdr>
    </w:div>
    <w:div w:id="464854923">
      <w:bodyDiv w:val="1"/>
      <w:marLeft w:val="0"/>
      <w:marRight w:val="0"/>
      <w:marTop w:val="0"/>
      <w:marBottom w:val="0"/>
      <w:divBdr>
        <w:top w:val="none" w:sz="0" w:space="0" w:color="auto"/>
        <w:left w:val="none" w:sz="0" w:space="0" w:color="auto"/>
        <w:bottom w:val="none" w:sz="0" w:space="0" w:color="auto"/>
        <w:right w:val="none" w:sz="0" w:space="0" w:color="auto"/>
      </w:divBdr>
    </w:div>
    <w:div w:id="538399750">
      <w:bodyDiv w:val="1"/>
      <w:marLeft w:val="0"/>
      <w:marRight w:val="0"/>
      <w:marTop w:val="0"/>
      <w:marBottom w:val="0"/>
      <w:divBdr>
        <w:top w:val="none" w:sz="0" w:space="0" w:color="auto"/>
        <w:left w:val="none" w:sz="0" w:space="0" w:color="auto"/>
        <w:bottom w:val="none" w:sz="0" w:space="0" w:color="auto"/>
        <w:right w:val="none" w:sz="0" w:space="0" w:color="auto"/>
      </w:divBdr>
    </w:div>
    <w:div w:id="568538357">
      <w:bodyDiv w:val="1"/>
      <w:marLeft w:val="0"/>
      <w:marRight w:val="0"/>
      <w:marTop w:val="0"/>
      <w:marBottom w:val="0"/>
      <w:divBdr>
        <w:top w:val="none" w:sz="0" w:space="0" w:color="auto"/>
        <w:left w:val="none" w:sz="0" w:space="0" w:color="auto"/>
        <w:bottom w:val="none" w:sz="0" w:space="0" w:color="auto"/>
        <w:right w:val="none" w:sz="0" w:space="0" w:color="auto"/>
      </w:divBdr>
    </w:div>
    <w:div w:id="598754953">
      <w:bodyDiv w:val="1"/>
      <w:marLeft w:val="0"/>
      <w:marRight w:val="0"/>
      <w:marTop w:val="0"/>
      <w:marBottom w:val="0"/>
      <w:divBdr>
        <w:top w:val="none" w:sz="0" w:space="0" w:color="auto"/>
        <w:left w:val="none" w:sz="0" w:space="0" w:color="auto"/>
        <w:bottom w:val="none" w:sz="0" w:space="0" w:color="auto"/>
        <w:right w:val="none" w:sz="0" w:space="0" w:color="auto"/>
      </w:divBdr>
    </w:div>
    <w:div w:id="797994569">
      <w:bodyDiv w:val="1"/>
      <w:marLeft w:val="0"/>
      <w:marRight w:val="0"/>
      <w:marTop w:val="0"/>
      <w:marBottom w:val="0"/>
      <w:divBdr>
        <w:top w:val="none" w:sz="0" w:space="0" w:color="auto"/>
        <w:left w:val="none" w:sz="0" w:space="0" w:color="auto"/>
        <w:bottom w:val="none" w:sz="0" w:space="0" w:color="auto"/>
        <w:right w:val="none" w:sz="0" w:space="0" w:color="auto"/>
      </w:divBdr>
    </w:div>
    <w:div w:id="1116867981">
      <w:bodyDiv w:val="1"/>
      <w:marLeft w:val="0"/>
      <w:marRight w:val="0"/>
      <w:marTop w:val="0"/>
      <w:marBottom w:val="0"/>
      <w:divBdr>
        <w:top w:val="none" w:sz="0" w:space="0" w:color="auto"/>
        <w:left w:val="none" w:sz="0" w:space="0" w:color="auto"/>
        <w:bottom w:val="none" w:sz="0" w:space="0" w:color="auto"/>
        <w:right w:val="none" w:sz="0" w:space="0" w:color="auto"/>
      </w:divBdr>
    </w:div>
    <w:div w:id="1622493711">
      <w:bodyDiv w:val="1"/>
      <w:marLeft w:val="0"/>
      <w:marRight w:val="0"/>
      <w:marTop w:val="0"/>
      <w:marBottom w:val="0"/>
      <w:divBdr>
        <w:top w:val="none" w:sz="0" w:space="0" w:color="auto"/>
        <w:left w:val="none" w:sz="0" w:space="0" w:color="auto"/>
        <w:bottom w:val="none" w:sz="0" w:space="0" w:color="auto"/>
        <w:right w:val="none" w:sz="0" w:space="0" w:color="auto"/>
      </w:divBdr>
    </w:div>
    <w:div w:id="1670014085">
      <w:bodyDiv w:val="1"/>
      <w:marLeft w:val="0"/>
      <w:marRight w:val="0"/>
      <w:marTop w:val="0"/>
      <w:marBottom w:val="0"/>
      <w:divBdr>
        <w:top w:val="none" w:sz="0" w:space="0" w:color="auto"/>
        <w:left w:val="none" w:sz="0" w:space="0" w:color="auto"/>
        <w:bottom w:val="none" w:sz="0" w:space="0" w:color="auto"/>
        <w:right w:val="none" w:sz="0" w:space="0" w:color="auto"/>
      </w:divBdr>
    </w:div>
    <w:div w:id="1839226162">
      <w:bodyDiv w:val="1"/>
      <w:marLeft w:val="0"/>
      <w:marRight w:val="0"/>
      <w:marTop w:val="0"/>
      <w:marBottom w:val="0"/>
      <w:divBdr>
        <w:top w:val="none" w:sz="0" w:space="0" w:color="auto"/>
        <w:left w:val="none" w:sz="0" w:space="0" w:color="auto"/>
        <w:bottom w:val="none" w:sz="0" w:space="0" w:color="auto"/>
        <w:right w:val="none" w:sz="0" w:space="0" w:color="auto"/>
      </w:divBdr>
    </w:div>
    <w:div w:id="1913857274">
      <w:bodyDiv w:val="1"/>
      <w:marLeft w:val="0"/>
      <w:marRight w:val="0"/>
      <w:marTop w:val="0"/>
      <w:marBottom w:val="0"/>
      <w:divBdr>
        <w:top w:val="none" w:sz="0" w:space="0" w:color="auto"/>
        <w:left w:val="none" w:sz="0" w:space="0" w:color="auto"/>
        <w:bottom w:val="none" w:sz="0" w:space="0" w:color="auto"/>
        <w:right w:val="none" w:sz="0" w:space="0" w:color="auto"/>
      </w:divBdr>
    </w:div>
    <w:div w:id="20876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CBE3-7ED2-4A23-84D0-C48EE7C6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797FEFED</Template>
  <TotalTime>5</TotalTime>
  <Pages>14</Pages>
  <Words>4084</Words>
  <Characters>24101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Brandejsová Barbara Mgr. Bc.</dc:creator>
  <cp:keywords/>
  <dc:description/>
  <cp:lastModifiedBy>Vašíček Martin Bc.</cp:lastModifiedBy>
  <cp:revision>5</cp:revision>
  <dcterms:created xsi:type="dcterms:W3CDTF">2020-09-09T13:17:00Z</dcterms:created>
  <dcterms:modified xsi:type="dcterms:W3CDTF">2020-09-10T10:14:00Z</dcterms:modified>
</cp:coreProperties>
</file>