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24A39" w14:textId="77777777" w:rsidR="00FB7EE3" w:rsidRDefault="00FB7EE3" w:rsidP="00FB7EE3">
      <w:pPr>
        <w:autoSpaceDE w:val="0"/>
        <w:autoSpaceDN w:val="0"/>
        <w:adjustRightInd w:val="0"/>
        <w:spacing w:after="0" w:line="240" w:lineRule="auto"/>
        <w:jc w:val="left"/>
        <w:rPr>
          <w:rFonts w:cs="Times New Roman"/>
          <w:b/>
          <w:sz w:val="36"/>
          <w:szCs w:val="40"/>
        </w:rPr>
      </w:pPr>
      <w:bookmarkStart w:id="0" w:name="_GoBack"/>
      <w:bookmarkEnd w:id="0"/>
    </w:p>
    <w:p w14:paraId="3B86402E" w14:textId="77777777" w:rsidR="00FB7EE3" w:rsidRDefault="00FB7EE3" w:rsidP="00FB7EE3">
      <w:pPr>
        <w:autoSpaceDE w:val="0"/>
        <w:autoSpaceDN w:val="0"/>
        <w:adjustRightInd w:val="0"/>
        <w:spacing w:after="0" w:line="240" w:lineRule="auto"/>
        <w:jc w:val="left"/>
        <w:rPr>
          <w:rFonts w:cs="Times New Roman"/>
          <w:b/>
          <w:sz w:val="36"/>
          <w:szCs w:val="40"/>
        </w:rPr>
      </w:pPr>
      <w:r>
        <w:rPr>
          <w:noProof/>
          <w:lang w:eastAsia="cs-CZ"/>
        </w:rPr>
        <mc:AlternateContent>
          <mc:Choice Requires="wps">
            <w:drawing>
              <wp:anchor distT="0" distB="0" distL="114300" distR="114300" simplePos="0" relativeHeight="251659264" behindDoc="1" locked="0" layoutInCell="1" allowOverlap="1" wp14:anchorId="33DD3E18" wp14:editId="49A3E5AD">
                <wp:simplePos x="0" y="0"/>
                <wp:positionH relativeFrom="column">
                  <wp:posOffset>2540</wp:posOffset>
                </wp:positionH>
                <wp:positionV relativeFrom="paragraph">
                  <wp:posOffset>1905</wp:posOffset>
                </wp:positionV>
                <wp:extent cx="5845175" cy="1076325"/>
                <wp:effectExtent l="0" t="0" r="3175" b="9525"/>
                <wp:wrapNone/>
                <wp:docPr id="17" name="Obdélník 17"/>
                <wp:cNvGraphicFramePr/>
                <a:graphic xmlns:a="http://schemas.openxmlformats.org/drawingml/2006/main">
                  <a:graphicData uri="http://schemas.microsoft.com/office/word/2010/wordprocessingShape">
                    <wps:wsp>
                      <wps:cNvSpPr/>
                      <wps:spPr>
                        <a:xfrm>
                          <a:off x="0" y="0"/>
                          <a:ext cx="5845175" cy="107632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B006968" id="Obdélník 17" o:spid="_x0000_s1026" style="position:absolute;margin-left:.2pt;margin-top:.15pt;width:460.25pt;height:84.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2toAIAAIkFAAAOAAAAZHJzL2Uyb0RvYy54bWysVMFu2zAMvQ/YPwi6r7azpOmCOkXWIsOA&#10;oi3WDj0rshQbk0VNUuJkf7TDvqI/Nkpy3K4tdhiWgyOK5CP5RPL0bNcqshXWNaBLWhzllAjNoWr0&#10;uqRf75bvTihxnumKKdCipHvh6Nn87ZvTzszECGpQlbAEQbSbdaaktfdmlmWO16Jl7giM0KiUYFvm&#10;UbTrrLKsQ/RWZaM8P846sJWxwIVzeHuRlHQe8aUU3F9L6YQnqqSYm49fG7+r8M3mp2y2tszUDe/T&#10;YP+QRcsajUEHqAvmGdnY5gVU23ALDqQ/4tBmIGXDRawBqynyZ9Xc1syIWAuS48xAk/t/sPxqe2NJ&#10;U+HbTSnRrMU3ul5VDz+Vfvj1jeAlMtQZN0PDW3Nje8nhMZS7k7YN/1gI2UVW9wOrYucJx8vJyXhS&#10;TCeUcNQV+fT4/WgSULNHd2Od/ySgJeFQUovPFtlk20vnk+nBJERzoJpq2SgVBbtenStLtiw8cf4x&#10;X8ZXRfQ/zJQOxhqCW0IMN1koLRUTT36vRLBT+ouQSAumP4qZxIYUQxzGudC+SKqaVSKFn+T462sb&#10;PGKlETAgS4w/YPcAodlfYqcse/vgKmI/D8753xJLzoNHjAzaD85to8G+BqCwqj5ysj+QlKgJLK2g&#10;2mPTWEjT5AxfNvhul8z5G2ZxfHDQcCX4a/xIBV1JoT9RUoP98dp9sMeuRi0lHY5jSd33DbOCEvVZ&#10;Y79/KMbjML9RGE+mIxTsU83qqUZv2nPAdihw+Rgej8Heq8NRWmjvcXMsQlRUMc0xdkm5twfh3Kc1&#10;gbuHi8UimuHMGuYv9a3hATywGvrybnfPrOmb12PfX8FhdNnsWQ8n2+CpYbHxIJvY4I+89nzjvMfG&#10;6XdTWChP5Wj1uEHnvwEAAP//AwBQSwMEFAAGAAgAAAAhAG5e2p/aAAAABQEAAA8AAABkcnMvZG93&#10;bnJldi54bWxMjkFLw0AQhe+C/2EZwZvdGGtNYjalCIKCF6OHeptmxyQ0Oxuy2zb+e8eTPT7ex3tf&#10;uZ7doI40hd6zgdtFAoq48bbn1sDnx/NNBipEZIuDZzLwQwHW1eVFiYX1J36nYx1bJSMcCjTQxTgW&#10;WoemI4dh4Udi6b795DBKnFptJzzJuBt0miQr7bBneehwpKeOmn19cAYeNvvU+7fMLrF9fak5br/u&#10;7daY66t58wgq0hz/YfjTF3WoxGnnD2yDGgwshTNwB0q6PE1yUDuBVnkGuir1uX31CwAA//8DAFBL&#10;AQItABQABgAIAAAAIQC2gziS/gAAAOEBAAATAAAAAAAAAAAAAAAAAAAAAABbQ29udGVudF9UeXBl&#10;c10ueG1sUEsBAi0AFAAGAAgAAAAhADj9If/WAAAAlAEAAAsAAAAAAAAAAAAAAAAALwEAAF9yZWxz&#10;Ly5yZWxzUEsBAi0AFAAGAAgAAAAhAEcYXa2gAgAAiQUAAA4AAAAAAAAAAAAAAAAALgIAAGRycy9l&#10;Mm9Eb2MueG1sUEsBAi0AFAAGAAgAAAAhAG5e2p/aAAAABQEAAA8AAAAAAAAAAAAAAAAA+gQAAGRy&#10;cy9kb3ducmV2LnhtbFBLBQYAAAAABAAEAPMAAAABBgAAAAA=&#10;" fillcolor="#00b0f0" stroked="f" strokeweight="2pt"/>
            </w:pict>
          </mc:Fallback>
        </mc:AlternateContent>
      </w:r>
      <w:r>
        <w:rPr>
          <w:noProof/>
          <w:lang w:eastAsia="cs-CZ"/>
        </w:rPr>
        <w:drawing>
          <wp:inline distT="0" distB="0" distL="0" distR="0" wp14:anchorId="2FAEF836" wp14:editId="66750BB4">
            <wp:extent cx="3304371" cy="1080000"/>
            <wp:effectExtent l="0" t="0" r="0" b="635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F_male_pozadi.png"/>
                    <pic:cNvPicPr/>
                  </pic:nvPicPr>
                  <pic:blipFill>
                    <a:blip r:embed="rId9">
                      <a:extLst>
                        <a:ext uri="{28A0092B-C50C-407E-A947-70E740481C1C}">
                          <a14:useLocalDpi xmlns:a14="http://schemas.microsoft.com/office/drawing/2010/main" val="0"/>
                        </a:ext>
                      </a:extLst>
                    </a:blip>
                    <a:stretch>
                      <a:fillRect/>
                    </a:stretch>
                  </pic:blipFill>
                  <pic:spPr>
                    <a:xfrm>
                      <a:off x="0" y="0"/>
                      <a:ext cx="3304371" cy="1080000"/>
                    </a:xfrm>
                    <a:prstGeom prst="rect">
                      <a:avLst/>
                    </a:prstGeom>
                  </pic:spPr>
                </pic:pic>
              </a:graphicData>
            </a:graphic>
          </wp:inline>
        </w:drawing>
      </w:r>
    </w:p>
    <w:p w14:paraId="2858E587" w14:textId="77777777" w:rsidR="00FB7EE3" w:rsidRDefault="00FB7EE3" w:rsidP="00FB7EE3">
      <w:pPr>
        <w:autoSpaceDE w:val="0"/>
        <w:autoSpaceDN w:val="0"/>
        <w:adjustRightInd w:val="0"/>
        <w:spacing w:after="0" w:line="240" w:lineRule="auto"/>
        <w:jc w:val="center"/>
        <w:rPr>
          <w:rFonts w:cs="Times New Roman"/>
          <w:b/>
          <w:sz w:val="36"/>
          <w:szCs w:val="40"/>
        </w:rPr>
      </w:pPr>
    </w:p>
    <w:p w14:paraId="756A2416" w14:textId="77777777" w:rsidR="00FB7EE3" w:rsidRDefault="00FB7EE3" w:rsidP="00FB7EE3">
      <w:pPr>
        <w:autoSpaceDE w:val="0"/>
        <w:autoSpaceDN w:val="0"/>
        <w:adjustRightInd w:val="0"/>
        <w:spacing w:after="0" w:line="240" w:lineRule="auto"/>
        <w:jc w:val="center"/>
        <w:rPr>
          <w:rFonts w:cs="Times New Roman"/>
          <w:b/>
          <w:bCs/>
          <w:sz w:val="40"/>
          <w:szCs w:val="40"/>
        </w:rPr>
      </w:pPr>
    </w:p>
    <w:p w14:paraId="03F75B1A" w14:textId="77777777" w:rsidR="00FB7EE3" w:rsidRDefault="00FB7EE3" w:rsidP="00FB7EE3">
      <w:pPr>
        <w:autoSpaceDE w:val="0"/>
        <w:autoSpaceDN w:val="0"/>
        <w:adjustRightInd w:val="0"/>
        <w:spacing w:after="0" w:line="240" w:lineRule="auto"/>
        <w:jc w:val="center"/>
        <w:rPr>
          <w:rFonts w:cs="Times New Roman"/>
          <w:b/>
          <w:bCs/>
          <w:sz w:val="40"/>
          <w:szCs w:val="40"/>
        </w:rPr>
      </w:pPr>
    </w:p>
    <w:p w14:paraId="436EB8B5" w14:textId="77777777" w:rsidR="00FB7EE3" w:rsidRDefault="00FB7EE3" w:rsidP="00FB7EE3">
      <w:pPr>
        <w:autoSpaceDE w:val="0"/>
        <w:autoSpaceDN w:val="0"/>
        <w:adjustRightInd w:val="0"/>
        <w:spacing w:after="0" w:line="240" w:lineRule="auto"/>
        <w:jc w:val="center"/>
        <w:rPr>
          <w:rFonts w:cs="Times New Roman"/>
          <w:b/>
          <w:bCs/>
          <w:sz w:val="40"/>
          <w:szCs w:val="40"/>
        </w:rPr>
      </w:pPr>
    </w:p>
    <w:p w14:paraId="09B0BD71" w14:textId="77777777" w:rsidR="00FB7EE3" w:rsidRDefault="00FB7EE3" w:rsidP="00FB7EE3">
      <w:pPr>
        <w:autoSpaceDE w:val="0"/>
        <w:autoSpaceDN w:val="0"/>
        <w:adjustRightInd w:val="0"/>
        <w:spacing w:after="0" w:line="240" w:lineRule="auto"/>
        <w:jc w:val="center"/>
        <w:rPr>
          <w:rFonts w:cs="Times New Roman"/>
          <w:b/>
          <w:bCs/>
          <w:sz w:val="40"/>
          <w:szCs w:val="40"/>
        </w:rPr>
      </w:pPr>
    </w:p>
    <w:p w14:paraId="5C6048AE" w14:textId="77777777" w:rsidR="00FB7EE3" w:rsidRDefault="00FB7EE3" w:rsidP="00FB7EE3">
      <w:pPr>
        <w:autoSpaceDE w:val="0"/>
        <w:autoSpaceDN w:val="0"/>
        <w:adjustRightInd w:val="0"/>
        <w:spacing w:after="0" w:line="240" w:lineRule="auto"/>
        <w:jc w:val="center"/>
        <w:rPr>
          <w:rFonts w:cs="Times New Roman"/>
          <w:b/>
          <w:bCs/>
          <w:sz w:val="40"/>
          <w:szCs w:val="40"/>
        </w:rPr>
      </w:pPr>
    </w:p>
    <w:p w14:paraId="74D110A0" w14:textId="77777777" w:rsidR="00FB7EE3" w:rsidRDefault="00FB7EE3" w:rsidP="00FB7EE3">
      <w:pPr>
        <w:autoSpaceDE w:val="0"/>
        <w:autoSpaceDN w:val="0"/>
        <w:adjustRightInd w:val="0"/>
        <w:spacing w:after="0" w:line="240" w:lineRule="auto"/>
        <w:jc w:val="center"/>
        <w:rPr>
          <w:rFonts w:cs="Times New Roman"/>
          <w:b/>
          <w:bCs/>
          <w:sz w:val="40"/>
          <w:szCs w:val="40"/>
        </w:rPr>
      </w:pPr>
    </w:p>
    <w:p w14:paraId="1377CD07" w14:textId="77777777" w:rsidR="00FB7EE3" w:rsidRPr="00DC3DA6" w:rsidRDefault="00FB7EE3" w:rsidP="00FB7EE3">
      <w:pPr>
        <w:autoSpaceDE w:val="0"/>
        <w:autoSpaceDN w:val="0"/>
        <w:adjustRightInd w:val="0"/>
        <w:spacing w:after="0" w:line="240" w:lineRule="auto"/>
        <w:jc w:val="center"/>
        <w:rPr>
          <w:rFonts w:cs="Times New Roman"/>
          <w:b/>
          <w:bCs/>
          <w:sz w:val="36"/>
          <w:szCs w:val="40"/>
        </w:rPr>
      </w:pPr>
    </w:p>
    <w:p w14:paraId="7601459B" w14:textId="77777777" w:rsidR="00FB7EE3" w:rsidRPr="009865BB" w:rsidRDefault="00FB7EE3" w:rsidP="00FB7EE3">
      <w:pPr>
        <w:autoSpaceDE w:val="0"/>
        <w:autoSpaceDN w:val="0"/>
        <w:adjustRightInd w:val="0"/>
        <w:spacing w:after="0" w:line="240" w:lineRule="auto"/>
        <w:jc w:val="center"/>
        <w:rPr>
          <w:rFonts w:cs="Times New Roman"/>
          <w:b/>
          <w:bCs/>
          <w:sz w:val="48"/>
          <w:szCs w:val="40"/>
        </w:rPr>
      </w:pPr>
      <w:r w:rsidRPr="009865BB">
        <w:rPr>
          <w:rFonts w:cs="Times New Roman"/>
          <w:b/>
          <w:bCs/>
          <w:sz w:val="48"/>
          <w:szCs w:val="40"/>
        </w:rPr>
        <w:t>Vyhodnocení konzultace k transpozici směrnice Evropského parlamentu a Rady (EU) 2017/828 ze dne 17. května 2017, kterou se mění směrnice 2007/36/ES, pokud</w:t>
      </w:r>
      <w:r>
        <w:rPr>
          <w:rFonts w:cs="Times New Roman"/>
          <w:b/>
          <w:bCs/>
          <w:sz w:val="48"/>
          <w:szCs w:val="40"/>
        </w:rPr>
        <w:t> </w:t>
      </w:r>
      <w:r w:rsidRPr="009865BB">
        <w:rPr>
          <w:rFonts w:cs="Times New Roman"/>
          <w:b/>
          <w:bCs/>
          <w:sz w:val="48"/>
          <w:szCs w:val="40"/>
        </w:rPr>
        <w:t xml:space="preserve">jde o podporu dlouhodobého zapojení akcionářů </w:t>
      </w:r>
    </w:p>
    <w:p w14:paraId="29D830C3" w14:textId="77777777" w:rsidR="00FB7EE3" w:rsidRPr="00496482" w:rsidRDefault="00FB7EE3" w:rsidP="00FB7EE3">
      <w:pPr>
        <w:autoSpaceDE w:val="0"/>
        <w:autoSpaceDN w:val="0"/>
        <w:adjustRightInd w:val="0"/>
        <w:spacing w:after="0" w:line="240" w:lineRule="auto"/>
        <w:rPr>
          <w:rFonts w:cs="Times New Roman"/>
          <w:b/>
          <w:bCs/>
          <w:color w:val="002060"/>
          <w:sz w:val="28"/>
          <w:szCs w:val="28"/>
        </w:rPr>
      </w:pPr>
    </w:p>
    <w:p w14:paraId="65D38094" w14:textId="77777777" w:rsidR="00FB7EE3" w:rsidRDefault="00FB7EE3" w:rsidP="00FB7EE3">
      <w:pPr>
        <w:autoSpaceDE w:val="0"/>
        <w:autoSpaceDN w:val="0"/>
        <w:adjustRightInd w:val="0"/>
        <w:spacing w:after="0" w:line="240" w:lineRule="auto"/>
        <w:rPr>
          <w:rFonts w:cs="Times New Roman"/>
          <w:b/>
          <w:bCs/>
          <w:color w:val="002060"/>
          <w:sz w:val="28"/>
          <w:szCs w:val="28"/>
        </w:rPr>
      </w:pPr>
    </w:p>
    <w:p w14:paraId="7DF8A280" w14:textId="77777777" w:rsidR="00FB7EE3" w:rsidRDefault="00FB7EE3" w:rsidP="00FB7EE3">
      <w:pPr>
        <w:autoSpaceDE w:val="0"/>
        <w:autoSpaceDN w:val="0"/>
        <w:adjustRightInd w:val="0"/>
        <w:spacing w:after="0" w:line="240" w:lineRule="auto"/>
        <w:rPr>
          <w:rFonts w:cs="Times New Roman"/>
          <w:b/>
          <w:bCs/>
          <w:color w:val="002060"/>
          <w:sz w:val="28"/>
          <w:szCs w:val="28"/>
        </w:rPr>
      </w:pPr>
    </w:p>
    <w:p w14:paraId="467F088D" w14:textId="77777777" w:rsidR="00FB7EE3" w:rsidRDefault="00FB7EE3" w:rsidP="00FB7EE3">
      <w:pPr>
        <w:autoSpaceDE w:val="0"/>
        <w:autoSpaceDN w:val="0"/>
        <w:adjustRightInd w:val="0"/>
        <w:spacing w:after="0" w:line="240" w:lineRule="auto"/>
        <w:rPr>
          <w:rFonts w:cs="Times New Roman"/>
          <w:b/>
          <w:bCs/>
          <w:color w:val="002060"/>
          <w:sz w:val="28"/>
          <w:szCs w:val="28"/>
        </w:rPr>
      </w:pPr>
    </w:p>
    <w:p w14:paraId="1277F366" w14:textId="77777777" w:rsidR="00FB7EE3" w:rsidRDefault="00FB7EE3" w:rsidP="00FB7EE3">
      <w:pPr>
        <w:autoSpaceDE w:val="0"/>
        <w:autoSpaceDN w:val="0"/>
        <w:adjustRightInd w:val="0"/>
        <w:spacing w:after="0" w:line="240" w:lineRule="auto"/>
        <w:rPr>
          <w:rFonts w:cs="Times New Roman"/>
          <w:b/>
          <w:bCs/>
          <w:color w:val="002060"/>
          <w:sz w:val="28"/>
          <w:szCs w:val="28"/>
        </w:rPr>
      </w:pPr>
    </w:p>
    <w:p w14:paraId="1EC1524B" w14:textId="77777777" w:rsidR="00FB7EE3" w:rsidRDefault="00FB7EE3" w:rsidP="00FB7EE3">
      <w:pPr>
        <w:autoSpaceDE w:val="0"/>
        <w:autoSpaceDN w:val="0"/>
        <w:adjustRightInd w:val="0"/>
        <w:spacing w:after="0" w:line="240" w:lineRule="auto"/>
        <w:rPr>
          <w:rFonts w:cs="Times New Roman"/>
          <w:b/>
          <w:bCs/>
          <w:color w:val="002060"/>
          <w:sz w:val="28"/>
          <w:szCs w:val="28"/>
        </w:rPr>
      </w:pPr>
    </w:p>
    <w:p w14:paraId="797ED099" w14:textId="77777777" w:rsidR="00FB7EE3" w:rsidRDefault="00FB7EE3" w:rsidP="00FB7EE3">
      <w:pPr>
        <w:autoSpaceDE w:val="0"/>
        <w:autoSpaceDN w:val="0"/>
        <w:adjustRightInd w:val="0"/>
        <w:spacing w:after="0" w:line="240" w:lineRule="auto"/>
        <w:rPr>
          <w:rFonts w:cs="Times New Roman"/>
          <w:b/>
          <w:bCs/>
          <w:color w:val="002060"/>
          <w:sz w:val="28"/>
          <w:szCs w:val="28"/>
        </w:rPr>
      </w:pPr>
    </w:p>
    <w:p w14:paraId="1115771E" w14:textId="77777777" w:rsidR="00FB7EE3" w:rsidRDefault="00FB7EE3" w:rsidP="00FB7EE3">
      <w:pPr>
        <w:autoSpaceDE w:val="0"/>
        <w:autoSpaceDN w:val="0"/>
        <w:adjustRightInd w:val="0"/>
        <w:spacing w:after="0" w:line="240" w:lineRule="auto"/>
        <w:rPr>
          <w:rFonts w:cs="Times New Roman"/>
          <w:b/>
          <w:bCs/>
          <w:color w:val="002060"/>
          <w:sz w:val="28"/>
          <w:szCs w:val="28"/>
        </w:rPr>
      </w:pPr>
    </w:p>
    <w:p w14:paraId="7F878559" w14:textId="77777777" w:rsidR="00FB7EE3" w:rsidRDefault="00FB7EE3" w:rsidP="00FB7EE3">
      <w:pPr>
        <w:autoSpaceDE w:val="0"/>
        <w:autoSpaceDN w:val="0"/>
        <w:adjustRightInd w:val="0"/>
        <w:spacing w:after="0" w:line="240" w:lineRule="auto"/>
        <w:rPr>
          <w:rFonts w:cs="Times New Roman"/>
          <w:b/>
          <w:bCs/>
          <w:color w:val="002060"/>
          <w:sz w:val="28"/>
          <w:szCs w:val="28"/>
        </w:rPr>
      </w:pPr>
    </w:p>
    <w:p w14:paraId="0D13A42A" w14:textId="77777777" w:rsidR="00FB7EE3" w:rsidRDefault="00FB7EE3" w:rsidP="00FB7EE3">
      <w:pPr>
        <w:autoSpaceDE w:val="0"/>
        <w:autoSpaceDN w:val="0"/>
        <w:adjustRightInd w:val="0"/>
        <w:spacing w:after="0" w:line="240" w:lineRule="auto"/>
        <w:rPr>
          <w:rFonts w:cs="Times New Roman"/>
          <w:b/>
          <w:bCs/>
          <w:color w:val="002060"/>
          <w:sz w:val="28"/>
          <w:szCs w:val="28"/>
        </w:rPr>
      </w:pPr>
    </w:p>
    <w:tbl>
      <w:tblPr>
        <w:tblStyle w:val="Mkatabulky"/>
        <w:tblW w:w="9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CellMar>
          <w:top w:w="113" w:type="dxa"/>
          <w:left w:w="0" w:type="dxa"/>
          <w:bottom w:w="113" w:type="dxa"/>
          <w:right w:w="0" w:type="dxa"/>
        </w:tblCellMar>
        <w:tblLook w:val="04A0" w:firstRow="1" w:lastRow="0" w:firstColumn="1" w:lastColumn="0" w:noHBand="0" w:noVBand="1"/>
      </w:tblPr>
      <w:tblGrid>
        <w:gridCol w:w="5076"/>
        <w:gridCol w:w="4257"/>
      </w:tblGrid>
      <w:tr w:rsidR="00FB7EE3" w:rsidRPr="002C7B70" w14:paraId="0F31737D" w14:textId="77777777" w:rsidTr="00794551">
        <w:trPr>
          <w:trHeight w:hRule="exact" w:val="1194"/>
        </w:trPr>
        <w:tc>
          <w:tcPr>
            <w:tcW w:w="5076" w:type="dxa"/>
            <w:shd w:val="clear" w:color="auto" w:fill="00B0F0"/>
            <w:vAlign w:val="bottom"/>
          </w:tcPr>
          <w:p w14:paraId="458DAA69" w14:textId="77777777" w:rsidR="00FB7EE3" w:rsidRPr="004C16F3" w:rsidRDefault="00FB7EE3" w:rsidP="00794551">
            <w:pPr>
              <w:pStyle w:val="Bezmezer"/>
              <w:ind w:left="113"/>
              <w:jc w:val="left"/>
              <w:rPr>
                <w:color w:val="FFFFFF" w:themeColor="background1"/>
              </w:rPr>
            </w:pPr>
            <w:r w:rsidRPr="004C16F3">
              <w:rPr>
                <w:color w:val="FFFFFF" w:themeColor="background1"/>
              </w:rPr>
              <w:t>oddělení Platební služby a tržní infrastruktura</w:t>
            </w:r>
          </w:p>
          <w:p w14:paraId="66CF5F1A" w14:textId="77777777" w:rsidR="00FB7EE3" w:rsidRPr="004C16F3" w:rsidRDefault="00FB7EE3" w:rsidP="00794551">
            <w:pPr>
              <w:pStyle w:val="Bezmezer"/>
              <w:ind w:left="113"/>
              <w:jc w:val="left"/>
              <w:rPr>
                <w:color w:val="FFFFFF" w:themeColor="background1"/>
              </w:rPr>
            </w:pPr>
            <w:r w:rsidRPr="004C16F3">
              <w:rPr>
                <w:color w:val="FFFFFF" w:themeColor="background1"/>
              </w:rPr>
              <w:t>odbor Finanční trhy II</w:t>
            </w:r>
          </w:p>
          <w:p w14:paraId="3C8043EF" w14:textId="77777777" w:rsidR="00FB7EE3" w:rsidRPr="004C16F3" w:rsidRDefault="00FB7EE3" w:rsidP="00794551">
            <w:pPr>
              <w:pStyle w:val="Bezmezer"/>
              <w:ind w:left="113"/>
              <w:jc w:val="left"/>
              <w:rPr>
                <w:color w:val="FFFFFF" w:themeColor="background1"/>
              </w:rPr>
            </w:pPr>
            <w:r w:rsidRPr="004C16F3">
              <w:rPr>
                <w:color w:val="FFFFFF" w:themeColor="background1"/>
              </w:rPr>
              <w:t>sekce Mezinárodní vztahy</w:t>
            </w:r>
          </w:p>
          <w:p w14:paraId="1FBAF959" w14:textId="77777777" w:rsidR="00FB7EE3" w:rsidRDefault="00FB7EE3" w:rsidP="00794551">
            <w:pPr>
              <w:pStyle w:val="Bezmezer"/>
              <w:ind w:left="113"/>
              <w:jc w:val="left"/>
            </w:pPr>
            <w:r w:rsidRPr="004C16F3">
              <w:rPr>
                <w:color w:val="FFFFFF" w:themeColor="background1"/>
              </w:rPr>
              <w:t>e-mail: platebni.sluzby@mfcr.cz</w:t>
            </w:r>
          </w:p>
        </w:tc>
        <w:tc>
          <w:tcPr>
            <w:tcW w:w="4257" w:type="dxa"/>
            <w:shd w:val="clear" w:color="auto" w:fill="00B0F0"/>
            <w:vAlign w:val="bottom"/>
          </w:tcPr>
          <w:p w14:paraId="62FC96C8" w14:textId="77777777" w:rsidR="00FB7EE3" w:rsidRPr="002C7B70" w:rsidRDefault="00FB7EE3" w:rsidP="00794551">
            <w:pPr>
              <w:pStyle w:val="Bezmezer"/>
              <w:ind w:right="113"/>
              <w:jc w:val="right"/>
            </w:pPr>
            <w:r>
              <w:rPr>
                <w:color w:val="FFFFFF" w:themeColor="background1"/>
              </w:rPr>
              <w:t>24</w:t>
            </w:r>
            <w:r w:rsidRPr="004C16F3">
              <w:rPr>
                <w:color w:val="FFFFFF" w:themeColor="background1"/>
              </w:rPr>
              <w:t>.</w:t>
            </w:r>
            <w:r>
              <w:rPr>
                <w:color w:val="FFFFFF" w:themeColor="background1"/>
              </w:rPr>
              <w:t xml:space="preserve"> 10</w:t>
            </w:r>
            <w:r w:rsidRPr="004C16F3">
              <w:rPr>
                <w:color w:val="FFFFFF" w:themeColor="background1"/>
              </w:rPr>
              <w:t>. 2017</w:t>
            </w:r>
          </w:p>
        </w:tc>
      </w:tr>
    </w:tbl>
    <w:p w14:paraId="77284D69" w14:textId="77777777" w:rsidR="008A34EE" w:rsidRDefault="008A34EE" w:rsidP="00F13ABC">
      <w:pPr>
        <w:autoSpaceDE w:val="0"/>
        <w:autoSpaceDN w:val="0"/>
        <w:adjustRightInd w:val="0"/>
        <w:spacing w:after="0" w:line="240" w:lineRule="auto"/>
        <w:jc w:val="center"/>
        <w:rPr>
          <w:rFonts w:cs="Times New Roman"/>
          <w:b/>
          <w:sz w:val="36"/>
          <w:szCs w:val="40"/>
        </w:rPr>
      </w:pPr>
    </w:p>
    <w:p w14:paraId="602EAE87" w14:textId="77777777" w:rsidR="00FB7EE3" w:rsidRPr="00304DD0" w:rsidRDefault="00FB7EE3" w:rsidP="00FB7EE3">
      <w:pPr>
        <w:pStyle w:val="Otzka"/>
        <w:jc w:val="center"/>
        <w:outlineLvl w:val="1"/>
        <w:rPr>
          <w:b/>
          <w:sz w:val="32"/>
          <w:szCs w:val="32"/>
        </w:rPr>
      </w:pPr>
      <w:r>
        <w:rPr>
          <w:b/>
          <w:sz w:val="32"/>
          <w:szCs w:val="32"/>
        </w:rPr>
        <w:lastRenderedPageBreak/>
        <w:t>ÚVOD</w:t>
      </w:r>
      <w:r w:rsidRPr="00304DD0">
        <w:rPr>
          <w:b/>
          <w:sz w:val="32"/>
          <w:szCs w:val="32"/>
        </w:rPr>
        <w:t xml:space="preserve"> </w:t>
      </w:r>
    </w:p>
    <w:p w14:paraId="79EA54C5" w14:textId="77777777" w:rsidR="002734A1" w:rsidRPr="00496482" w:rsidRDefault="002734A1" w:rsidP="007833CD">
      <w:pPr>
        <w:autoSpaceDE w:val="0"/>
        <w:autoSpaceDN w:val="0"/>
        <w:adjustRightInd w:val="0"/>
        <w:spacing w:after="0" w:line="240" w:lineRule="auto"/>
        <w:rPr>
          <w:rFonts w:cs="Times New Roman"/>
          <w:b/>
          <w:bCs/>
          <w:color w:val="002060"/>
          <w:sz w:val="28"/>
          <w:szCs w:val="28"/>
        </w:rPr>
      </w:pPr>
    </w:p>
    <w:p w14:paraId="2DC300B4" w14:textId="26AC6E74" w:rsidR="002734A1" w:rsidRPr="00496482" w:rsidRDefault="002734A1" w:rsidP="007833CD">
      <w:pPr>
        <w:rPr>
          <w:rFonts w:cs="Times New Roman"/>
          <w:szCs w:val="24"/>
        </w:rPr>
      </w:pPr>
      <w:r w:rsidRPr="00496482">
        <w:rPr>
          <w:rFonts w:cs="Times New Roman"/>
          <w:szCs w:val="24"/>
        </w:rPr>
        <w:t xml:space="preserve">Konzultační materiál byl publikován na webových stránkách Ministerstva financí dne </w:t>
      </w:r>
      <w:r w:rsidR="00387711" w:rsidRPr="00387711">
        <w:rPr>
          <w:rFonts w:cs="Times New Roman"/>
          <w:szCs w:val="24"/>
        </w:rPr>
        <w:t>23.</w:t>
      </w:r>
      <w:r w:rsidR="00387711">
        <w:rPr>
          <w:rFonts w:cs="Times New Roman"/>
          <w:szCs w:val="24"/>
        </w:rPr>
        <w:t> </w:t>
      </w:r>
      <w:r w:rsidR="00387711" w:rsidRPr="00387711">
        <w:rPr>
          <w:rFonts w:cs="Times New Roman"/>
          <w:szCs w:val="24"/>
        </w:rPr>
        <w:t>srpna</w:t>
      </w:r>
      <w:r w:rsidRPr="00387711">
        <w:rPr>
          <w:rFonts w:cs="Times New Roman"/>
          <w:szCs w:val="24"/>
        </w:rPr>
        <w:t xml:space="preserve"> 2017</w:t>
      </w:r>
      <w:r w:rsidR="00F85CB9">
        <w:rPr>
          <w:rFonts w:cs="Times New Roman"/>
          <w:szCs w:val="24"/>
        </w:rPr>
        <w:t xml:space="preserve"> a na webových stránkách Ministerstva spravedlnosti dne 24. srpna 2017. </w:t>
      </w:r>
      <w:r w:rsidRPr="00496482">
        <w:rPr>
          <w:rFonts w:cs="Times New Roman"/>
          <w:szCs w:val="24"/>
        </w:rPr>
        <w:t xml:space="preserve"> Konzultační materiál byl </w:t>
      </w:r>
      <w:r w:rsidR="00A50DA1">
        <w:rPr>
          <w:rFonts w:cs="Times New Roman"/>
          <w:szCs w:val="24"/>
        </w:rPr>
        <w:t xml:space="preserve">rovněž </w:t>
      </w:r>
      <w:r w:rsidRPr="00496482">
        <w:rPr>
          <w:rFonts w:cs="Times New Roman"/>
          <w:szCs w:val="24"/>
        </w:rPr>
        <w:t xml:space="preserve">rozeslán na e-mailové adresy </w:t>
      </w:r>
      <w:r w:rsidR="009F3452">
        <w:rPr>
          <w:rFonts w:cs="Times New Roman"/>
          <w:szCs w:val="24"/>
        </w:rPr>
        <w:t>subjektů, jejichž akcie jsou obchodovány na regulovaném trhu, Centrálnímu depozitáři</w:t>
      </w:r>
      <w:r w:rsidR="00ED19AC">
        <w:rPr>
          <w:rFonts w:cs="Times New Roman"/>
          <w:szCs w:val="24"/>
        </w:rPr>
        <w:t xml:space="preserve"> cenných papírů</w:t>
      </w:r>
      <w:r w:rsidR="009F3452">
        <w:rPr>
          <w:rFonts w:cs="Times New Roman"/>
          <w:szCs w:val="24"/>
        </w:rPr>
        <w:t xml:space="preserve"> a schovatelům, kteří prová</w:t>
      </w:r>
      <w:r w:rsidR="00143D32">
        <w:rPr>
          <w:rFonts w:cs="Times New Roman"/>
          <w:szCs w:val="24"/>
        </w:rPr>
        <w:t>d</w:t>
      </w:r>
      <w:r w:rsidR="009F3452">
        <w:rPr>
          <w:rFonts w:cs="Times New Roman"/>
          <w:szCs w:val="24"/>
        </w:rPr>
        <w:t>í obchody na účtech zákazník</w:t>
      </w:r>
      <w:r w:rsidR="00143D32">
        <w:rPr>
          <w:rFonts w:cs="Times New Roman"/>
          <w:szCs w:val="24"/>
        </w:rPr>
        <w:t>ů</w:t>
      </w:r>
      <w:r w:rsidR="009F3452">
        <w:rPr>
          <w:rFonts w:cs="Times New Roman"/>
          <w:szCs w:val="24"/>
        </w:rPr>
        <w:t xml:space="preserve"> u</w:t>
      </w:r>
      <w:r w:rsidR="0023029B">
        <w:rPr>
          <w:rFonts w:cs="Times New Roman"/>
          <w:szCs w:val="24"/>
        </w:rPr>
        <w:t> </w:t>
      </w:r>
      <w:r w:rsidR="009F3452">
        <w:rPr>
          <w:rFonts w:cs="Times New Roman"/>
          <w:szCs w:val="24"/>
        </w:rPr>
        <w:t>Centrálního depozitáře</w:t>
      </w:r>
      <w:r w:rsidRPr="00496482">
        <w:rPr>
          <w:rFonts w:cs="Times New Roman"/>
          <w:szCs w:val="24"/>
        </w:rPr>
        <w:t xml:space="preserve">. </w:t>
      </w:r>
      <w:r w:rsidRPr="00143D32">
        <w:rPr>
          <w:rFonts w:cs="Times New Roman"/>
          <w:szCs w:val="24"/>
        </w:rPr>
        <w:t>Zároveň byly osloveny profesní asociace</w:t>
      </w:r>
      <w:r w:rsidR="009F3452" w:rsidRPr="00143D32">
        <w:rPr>
          <w:rFonts w:cs="Times New Roman"/>
          <w:szCs w:val="24"/>
        </w:rPr>
        <w:t>: Česká bankovní asociace a Asociace pro kapitálový trh</w:t>
      </w:r>
      <w:r w:rsidR="00EE1541" w:rsidRPr="00143D32">
        <w:rPr>
          <w:rFonts w:cs="Times New Roman"/>
          <w:szCs w:val="24"/>
        </w:rPr>
        <w:t>.</w:t>
      </w:r>
      <w:r w:rsidR="00F85CB9">
        <w:rPr>
          <w:rFonts w:cs="Times New Roman"/>
          <w:szCs w:val="24"/>
        </w:rPr>
        <w:t xml:space="preserve"> Materiál byl rovněž zaslán České národní bance, Svazu průmyslu a dopravy České republiky, Hospodářské komoře České republiky, Českomoravské konfederaci odborových svazů, Komoře auditorů České republiky a Komoře daňových poradců České republiky. Odpovědi na veřejnou konzultaci bylo možno zasílat Ministerstvu financí do 2. října 2017.</w:t>
      </w:r>
    </w:p>
    <w:p w14:paraId="2CFECC0A" w14:textId="77777777" w:rsidR="002734A1" w:rsidRDefault="002734A1" w:rsidP="007833CD">
      <w:pPr>
        <w:rPr>
          <w:rFonts w:cs="Times New Roman"/>
          <w:szCs w:val="24"/>
        </w:rPr>
      </w:pPr>
      <w:r w:rsidRPr="00496482">
        <w:rPr>
          <w:rFonts w:cs="Times New Roman"/>
          <w:szCs w:val="24"/>
        </w:rPr>
        <w:t xml:space="preserve">Veřejné konzultace se zúčastnilo celkem </w:t>
      </w:r>
      <w:r w:rsidR="009F3452">
        <w:rPr>
          <w:rFonts w:cs="Times New Roman"/>
          <w:szCs w:val="24"/>
        </w:rPr>
        <w:t>7</w:t>
      </w:r>
      <w:r w:rsidR="009F3452" w:rsidRPr="00496482">
        <w:rPr>
          <w:rFonts w:cs="Times New Roman"/>
          <w:szCs w:val="24"/>
        </w:rPr>
        <w:t xml:space="preserve"> </w:t>
      </w:r>
      <w:r w:rsidR="007E5239">
        <w:rPr>
          <w:rFonts w:cs="Times New Roman"/>
          <w:szCs w:val="24"/>
        </w:rPr>
        <w:t>subjektů</w:t>
      </w:r>
      <w:r w:rsidRPr="00496482">
        <w:rPr>
          <w:rFonts w:cs="Times New Roman"/>
          <w:szCs w:val="24"/>
        </w:rPr>
        <w:t xml:space="preserve">. Souhrn odpovědí přinášíme členěný dle položených otázek (číslo uvedené u otázky odkazuje na otázku položenou v konzultačním materiálu). </w:t>
      </w:r>
      <w:r w:rsidR="00A50DA1">
        <w:rPr>
          <w:rFonts w:cs="Times New Roman"/>
          <w:szCs w:val="24"/>
        </w:rPr>
        <w:t>D</w:t>
      </w:r>
      <w:r w:rsidRPr="00496482">
        <w:rPr>
          <w:rFonts w:cs="Times New Roman"/>
          <w:szCs w:val="24"/>
        </w:rPr>
        <w:t xml:space="preserve">ošlé odpovědi zúčastněných respondentů využije Ministerstvo financí </w:t>
      </w:r>
      <w:r w:rsidR="009F3452">
        <w:rPr>
          <w:rFonts w:cs="Times New Roman"/>
          <w:szCs w:val="24"/>
        </w:rPr>
        <w:t>ve</w:t>
      </w:r>
      <w:r w:rsidR="0023029B">
        <w:rPr>
          <w:rFonts w:cs="Times New Roman"/>
          <w:szCs w:val="24"/>
        </w:rPr>
        <w:t> </w:t>
      </w:r>
      <w:r w:rsidR="009F3452">
        <w:rPr>
          <w:rFonts w:cs="Times New Roman"/>
          <w:szCs w:val="24"/>
        </w:rPr>
        <w:t xml:space="preserve">spolupráci s Ministerstvem spravedlnosti </w:t>
      </w:r>
      <w:r w:rsidRPr="00496482">
        <w:rPr>
          <w:rFonts w:cs="Times New Roman"/>
          <w:szCs w:val="24"/>
        </w:rPr>
        <w:t>při</w:t>
      </w:r>
      <w:r w:rsidR="00055E91">
        <w:rPr>
          <w:rFonts w:cs="Times New Roman"/>
          <w:szCs w:val="24"/>
        </w:rPr>
        <w:t> </w:t>
      </w:r>
      <w:r w:rsidRPr="00496482">
        <w:rPr>
          <w:rFonts w:cs="Times New Roman"/>
          <w:szCs w:val="24"/>
        </w:rPr>
        <w:t xml:space="preserve">přípravě </w:t>
      </w:r>
      <w:r w:rsidR="007E5239">
        <w:rPr>
          <w:rFonts w:cs="Times New Roman"/>
          <w:szCs w:val="24"/>
        </w:rPr>
        <w:t>transpozic</w:t>
      </w:r>
      <w:r w:rsidR="0023029B">
        <w:rPr>
          <w:rFonts w:cs="Times New Roman"/>
          <w:szCs w:val="24"/>
        </w:rPr>
        <w:t>e</w:t>
      </w:r>
      <w:r w:rsidR="007E5239">
        <w:rPr>
          <w:rFonts w:cs="Times New Roman"/>
          <w:szCs w:val="24"/>
        </w:rPr>
        <w:t xml:space="preserve"> směrnice </w:t>
      </w:r>
      <w:r w:rsidR="007E5239" w:rsidRPr="007E5239">
        <w:rPr>
          <w:rFonts w:cs="Times New Roman"/>
          <w:bCs/>
          <w:szCs w:val="24"/>
        </w:rPr>
        <w:t>Evropského parlamentu a Rady (EU) 2017/828 ze dne 17.</w:t>
      </w:r>
      <w:r w:rsidR="00055E91">
        <w:rPr>
          <w:rFonts w:cs="Times New Roman"/>
          <w:bCs/>
          <w:szCs w:val="24"/>
        </w:rPr>
        <w:t> </w:t>
      </w:r>
      <w:r w:rsidR="007E5239" w:rsidRPr="007E5239">
        <w:rPr>
          <w:rFonts w:cs="Times New Roman"/>
          <w:bCs/>
          <w:szCs w:val="24"/>
        </w:rPr>
        <w:t>května 2017, kterou se mění směrnice 2007/36/ES</w:t>
      </w:r>
      <w:r w:rsidR="00CB6BC3">
        <w:rPr>
          <w:rFonts w:cs="Times New Roman"/>
          <w:bCs/>
          <w:szCs w:val="24"/>
        </w:rPr>
        <w:t>, pokud jde o podporu dlouhodobého zapojení akcionářů</w:t>
      </w:r>
      <w:r w:rsidRPr="00496482">
        <w:rPr>
          <w:rFonts w:cs="Times New Roman"/>
          <w:szCs w:val="24"/>
        </w:rPr>
        <w:t xml:space="preserve">. </w:t>
      </w:r>
    </w:p>
    <w:p w14:paraId="45E65C85" w14:textId="77777777" w:rsidR="002734A1" w:rsidRPr="00496482" w:rsidRDefault="002734A1" w:rsidP="007833CD">
      <w:pPr>
        <w:rPr>
          <w:rFonts w:cs="Times New Roman"/>
          <w:b/>
          <w:szCs w:val="24"/>
        </w:rPr>
      </w:pPr>
      <w:r w:rsidRPr="00496482">
        <w:rPr>
          <w:rFonts w:cs="Times New Roman"/>
          <w:b/>
          <w:szCs w:val="24"/>
        </w:rPr>
        <w:t>Otázky 1.1. a 1.2. – subjekt</w:t>
      </w:r>
    </w:p>
    <w:p w14:paraId="31783FB2" w14:textId="77777777" w:rsidR="002154C2" w:rsidRPr="00496482" w:rsidRDefault="002734A1" w:rsidP="007833CD">
      <w:pPr>
        <w:rPr>
          <w:rFonts w:cs="Times New Roman"/>
          <w:szCs w:val="24"/>
        </w:rPr>
      </w:pPr>
      <w:r w:rsidRPr="00496482">
        <w:rPr>
          <w:rFonts w:cs="Times New Roman"/>
          <w:szCs w:val="24"/>
        </w:rPr>
        <w:t xml:space="preserve">Veřejné konzultace se zúčastnilo celkem </w:t>
      </w:r>
      <w:r w:rsidR="00694477">
        <w:rPr>
          <w:rFonts w:cs="Times New Roman"/>
          <w:szCs w:val="24"/>
        </w:rPr>
        <w:t>7</w:t>
      </w:r>
      <w:r w:rsidRPr="00496482">
        <w:rPr>
          <w:rFonts w:cs="Times New Roman"/>
          <w:szCs w:val="24"/>
        </w:rPr>
        <w:t xml:space="preserve"> subjektů. Na konzultaci </w:t>
      </w:r>
      <w:r w:rsidR="00090BD1">
        <w:rPr>
          <w:rFonts w:cs="Times New Roman"/>
          <w:szCs w:val="24"/>
        </w:rPr>
        <w:t>odpověděl</w:t>
      </w:r>
      <w:r w:rsidR="007E5239">
        <w:rPr>
          <w:rFonts w:cs="Times New Roman"/>
          <w:szCs w:val="24"/>
        </w:rPr>
        <w:t xml:space="preserve"> 1 akademik, 1</w:t>
      </w:r>
      <w:r w:rsidR="0023029B">
        <w:rPr>
          <w:rFonts w:cs="Times New Roman"/>
          <w:szCs w:val="24"/>
        </w:rPr>
        <w:t> </w:t>
      </w:r>
      <w:r w:rsidR="007E5239">
        <w:rPr>
          <w:rFonts w:cs="Times New Roman"/>
          <w:szCs w:val="24"/>
        </w:rPr>
        <w:t>organizace zaměstnavatelů, 2 banky, centrální depozitář</w:t>
      </w:r>
      <w:r w:rsidR="00694477">
        <w:rPr>
          <w:rFonts w:cs="Times New Roman"/>
          <w:szCs w:val="24"/>
        </w:rPr>
        <w:t>,</w:t>
      </w:r>
      <w:r w:rsidR="007E5239">
        <w:rPr>
          <w:rFonts w:cs="Times New Roman"/>
          <w:szCs w:val="24"/>
        </w:rPr>
        <w:t xml:space="preserve"> </w:t>
      </w:r>
      <w:r w:rsidR="00CC79DC">
        <w:rPr>
          <w:rFonts w:cs="Times New Roman"/>
          <w:szCs w:val="24"/>
        </w:rPr>
        <w:t>A</w:t>
      </w:r>
      <w:r w:rsidR="007E5239">
        <w:rPr>
          <w:rFonts w:cs="Times New Roman"/>
          <w:szCs w:val="24"/>
        </w:rPr>
        <w:t>sociace pro kapitálový trh</w:t>
      </w:r>
      <w:r w:rsidR="00B358C6">
        <w:rPr>
          <w:rFonts w:cs="Times New Roman"/>
          <w:szCs w:val="24"/>
        </w:rPr>
        <w:t xml:space="preserve"> České republiky</w:t>
      </w:r>
      <w:r w:rsidR="00694477">
        <w:rPr>
          <w:rFonts w:cs="Times New Roman"/>
          <w:szCs w:val="24"/>
        </w:rPr>
        <w:t xml:space="preserve"> a Česká národní banka</w:t>
      </w:r>
      <w:r w:rsidR="007E5239">
        <w:rPr>
          <w:rFonts w:cs="Times New Roman"/>
          <w:szCs w:val="24"/>
        </w:rPr>
        <w:t xml:space="preserve">. </w:t>
      </w:r>
      <w:r w:rsidR="00090BD1">
        <w:rPr>
          <w:rFonts w:cs="Times New Roman"/>
          <w:szCs w:val="24"/>
        </w:rPr>
        <w:t xml:space="preserve"> </w:t>
      </w:r>
    </w:p>
    <w:p w14:paraId="6D306049" w14:textId="77777777" w:rsidR="0009704B" w:rsidRDefault="0009704B">
      <w:pPr>
        <w:spacing w:line="276" w:lineRule="auto"/>
        <w:jc w:val="left"/>
        <w:rPr>
          <w:rFonts w:cs="Times New Roman"/>
          <w:b/>
          <w:sz w:val="32"/>
          <w:szCs w:val="32"/>
        </w:rPr>
      </w:pPr>
      <w:bookmarkStart w:id="1" w:name="_Toc490467805"/>
      <w:bookmarkStart w:id="2" w:name="_Toc490485832"/>
      <w:bookmarkStart w:id="3" w:name="_Toc491249967"/>
      <w:r>
        <w:rPr>
          <w:b/>
          <w:sz w:val="32"/>
          <w:szCs w:val="32"/>
        </w:rPr>
        <w:br w:type="page"/>
      </w:r>
    </w:p>
    <w:p w14:paraId="73EABB70" w14:textId="77777777" w:rsidR="0009704B" w:rsidRPr="00304DD0" w:rsidRDefault="0009704B" w:rsidP="0009704B">
      <w:pPr>
        <w:pStyle w:val="Otzka"/>
        <w:jc w:val="center"/>
        <w:outlineLvl w:val="1"/>
        <w:rPr>
          <w:b/>
          <w:sz w:val="32"/>
          <w:szCs w:val="32"/>
        </w:rPr>
      </w:pPr>
      <w:r w:rsidRPr="00304DD0">
        <w:rPr>
          <w:b/>
          <w:sz w:val="32"/>
          <w:szCs w:val="32"/>
        </w:rPr>
        <w:lastRenderedPageBreak/>
        <w:t>KAPITOLA I. – OBLAST PŮSOBNOSTI</w:t>
      </w:r>
      <w:bookmarkEnd w:id="1"/>
      <w:bookmarkEnd w:id="2"/>
      <w:bookmarkEnd w:id="3"/>
      <w:r w:rsidRPr="00304DD0">
        <w:rPr>
          <w:b/>
          <w:sz w:val="32"/>
          <w:szCs w:val="32"/>
        </w:rPr>
        <w:t xml:space="preserve"> </w:t>
      </w:r>
    </w:p>
    <w:p w14:paraId="0F25BFB0" w14:textId="77777777" w:rsidR="002154C2" w:rsidRDefault="00A94CA6" w:rsidP="007833CD">
      <w:pPr>
        <w:rPr>
          <w:rFonts w:cs="Times New Roman"/>
          <w:b/>
          <w:szCs w:val="24"/>
        </w:rPr>
      </w:pPr>
      <w:r w:rsidRPr="00A94CA6">
        <w:rPr>
          <w:rFonts w:cs="Times New Roman"/>
          <w:b/>
          <w:szCs w:val="24"/>
        </w:rPr>
        <w:t>Otázka 2.1. Je podle Vás nutné k normě vyjádřené v čl. 1 odst. 2 směrnice přistupovat jako ke kolizní normě s důsledky vyjádřenými výše? Jakou jinou interpretaci lze popřípadě čl. 1 odst. 2 směrnice přisoudit?</w:t>
      </w:r>
    </w:p>
    <w:p w14:paraId="36376A20" w14:textId="77777777" w:rsidR="00A94CA6" w:rsidRDefault="00A10A66" w:rsidP="007833CD">
      <w:pPr>
        <w:rPr>
          <w:rFonts w:cs="Times New Roman"/>
          <w:szCs w:val="24"/>
        </w:rPr>
      </w:pPr>
      <w:r>
        <w:rPr>
          <w:rFonts w:cs="Times New Roman"/>
          <w:szCs w:val="24"/>
        </w:rPr>
        <w:t xml:space="preserve">Z celkového počtu </w:t>
      </w:r>
      <w:r w:rsidR="00694477">
        <w:rPr>
          <w:rFonts w:cs="Times New Roman"/>
          <w:szCs w:val="24"/>
        </w:rPr>
        <w:t>7</w:t>
      </w:r>
      <w:r>
        <w:rPr>
          <w:rFonts w:cs="Times New Roman"/>
          <w:szCs w:val="24"/>
        </w:rPr>
        <w:t xml:space="preserve"> respondentů na tuto otázku odpověděli </w:t>
      </w:r>
      <w:r w:rsidR="005F5BCC">
        <w:rPr>
          <w:rFonts w:cs="Times New Roman"/>
          <w:szCs w:val="24"/>
        </w:rPr>
        <w:t>4</w:t>
      </w:r>
      <w:r>
        <w:rPr>
          <w:rFonts w:cs="Times New Roman"/>
          <w:szCs w:val="24"/>
        </w:rPr>
        <w:t xml:space="preserve"> respondenti. </w:t>
      </w:r>
      <w:r w:rsidR="00694477">
        <w:rPr>
          <w:rFonts w:cs="Times New Roman"/>
          <w:szCs w:val="24"/>
        </w:rPr>
        <w:t>Jeden</w:t>
      </w:r>
      <w:r>
        <w:rPr>
          <w:rFonts w:cs="Times New Roman"/>
          <w:szCs w:val="24"/>
        </w:rPr>
        <w:t xml:space="preserve"> z nich se domnívá, že tento článek nepředstavuje kolizní ustanovení, neboť jde o příkaz unijního zákonodárce, který stát je příslušný pro transpozici této směrnice. Ustanovení tak podle něj ani nemůže být předmětem transpozice do českého právního řádu. Jako kolizní ustanovení vnímá až druhý pododstavec písm. a) a b).  </w:t>
      </w:r>
      <w:r w:rsidR="005F5BCC">
        <w:rPr>
          <w:rFonts w:cs="Times New Roman"/>
          <w:szCs w:val="24"/>
        </w:rPr>
        <w:t>D</w:t>
      </w:r>
      <w:r w:rsidR="00694477">
        <w:rPr>
          <w:rFonts w:cs="Times New Roman"/>
          <w:szCs w:val="24"/>
        </w:rPr>
        <w:t>va</w:t>
      </w:r>
      <w:r>
        <w:rPr>
          <w:rFonts w:cs="Times New Roman"/>
          <w:szCs w:val="24"/>
        </w:rPr>
        <w:t xml:space="preserve"> respondent</w:t>
      </w:r>
      <w:r w:rsidR="0023029B">
        <w:rPr>
          <w:rFonts w:cs="Times New Roman"/>
          <w:szCs w:val="24"/>
        </w:rPr>
        <w:t>i</w:t>
      </w:r>
      <w:r>
        <w:rPr>
          <w:rFonts w:cs="Times New Roman"/>
          <w:szCs w:val="24"/>
        </w:rPr>
        <w:t xml:space="preserve"> vním</w:t>
      </w:r>
      <w:r w:rsidR="00694477">
        <w:rPr>
          <w:rFonts w:cs="Times New Roman"/>
          <w:szCs w:val="24"/>
        </w:rPr>
        <w:t>ají</w:t>
      </w:r>
      <w:r>
        <w:rPr>
          <w:rFonts w:cs="Times New Roman"/>
          <w:szCs w:val="24"/>
        </w:rPr>
        <w:t xml:space="preserve"> toto ustanovení jako kolizní normu</w:t>
      </w:r>
      <w:r w:rsidR="00694477">
        <w:rPr>
          <w:rFonts w:cs="Times New Roman"/>
          <w:szCs w:val="24"/>
        </w:rPr>
        <w:t>, neboť to vyplývá přímo z čl. 1 odst. 2 směrnice.</w:t>
      </w:r>
      <w:r w:rsidR="005F5BCC">
        <w:rPr>
          <w:rFonts w:cs="Times New Roman"/>
          <w:szCs w:val="24"/>
        </w:rPr>
        <w:t xml:space="preserve"> Čtvrtý respondent pouze uvedl, že preferuje stanovení povinnosti pro zprostředkovatele podnikající na území ČR.</w:t>
      </w:r>
    </w:p>
    <w:p w14:paraId="06EF2765" w14:textId="77777777" w:rsidR="00CC79DC" w:rsidRDefault="00CC79DC" w:rsidP="007833CD">
      <w:pPr>
        <w:rPr>
          <w:rFonts w:cs="Times New Roman"/>
          <w:szCs w:val="24"/>
        </w:rPr>
      </w:pPr>
      <w:r>
        <w:rPr>
          <w:rFonts w:cs="Times New Roman"/>
          <w:szCs w:val="24"/>
        </w:rPr>
        <w:t>Zbývající 3 respondenti na tuto otázku neodpověděli.</w:t>
      </w:r>
    </w:p>
    <w:p w14:paraId="1FC6F209" w14:textId="409F3968" w:rsidR="0005476B" w:rsidRDefault="00373D60" w:rsidP="007B2B52">
      <w:pPr>
        <w:jc w:val="center"/>
        <w:rPr>
          <w:rFonts w:cs="Times New Roman"/>
          <w:szCs w:val="24"/>
        </w:rPr>
      </w:pPr>
      <w:r>
        <w:rPr>
          <w:noProof/>
          <w:lang w:eastAsia="cs-CZ"/>
        </w:rPr>
        <w:drawing>
          <wp:inline distT="0" distB="0" distL="0" distR="0" wp14:anchorId="376A321C" wp14:editId="00112229">
            <wp:extent cx="4548717" cy="2743200"/>
            <wp:effectExtent l="0" t="0" r="23495" b="1905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3FFA6B" w14:textId="5D256B9E" w:rsidR="00A94CA6" w:rsidRPr="00627DB1" w:rsidRDefault="00A94CA6" w:rsidP="007833CD">
      <w:pPr>
        <w:rPr>
          <w:rFonts w:cs="Times New Roman"/>
          <w:b/>
          <w:szCs w:val="24"/>
        </w:rPr>
      </w:pPr>
      <w:r w:rsidRPr="00627DB1">
        <w:rPr>
          <w:rFonts w:cs="Times New Roman"/>
          <w:b/>
          <w:szCs w:val="24"/>
        </w:rPr>
        <w:t>Otázka 2.2. Domníváte se, že by měla být působnost směrnice širší a dopadat i na další společnosti, než jen na společnosti s kótovanými akciemi?</w:t>
      </w:r>
    </w:p>
    <w:p w14:paraId="6776A8B8" w14:textId="2228D1A7" w:rsidR="00AC7B7A" w:rsidRDefault="00AC7B7A" w:rsidP="007833CD">
      <w:pPr>
        <w:rPr>
          <w:rFonts w:cs="Times New Roman"/>
          <w:szCs w:val="24"/>
        </w:rPr>
      </w:pPr>
      <w:r>
        <w:rPr>
          <w:rFonts w:cs="Times New Roman"/>
          <w:szCs w:val="24"/>
        </w:rPr>
        <w:t xml:space="preserve">Na tuto otázku odpovědělo </w:t>
      </w:r>
      <w:r w:rsidR="00ED19AC">
        <w:rPr>
          <w:rFonts w:cs="Times New Roman"/>
          <w:szCs w:val="24"/>
        </w:rPr>
        <w:t>6</w:t>
      </w:r>
      <w:r>
        <w:rPr>
          <w:rFonts w:cs="Times New Roman"/>
          <w:szCs w:val="24"/>
        </w:rPr>
        <w:t xml:space="preserve"> respondentů, přičemž se všichni shodně domnívají, že </w:t>
      </w:r>
      <w:r w:rsidR="00987757">
        <w:rPr>
          <w:rFonts w:cs="Times New Roman"/>
          <w:szCs w:val="24"/>
        </w:rPr>
        <w:t>by zákon</w:t>
      </w:r>
      <w:r w:rsidR="00B96C09">
        <w:rPr>
          <w:rFonts w:cs="Times New Roman"/>
          <w:szCs w:val="24"/>
        </w:rPr>
        <w:t>, který bude směrnici implementovat do českého práva,</w:t>
      </w:r>
      <w:r>
        <w:rPr>
          <w:rFonts w:cs="Times New Roman"/>
          <w:szCs w:val="24"/>
        </w:rPr>
        <w:t xml:space="preserve"> neměl dopadat </w:t>
      </w:r>
      <w:r w:rsidR="00987757">
        <w:rPr>
          <w:rFonts w:cs="Times New Roman"/>
          <w:szCs w:val="24"/>
        </w:rPr>
        <w:t xml:space="preserve">na jiné </w:t>
      </w:r>
      <w:r>
        <w:rPr>
          <w:rFonts w:cs="Times New Roman"/>
          <w:szCs w:val="24"/>
        </w:rPr>
        <w:t>společnosti</w:t>
      </w:r>
      <w:r w:rsidR="00987757">
        <w:rPr>
          <w:rFonts w:cs="Times New Roman"/>
          <w:szCs w:val="24"/>
        </w:rPr>
        <w:t xml:space="preserve">, než </w:t>
      </w:r>
      <w:r w:rsidR="00F87B9C">
        <w:rPr>
          <w:rFonts w:cs="Times New Roman"/>
          <w:szCs w:val="24"/>
        </w:rPr>
        <w:t xml:space="preserve">na </w:t>
      </w:r>
      <w:r w:rsidR="007570B9">
        <w:rPr>
          <w:rFonts w:cs="Times New Roman"/>
          <w:szCs w:val="24"/>
        </w:rPr>
        <w:t>kó</w:t>
      </w:r>
      <w:r w:rsidR="00987757">
        <w:rPr>
          <w:rFonts w:cs="Times New Roman"/>
          <w:szCs w:val="24"/>
        </w:rPr>
        <w:t>tované</w:t>
      </w:r>
      <w:r>
        <w:rPr>
          <w:rFonts w:cs="Times New Roman"/>
          <w:szCs w:val="24"/>
        </w:rPr>
        <w:t xml:space="preserve">. </w:t>
      </w:r>
      <w:r w:rsidR="00C94CB2">
        <w:rPr>
          <w:rFonts w:cs="Times New Roman"/>
          <w:szCs w:val="24"/>
        </w:rPr>
        <w:t>Jeden z respondentů upozorňuje</w:t>
      </w:r>
      <w:r>
        <w:rPr>
          <w:rFonts w:cs="Times New Roman"/>
          <w:szCs w:val="24"/>
        </w:rPr>
        <w:t xml:space="preserve">, že by </w:t>
      </w:r>
      <w:r w:rsidR="00C94CB2">
        <w:rPr>
          <w:rFonts w:cs="Times New Roman"/>
          <w:szCs w:val="24"/>
        </w:rPr>
        <w:t xml:space="preserve">zároveň </w:t>
      </w:r>
      <w:r>
        <w:rPr>
          <w:rFonts w:cs="Times New Roman"/>
          <w:szCs w:val="24"/>
        </w:rPr>
        <w:t xml:space="preserve">měly být z působnosti vyňaty subjekty tam, kde to směrnice umožňuje (např. speciální fond nebo fond kvalifikovaných investorů). </w:t>
      </w:r>
      <w:r w:rsidR="00DE44D9" w:rsidRPr="007570B9">
        <w:rPr>
          <w:rFonts w:cs="Times New Roman"/>
          <w:szCs w:val="24"/>
        </w:rPr>
        <w:t>J</w:t>
      </w:r>
      <w:r w:rsidRPr="007570B9">
        <w:rPr>
          <w:rFonts w:cs="Times New Roman"/>
          <w:szCs w:val="24"/>
        </w:rPr>
        <w:t>eden z respondentů uvádí, že by úprava neměla dopadat na</w:t>
      </w:r>
      <w:r w:rsidR="0023029B" w:rsidRPr="007570B9">
        <w:rPr>
          <w:rFonts w:cs="Times New Roman"/>
          <w:szCs w:val="24"/>
        </w:rPr>
        <w:t> </w:t>
      </w:r>
      <w:r w:rsidRPr="007570B9">
        <w:rPr>
          <w:rFonts w:cs="Times New Roman"/>
          <w:szCs w:val="24"/>
        </w:rPr>
        <w:t xml:space="preserve">nekótované akcie, </w:t>
      </w:r>
      <w:r w:rsidRPr="007570B9">
        <w:rPr>
          <w:rFonts w:cs="Times New Roman"/>
          <w:szCs w:val="24"/>
        </w:rPr>
        <w:lastRenderedPageBreak/>
        <w:t>neboť důvody, pro které jsou akcie zakn</w:t>
      </w:r>
      <w:r w:rsidR="009A7017" w:rsidRPr="007570B9">
        <w:rPr>
          <w:rFonts w:cs="Times New Roman"/>
          <w:szCs w:val="24"/>
        </w:rPr>
        <w:t>ih</w:t>
      </w:r>
      <w:r w:rsidRPr="007570B9">
        <w:rPr>
          <w:rFonts w:cs="Times New Roman"/>
          <w:szCs w:val="24"/>
        </w:rPr>
        <w:t>ovány u cen</w:t>
      </w:r>
      <w:r w:rsidR="009A7017" w:rsidRPr="007570B9">
        <w:rPr>
          <w:rFonts w:cs="Times New Roman"/>
          <w:szCs w:val="24"/>
        </w:rPr>
        <w:t>trálního depozitáře cenných papírů, mohou být jiné než u kótovaných akcií.</w:t>
      </w:r>
    </w:p>
    <w:p w14:paraId="4E33907B" w14:textId="77777777" w:rsidR="00A94CA6" w:rsidRDefault="00AC7B7A" w:rsidP="007833CD">
      <w:pPr>
        <w:rPr>
          <w:rFonts w:cs="Times New Roman"/>
          <w:szCs w:val="24"/>
        </w:rPr>
      </w:pPr>
      <w:r>
        <w:rPr>
          <w:rFonts w:cs="Times New Roman"/>
          <w:szCs w:val="24"/>
        </w:rPr>
        <w:t>Jeden respondent na tuto otázku neodpověděl.</w:t>
      </w:r>
    </w:p>
    <w:p w14:paraId="2B3A9F45" w14:textId="77777777" w:rsidR="00241A14" w:rsidRDefault="002C0ADF" w:rsidP="002C0ADF">
      <w:pPr>
        <w:jc w:val="center"/>
        <w:rPr>
          <w:rFonts w:cs="Times New Roman"/>
          <w:szCs w:val="24"/>
        </w:rPr>
      </w:pPr>
      <w:r w:rsidRPr="00C94CB2">
        <w:rPr>
          <w:noProof/>
          <w:lang w:eastAsia="cs-CZ"/>
        </w:rPr>
        <w:drawing>
          <wp:inline distT="0" distB="0" distL="0" distR="0" wp14:anchorId="703A38F7" wp14:editId="7F9E7239">
            <wp:extent cx="5457825" cy="2743200"/>
            <wp:effectExtent l="0" t="0" r="9525" b="1905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FCD2B7" w14:textId="5F330A46" w:rsidR="00A94CA6" w:rsidRDefault="00A94CA6" w:rsidP="007833CD">
      <w:pPr>
        <w:rPr>
          <w:rFonts w:cs="Times New Roman"/>
          <w:b/>
          <w:szCs w:val="24"/>
        </w:rPr>
      </w:pPr>
      <w:r w:rsidRPr="00627DB1">
        <w:rPr>
          <w:rFonts w:cs="Times New Roman"/>
          <w:b/>
          <w:szCs w:val="24"/>
        </w:rPr>
        <w:t>Otázka 2.3. Jaké jsou důvody pro zachování působnosti směrnice, případně pro její rozšíření?</w:t>
      </w:r>
    </w:p>
    <w:p w14:paraId="382C763F" w14:textId="12FFBFA6" w:rsidR="005215C7" w:rsidRPr="000C3306" w:rsidRDefault="005215C7" w:rsidP="00ED6A47">
      <w:pPr>
        <w:rPr>
          <w:rFonts w:cs="Times New Roman"/>
          <w:b/>
          <w:szCs w:val="24"/>
        </w:rPr>
      </w:pPr>
      <w:r w:rsidRPr="000C3306">
        <w:rPr>
          <w:rFonts w:eastAsia="Times New Roman" w:cs="Times New Roman"/>
          <w:color w:val="000000"/>
          <w:szCs w:val="24"/>
          <w:lang w:eastAsia="cs-CZ"/>
        </w:rPr>
        <w:t>Respondenti jako důvody pro zachování působnosti směrnice uváděli zbytečnou administrativní zátěž pro ostatní obchodní společnosti, na něž se směrnice nevztahuje</w:t>
      </w:r>
      <w:r w:rsidR="00EE649B" w:rsidRPr="000C3306">
        <w:rPr>
          <w:rFonts w:eastAsia="Times New Roman" w:cs="Times New Roman"/>
          <w:color w:val="000000"/>
          <w:szCs w:val="24"/>
          <w:lang w:eastAsia="cs-CZ"/>
        </w:rPr>
        <w:t xml:space="preserve">, neboť je </w:t>
      </w:r>
      <w:r w:rsidR="00F87B9C">
        <w:rPr>
          <w:rFonts w:eastAsia="Times New Roman" w:cs="Times New Roman"/>
          <w:color w:val="000000"/>
          <w:szCs w:val="24"/>
          <w:lang w:eastAsia="cs-CZ"/>
        </w:rPr>
        <w:t xml:space="preserve">podle jejich názoru </w:t>
      </w:r>
      <w:r w:rsidR="00EE649B" w:rsidRPr="000C3306">
        <w:rPr>
          <w:rFonts w:eastAsia="Times New Roman" w:cs="Times New Roman"/>
          <w:color w:val="000000"/>
          <w:szCs w:val="24"/>
          <w:lang w:eastAsia="cs-CZ"/>
        </w:rPr>
        <w:t xml:space="preserve">správné menší společnosti méně zatěžovat a </w:t>
      </w:r>
      <w:r w:rsidR="00F87B9C">
        <w:rPr>
          <w:rFonts w:eastAsia="Times New Roman" w:cs="Times New Roman"/>
          <w:color w:val="000000"/>
          <w:szCs w:val="24"/>
          <w:lang w:eastAsia="cs-CZ"/>
        </w:rPr>
        <w:t xml:space="preserve">v rozšíření působnosti směrnice </w:t>
      </w:r>
      <w:r w:rsidR="00EE649B" w:rsidRPr="000C3306">
        <w:rPr>
          <w:rFonts w:eastAsia="Times New Roman" w:cs="Times New Roman"/>
          <w:color w:val="000000"/>
          <w:szCs w:val="24"/>
          <w:lang w:eastAsia="cs-CZ"/>
        </w:rPr>
        <w:t>nevidí větší přidanou hodnotu pro dlouhodobé zapojení akcionářů</w:t>
      </w:r>
      <w:r w:rsidR="00BC3785" w:rsidRPr="000C3306">
        <w:rPr>
          <w:rFonts w:eastAsia="Times New Roman" w:cs="Times New Roman"/>
          <w:color w:val="000000"/>
          <w:szCs w:val="24"/>
          <w:lang w:eastAsia="cs-CZ"/>
        </w:rPr>
        <w:t xml:space="preserve">. Dále </w:t>
      </w:r>
      <w:r w:rsidR="00EE649B" w:rsidRPr="000C3306">
        <w:rPr>
          <w:rFonts w:eastAsia="Times New Roman" w:cs="Times New Roman"/>
          <w:color w:val="000000"/>
          <w:szCs w:val="24"/>
          <w:lang w:eastAsia="cs-CZ"/>
        </w:rPr>
        <w:t xml:space="preserve">se domnívají, že </w:t>
      </w:r>
      <w:r w:rsidR="00BC3785" w:rsidRPr="000C3306">
        <w:rPr>
          <w:rFonts w:eastAsia="Times New Roman" w:cs="Times New Roman"/>
          <w:color w:val="000000"/>
          <w:szCs w:val="24"/>
          <w:lang w:eastAsia="cs-CZ"/>
        </w:rPr>
        <w:t xml:space="preserve">u </w:t>
      </w:r>
      <w:r w:rsidRPr="000C3306">
        <w:rPr>
          <w:rFonts w:eastAsia="Times New Roman" w:cs="Times New Roman"/>
          <w:color w:val="000000"/>
          <w:szCs w:val="24"/>
          <w:lang w:eastAsia="cs-CZ"/>
        </w:rPr>
        <w:t>obchodních společností, jejichž akcie nejsou kótovány, je vztah s akcionáři přirozeně těsnější i bez zavedení dodatečných povinností.</w:t>
      </w:r>
    </w:p>
    <w:p w14:paraId="1CC11879" w14:textId="1368DFDB" w:rsidR="0096327B" w:rsidRDefault="0096327B" w:rsidP="007833CD">
      <w:pPr>
        <w:rPr>
          <w:rFonts w:cs="Times New Roman"/>
          <w:szCs w:val="24"/>
        </w:rPr>
      </w:pPr>
      <w:r>
        <w:rPr>
          <w:rFonts w:cs="Times New Roman"/>
          <w:szCs w:val="24"/>
        </w:rPr>
        <w:t>Dva respondenti na tuto otázku neodpověděli.</w:t>
      </w:r>
    </w:p>
    <w:p w14:paraId="36D48C4F" w14:textId="77777777" w:rsidR="00A94CA6" w:rsidRPr="00627DB1" w:rsidRDefault="00A94CA6" w:rsidP="007833CD">
      <w:pPr>
        <w:rPr>
          <w:rFonts w:cs="Times New Roman"/>
          <w:b/>
          <w:szCs w:val="24"/>
        </w:rPr>
      </w:pPr>
      <w:r w:rsidRPr="00627DB1">
        <w:rPr>
          <w:rFonts w:cs="Times New Roman"/>
          <w:b/>
          <w:szCs w:val="24"/>
        </w:rPr>
        <w:t>Otázka 2.4. Měla by se pravidla daná směrnicí vztahovat i na penzijní společnosti a jaké dopady by takové rozšíření mohlo mít?</w:t>
      </w:r>
    </w:p>
    <w:p w14:paraId="13178EF0" w14:textId="7867FDD2" w:rsidR="00A94CA6" w:rsidRDefault="00171CA6" w:rsidP="007833CD">
      <w:pPr>
        <w:rPr>
          <w:rFonts w:cs="Times New Roman"/>
          <w:szCs w:val="24"/>
        </w:rPr>
      </w:pPr>
      <w:r>
        <w:rPr>
          <w:rFonts w:cs="Times New Roman"/>
          <w:szCs w:val="24"/>
        </w:rPr>
        <w:t xml:space="preserve">Na tuto otázku odpověděli </w:t>
      </w:r>
      <w:r w:rsidR="004D695F">
        <w:rPr>
          <w:rFonts w:cs="Times New Roman"/>
          <w:szCs w:val="24"/>
        </w:rPr>
        <w:t>4</w:t>
      </w:r>
      <w:r>
        <w:rPr>
          <w:rFonts w:cs="Times New Roman"/>
          <w:szCs w:val="24"/>
        </w:rPr>
        <w:t xml:space="preserve"> respondenti, kteří uvedli, že směrnice by se neměla vztahovat na penzijní společnosti. </w:t>
      </w:r>
      <w:r w:rsidR="00680FC1">
        <w:rPr>
          <w:rFonts w:cs="Times New Roman"/>
          <w:szCs w:val="24"/>
        </w:rPr>
        <w:t>Svoji odpověď jeden respondent zdůvodnil tím, že a</w:t>
      </w:r>
      <w:r>
        <w:rPr>
          <w:rFonts w:cs="Times New Roman"/>
          <w:szCs w:val="24"/>
        </w:rPr>
        <w:t>kcionáři penzijních společností jsou většinou banky a pojišťovny, které nemají problém s výkonem svých práv</w:t>
      </w:r>
      <w:r w:rsidR="006E1221">
        <w:rPr>
          <w:rFonts w:cs="Times New Roman"/>
          <w:szCs w:val="24"/>
        </w:rPr>
        <w:t xml:space="preserve"> a</w:t>
      </w:r>
      <w:r w:rsidR="00C17A10">
        <w:rPr>
          <w:rFonts w:cs="Times New Roman"/>
          <w:szCs w:val="24"/>
        </w:rPr>
        <w:t> </w:t>
      </w:r>
      <w:r w:rsidR="006E1221">
        <w:rPr>
          <w:rFonts w:cs="Times New Roman"/>
          <w:szCs w:val="24"/>
        </w:rPr>
        <w:t>akcionářská struktura je konsolidovaná</w:t>
      </w:r>
      <w:r w:rsidR="00680FC1">
        <w:rPr>
          <w:rFonts w:cs="Times New Roman"/>
          <w:szCs w:val="24"/>
        </w:rPr>
        <w:t>.</w:t>
      </w:r>
    </w:p>
    <w:p w14:paraId="09D357AB" w14:textId="77777777" w:rsidR="00680FC1" w:rsidRDefault="00680FC1" w:rsidP="007833CD">
      <w:pPr>
        <w:rPr>
          <w:rFonts w:cs="Times New Roman"/>
          <w:szCs w:val="24"/>
        </w:rPr>
      </w:pPr>
      <w:r>
        <w:rPr>
          <w:rFonts w:cs="Times New Roman"/>
          <w:szCs w:val="24"/>
        </w:rPr>
        <w:t>Ostatní respondenti na tuto otázku neodpověděli.</w:t>
      </w:r>
    </w:p>
    <w:p w14:paraId="0BD703BB" w14:textId="77777777" w:rsidR="00193D6B" w:rsidRDefault="00193D6B" w:rsidP="00193D6B">
      <w:pPr>
        <w:jc w:val="center"/>
        <w:rPr>
          <w:rFonts w:cs="Times New Roman"/>
          <w:szCs w:val="24"/>
        </w:rPr>
      </w:pPr>
      <w:r>
        <w:rPr>
          <w:noProof/>
          <w:lang w:eastAsia="cs-CZ"/>
        </w:rPr>
        <w:lastRenderedPageBreak/>
        <w:drawing>
          <wp:inline distT="0" distB="0" distL="0" distR="0" wp14:anchorId="492F3955" wp14:editId="33B73CF5">
            <wp:extent cx="5667154" cy="2743200"/>
            <wp:effectExtent l="0" t="0" r="10160" b="1905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B6D0C8" w14:textId="77777777" w:rsidR="00A94CA6" w:rsidRPr="00627DB1" w:rsidRDefault="00A94CA6" w:rsidP="007833CD">
      <w:pPr>
        <w:rPr>
          <w:rFonts w:cs="Times New Roman"/>
          <w:b/>
          <w:szCs w:val="24"/>
        </w:rPr>
      </w:pPr>
      <w:r w:rsidRPr="00627DB1">
        <w:rPr>
          <w:rFonts w:cs="Times New Roman"/>
          <w:b/>
          <w:szCs w:val="24"/>
        </w:rPr>
        <w:t>Otázka 2.5. Na koho jiného se domníváte, že by se pravidla daná směrnicí měla vztahovat?</w:t>
      </w:r>
    </w:p>
    <w:p w14:paraId="4A747D2B" w14:textId="55D23BA2" w:rsidR="00A94CA6" w:rsidRDefault="004D695F" w:rsidP="007833CD">
      <w:pPr>
        <w:rPr>
          <w:rFonts w:cs="Times New Roman"/>
          <w:szCs w:val="24"/>
        </w:rPr>
      </w:pPr>
      <w:r>
        <w:rPr>
          <w:rFonts w:cs="Times New Roman"/>
          <w:szCs w:val="24"/>
        </w:rPr>
        <w:t xml:space="preserve">57 % </w:t>
      </w:r>
      <w:r w:rsidR="0097192A">
        <w:rPr>
          <w:rFonts w:cs="Times New Roman"/>
          <w:szCs w:val="24"/>
        </w:rPr>
        <w:t>respondentů shodně uvedl</w:t>
      </w:r>
      <w:r>
        <w:rPr>
          <w:rFonts w:cs="Times New Roman"/>
          <w:szCs w:val="24"/>
        </w:rPr>
        <w:t>o</w:t>
      </w:r>
      <w:r w:rsidR="0097192A">
        <w:rPr>
          <w:rFonts w:cs="Times New Roman"/>
          <w:szCs w:val="24"/>
        </w:rPr>
        <w:t xml:space="preserve">, že by se směrnice neměla vztahovat na nikoho dalšího. </w:t>
      </w:r>
      <w:r>
        <w:rPr>
          <w:rFonts w:cs="Times New Roman"/>
          <w:szCs w:val="24"/>
        </w:rPr>
        <w:t>Zbývajících 43 %</w:t>
      </w:r>
      <w:r w:rsidR="0097192A">
        <w:rPr>
          <w:rFonts w:cs="Times New Roman"/>
          <w:szCs w:val="24"/>
        </w:rPr>
        <w:t xml:space="preserve"> respondentů na tuto otázku neodpověděl</w:t>
      </w:r>
      <w:r>
        <w:rPr>
          <w:rFonts w:cs="Times New Roman"/>
          <w:szCs w:val="24"/>
        </w:rPr>
        <w:t>o</w:t>
      </w:r>
      <w:r w:rsidR="0097192A">
        <w:rPr>
          <w:rFonts w:cs="Times New Roman"/>
          <w:szCs w:val="24"/>
        </w:rPr>
        <w:t>.</w:t>
      </w:r>
    </w:p>
    <w:p w14:paraId="71F2C5C4" w14:textId="77777777" w:rsidR="00A94CA6" w:rsidRPr="00627DB1" w:rsidRDefault="00A94CA6" w:rsidP="007833CD">
      <w:pPr>
        <w:rPr>
          <w:rFonts w:cs="Times New Roman"/>
          <w:b/>
          <w:szCs w:val="24"/>
        </w:rPr>
      </w:pPr>
      <w:r w:rsidRPr="00627DB1">
        <w:rPr>
          <w:rFonts w:cs="Times New Roman"/>
          <w:b/>
          <w:szCs w:val="24"/>
        </w:rPr>
        <w:t>Otázka 2.6. Domníváte se, že by měly být přidány další osoby do definice členů orgánu společnosti?</w:t>
      </w:r>
    </w:p>
    <w:p w14:paraId="0999E6AB" w14:textId="4D1B3310" w:rsidR="00A94CA6" w:rsidRDefault="00011664" w:rsidP="007833CD">
      <w:pPr>
        <w:rPr>
          <w:rFonts w:cs="Times New Roman"/>
          <w:szCs w:val="24"/>
        </w:rPr>
      </w:pPr>
      <w:r>
        <w:rPr>
          <w:rFonts w:cs="Times New Roman"/>
          <w:szCs w:val="24"/>
        </w:rPr>
        <w:t xml:space="preserve">Všichni </w:t>
      </w:r>
      <w:r w:rsidR="00E93A02">
        <w:rPr>
          <w:rFonts w:cs="Times New Roman"/>
          <w:szCs w:val="24"/>
        </w:rPr>
        <w:t>4</w:t>
      </w:r>
      <w:r>
        <w:rPr>
          <w:rFonts w:cs="Times New Roman"/>
          <w:szCs w:val="24"/>
        </w:rPr>
        <w:t xml:space="preserve"> respondenti, kteří na tuto otázku odpověděli, zastávají názor, že by neměly být přidány další osoby do definice členů orgánu společnosti, neboť definice dostatečně pokrývá okruh osob, které jsou odpovědné za dlouhodobý úspěch společnosti. Pokud by se uvažovalo o přidání dalších osob, měly by být přidány pouze osoby v linii podřízenosti bezprostředně „pod“ statutárním orgánem, a to jen v případě, že společnost nemá generálního ředitele.</w:t>
      </w:r>
      <w:r w:rsidR="00EF1A59">
        <w:rPr>
          <w:rFonts w:cs="Times New Roman"/>
          <w:szCs w:val="24"/>
        </w:rPr>
        <w:t xml:space="preserve"> </w:t>
      </w:r>
      <w:r w:rsidR="00411DAD">
        <w:rPr>
          <w:rFonts w:cs="Times New Roman"/>
          <w:szCs w:val="24"/>
        </w:rPr>
        <w:t>J</w:t>
      </w:r>
      <w:r w:rsidR="00EF1A59">
        <w:rPr>
          <w:rFonts w:cs="Times New Roman"/>
          <w:szCs w:val="24"/>
        </w:rPr>
        <w:t xml:space="preserve">eden respondent </w:t>
      </w:r>
      <w:r w:rsidR="00411DAD">
        <w:rPr>
          <w:rFonts w:cs="Times New Roman"/>
          <w:szCs w:val="24"/>
        </w:rPr>
        <w:t>upozorňuje, že do definice člena orgánu společnosti by měl spadat i generální ředitel v dualistickém systému vnitřní správy akciové společnosti, neboť ten má věcně obdobný vliv jako statutární ředitel (CEO) v monistickém systému.</w:t>
      </w:r>
    </w:p>
    <w:p w14:paraId="7032E856" w14:textId="77777777" w:rsidR="00F62862" w:rsidRDefault="00F62862" w:rsidP="00F62862">
      <w:pPr>
        <w:jc w:val="center"/>
        <w:rPr>
          <w:rFonts w:cs="Times New Roman"/>
          <w:szCs w:val="24"/>
        </w:rPr>
      </w:pPr>
      <w:r>
        <w:rPr>
          <w:noProof/>
          <w:lang w:eastAsia="cs-CZ"/>
        </w:rPr>
        <w:lastRenderedPageBreak/>
        <w:drawing>
          <wp:inline distT="0" distB="0" distL="0" distR="0" wp14:anchorId="17AA5CFF" wp14:editId="7DBE5BE1">
            <wp:extent cx="5528931" cy="2743200"/>
            <wp:effectExtent l="0" t="0" r="15240" b="1905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08309D" w14:textId="77777777" w:rsidR="0009704B" w:rsidRDefault="0009704B">
      <w:pPr>
        <w:spacing w:line="276" w:lineRule="auto"/>
        <w:jc w:val="left"/>
        <w:rPr>
          <w:rFonts w:cs="Times New Roman"/>
          <w:b/>
          <w:szCs w:val="24"/>
        </w:rPr>
      </w:pPr>
      <w:r>
        <w:rPr>
          <w:rFonts w:cs="Times New Roman"/>
          <w:b/>
          <w:szCs w:val="24"/>
        </w:rPr>
        <w:br w:type="page"/>
      </w:r>
    </w:p>
    <w:p w14:paraId="113DDD2A" w14:textId="77777777" w:rsidR="0009704B" w:rsidRPr="00304DD0" w:rsidRDefault="0009704B" w:rsidP="0009704B">
      <w:pPr>
        <w:pStyle w:val="Otzka"/>
        <w:jc w:val="center"/>
        <w:outlineLvl w:val="1"/>
      </w:pPr>
      <w:bookmarkStart w:id="4" w:name="_Toc491249971"/>
      <w:r w:rsidRPr="00304DD0">
        <w:rPr>
          <w:b/>
          <w:sz w:val="32"/>
          <w:szCs w:val="32"/>
        </w:rPr>
        <w:lastRenderedPageBreak/>
        <w:t>KAPITOLA II. – IDENTIFIKACE AKCIONÁŘŮ, PŘEDÁVÁNÍ INFORMACÍ A USNADĚNÍ VÝKONU PRÁV AKCIONÁŘŮ</w:t>
      </w:r>
      <w:bookmarkEnd w:id="4"/>
    </w:p>
    <w:p w14:paraId="0D5A5DEA" w14:textId="77777777" w:rsidR="00A94CA6" w:rsidRPr="00627DB1" w:rsidRDefault="00A94CA6" w:rsidP="007833CD">
      <w:pPr>
        <w:rPr>
          <w:rFonts w:cs="Times New Roman"/>
          <w:b/>
          <w:szCs w:val="24"/>
        </w:rPr>
      </w:pPr>
      <w:r w:rsidRPr="00A77335">
        <w:rPr>
          <w:rFonts w:cs="Times New Roman"/>
          <w:b/>
          <w:szCs w:val="24"/>
        </w:rPr>
        <w:t>Otázka 3.1. Měla by se v českém právním řádu zavést vícestupňová evidence cenných papírů?</w:t>
      </w:r>
    </w:p>
    <w:p w14:paraId="5ED1A2B0" w14:textId="2AD21CA2" w:rsidR="00A94CA6" w:rsidRDefault="003F4E4D" w:rsidP="007833CD">
      <w:pPr>
        <w:rPr>
          <w:rFonts w:cs="Times New Roman"/>
          <w:szCs w:val="24"/>
        </w:rPr>
      </w:pPr>
      <w:r>
        <w:rPr>
          <w:rFonts w:cs="Times New Roman"/>
          <w:szCs w:val="24"/>
        </w:rPr>
        <w:t xml:space="preserve">86 </w:t>
      </w:r>
      <w:r w:rsidR="0096776E">
        <w:rPr>
          <w:rFonts w:cs="Times New Roman"/>
          <w:szCs w:val="24"/>
        </w:rPr>
        <w:t>% respondentů je pro zavedení vícestupňové evidence cenných papírů</w:t>
      </w:r>
      <w:r w:rsidR="0060634E">
        <w:rPr>
          <w:rFonts w:cs="Times New Roman"/>
          <w:szCs w:val="24"/>
        </w:rPr>
        <w:t>, neboť jde o světově akceptovaný standard, který přináší jednoduchost, flexibilitu, právní jistotu, a tím výrazně zvyšuje atraktivitu trhu pro zahraniční investory, čímž přímo podporuje směrnici ve smyslu většího zapojení akcionářů</w:t>
      </w:r>
      <w:r w:rsidR="0096776E">
        <w:rPr>
          <w:rFonts w:cs="Times New Roman"/>
          <w:szCs w:val="24"/>
        </w:rPr>
        <w:t>.</w:t>
      </w:r>
      <w:r w:rsidR="004C766F">
        <w:rPr>
          <w:rFonts w:cs="Times New Roman"/>
          <w:szCs w:val="24"/>
        </w:rPr>
        <w:t xml:space="preserve"> Bylo by však potřeba nastavit funkční rozkrývání koncových vlastníků a zároveň zvolit takové technické řešení, které zachová rychlost a jednoduchost poskytování informací od centrálního depozitáře směrem k bance. Zároveň však jeden respondent upozorňuje, že se jedná o velmi složitou problematiku, která nemůže být vhodně řešena v rámci novely zapracovávající tuto směrnici. </w:t>
      </w:r>
    </w:p>
    <w:p w14:paraId="2B5B1B1F" w14:textId="17CF249A" w:rsidR="0096776E" w:rsidRDefault="0096776E" w:rsidP="007833CD">
      <w:pPr>
        <w:rPr>
          <w:rFonts w:cs="Times New Roman"/>
          <w:szCs w:val="24"/>
        </w:rPr>
      </w:pPr>
      <w:r>
        <w:rPr>
          <w:rFonts w:cs="Times New Roman"/>
          <w:szCs w:val="24"/>
        </w:rPr>
        <w:t xml:space="preserve">Zbývajících </w:t>
      </w:r>
      <w:r w:rsidR="003F4E4D">
        <w:rPr>
          <w:rFonts w:cs="Times New Roman"/>
          <w:szCs w:val="24"/>
        </w:rPr>
        <w:t xml:space="preserve">14 </w:t>
      </w:r>
      <w:r>
        <w:rPr>
          <w:rFonts w:cs="Times New Roman"/>
          <w:szCs w:val="24"/>
        </w:rPr>
        <w:t>% je proti zavedení vícestupňové evidence cenných papírů.</w:t>
      </w:r>
      <w:r w:rsidR="0060634E">
        <w:rPr>
          <w:rFonts w:cs="Times New Roman"/>
          <w:szCs w:val="24"/>
        </w:rPr>
        <w:t xml:space="preserve"> Svoji odpověď vysvětlují tím, že na otázku nelze odpovědět bez konkrétní znalosti toho, jak by měla být vícestupňová evidence zavedena. V rámci transpozice směrnice není nutné zabývat se natolik komplexní tématikou, jako je dvou či vícestupňová evidence</w:t>
      </w:r>
      <w:r w:rsidR="00115B66">
        <w:rPr>
          <w:rFonts w:cs="Times New Roman"/>
          <w:szCs w:val="24"/>
        </w:rPr>
        <w:t>, neboť směrnice po členských státech nepožaduje, aby měnily způsob evidence cenných papírů</w:t>
      </w:r>
      <w:r w:rsidR="0060634E">
        <w:rPr>
          <w:rFonts w:cs="Times New Roman"/>
          <w:szCs w:val="24"/>
        </w:rPr>
        <w:t>.</w:t>
      </w:r>
    </w:p>
    <w:p w14:paraId="612C3E4A" w14:textId="77777777" w:rsidR="00EC24E7" w:rsidRDefault="00EC24E7" w:rsidP="00EC24E7">
      <w:pPr>
        <w:jc w:val="center"/>
        <w:rPr>
          <w:rFonts w:cs="Times New Roman"/>
          <w:szCs w:val="24"/>
        </w:rPr>
      </w:pPr>
      <w:r>
        <w:rPr>
          <w:noProof/>
          <w:lang w:eastAsia="cs-CZ"/>
        </w:rPr>
        <w:drawing>
          <wp:inline distT="0" distB="0" distL="0" distR="0" wp14:anchorId="0AD7BE41" wp14:editId="11AA6C4D">
            <wp:extent cx="5497033" cy="2743200"/>
            <wp:effectExtent l="0" t="0" r="27940" b="1905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DEFE3B" w14:textId="77777777" w:rsidR="00C17A10" w:rsidRDefault="00C17A10" w:rsidP="007833CD">
      <w:pPr>
        <w:rPr>
          <w:rFonts w:cs="Times New Roman"/>
          <w:b/>
          <w:szCs w:val="24"/>
        </w:rPr>
      </w:pPr>
    </w:p>
    <w:p w14:paraId="795E8867" w14:textId="77777777" w:rsidR="00A94CA6" w:rsidRPr="00627DB1" w:rsidRDefault="00A94CA6" w:rsidP="007833CD">
      <w:pPr>
        <w:rPr>
          <w:rFonts w:cs="Times New Roman"/>
          <w:b/>
          <w:szCs w:val="24"/>
        </w:rPr>
      </w:pPr>
      <w:r w:rsidRPr="00627DB1">
        <w:rPr>
          <w:rFonts w:cs="Times New Roman"/>
          <w:b/>
          <w:szCs w:val="24"/>
        </w:rPr>
        <w:lastRenderedPageBreak/>
        <w:t xml:space="preserve">Otázka 3.2. Je vhodné v návaznosti na úpravu stupňů evidence zavést koncept tzv. </w:t>
      </w:r>
      <w:proofErr w:type="spellStart"/>
      <w:r w:rsidRPr="00627DB1">
        <w:rPr>
          <w:rFonts w:cs="Times New Roman"/>
          <w:b/>
          <w:szCs w:val="24"/>
        </w:rPr>
        <w:t>intermediated</w:t>
      </w:r>
      <w:proofErr w:type="spellEnd"/>
      <w:r w:rsidRPr="00627DB1">
        <w:rPr>
          <w:rFonts w:cs="Times New Roman"/>
          <w:b/>
          <w:szCs w:val="24"/>
        </w:rPr>
        <w:t xml:space="preserve"> </w:t>
      </w:r>
      <w:proofErr w:type="spellStart"/>
      <w:r w:rsidRPr="00627DB1">
        <w:rPr>
          <w:rFonts w:cs="Times New Roman"/>
          <w:b/>
          <w:szCs w:val="24"/>
        </w:rPr>
        <w:t>securities</w:t>
      </w:r>
      <w:proofErr w:type="spellEnd"/>
      <w:r w:rsidRPr="00627DB1">
        <w:rPr>
          <w:rFonts w:cs="Times New Roman"/>
          <w:b/>
          <w:szCs w:val="24"/>
        </w:rPr>
        <w:t xml:space="preserve"> známý např. ve švýcarském právu?</w:t>
      </w:r>
    </w:p>
    <w:p w14:paraId="3896F77A" w14:textId="2D8E54AB" w:rsidR="00794551" w:rsidRDefault="001E0212" w:rsidP="007833CD">
      <w:pPr>
        <w:rPr>
          <w:rFonts w:cs="Times New Roman"/>
          <w:szCs w:val="24"/>
        </w:rPr>
      </w:pPr>
      <w:r>
        <w:rPr>
          <w:rFonts w:cs="Times New Roman"/>
          <w:szCs w:val="24"/>
        </w:rPr>
        <w:t xml:space="preserve">Na tuto otázku </w:t>
      </w:r>
      <w:r w:rsidR="003F4E4D">
        <w:rPr>
          <w:rFonts w:cs="Times New Roman"/>
          <w:szCs w:val="24"/>
        </w:rPr>
        <w:t>odpověděli všichni respondenti</w:t>
      </w:r>
      <w:r>
        <w:rPr>
          <w:rFonts w:cs="Times New Roman"/>
          <w:szCs w:val="24"/>
        </w:rPr>
        <w:t xml:space="preserve">, kteří </w:t>
      </w:r>
      <w:r w:rsidR="00CC79DC">
        <w:rPr>
          <w:rFonts w:cs="Times New Roman"/>
          <w:szCs w:val="24"/>
        </w:rPr>
        <w:t xml:space="preserve">shodně </w:t>
      </w:r>
      <w:r>
        <w:rPr>
          <w:rFonts w:cs="Times New Roman"/>
          <w:szCs w:val="24"/>
        </w:rPr>
        <w:t xml:space="preserve">uvedli, že není vhodné zavést koncept tzv. </w:t>
      </w:r>
      <w:proofErr w:type="spellStart"/>
      <w:r>
        <w:rPr>
          <w:rFonts w:cs="Times New Roman"/>
          <w:szCs w:val="24"/>
        </w:rPr>
        <w:t>intermediated</w:t>
      </w:r>
      <w:proofErr w:type="spellEnd"/>
      <w:r>
        <w:rPr>
          <w:rFonts w:cs="Times New Roman"/>
          <w:szCs w:val="24"/>
        </w:rPr>
        <w:t xml:space="preserve"> </w:t>
      </w:r>
      <w:proofErr w:type="spellStart"/>
      <w:r>
        <w:rPr>
          <w:rFonts w:cs="Times New Roman"/>
          <w:szCs w:val="24"/>
        </w:rPr>
        <w:t>securities</w:t>
      </w:r>
      <w:proofErr w:type="spellEnd"/>
      <w:r>
        <w:rPr>
          <w:rFonts w:cs="Times New Roman"/>
          <w:szCs w:val="24"/>
        </w:rPr>
        <w:t>.</w:t>
      </w:r>
      <w:r w:rsidR="007A365B">
        <w:rPr>
          <w:rFonts w:cs="Times New Roman"/>
          <w:szCs w:val="24"/>
        </w:rPr>
        <w:t xml:space="preserve"> Jako důvod </w:t>
      </w:r>
      <w:r w:rsidR="00794551">
        <w:rPr>
          <w:rFonts w:cs="Times New Roman"/>
          <w:szCs w:val="24"/>
        </w:rPr>
        <w:t xml:space="preserve">například </w:t>
      </w:r>
      <w:r w:rsidR="007A365B">
        <w:rPr>
          <w:rFonts w:cs="Times New Roman"/>
          <w:szCs w:val="24"/>
        </w:rPr>
        <w:t>uvádí</w:t>
      </w:r>
      <w:r w:rsidR="00CC79DC">
        <w:rPr>
          <w:rFonts w:cs="Times New Roman"/>
          <w:szCs w:val="24"/>
        </w:rPr>
        <w:t xml:space="preserve">, </w:t>
      </w:r>
      <w:r w:rsidR="007A365B">
        <w:rPr>
          <w:rFonts w:cs="Times New Roman"/>
          <w:szCs w:val="24"/>
        </w:rPr>
        <w:t xml:space="preserve">že </w:t>
      </w:r>
      <w:r w:rsidR="00794551">
        <w:rPr>
          <w:rFonts w:cs="Times New Roman"/>
          <w:szCs w:val="24"/>
        </w:rPr>
        <w:t xml:space="preserve">nebyly zaznamenány </w:t>
      </w:r>
      <w:r w:rsidR="007A365B">
        <w:rPr>
          <w:rFonts w:cs="Times New Roman"/>
          <w:szCs w:val="24"/>
        </w:rPr>
        <w:t>žádn</w:t>
      </w:r>
      <w:r w:rsidR="00794551">
        <w:rPr>
          <w:rFonts w:cs="Times New Roman"/>
          <w:szCs w:val="24"/>
        </w:rPr>
        <w:t>é</w:t>
      </w:r>
      <w:r w:rsidR="007A365B">
        <w:rPr>
          <w:rFonts w:cs="Times New Roman"/>
          <w:szCs w:val="24"/>
        </w:rPr>
        <w:t xml:space="preserve"> praktick</w:t>
      </w:r>
      <w:r w:rsidR="00794551">
        <w:rPr>
          <w:rFonts w:cs="Times New Roman"/>
          <w:szCs w:val="24"/>
        </w:rPr>
        <w:t>é</w:t>
      </w:r>
      <w:r w:rsidR="007A365B">
        <w:rPr>
          <w:rFonts w:cs="Times New Roman"/>
          <w:szCs w:val="24"/>
        </w:rPr>
        <w:t xml:space="preserve"> problém</w:t>
      </w:r>
      <w:r w:rsidR="00794551">
        <w:rPr>
          <w:rFonts w:cs="Times New Roman"/>
          <w:szCs w:val="24"/>
        </w:rPr>
        <w:t>y</w:t>
      </w:r>
      <w:r w:rsidR="007A365B">
        <w:rPr>
          <w:rFonts w:cs="Times New Roman"/>
          <w:szCs w:val="24"/>
        </w:rPr>
        <w:t xml:space="preserve"> s existencí zaknihovaných cenných papírů evidovaných na dvou stupních evidence, zároveň tento koncept neodpovídá praxi v ČR.</w:t>
      </w:r>
      <w:r w:rsidR="005F58D7">
        <w:rPr>
          <w:rFonts w:cs="Times New Roman"/>
          <w:szCs w:val="24"/>
        </w:rPr>
        <w:t xml:space="preserve"> Dále se respondenti obávají </w:t>
      </w:r>
      <w:r w:rsidR="002502CE">
        <w:rPr>
          <w:rFonts w:cs="Times New Roman"/>
          <w:szCs w:val="24"/>
        </w:rPr>
        <w:t>případné úpravy</w:t>
      </w:r>
      <w:r w:rsidR="005F58D7">
        <w:rPr>
          <w:rFonts w:cs="Times New Roman"/>
          <w:szCs w:val="24"/>
        </w:rPr>
        <w:t xml:space="preserve"> takto koncepční </w:t>
      </w:r>
      <w:r w:rsidR="002502CE">
        <w:rPr>
          <w:rFonts w:cs="Times New Roman"/>
          <w:szCs w:val="24"/>
        </w:rPr>
        <w:t xml:space="preserve">otázky </w:t>
      </w:r>
      <w:r w:rsidR="005F58D7">
        <w:rPr>
          <w:rFonts w:cs="Times New Roman"/>
          <w:szCs w:val="24"/>
        </w:rPr>
        <w:t>v rámci transpozice směrnice, neboť k takové koncepční úpravě by bylo potřeba porovnat zahraniční úpravy a</w:t>
      </w:r>
      <w:r w:rsidR="00A77527">
        <w:rPr>
          <w:rFonts w:cs="Times New Roman"/>
          <w:szCs w:val="24"/>
        </w:rPr>
        <w:t> </w:t>
      </w:r>
      <w:r w:rsidR="005F58D7">
        <w:rPr>
          <w:rFonts w:cs="Times New Roman"/>
          <w:szCs w:val="24"/>
        </w:rPr>
        <w:t xml:space="preserve"> důkladně vyhodnotit veškeré možné dopady, což se obávají, že není v rámci transpoziční lhůty </w:t>
      </w:r>
      <w:r w:rsidR="002502CE">
        <w:rPr>
          <w:rFonts w:cs="Times New Roman"/>
          <w:szCs w:val="24"/>
        </w:rPr>
        <w:t xml:space="preserve">možné </w:t>
      </w:r>
      <w:r w:rsidR="005F58D7">
        <w:rPr>
          <w:rFonts w:cs="Times New Roman"/>
          <w:szCs w:val="24"/>
        </w:rPr>
        <w:t>vyřešit.</w:t>
      </w:r>
      <w:r w:rsidR="001D4435">
        <w:rPr>
          <w:rFonts w:cs="Times New Roman"/>
          <w:szCs w:val="24"/>
        </w:rPr>
        <w:t xml:space="preserve"> Mnozí respondenti by přivítali, kdyby byla k této otázce ustanovena pracovní skupina, která by dále problematiku diskutovala.</w:t>
      </w:r>
    </w:p>
    <w:p w14:paraId="12A0C4D0" w14:textId="77777777" w:rsidR="002B0C7C" w:rsidRDefault="008638EB" w:rsidP="00A77527">
      <w:pPr>
        <w:rPr>
          <w:rFonts w:cs="Times New Roman"/>
          <w:szCs w:val="24"/>
        </w:rPr>
      </w:pPr>
      <w:r>
        <w:rPr>
          <w:noProof/>
          <w:lang w:eastAsia="cs-CZ"/>
        </w:rPr>
        <w:drawing>
          <wp:inline distT="0" distB="0" distL="0" distR="0" wp14:anchorId="520991A6" wp14:editId="542578AD">
            <wp:extent cx="5613990" cy="2806996"/>
            <wp:effectExtent l="0" t="0" r="25400" b="12700"/>
            <wp:docPr id="47" name="Graf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AB0999" w14:textId="77777777" w:rsidR="00A94CA6" w:rsidRPr="00627DB1" w:rsidRDefault="00A94CA6" w:rsidP="007833CD">
      <w:pPr>
        <w:rPr>
          <w:rFonts w:cs="Times New Roman"/>
          <w:b/>
          <w:szCs w:val="24"/>
        </w:rPr>
      </w:pPr>
      <w:r w:rsidRPr="00627DB1">
        <w:rPr>
          <w:rFonts w:cs="Times New Roman"/>
          <w:b/>
          <w:color w:val="000000"/>
          <w:szCs w:val="24"/>
        </w:rPr>
        <w:t xml:space="preserve">Otázka 3.3. </w:t>
      </w:r>
      <w:r w:rsidRPr="00627DB1">
        <w:rPr>
          <w:rFonts w:cs="Times New Roman"/>
          <w:b/>
          <w:szCs w:val="24"/>
        </w:rPr>
        <w:t>Jste-li pro zachování dvoustupňové evidence, domníváte se, že bude naplněn smysl směrnice ohledně požadavku identifikovat akcionáře?</w:t>
      </w:r>
    </w:p>
    <w:p w14:paraId="089C089A" w14:textId="77777777" w:rsidR="00A94CA6" w:rsidRPr="00FC1689" w:rsidRDefault="00BA64D5" w:rsidP="007833CD">
      <w:pPr>
        <w:rPr>
          <w:rFonts w:cs="Times New Roman"/>
          <w:szCs w:val="24"/>
        </w:rPr>
      </w:pPr>
      <w:r w:rsidRPr="00FC1689">
        <w:rPr>
          <w:rFonts w:cs="Times New Roman"/>
          <w:szCs w:val="24"/>
        </w:rPr>
        <w:t xml:space="preserve">Na tuto otázku odpovědělo </w:t>
      </w:r>
      <w:r w:rsidR="00FC1689" w:rsidRPr="00FC1689">
        <w:rPr>
          <w:rFonts w:cs="Times New Roman"/>
          <w:szCs w:val="24"/>
        </w:rPr>
        <w:t>86</w:t>
      </w:r>
      <w:r w:rsidRPr="00FC1689">
        <w:rPr>
          <w:rFonts w:cs="Times New Roman"/>
          <w:szCs w:val="24"/>
        </w:rPr>
        <w:t xml:space="preserve"> % respondentů. </w:t>
      </w:r>
      <w:r w:rsidR="00FC1689" w:rsidRPr="00FC1689">
        <w:rPr>
          <w:rFonts w:cs="Times New Roman"/>
          <w:szCs w:val="24"/>
        </w:rPr>
        <w:t>5</w:t>
      </w:r>
      <w:r w:rsidRPr="00FC1689">
        <w:rPr>
          <w:rFonts w:cs="Times New Roman"/>
          <w:szCs w:val="24"/>
        </w:rPr>
        <w:t xml:space="preserve"> z nich se domnív</w:t>
      </w:r>
      <w:r w:rsidR="00FC1689" w:rsidRPr="00FC1689">
        <w:rPr>
          <w:rFonts w:cs="Times New Roman"/>
          <w:szCs w:val="24"/>
        </w:rPr>
        <w:t>á</w:t>
      </w:r>
      <w:r w:rsidRPr="00FC1689">
        <w:rPr>
          <w:rFonts w:cs="Times New Roman"/>
          <w:szCs w:val="24"/>
        </w:rPr>
        <w:t>, že smysl směrnice ohledně požadavku identifikovat akcionáře bude při zachování dvoustupňové evidence naplněn. Jeden respondent se domnívá, že účel naplněn nebude.</w:t>
      </w:r>
      <w:r w:rsidR="00EA2F32" w:rsidRPr="00FC1689">
        <w:rPr>
          <w:rFonts w:cs="Times New Roman"/>
          <w:szCs w:val="24"/>
        </w:rPr>
        <w:t xml:space="preserve"> </w:t>
      </w:r>
      <w:r w:rsidR="00DE5E1A">
        <w:rPr>
          <w:rFonts w:cs="Times New Roman"/>
          <w:szCs w:val="24"/>
        </w:rPr>
        <w:t>Někteří, kteří se domnívají, že bude zachován smysl směrnice, ovšem uvádějí, že v případě vícestupňové evidence by bylo dosaženo cíle lépe.</w:t>
      </w:r>
    </w:p>
    <w:p w14:paraId="6502C380" w14:textId="77777777" w:rsidR="00E01420" w:rsidRDefault="00E01420" w:rsidP="007833CD">
      <w:pPr>
        <w:rPr>
          <w:rFonts w:cs="Times New Roman"/>
          <w:szCs w:val="24"/>
        </w:rPr>
      </w:pPr>
      <w:r w:rsidRPr="00FC1689">
        <w:rPr>
          <w:rFonts w:cs="Times New Roman"/>
          <w:szCs w:val="24"/>
        </w:rPr>
        <w:t>Jeden respondent na tuto otázku neodpověděl.</w:t>
      </w:r>
    </w:p>
    <w:p w14:paraId="3612F13F" w14:textId="77777777" w:rsidR="00EA4371" w:rsidRDefault="00EA4371" w:rsidP="00EA4371">
      <w:pPr>
        <w:jc w:val="center"/>
        <w:rPr>
          <w:rFonts w:cs="Times New Roman"/>
          <w:szCs w:val="24"/>
        </w:rPr>
      </w:pPr>
      <w:r>
        <w:rPr>
          <w:noProof/>
          <w:lang w:eastAsia="cs-CZ"/>
        </w:rPr>
        <w:lastRenderedPageBreak/>
        <w:drawing>
          <wp:inline distT="0" distB="0" distL="0" distR="0" wp14:anchorId="3C9369DA" wp14:editId="7E50A456">
            <wp:extent cx="5454502" cy="2743200"/>
            <wp:effectExtent l="0" t="0" r="13335" b="1905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BDDF5F" w14:textId="77777777" w:rsidR="00A94CA6" w:rsidRPr="00627DB1" w:rsidRDefault="00A94CA6" w:rsidP="007833CD">
      <w:pPr>
        <w:rPr>
          <w:rFonts w:cs="Times New Roman"/>
          <w:b/>
        </w:rPr>
      </w:pPr>
      <w:r w:rsidRPr="00E6251D">
        <w:rPr>
          <w:rFonts w:cs="Times New Roman"/>
          <w:b/>
        </w:rPr>
        <w:t>Otázka 3.4. Preferujete-li zavedení vícestupňové evidence, domníváte se, že mohou vznikat praktické problémy při výkonu akcionářských práv (účast na valné hromadě, hlasování, výplata dividend) či při nakládání s akciemi (např. zástavní právo)? Jak byste navrhovali tyto problémy řešit?</w:t>
      </w:r>
    </w:p>
    <w:p w14:paraId="022EFF0E" w14:textId="4852DD5E" w:rsidR="00335F36" w:rsidRDefault="00E01420" w:rsidP="007833CD">
      <w:pPr>
        <w:rPr>
          <w:rFonts w:cs="Times New Roman"/>
        </w:rPr>
      </w:pPr>
      <w:r>
        <w:rPr>
          <w:rFonts w:cs="Times New Roman"/>
        </w:rPr>
        <w:t>Dva respondenti na tuto otázku jednoznačně odpověděli, že se domnívají, že mohou vznikat praktické problémy při výkonu akcionářských práv či při nakládání s akciemi. Navrhují inspirovat se v zahraničí před případnou úpravou v českém právním řádu</w:t>
      </w:r>
      <w:r w:rsidR="00CF2749">
        <w:rPr>
          <w:rFonts w:cs="Times New Roman"/>
        </w:rPr>
        <w:t>.</w:t>
      </w:r>
      <w:r w:rsidR="00792454">
        <w:rPr>
          <w:rFonts w:cs="Times New Roman"/>
        </w:rPr>
        <w:t xml:space="preserve"> Zbývajících 5 respondentů nezaujalo jednoznačný názor a případné problémy </w:t>
      </w:r>
      <w:r w:rsidR="00335F36">
        <w:rPr>
          <w:rFonts w:cs="Times New Roman"/>
        </w:rPr>
        <w:t xml:space="preserve">spatřují v těžším rozkrytí koncových vlastníků </w:t>
      </w:r>
      <w:r w:rsidR="00792454">
        <w:rPr>
          <w:rFonts w:cs="Times New Roman"/>
        </w:rPr>
        <w:t>akcií, což může při nedostatečné právní úpravě komplikovat například exekuce</w:t>
      </w:r>
      <w:r w:rsidR="00203A29">
        <w:rPr>
          <w:rFonts w:cs="Times New Roman"/>
        </w:rPr>
        <w:t xml:space="preserve"> nebo</w:t>
      </w:r>
      <w:r w:rsidR="00792454">
        <w:rPr>
          <w:rFonts w:cs="Times New Roman"/>
        </w:rPr>
        <w:t xml:space="preserve"> vyšetřování</w:t>
      </w:r>
      <w:r w:rsidR="002502CE">
        <w:rPr>
          <w:rFonts w:cs="Times New Roman"/>
        </w:rPr>
        <w:t xml:space="preserve"> trestných činů</w:t>
      </w:r>
      <w:r w:rsidR="00E01193">
        <w:rPr>
          <w:rFonts w:cs="Times New Roman"/>
        </w:rPr>
        <w:t>.</w:t>
      </w:r>
      <w:r w:rsidR="00792454">
        <w:rPr>
          <w:rFonts w:cs="Times New Roman"/>
        </w:rPr>
        <w:t xml:space="preserve"> </w:t>
      </w:r>
      <w:r w:rsidR="00203A29">
        <w:rPr>
          <w:rFonts w:cs="Times New Roman"/>
        </w:rPr>
        <w:t>M</w:t>
      </w:r>
      <w:r w:rsidR="00E6251D">
        <w:rPr>
          <w:rFonts w:cs="Times New Roman"/>
        </w:rPr>
        <w:t>ohou vznikat problém</w:t>
      </w:r>
      <w:r w:rsidR="00E01193">
        <w:rPr>
          <w:rFonts w:cs="Times New Roman"/>
        </w:rPr>
        <w:t xml:space="preserve">y </w:t>
      </w:r>
      <w:r w:rsidR="002502CE">
        <w:rPr>
          <w:rFonts w:cs="Times New Roman"/>
        </w:rPr>
        <w:t xml:space="preserve">i </w:t>
      </w:r>
      <w:r w:rsidR="00792454">
        <w:rPr>
          <w:rFonts w:cs="Times New Roman"/>
        </w:rPr>
        <w:t>v případě žádost</w:t>
      </w:r>
      <w:r w:rsidR="00E01193">
        <w:rPr>
          <w:rFonts w:cs="Times New Roman"/>
        </w:rPr>
        <w:t>í</w:t>
      </w:r>
      <w:r w:rsidR="002502CE">
        <w:rPr>
          <w:rFonts w:cs="Times New Roman"/>
        </w:rPr>
        <w:t xml:space="preserve"> o informace ze strany</w:t>
      </w:r>
      <w:r w:rsidR="00792454">
        <w:rPr>
          <w:rFonts w:cs="Times New Roman"/>
        </w:rPr>
        <w:t xml:space="preserve"> </w:t>
      </w:r>
      <w:r w:rsidR="00E01193">
        <w:rPr>
          <w:rFonts w:cs="Times New Roman"/>
        </w:rPr>
        <w:t xml:space="preserve">exekutorů, notářů, policie </w:t>
      </w:r>
      <w:r w:rsidR="0032506B">
        <w:rPr>
          <w:rFonts w:cs="Times New Roman"/>
        </w:rPr>
        <w:t xml:space="preserve">a dalších </w:t>
      </w:r>
      <w:r w:rsidR="00792454">
        <w:rPr>
          <w:rFonts w:cs="Times New Roman"/>
        </w:rPr>
        <w:t xml:space="preserve">subjektů podle </w:t>
      </w:r>
      <w:r w:rsidR="009121D5">
        <w:rPr>
          <w:rFonts w:cs="Times New Roman"/>
        </w:rPr>
        <w:t xml:space="preserve">ustanovení </w:t>
      </w:r>
      <w:r w:rsidR="00792454">
        <w:rPr>
          <w:rFonts w:cs="Times New Roman"/>
        </w:rPr>
        <w:t xml:space="preserve">§ 115 </w:t>
      </w:r>
      <w:r w:rsidR="00DE5E1A">
        <w:rPr>
          <w:rFonts w:cs="Times New Roman"/>
        </w:rPr>
        <w:t>zákona č. 256/2004 Sb., o podnikání na kapitálovém trhu, ve znění pozdějších předpisů (dále jen „</w:t>
      </w:r>
      <w:r w:rsidR="00792454">
        <w:rPr>
          <w:rFonts w:cs="Times New Roman"/>
        </w:rPr>
        <w:t>ZPKT</w:t>
      </w:r>
      <w:r w:rsidR="00DE5E1A">
        <w:rPr>
          <w:rFonts w:cs="Times New Roman"/>
        </w:rPr>
        <w:t>“),</w:t>
      </w:r>
      <w:r w:rsidR="00792454">
        <w:rPr>
          <w:rFonts w:cs="Times New Roman"/>
        </w:rPr>
        <w:t xml:space="preserve"> neboť směrnice neřeší právo jiných subjektů požadovat informace z</w:t>
      </w:r>
      <w:r w:rsidR="0072096F">
        <w:rPr>
          <w:rFonts w:cs="Times New Roman"/>
        </w:rPr>
        <w:t> </w:t>
      </w:r>
      <w:r w:rsidR="00792454">
        <w:rPr>
          <w:rFonts w:cs="Times New Roman"/>
        </w:rPr>
        <w:t>evidencí</w:t>
      </w:r>
      <w:r w:rsidR="0032506B">
        <w:rPr>
          <w:rFonts w:cs="Times New Roman"/>
        </w:rPr>
        <w:t>. Dále lze identifikovat potenciální problém</w:t>
      </w:r>
      <w:r w:rsidR="0072096F">
        <w:rPr>
          <w:rFonts w:cs="Times New Roman"/>
        </w:rPr>
        <w:t xml:space="preserve"> v prodloužení doby předání výpisu </w:t>
      </w:r>
      <w:r w:rsidR="0032506B">
        <w:rPr>
          <w:rFonts w:cs="Times New Roman"/>
        </w:rPr>
        <w:t xml:space="preserve">z evidence emise </w:t>
      </w:r>
      <w:r w:rsidR="0072096F">
        <w:rPr>
          <w:rFonts w:cs="Times New Roman"/>
        </w:rPr>
        <w:t xml:space="preserve">emitentovi a v relativně komplikované </w:t>
      </w:r>
      <w:r w:rsidR="0032506B">
        <w:rPr>
          <w:rFonts w:cs="Times New Roman"/>
        </w:rPr>
        <w:t xml:space="preserve">úpravě </w:t>
      </w:r>
      <w:r w:rsidR="0072096F">
        <w:rPr>
          <w:rFonts w:cs="Times New Roman"/>
        </w:rPr>
        <w:t>vícestupňové</w:t>
      </w:r>
      <w:r w:rsidR="0032506B">
        <w:rPr>
          <w:rFonts w:cs="Times New Roman"/>
        </w:rPr>
        <w:t xml:space="preserve"> evidence</w:t>
      </w:r>
      <w:r w:rsidR="0072096F">
        <w:rPr>
          <w:rFonts w:cs="Times New Roman"/>
        </w:rPr>
        <w:t>.</w:t>
      </w:r>
    </w:p>
    <w:p w14:paraId="5FFB70C2" w14:textId="4B60A295" w:rsidR="00A94CA6" w:rsidRPr="00627DB1" w:rsidRDefault="00A94CA6" w:rsidP="007833CD">
      <w:pPr>
        <w:rPr>
          <w:rFonts w:cs="Times New Roman"/>
          <w:b/>
        </w:rPr>
      </w:pPr>
      <w:r w:rsidRPr="00627DB1">
        <w:rPr>
          <w:rFonts w:cs="Times New Roman"/>
          <w:b/>
        </w:rPr>
        <w:t xml:space="preserve">Otázka 3.5. </w:t>
      </w:r>
      <w:r w:rsidR="00F93CFF" w:rsidRPr="00627DB1">
        <w:rPr>
          <w:rFonts w:cs="Times New Roman"/>
          <w:b/>
        </w:rPr>
        <w:t>M</w:t>
      </w:r>
      <w:r w:rsidR="00F93CFF">
        <w:rPr>
          <w:rFonts w:cs="Times New Roman"/>
          <w:b/>
        </w:rPr>
        <w:t>á</w:t>
      </w:r>
      <w:r w:rsidR="00F93CFF" w:rsidRPr="00627DB1">
        <w:rPr>
          <w:rFonts w:cs="Times New Roman"/>
          <w:b/>
        </w:rPr>
        <w:t xml:space="preserve">te </w:t>
      </w:r>
      <w:r w:rsidRPr="00627DB1">
        <w:rPr>
          <w:rFonts w:cs="Times New Roman"/>
          <w:b/>
        </w:rPr>
        <w:t>jiné komentáře k současné či možné budoucí úpravě držení a</w:t>
      </w:r>
      <w:r w:rsidR="00F93CFF">
        <w:rPr>
          <w:rFonts w:cs="Times New Roman"/>
          <w:b/>
        </w:rPr>
        <w:t> </w:t>
      </w:r>
      <w:r w:rsidRPr="00627DB1">
        <w:rPr>
          <w:rFonts w:cs="Times New Roman"/>
          <w:b/>
        </w:rPr>
        <w:t>evidence cenných papírů?</w:t>
      </w:r>
    </w:p>
    <w:p w14:paraId="4C21B6EB" w14:textId="17966EC3" w:rsidR="00DE75E2" w:rsidRDefault="009245F2" w:rsidP="007833CD">
      <w:pPr>
        <w:rPr>
          <w:rFonts w:cs="Times New Roman"/>
        </w:rPr>
      </w:pPr>
      <w:r>
        <w:rPr>
          <w:rFonts w:cs="Times New Roman"/>
        </w:rPr>
        <w:t>Tři</w:t>
      </w:r>
      <w:r w:rsidR="0072096F">
        <w:rPr>
          <w:rFonts w:cs="Times New Roman"/>
        </w:rPr>
        <w:t xml:space="preserve"> respondenti uvedli další komentáře. První uvedl, že se velmi osvědčila současná vyvratitelná právní domněnka upravená v</w:t>
      </w:r>
      <w:r w:rsidR="009121D5">
        <w:rPr>
          <w:rFonts w:cs="Times New Roman"/>
        </w:rPr>
        <w:t xml:space="preserve"> ustanovení </w:t>
      </w:r>
      <w:r w:rsidR="0072096F">
        <w:rPr>
          <w:rFonts w:cs="Times New Roman"/>
        </w:rPr>
        <w:t>§ 527</w:t>
      </w:r>
      <w:r w:rsidR="009121D5">
        <w:rPr>
          <w:rFonts w:cs="Times New Roman"/>
        </w:rPr>
        <w:t xml:space="preserve"> odst. </w:t>
      </w:r>
      <w:r w:rsidR="0072096F">
        <w:rPr>
          <w:rFonts w:cs="Times New Roman"/>
        </w:rPr>
        <w:t xml:space="preserve">2 </w:t>
      </w:r>
      <w:r w:rsidR="009121D5">
        <w:rPr>
          <w:rFonts w:cs="Times New Roman"/>
        </w:rPr>
        <w:t xml:space="preserve">zákona č. 89/2012 Sb., </w:t>
      </w:r>
      <w:r w:rsidR="0072096F">
        <w:rPr>
          <w:rFonts w:cs="Times New Roman"/>
        </w:rPr>
        <w:t>občans</w:t>
      </w:r>
      <w:r w:rsidR="00A77527">
        <w:rPr>
          <w:rFonts w:cs="Times New Roman"/>
        </w:rPr>
        <w:t>ký</w:t>
      </w:r>
      <w:r w:rsidR="0072096F">
        <w:rPr>
          <w:rFonts w:cs="Times New Roman"/>
        </w:rPr>
        <w:t xml:space="preserve"> zákoník,</w:t>
      </w:r>
      <w:r w:rsidR="009121D5">
        <w:rPr>
          <w:rFonts w:cs="Times New Roman"/>
        </w:rPr>
        <w:t xml:space="preserve"> ve znění pozdějších předpisů (dále jen „OZ“),</w:t>
      </w:r>
      <w:r w:rsidR="0072096F">
        <w:rPr>
          <w:rFonts w:cs="Times New Roman"/>
        </w:rPr>
        <w:t xml:space="preserve"> díky které již v praxi </w:t>
      </w:r>
      <w:r w:rsidR="00743555">
        <w:rPr>
          <w:rFonts w:cs="Times New Roman"/>
        </w:rPr>
        <w:t xml:space="preserve">vlastně může </w:t>
      </w:r>
      <w:r w:rsidR="0072096F">
        <w:rPr>
          <w:rFonts w:cs="Times New Roman"/>
        </w:rPr>
        <w:t>fung</w:t>
      </w:r>
      <w:r w:rsidR="00743555">
        <w:rPr>
          <w:rFonts w:cs="Times New Roman"/>
        </w:rPr>
        <w:t>ovat</w:t>
      </w:r>
      <w:r w:rsidR="0072096F">
        <w:rPr>
          <w:rFonts w:cs="Times New Roman"/>
        </w:rPr>
        <w:t xml:space="preserve"> vícestupňová evidence. </w:t>
      </w:r>
      <w:r w:rsidR="00DE75E2">
        <w:rPr>
          <w:rFonts w:cs="Times New Roman"/>
        </w:rPr>
        <w:t xml:space="preserve">Při přípravě budoucí úpravy je nutné brát v potaz, že </w:t>
      </w:r>
      <w:r w:rsidR="00DE75E2">
        <w:rPr>
          <w:rFonts w:cs="Times New Roman"/>
        </w:rPr>
        <w:lastRenderedPageBreak/>
        <w:t>soukromoprávní rovina vlastnického práva k cenným papírům není na evropské úrovni harmonizována</w:t>
      </w:r>
      <w:r w:rsidR="00743555">
        <w:rPr>
          <w:rFonts w:cs="Times New Roman"/>
        </w:rPr>
        <w:t xml:space="preserve"> a bylo by nutno ji v návaznosti na transpoziční novelu upravit</w:t>
      </w:r>
      <w:r w:rsidR="00DE75E2">
        <w:rPr>
          <w:rFonts w:cs="Times New Roman"/>
        </w:rPr>
        <w:t xml:space="preserve"> </w:t>
      </w:r>
    </w:p>
    <w:p w14:paraId="44732A31" w14:textId="554A1933" w:rsidR="00DE75E2" w:rsidRDefault="00DE75E2" w:rsidP="007833CD">
      <w:pPr>
        <w:rPr>
          <w:rFonts w:cs="Times New Roman"/>
        </w:rPr>
      </w:pPr>
      <w:r>
        <w:rPr>
          <w:rFonts w:cs="Times New Roman"/>
        </w:rPr>
        <w:t xml:space="preserve">Druhý respondent vyjádřil obavu z výkladu § 527 </w:t>
      </w:r>
      <w:r w:rsidR="00743555">
        <w:rPr>
          <w:rFonts w:cs="Times New Roman"/>
        </w:rPr>
        <w:t>OZ</w:t>
      </w:r>
      <w:r>
        <w:rPr>
          <w:rFonts w:cs="Times New Roman"/>
        </w:rPr>
        <w:t xml:space="preserve"> z hlediska rizikovosti ochrany majetku akcionářů. Doporučuje, aby dosavadní tržní praxe, kdy jsou investiční nástroje více akcionářů drženy na účtu vlastníka, byla upřesněním zákona omezena, současně doporučuj</w:t>
      </w:r>
      <w:r w:rsidR="00D5796F">
        <w:rPr>
          <w:rFonts w:cs="Times New Roman"/>
        </w:rPr>
        <w:t>e</w:t>
      </w:r>
      <w:r>
        <w:rPr>
          <w:rFonts w:cs="Times New Roman"/>
        </w:rPr>
        <w:t xml:space="preserve"> v zákoně negativně vymezit, že účet vlastníka nemá sloužit jako účet zákazníků podle § 528 </w:t>
      </w:r>
      <w:r w:rsidR="00743555">
        <w:rPr>
          <w:rFonts w:cs="Times New Roman"/>
        </w:rPr>
        <w:t>OZ</w:t>
      </w:r>
      <w:r>
        <w:rPr>
          <w:rFonts w:cs="Times New Roman"/>
        </w:rPr>
        <w:t>.</w:t>
      </w:r>
    </w:p>
    <w:p w14:paraId="112664F5" w14:textId="77777777" w:rsidR="00A94CA6" w:rsidRDefault="00DE75E2" w:rsidP="007833CD">
      <w:pPr>
        <w:rPr>
          <w:rFonts w:cs="Times New Roman"/>
        </w:rPr>
      </w:pPr>
      <w:r>
        <w:rPr>
          <w:rFonts w:cs="Times New Roman"/>
        </w:rPr>
        <w:t xml:space="preserve">Třetí respondent upozornil, že v současné době je problematické nedostatečné oprávnění majitele účtu jednat za klienta. Může se tak stát, že je emitentem vyžadována plná moc k tomuto jednání za klienta. </w:t>
      </w:r>
    </w:p>
    <w:p w14:paraId="08FBC59A" w14:textId="0123ED8F" w:rsidR="00DE75E2" w:rsidRDefault="00DE75E2" w:rsidP="007833CD">
      <w:pPr>
        <w:rPr>
          <w:rFonts w:cs="Times New Roman"/>
        </w:rPr>
      </w:pPr>
      <w:r>
        <w:rPr>
          <w:rFonts w:cs="Times New Roman"/>
        </w:rPr>
        <w:t>Ostatní 4 respondenti neměli další komentáře.</w:t>
      </w:r>
    </w:p>
    <w:p w14:paraId="3DD85A12" w14:textId="77777777" w:rsidR="00A94CA6" w:rsidRPr="00627DB1" w:rsidRDefault="00A94CA6" w:rsidP="007833CD">
      <w:pPr>
        <w:rPr>
          <w:rFonts w:cs="Times New Roman"/>
          <w:b/>
          <w:szCs w:val="24"/>
        </w:rPr>
      </w:pPr>
      <w:r w:rsidRPr="00627DB1">
        <w:rPr>
          <w:rFonts w:cs="Times New Roman"/>
          <w:b/>
          <w:szCs w:val="24"/>
        </w:rPr>
        <w:t>Otázka 3.6. Měla by Česká republika využít diskreci a zavést limit pro zjišťování akcionářů?</w:t>
      </w:r>
    </w:p>
    <w:p w14:paraId="30043610" w14:textId="05BC071D" w:rsidR="00A94CA6" w:rsidRDefault="000C3F46" w:rsidP="007833CD">
      <w:pPr>
        <w:rPr>
          <w:rFonts w:cs="Times New Roman"/>
          <w:szCs w:val="24"/>
        </w:rPr>
      </w:pPr>
      <w:r>
        <w:rPr>
          <w:rFonts w:cs="Times New Roman"/>
          <w:szCs w:val="24"/>
        </w:rPr>
        <w:t>57 % respondentů je pro zavedení limitu pro zjišťování akcionářů, přičemž jeden z nich se tak domnívá za předpokladu, že bude zavedena vícestupňová evidence.</w:t>
      </w:r>
      <w:r w:rsidR="00A14ACA">
        <w:rPr>
          <w:rFonts w:cs="Times New Roman"/>
          <w:szCs w:val="24"/>
        </w:rPr>
        <w:t xml:space="preserve"> </w:t>
      </w:r>
    </w:p>
    <w:p w14:paraId="2C9ACF44" w14:textId="16B5A906" w:rsidR="000C3F46" w:rsidRDefault="000C3F46" w:rsidP="007833CD">
      <w:pPr>
        <w:rPr>
          <w:rFonts w:cs="Times New Roman"/>
          <w:szCs w:val="24"/>
        </w:rPr>
      </w:pPr>
      <w:r>
        <w:rPr>
          <w:rFonts w:cs="Times New Roman"/>
          <w:szCs w:val="24"/>
        </w:rPr>
        <w:t>Zbývajících 43 % je proti zavedení limitu pro zjišťování akcionářů. Jeden respondent upozorňuje na možné riziko, kdy v případě držby 1% podílu prostřednictvím dvou účtů u</w:t>
      </w:r>
      <w:r w:rsidR="004708E0">
        <w:rPr>
          <w:rFonts w:cs="Times New Roman"/>
          <w:szCs w:val="24"/>
        </w:rPr>
        <w:t> </w:t>
      </w:r>
      <w:r>
        <w:rPr>
          <w:rFonts w:cs="Times New Roman"/>
          <w:szCs w:val="24"/>
        </w:rPr>
        <w:t xml:space="preserve">různých </w:t>
      </w:r>
      <w:r w:rsidR="004650E2">
        <w:rPr>
          <w:rFonts w:cs="Times New Roman"/>
          <w:szCs w:val="24"/>
        </w:rPr>
        <w:t>zprostředkovatelů (</w:t>
      </w:r>
      <w:proofErr w:type="spellStart"/>
      <w:r w:rsidR="004650E2">
        <w:rPr>
          <w:rFonts w:cs="Times New Roman"/>
          <w:szCs w:val="24"/>
        </w:rPr>
        <w:t>custodianů</w:t>
      </w:r>
      <w:proofErr w:type="spellEnd"/>
      <w:r w:rsidR="004650E2">
        <w:rPr>
          <w:rFonts w:cs="Times New Roman"/>
          <w:szCs w:val="24"/>
        </w:rPr>
        <w:t xml:space="preserve">) </w:t>
      </w:r>
      <w:r>
        <w:rPr>
          <w:rFonts w:cs="Times New Roman"/>
          <w:szCs w:val="24"/>
        </w:rPr>
        <w:t>nebude tento akcionář společnosti oznámen žádným z nich.</w:t>
      </w:r>
      <w:r w:rsidR="004650E2">
        <w:rPr>
          <w:rFonts w:cs="Times New Roman"/>
          <w:szCs w:val="24"/>
        </w:rPr>
        <w:t xml:space="preserve"> Dále upozorňuje, že při zjišťování pouze větších akcionářů by menší akcionáři museli znát svůj přesný podíl a být si vědomi, že musí emitentovi včas prokázat své oprávnění a činit další úkony, aby mohli vykonávat svá práva. </w:t>
      </w:r>
    </w:p>
    <w:p w14:paraId="1EDA74FD" w14:textId="16357749" w:rsidR="0013072F" w:rsidRPr="004708E0" w:rsidRDefault="000C2A23" w:rsidP="004708E0">
      <w:pPr>
        <w:jc w:val="center"/>
        <w:rPr>
          <w:rFonts w:cs="Times New Roman"/>
          <w:szCs w:val="24"/>
        </w:rPr>
      </w:pPr>
      <w:r>
        <w:rPr>
          <w:noProof/>
          <w:lang w:eastAsia="cs-CZ"/>
        </w:rPr>
        <w:lastRenderedPageBreak/>
        <w:drawing>
          <wp:inline distT="0" distB="0" distL="0" distR="0" wp14:anchorId="76BD76C4" wp14:editId="5D824366">
            <wp:extent cx="5528930" cy="2743200"/>
            <wp:effectExtent l="0" t="0" r="15240" b="1905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C6E0EE" w14:textId="77777777" w:rsidR="00A94CA6" w:rsidRPr="00627DB1" w:rsidRDefault="00A94CA6" w:rsidP="007833CD">
      <w:pPr>
        <w:rPr>
          <w:rFonts w:cs="Times New Roman"/>
          <w:b/>
          <w:szCs w:val="24"/>
        </w:rPr>
      </w:pPr>
      <w:r w:rsidRPr="00627DB1">
        <w:rPr>
          <w:rFonts w:cs="Times New Roman"/>
          <w:b/>
          <w:szCs w:val="24"/>
        </w:rPr>
        <w:t>Otázka 3.7. Je-li odpověď na předchozí otázku „ano“, v jaké výši by měl být stanoven limit (nejvýše 0,5% podíl akcií nebo hlasovacích práv) pro identifikaci akcionářů?</w:t>
      </w:r>
    </w:p>
    <w:p w14:paraId="11AFEE32" w14:textId="12E011D8" w:rsidR="00A94CA6" w:rsidRDefault="0028620D" w:rsidP="007833CD">
      <w:pPr>
        <w:rPr>
          <w:rFonts w:cs="Times New Roman"/>
          <w:szCs w:val="24"/>
        </w:rPr>
      </w:pPr>
      <w:r>
        <w:rPr>
          <w:rFonts w:cs="Times New Roman"/>
          <w:szCs w:val="24"/>
        </w:rPr>
        <w:t>Čtyři</w:t>
      </w:r>
      <w:r w:rsidR="004459D1">
        <w:rPr>
          <w:rFonts w:cs="Times New Roman"/>
          <w:szCs w:val="24"/>
        </w:rPr>
        <w:t xml:space="preserve"> respondenti shodně uvedli, že by limit měl být stanoven v maximální výši, a to 0,5% podílu, aby jeho aplikace byla co nejméně administrativně náročná.</w:t>
      </w:r>
    </w:p>
    <w:p w14:paraId="25519E93" w14:textId="77777777" w:rsidR="004459D1" w:rsidRDefault="004459D1" w:rsidP="007833CD">
      <w:pPr>
        <w:rPr>
          <w:rFonts w:cs="Times New Roman"/>
          <w:szCs w:val="24"/>
        </w:rPr>
      </w:pPr>
      <w:r>
        <w:rPr>
          <w:rFonts w:cs="Times New Roman"/>
          <w:szCs w:val="24"/>
        </w:rPr>
        <w:t>Ostatní respondenti na tuto otázku neodpověděli</w:t>
      </w:r>
      <w:r w:rsidR="004650E2">
        <w:rPr>
          <w:rFonts w:cs="Times New Roman"/>
          <w:szCs w:val="24"/>
        </w:rPr>
        <w:t>, neboť jsou proti zavedení limitu pro identifikaci akcionářů</w:t>
      </w:r>
      <w:r>
        <w:rPr>
          <w:rFonts w:cs="Times New Roman"/>
          <w:szCs w:val="24"/>
        </w:rPr>
        <w:t>.</w:t>
      </w:r>
    </w:p>
    <w:p w14:paraId="473D3FE6" w14:textId="77777777" w:rsidR="00A94CA6" w:rsidRPr="00627DB1" w:rsidRDefault="00A94CA6" w:rsidP="007833CD">
      <w:pPr>
        <w:rPr>
          <w:rFonts w:cs="Times New Roman"/>
          <w:b/>
          <w:szCs w:val="24"/>
        </w:rPr>
      </w:pPr>
      <w:r w:rsidRPr="00627DB1">
        <w:rPr>
          <w:rFonts w:cs="Times New Roman"/>
          <w:b/>
          <w:szCs w:val="24"/>
        </w:rPr>
        <w:t>Otázka 3.8. V čem spatřujete pozitiva a v čem negativa využití této diskrece?</w:t>
      </w:r>
    </w:p>
    <w:p w14:paraId="13C933DF" w14:textId="77777777" w:rsidR="00A94CA6" w:rsidRDefault="0042032D" w:rsidP="007833CD">
      <w:pPr>
        <w:rPr>
          <w:rFonts w:cs="Times New Roman"/>
          <w:szCs w:val="24"/>
        </w:rPr>
      </w:pPr>
      <w:r>
        <w:rPr>
          <w:rFonts w:cs="Times New Roman"/>
          <w:szCs w:val="24"/>
        </w:rPr>
        <w:t>Na tuto otázku odpovědělo 5 respondentů</w:t>
      </w:r>
      <w:r w:rsidR="002F45CA">
        <w:rPr>
          <w:rFonts w:cs="Times New Roman"/>
          <w:szCs w:val="24"/>
        </w:rPr>
        <w:t>, z toho 3 respondenti se vyjádřili pro zavedení limitu pro identifikaci akcionářů, a 2 respondenti se vyjádřili proti využití této diskrece</w:t>
      </w:r>
      <w:r>
        <w:rPr>
          <w:rFonts w:cs="Times New Roman"/>
          <w:szCs w:val="24"/>
        </w:rPr>
        <w:t>.</w:t>
      </w:r>
    </w:p>
    <w:p w14:paraId="28D7B945" w14:textId="77777777" w:rsidR="0042032D" w:rsidRDefault="0042032D" w:rsidP="007833CD">
      <w:pPr>
        <w:rPr>
          <w:rFonts w:cs="Times New Roman"/>
          <w:szCs w:val="24"/>
        </w:rPr>
      </w:pPr>
      <w:r>
        <w:rPr>
          <w:rFonts w:cs="Times New Roman"/>
          <w:szCs w:val="24"/>
        </w:rPr>
        <w:t xml:space="preserve">Jako pozitiva uvedli </w:t>
      </w:r>
      <w:r w:rsidR="00B96C5B">
        <w:rPr>
          <w:rFonts w:cs="Times New Roman"/>
          <w:szCs w:val="24"/>
        </w:rPr>
        <w:t>výrazně nižší administrativní náklady pro společnost, menší časovou náročnost na získání dat</w:t>
      </w:r>
      <w:r w:rsidR="00577CC0">
        <w:rPr>
          <w:rFonts w:cs="Times New Roman"/>
          <w:szCs w:val="24"/>
        </w:rPr>
        <w:t xml:space="preserve"> a</w:t>
      </w:r>
      <w:r w:rsidR="00B96C5B">
        <w:rPr>
          <w:rFonts w:cs="Times New Roman"/>
          <w:szCs w:val="24"/>
        </w:rPr>
        <w:t xml:space="preserve"> nižší dodatečné finanční náklady</w:t>
      </w:r>
      <w:r w:rsidR="00577CC0">
        <w:rPr>
          <w:rFonts w:cs="Times New Roman"/>
          <w:szCs w:val="24"/>
        </w:rPr>
        <w:t>.</w:t>
      </w:r>
    </w:p>
    <w:p w14:paraId="76EB5BF0" w14:textId="2837FE25" w:rsidR="00B96C5B" w:rsidRDefault="00B96C5B" w:rsidP="007833CD">
      <w:pPr>
        <w:rPr>
          <w:rFonts w:cs="Times New Roman"/>
          <w:szCs w:val="24"/>
        </w:rPr>
      </w:pPr>
      <w:r>
        <w:rPr>
          <w:rFonts w:cs="Times New Roman"/>
          <w:szCs w:val="24"/>
        </w:rPr>
        <w:t>Jako negativa uvedli, že společnost nemá přehled o všech svých akcionářích</w:t>
      </w:r>
      <w:r w:rsidR="00151F02">
        <w:rPr>
          <w:rFonts w:cs="Times New Roman"/>
          <w:szCs w:val="24"/>
        </w:rPr>
        <w:t>,</w:t>
      </w:r>
      <w:r>
        <w:rPr>
          <w:rFonts w:cs="Times New Roman"/>
          <w:szCs w:val="24"/>
        </w:rPr>
        <w:t xml:space="preserve"> </w:t>
      </w:r>
      <w:r w:rsidR="004708E0">
        <w:rPr>
          <w:rFonts w:cs="Times New Roman"/>
          <w:szCs w:val="24"/>
        </w:rPr>
        <w:t xml:space="preserve">zároveň </w:t>
      </w:r>
      <w:r w:rsidR="00151F02">
        <w:rPr>
          <w:rFonts w:cs="Times New Roman"/>
          <w:szCs w:val="24"/>
        </w:rPr>
        <w:t xml:space="preserve">i </w:t>
      </w:r>
      <w:r>
        <w:rPr>
          <w:rFonts w:cs="Times New Roman"/>
          <w:szCs w:val="24"/>
        </w:rPr>
        <w:t>snížení transparentnosti</w:t>
      </w:r>
      <w:r w:rsidR="00151F02">
        <w:rPr>
          <w:rFonts w:cs="Times New Roman"/>
          <w:szCs w:val="24"/>
        </w:rPr>
        <w:t>. Jeden respondent upozorňuje i na nebezpečí, že by v případě zavedení limitu mohlo docházet k</w:t>
      </w:r>
      <w:r>
        <w:rPr>
          <w:rFonts w:cs="Times New Roman"/>
          <w:szCs w:val="24"/>
        </w:rPr>
        <w:t xml:space="preserve"> páchání trestn</w:t>
      </w:r>
      <w:r w:rsidR="00151F02">
        <w:rPr>
          <w:rFonts w:cs="Times New Roman"/>
          <w:szCs w:val="24"/>
        </w:rPr>
        <w:t>é</w:t>
      </w:r>
      <w:r>
        <w:rPr>
          <w:rFonts w:cs="Times New Roman"/>
          <w:szCs w:val="24"/>
        </w:rPr>
        <w:t xml:space="preserve"> činnosti prostřednictvím nastrčených prostředníků, kteří by drželi akcie do stanoveného limitu a nemuseli by tak být identifikováni.</w:t>
      </w:r>
      <w:r w:rsidR="00151F02">
        <w:rPr>
          <w:rFonts w:cs="Times New Roman"/>
          <w:szCs w:val="24"/>
        </w:rPr>
        <w:t xml:space="preserve"> Další respondent uvádí, že v případě velkých bank jsou i akcionáři pod limitem významnými akcionáři. Případné zavedení limitu může otvírat cestu snahám o obcházení pravidel o identifikaci akcionářů. </w:t>
      </w:r>
    </w:p>
    <w:p w14:paraId="3E32F827" w14:textId="52220972" w:rsidR="00A94CA6" w:rsidRPr="00627DB1" w:rsidRDefault="00A94CA6" w:rsidP="007833CD">
      <w:pPr>
        <w:rPr>
          <w:rFonts w:cs="Times New Roman"/>
          <w:b/>
          <w:szCs w:val="24"/>
        </w:rPr>
      </w:pPr>
      <w:r w:rsidRPr="00627DB1">
        <w:rPr>
          <w:rFonts w:cs="Times New Roman"/>
          <w:b/>
          <w:szCs w:val="24"/>
        </w:rPr>
        <w:lastRenderedPageBreak/>
        <w:t>Otázka 3.9. Měla by Česká republika využít tuto diskreci a umožnit agregaci dat u</w:t>
      </w:r>
      <w:r w:rsidR="00F0151A">
        <w:rPr>
          <w:rFonts w:cs="Times New Roman"/>
          <w:b/>
          <w:szCs w:val="24"/>
        </w:rPr>
        <w:t> </w:t>
      </w:r>
      <w:r w:rsidRPr="00627DB1">
        <w:rPr>
          <w:rFonts w:cs="Times New Roman"/>
          <w:b/>
          <w:szCs w:val="24"/>
        </w:rPr>
        <w:t>centrálního depozitáře nebo u jiného zprostředkovatele?</w:t>
      </w:r>
    </w:p>
    <w:p w14:paraId="4466D4A6" w14:textId="77777777" w:rsidR="00A94CA6" w:rsidRDefault="007B4832" w:rsidP="007833CD">
      <w:pPr>
        <w:rPr>
          <w:rFonts w:cs="Times New Roman"/>
          <w:szCs w:val="24"/>
        </w:rPr>
      </w:pPr>
      <w:r>
        <w:rPr>
          <w:rFonts w:cs="Times New Roman"/>
          <w:szCs w:val="24"/>
        </w:rPr>
        <w:t>71 % respondentů uvedlo, že by Česká republika měla využít diskreci a umožnit agregaci dat u centrálního depozitáře nebo u jiného zprostředkovatele.</w:t>
      </w:r>
    </w:p>
    <w:p w14:paraId="37F8AE09" w14:textId="77777777" w:rsidR="007B4832" w:rsidRDefault="007B4832" w:rsidP="007833CD">
      <w:pPr>
        <w:rPr>
          <w:rFonts w:cs="Times New Roman"/>
          <w:szCs w:val="24"/>
        </w:rPr>
      </w:pPr>
      <w:r>
        <w:rPr>
          <w:rFonts w:cs="Times New Roman"/>
          <w:szCs w:val="24"/>
        </w:rPr>
        <w:t xml:space="preserve">Zbývajících 29 % </w:t>
      </w:r>
      <w:r w:rsidR="00151F02">
        <w:rPr>
          <w:rFonts w:cs="Times New Roman"/>
          <w:szCs w:val="24"/>
        </w:rPr>
        <w:t xml:space="preserve">respondentů </w:t>
      </w:r>
      <w:r>
        <w:rPr>
          <w:rFonts w:cs="Times New Roman"/>
          <w:szCs w:val="24"/>
        </w:rPr>
        <w:t>uvedlo, že by Česká republika tuto diskreci neměla využít.</w:t>
      </w:r>
    </w:p>
    <w:p w14:paraId="5A395EEB" w14:textId="77777777" w:rsidR="000C2A23" w:rsidRDefault="000C2A23" w:rsidP="000C2A23">
      <w:pPr>
        <w:jc w:val="center"/>
        <w:rPr>
          <w:rFonts w:cs="Times New Roman"/>
          <w:szCs w:val="24"/>
        </w:rPr>
      </w:pPr>
      <w:r>
        <w:rPr>
          <w:noProof/>
          <w:lang w:eastAsia="cs-CZ"/>
        </w:rPr>
        <w:drawing>
          <wp:inline distT="0" distB="0" distL="0" distR="0" wp14:anchorId="6960862E" wp14:editId="370882A8">
            <wp:extent cx="5688418" cy="2743200"/>
            <wp:effectExtent l="0" t="0" r="26670" b="1905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FB3A6E" w14:textId="77777777" w:rsidR="00A94CA6" w:rsidRPr="00627DB1" w:rsidRDefault="00A94CA6" w:rsidP="007833CD">
      <w:pPr>
        <w:rPr>
          <w:rFonts w:cs="Times New Roman"/>
          <w:b/>
          <w:szCs w:val="24"/>
        </w:rPr>
      </w:pPr>
      <w:r w:rsidRPr="00627DB1">
        <w:rPr>
          <w:rFonts w:cs="Times New Roman"/>
          <w:b/>
          <w:szCs w:val="24"/>
        </w:rPr>
        <w:t>Otázka 3.10. V čem spatřujete pozitiva a v čem negativa využití, případně nevyužití, této diskrece?</w:t>
      </w:r>
    </w:p>
    <w:p w14:paraId="71FD7EBA" w14:textId="77777777" w:rsidR="000A012A" w:rsidRDefault="000A012A" w:rsidP="007833CD">
      <w:pPr>
        <w:rPr>
          <w:rFonts w:cs="Times New Roman"/>
          <w:szCs w:val="24"/>
        </w:rPr>
      </w:pPr>
      <w:r>
        <w:rPr>
          <w:rFonts w:cs="Times New Roman"/>
          <w:szCs w:val="24"/>
        </w:rPr>
        <w:t>Na tuto otázku odpovědělo 6 respondentů.</w:t>
      </w:r>
    </w:p>
    <w:p w14:paraId="24F38D93" w14:textId="7889A978" w:rsidR="000A012A" w:rsidRDefault="000A012A" w:rsidP="007833CD">
      <w:pPr>
        <w:rPr>
          <w:rFonts w:cs="Times New Roman"/>
          <w:szCs w:val="24"/>
        </w:rPr>
      </w:pPr>
      <w:r>
        <w:rPr>
          <w:rFonts w:cs="Times New Roman"/>
          <w:szCs w:val="24"/>
        </w:rPr>
        <w:t>Jako pozitivum spatřují jednoduchost,</w:t>
      </w:r>
      <w:r w:rsidR="009A7C64">
        <w:rPr>
          <w:rFonts w:cs="Times New Roman"/>
          <w:szCs w:val="24"/>
        </w:rPr>
        <w:t xml:space="preserve"> existenc</w:t>
      </w:r>
      <w:r w:rsidR="00D23D69">
        <w:rPr>
          <w:rFonts w:cs="Times New Roman"/>
          <w:szCs w:val="24"/>
        </w:rPr>
        <w:t>i</w:t>
      </w:r>
      <w:r>
        <w:rPr>
          <w:rFonts w:cs="Times New Roman"/>
          <w:szCs w:val="24"/>
        </w:rPr>
        <w:t xml:space="preserve"> jednotného poskytovatele dat z evidence zaknihovaných cenných papírů, centralizaci dat</w:t>
      </w:r>
      <w:r w:rsidR="00577CC0">
        <w:rPr>
          <w:rFonts w:cs="Times New Roman"/>
          <w:szCs w:val="24"/>
        </w:rPr>
        <w:t xml:space="preserve"> a</w:t>
      </w:r>
      <w:r>
        <w:rPr>
          <w:rFonts w:cs="Times New Roman"/>
          <w:szCs w:val="24"/>
        </w:rPr>
        <w:t xml:space="preserve"> jednodušší postup pro společnosti při získávání </w:t>
      </w:r>
      <w:r w:rsidR="009A7C64">
        <w:rPr>
          <w:rFonts w:cs="Times New Roman"/>
          <w:szCs w:val="24"/>
        </w:rPr>
        <w:t xml:space="preserve">výpisu z evidence emise (nahrazující </w:t>
      </w:r>
      <w:r>
        <w:rPr>
          <w:rFonts w:cs="Times New Roman"/>
          <w:szCs w:val="24"/>
        </w:rPr>
        <w:t>seznam akcionářů</w:t>
      </w:r>
      <w:r w:rsidR="009A7C64">
        <w:rPr>
          <w:rFonts w:cs="Times New Roman"/>
          <w:szCs w:val="24"/>
        </w:rPr>
        <w:t>)</w:t>
      </w:r>
      <w:r>
        <w:rPr>
          <w:rFonts w:cs="Times New Roman"/>
          <w:szCs w:val="24"/>
        </w:rPr>
        <w:t>.</w:t>
      </w:r>
    </w:p>
    <w:p w14:paraId="2E8AF860" w14:textId="6C8048FE" w:rsidR="000A012A" w:rsidRDefault="000A012A" w:rsidP="000A012A">
      <w:pPr>
        <w:rPr>
          <w:rFonts w:cs="Times New Roman"/>
          <w:szCs w:val="24"/>
        </w:rPr>
      </w:pPr>
      <w:r>
        <w:rPr>
          <w:rFonts w:cs="Times New Roman"/>
          <w:szCs w:val="24"/>
        </w:rPr>
        <w:t>J</w:t>
      </w:r>
      <w:r w:rsidR="009A7C64">
        <w:rPr>
          <w:rFonts w:cs="Times New Roman"/>
          <w:szCs w:val="24"/>
        </w:rPr>
        <w:t xml:space="preserve">eden respondent jako možné </w:t>
      </w:r>
      <w:r>
        <w:rPr>
          <w:rFonts w:cs="Times New Roman"/>
          <w:szCs w:val="24"/>
        </w:rPr>
        <w:t>negativum uvedl nákladovost nebo způsob ověřování zplnomocnění žadatele za emitenta.</w:t>
      </w:r>
      <w:r w:rsidRPr="000A012A">
        <w:rPr>
          <w:rFonts w:cs="Times New Roman"/>
          <w:szCs w:val="24"/>
        </w:rPr>
        <w:t xml:space="preserve"> </w:t>
      </w:r>
    </w:p>
    <w:p w14:paraId="246748A7" w14:textId="227CCDF5" w:rsidR="000A012A" w:rsidRDefault="00577CC0" w:rsidP="000A012A">
      <w:pPr>
        <w:rPr>
          <w:rFonts w:cs="Times New Roman"/>
          <w:szCs w:val="24"/>
        </w:rPr>
      </w:pPr>
      <w:r>
        <w:rPr>
          <w:rFonts w:cs="Times New Roman"/>
          <w:szCs w:val="24"/>
        </w:rPr>
        <w:t>3 respondenti uvedli, že</w:t>
      </w:r>
      <w:r w:rsidR="000A012A">
        <w:rPr>
          <w:rFonts w:cs="Times New Roman"/>
          <w:szCs w:val="24"/>
        </w:rPr>
        <w:t xml:space="preserve"> současný stav, kdy emitent informace od centrálního depozitáře již dostává, je vyhovující, přičemž centralizovaná agregace dat</w:t>
      </w:r>
      <w:r w:rsidR="00241B98">
        <w:rPr>
          <w:rFonts w:cs="Times New Roman"/>
          <w:szCs w:val="24"/>
        </w:rPr>
        <w:t>, tj. shromažďování informací na úrovni centrálního depozitáře,</w:t>
      </w:r>
      <w:r w:rsidR="000A012A">
        <w:rPr>
          <w:rFonts w:cs="Times New Roman"/>
          <w:szCs w:val="24"/>
        </w:rPr>
        <w:t xml:space="preserve"> se jeví jako nejefektivnější řešení.</w:t>
      </w:r>
    </w:p>
    <w:p w14:paraId="295AF6FA" w14:textId="77777777" w:rsidR="000A012A" w:rsidRDefault="000A012A" w:rsidP="000A012A">
      <w:pPr>
        <w:rPr>
          <w:rFonts w:cs="Times New Roman"/>
          <w:szCs w:val="24"/>
        </w:rPr>
      </w:pPr>
      <w:r>
        <w:rPr>
          <w:rFonts w:cs="Times New Roman"/>
          <w:szCs w:val="24"/>
        </w:rPr>
        <w:t>Jeden respondent</w:t>
      </w:r>
      <w:r w:rsidR="00241B98">
        <w:rPr>
          <w:rFonts w:cs="Times New Roman"/>
          <w:szCs w:val="24"/>
        </w:rPr>
        <w:t>, který se vyjádřil proti agregaci dat u centrálního depozitáře,</w:t>
      </w:r>
      <w:r>
        <w:rPr>
          <w:rFonts w:cs="Times New Roman"/>
          <w:szCs w:val="24"/>
        </w:rPr>
        <w:t xml:space="preserve"> uvedl, že agregace dat u centrálního depozitáře nezlepší situaci akcionářů.</w:t>
      </w:r>
    </w:p>
    <w:p w14:paraId="21C1932A" w14:textId="77777777" w:rsidR="00A94CA6" w:rsidRDefault="000A012A" w:rsidP="007833CD">
      <w:pPr>
        <w:rPr>
          <w:rFonts w:cs="Times New Roman"/>
          <w:szCs w:val="24"/>
        </w:rPr>
      </w:pPr>
      <w:r>
        <w:rPr>
          <w:rFonts w:cs="Times New Roman"/>
          <w:szCs w:val="24"/>
        </w:rPr>
        <w:lastRenderedPageBreak/>
        <w:t>Jeden respondent na tuto otázku neodpověděl.</w:t>
      </w:r>
    </w:p>
    <w:p w14:paraId="1A376A88" w14:textId="77777777" w:rsidR="00A94CA6" w:rsidRPr="00627DB1" w:rsidRDefault="00A94CA6" w:rsidP="007833CD">
      <w:pPr>
        <w:rPr>
          <w:rFonts w:cs="Times New Roman"/>
          <w:b/>
          <w:szCs w:val="24"/>
        </w:rPr>
      </w:pPr>
      <w:r w:rsidRPr="00627DB1">
        <w:rPr>
          <w:rFonts w:cs="Times New Roman"/>
          <w:b/>
          <w:szCs w:val="24"/>
        </w:rPr>
        <w:t>Otázka 3.11. Je podle Vašeho názoru emitent limitován, co se týče výběru zprostředkovatele, který rozešle žádost emitenta o identifikaci akcionářů nebo bude emitentovi informace o akcionářích shromažďovat?</w:t>
      </w:r>
    </w:p>
    <w:p w14:paraId="764DB27C" w14:textId="3A7B1709" w:rsidR="00A94CA6" w:rsidRDefault="00A42701" w:rsidP="007833CD">
      <w:pPr>
        <w:rPr>
          <w:rFonts w:cs="Times New Roman"/>
          <w:szCs w:val="24"/>
        </w:rPr>
      </w:pPr>
      <w:r>
        <w:rPr>
          <w:rFonts w:cs="Times New Roman"/>
          <w:szCs w:val="24"/>
        </w:rPr>
        <w:t>86% respondentů se shoduje,</w:t>
      </w:r>
      <w:r w:rsidR="00187617">
        <w:rPr>
          <w:rFonts w:cs="Times New Roman"/>
          <w:szCs w:val="24"/>
        </w:rPr>
        <w:t xml:space="preserve"> že je emitent limitován, co se týče výběru zprostředkovatele, který rozešle žádost emitenta o identifikaci akcionářů nebo bude emitentovi informace o</w:t>
      </w:r>
      <w:r w:rsidR="00F0151A">
        <w:rPr>
          <w:rFonts w:cs="Times New Roman"/>
          <w:szCs w:val="24"/>
        </w:rPr>
        <w:t> </w:t>
      </w:r>
      <w:r w:rsidR="00187617">
        <w:rPr>
          <w:rFonts w:cs="Times New Roman"/>
          <w:szCs w:val="24"/>
        </w:rPr>
        <w:t xml:space="preserve">akcionářích shromažďovat. </w:t>
      </w:r>
      <w:r>
        <w:rPr>
          <w:rFonts w:cs="Times New Roman"/>
          <w:szCs w:val="24"/>
        </w:rPr>
        <w:t>Tři respo</w:t>
      </w:r>
      <w:r w:rsidR="00187617">
        <w:rPr>
          <w:rFonts w:cs="Times New Roman"/>
          <w:szCs w:val="24"/>
        </w:rPr>
        <w:t>ndent</w:t>
      </w:r>
      <w:r>
        <w:rPr>
          <w:rFonts w:cs="Times New Roman"/>
          <w:szCs w:val="24"/>
        </w:rPr>
        <w:t xml:space="preserve">i uvedli jako tuto osobu </w:t>
      </w:r>
      <w:r w:rsidR="00187617">
        <w:rPr>
          <w:rFonts w:cs="Times New Roman"/>
          <w:szCs w:val="24"/>
        </w:rPr>
        <w:t>centrálního depozitáře. Další respondent uvedl, že emitent může žádat toho zprostředkovatele, který drží příslušné akcie na svém zákaznickém účtu.</w:t>
      </w:r>
      <w:r>
        <w:rPr>
          <w:rFonts w:cs="Times New Roman"/>
          <w:szCs w:val="24"/>
        </w:rPr>
        <w:t xml:space="preserve"> Dva respondenti uvedli, že by mělo jít o důvěryhodnou a</w:t>
      </w:r>
      <w:r w:rsidR="00F0151A">
        <w:rPr>
          <w:rFonts w:cs="Times New Roman"/>
          <w:szCs w:val="24"/>
        </w:rPr>
        <w:t> </w:t>
      </w:r>
      <w:r>
        <w:rPr>
          <w:rFonts w:cs="Times New Roman"/>
          <w:szCs w:val="24"/>
        </w:rPr>
        <w:t>profesionální stranu, banku nebo obchodníka s cennými papíry.</w:t>
      </w:r>
    </w:p>
    <w:p w14:paraId="1DC52540" w14:textId="040B0E3D" w:rsidR="00A42701" w:rsidRDefault="00A42701" w:rsidP="007833CD">
      <w:pPr>
        <w:rPr>
          <w:rFonts w:cs="Times New Roman"/>
          <w:szCs w:val="24"/>
        </w:rPr>
      </w:pPr>
      <w:r>
        <w:rPr>
          <w:rFonts w:cs="Times New Roman"/>
          <w:szCs w:val="24"/>
        </w:rPr>
        <w:t>Jeden respondent uvedl, že emitent v řadě případů ani nemůže vědět, kdo je zprostředkovatelem.</w:t>
      </w:r>
    </w:p>
    <w:p w14:paraId="2F32D8CD" w14:textId="77777777" w:rsidR="00812F1A" w:rsidRDefault="00812F1A" w:rsidP="00812F1A">
      <w:pPr>
        <w:jc w:val="center"/>
        <w:rPr>
          <w:rFonts w:cs="Times New Roman"/>
          <w:szCs w:val="24"/>
        </w:rPr>
      </w:pPr>
      <w:r>
        <w:rPr>
          <w:noProof/>
          <w:lang w:eastAsia="cs-CZ"/>
        </w:rPr>
        <w:drawing>
          <wp:inline distT="0" distB="0" distL="0" distR="0" wp14:anchorId="5C8928BE" wp14:editId="14ECE654">
            <wp:extent cx="5495925" cy="2743200"/>
            <wp:effectExtent l="0" t="0" r="9525" b="19050"/>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CB3EE10" w14:textId="77777777" w:rsidR="00A94CA6" w:rsidRPr="00627DB1" w:rsidRDefault="00A94CA6" w:rsidP="007833CD">
      <w:pPr>
        <w:rPr>
          <w:rFonts w:cs="Times New Roman"/>
          <w:b/>
          <w:szCs w:val="24"/>
        </w:rPr>
      </w:pPr>
      <w:r w:rsidRPr="00627DB1">
        <w:rPr>
          <w:rFonts w:cs="Times New Roman"/>
          <w:b/>
          <w:szCs w:val="24"/>
        </w:rPr>
        <w:t>Otázka 3.12. Měl by zákon určitým způsobem řešit vyrovnání nákladů mezi zprostředkovatelem, který shromažďuje informace o akcionářích, a ostatními zprostředkovateli?</w:t>
      </w:r>
    </w:p>
    <w:p w14:paraId="2DC0C17E" w14:textId="799D6564" w:rsidR="00A94CA6" w:rsidRDefault="004D676D" w:rsidP="007833CD">
      <w:pPr>
        <w:rPr>
          <w:rFonts w:cs="Times New Roman"/>
          <w:szCs w:val="24"/>
        </w:rPr>
      </w:pPr>
      <w:r>
        <w:rPr>
          <w:rFonts w:cs="Times New Roman"/>
          <w:szCs w:val="24"/>
        </w:rPr>
        <w:t>57 % respondentů se shoduje v názoru, že by zákon měl řešit vyrovnání nákladů mezi zprostředkovatelem, který shromažďuje informace o akcionářích, a ostatními zprostředkovateli.</w:t>
      </w:r>
      <w:r w:rsidR="009E6073">
        <w:rPr>
          <w:rFonts w:cs="Times New Roman"/>
          <w:szCs w:val="24"/>
        </w:rPr>
        <w:t xml:space="preserve"> Náklady by měly odpovídat skutečným nákladům zprostředkovatele na</w:t>
      </w:r>
      <w:r w:rsidR="00577CC0">
        <w:rPr>
          <w:rFonts w:cs="Times New Roman"/>
          <w:szCs w:val="24"/>
        </w:rPr>
        <w:t> </w:t>
      </w:r>
      <w:r w:rsidR="009E6073">
        <w:rPr>
          <w:rFonts w:cs="Times New Roman"/>
          <w:szCs w:val="24"/>
        </w:rPr>
        <w:t>získání dat</w:t>
      </w:r>
      <w:r w:rsidR="009C1625">
        <w:rPr>
          <w:rFonts w:cs="Times New Roman"/>
          <w:szCs w:val="24"/>
        </w:rPr>
        <w:t xml:space="preserve"> </w:t>
      </w:r>
      <w:r w:rsidR="005F7AEC">
        <w:rPr>
          <w:rFonts w:cs="Times New Roman"/>
          <w:szCs w:val="24"/>
        </w:rPr>
        <w:t xml:space="preserve">a nejít k tíži emitenta </w:t>
      </w:r>
      <w:r w:rsidR="009C1625">
        <w:rPr>
          <w:rFonts w:cs="Times New Roman"/>
          <w:szCs w:val="24"/>
        </w:rPr>
        <w:t xml:space="preserve">a </w:t>
      </w:r>
      <w:r w:rsidR="005F7AEC">
        <w:rPr>
          <w:rFonts w:cs="Times New Roman"/>
          <w:szCs w:val="24"/>
        </w:rPr>
        <w:t xml:space="preserve">zároveň </w:t>
      </w:r>
      <w:r w:rsidR="009C1625">
        <w:rPr>
          <w:rFonts w:cs="Times New Roman"/>
          <w:szCs w:val="24"/>
        </w:rPr>
        <w:t xml:space="preserve">zásadně neomezovat využití této služby. Jeden z respondentů váže tuto svou odpověď na zavedení modelu, kdy kterýkoli zprostředkovatel </w:t>
      </w:r>
      <w:r w:rsidR="009C1625">
        <w:rPr>
          <w:rFonts w:cs="Times New Roman"/>
          <w:szCs w:val="24"/>
        </w:rPr>
        <w:lastRenderedPageBreak/>
        <w:t>může shromažďovat informace o akcionářích</w:t>
      </w:r>
      <w:r w:rsidR="005F7AEC">
        <w:rPr>
          <w:rFonts w:cs="Times New Roman"/>
          <w:szCs w:val="24"/>
        </w:rPr>
        <w:t xml:space="preserve"> s tím, že ostatní zprostředkovatelé by měli poskytovat informace na základě úhrady přiměřených nákladů. Další respondent se domnívá, že ceník by měl být nastaven např. tak, aby maximální výše poplatku byla rovna výši uvedené v ceníku centrálního depozitáře.</w:t>
      </w:r>
    </w:p>
    <w:p w14:paraId="56CBC4E8" w14:textId="77777777" w:rsidR="009E6073" w:rsidRDefault="009E6073" w:rsidP="007833CD">
      <w:pPr>
        <w:rPr>
          <w:rFonts w:cs="Times New Roman"/>
          <w:szCs w:val="24"/>
        </w:rPr>
      </w:pPr>
      <w:r>
        <w:rPr>
          <w:rFonts w:cs="Times New Roman"/>
          <w:szCs w:val="24"/>
        </w:rPr>
        <w:t>29 % respondentů se domnívá, že by zákon tuto otázku řešit neměl.</w:t>
      </w:r>
    </w:p>
    <w:p w14:paraId="624DD2B8" w14:textId="24B404C8" w:rsidR="009E6073" w:rsidRDefault="00ED4268" w:rsidP="007833CD">
      <w:pPr>
        <w:rPr>
          <w:rFonts w:cs="Times New Roman"/>
          <w:szCs w:val="24"/>
        </w:rPr>
      </w:pPr>
      <w:r>
        <w:rPr>
          <w:rFonts w:cs="Times New Roman"/>
          <w:szCs w:val="24"/>
        </w:rPr>
        <w:t xml:space="preserve">14 % </w:t>
      </w:r>
      <w:r w:rsidR="009E6073">
        <w:rPr>
          <w:rFonts w:cs="Times New Roman"/>
          <w:szCs w:val="24"/>
        </w:rPr>
        <w:t>respondent</w:t>
      </w:r>
      <w:r>
        <w:rPr>
          <w:rFonts w:cs="Times New Roman"/>
          <w:szCs w:val="24"/>
        </w:rPr>
        <w:t>ů</w:t>
      </w:r>
      <w:r w:rsidR="009E6073">
        <w:rPr>
          <w:rFonts w:cs="Times New Roman"/>
          <w:szCs w:val="24"/>
        </w:rPr>
        <w:t xml:space="preserve"> na tuto otázku neodpověděl</w:t>
      </w:r>
      <w:r>
        <w:rPr>
          <w:rFonts w:cs="Times New Roman"/>
          <w:szCs w:val="24"/>
        </w:rPr>
        <w:t>o</w:t>
      </w:r>
      <w:r w:rsidR="009E6073">
        <w:rPr>
          <w:rFonts w:cs="Times New Roman"/>
          <w:szCs w:val="24"/>
        </w:rPr>
        <w:t>.</w:t>
      </w:r>
    </w:p>
    <w:p w14:paraId="5E99BFE6" w14:textId="77777777" w:rsidR="00ED4268" w:rsidRDefault="00ED4268" w:rsidP="00ED4268">
      <w:pPr>
        <w:jc w:val="center"/>
        <w:rPr>
          <w:rFonts w:cs="Times New Roman"/>
          <w:szCs w:val="24"/>
        </w:rPr>
      </w:pPr>
      <w:r>
        <w:rPr>
          <w:noProof/>
          <w:lang w:eastAsia="cs-CZ"/>
        </w:rPr>
        <w:drawing>
          <wp:inline distT="0" distB="0" distL="0" distR="0" wp14:anchorId="5F4CEE2B" wp14:editId="2559D6AB">
            <wp:extent cx="5391150" cy="2743200"/>
            <wp:effectExtent l="0" t="0" r="19050" b="19050"/>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63B957" w14:textId="77777777" w:rsidR="00A94CA6" w:rsidRPr="00627DB1" w:rsidRDefault="00A94CA6" w:rsidP="007833CD">
      <w:pPr>
        <w:rPr>
          <w:rFonts w:cs="Times New Roman"/>
          <w:b/>
          <w:szCs w:val="24"/>
        </w:rPr>
      </w:pPr>
      <w:r w:rsidRPr="00627DB1">
        <w:rPr>
          <w:rFonts w:cs="Times New Roman"/>
          <w:b/>
          <w:szCs w:val="24"/>
        </w:rPr>
        <w:t>Otázka 3.13. Máte jiné návrhy, jak konkrétně upravit systém předávání informací o</w:t>
      </w:r>
      <w:r w:rsidR="00577CC0">
        <w:rPr>
          <w:rFonts w:cs="Times New Roman"/>
          <w:b/>
          <w:szCs w:val="24"/>
        </w:rPr>
        <w:t> </w:t>
      </w:r>
      <w:r w:rsidRPr="00627DB1">
        <w:rPr>
          <w:rFonts w:cs="Times New Roman"/>
          <w:b/>
          <w:szCs w:val="24"/>
        </w:rPr>
        <w:t>akcionářích od zprostředkovatelů k emitentovi?</w:t>
      </w:r>
    </w:p>
    <w:p w14:paraId="4BCA0FD4" w14:textId="5594F57C" w:rsidR="00A94CA6" w:rsidRDefault="004A2CBD" w:rsidP="007833CD">
      <w:pPr>
        <w:rPr>
          <w:rFonts w:cs="Times New Roman"/>
          <w:szCs w:val="24"/>
        </w:rPr>
      </w:pPr>
      <w:r>
        <w:rPr>
          <w:rFonts w:cs="Times New Roman"/>
          <w:szCs w:val="24"/>
        </w:rPr>
        <w:t xml:space="preserve">Jeden z respondentů uvádí, že by byla v  oblasti </w:t>
      </w:r>
      <w:r w:rsidR="005F7AEC">
        <w:rPr>
          <w:rFonts w:cs="Times New Roman"/>
          <w:szCs w:val="24"/>
        </w:rPr>
        <w:t xml:space="preserve">techniky předávání informací </w:t>
      </w:r>
      <w:r>
        <w:rPr>
          <w:rFonts w:cs="Times New Roman"/>
          <w:szCs w:val="24"/>
        </w:rPr>
        <w:t>vhodná evropská harmonizac</w:t>
      </w:r>
      <w:r w:rsidR="00712FA8">
        <w:rPr>
          <w:rFonts w:cs="Times New Roman"/>
          <w:szCs w:val="24"/>
        </w:rPr>
        <w:t>e</w:t>
      </w:r>
      <w:r>
        <w:rPr>
          <w:rFonts w:cs="Times New Roman"/>
          <w:szCs w:val="24"/>
        </w:rPr>
        <w:t>, neboť zde dochází často k požadavkům zahraničních společností podle zahraničního práva. Další respondent navrhuje zahájit jednání o technických standardech předávání informací zejména s USA, potažmo v budoucnu se Spojeným královstvím.</w:t>
      </w:r>
    </w:p>
    <w:p w14:paraId="21CE0DF6" w14:textId="77777777" w:rsidR="004A2CBD" w:rsidRDefault="004A2CBD" w:rsidP="007833CD">
      <w:pPr>
        <w:rPr>
          <w:rFonts w:cs="Times New Roman"/>
          <w:szCs w:val="24"/>
        </w:rPr>
      </w:pPr>
      <w:r>
        <w:rPr>
          <w:rFonts w:cs="Times New Roman"/>
          <w:szCs w:val="24"/>
        </w:rPr>
        <w:t>5 respondentů nemá žádné další návrhy</w:t>
      </w:r>
      <w:r w:rsidR="005F7AEC">
        <w:rPr>
          <w:rFonts w:cs="Times New Roman"/>
          <w:szCs w:val="24"/>
        </w:rPr>
        <w:t xml:space="preserve"> nad rámec již uvedeného</w:t>
      </w:r>
      <w:r>
        <w:rPr>
          <w:rFonts w:cs="Times New Roman"/>
          <w:szCs w:val="24"/>
        </w:rPr>
        <w:t>.</w:t>
      </w:r>
    </w:p>
    <w:p w14:paraId="78FA56F4" w14:textId="77777777" w:rsidR="00A94CA6" w:rsidRPr="00627DB1" w:rsidRDefault="00A94CA6" w:rsidP="007833CD">
      <w:pPr>
        <w:rPr>
          <w:rFonts w:cs="Times New Roman"/>
          <w:b/>
          <w:szCs w:val="24"/>
        </w:rPr>
      </w:pPr>
      <w:r w:rsidRPr="00627DB1">
        <w:rPr>
          <w:rFonts w:cs="Times New Roman"/>
          <w:b/>
          <w:szCs w:val="24"/>
        </w:rPr>
        <w:t>Otázka 3.14. Měla by Česká republika využít tuto diskreci?</w:t>
      </w:r>
      <w:r w:rsidR="00055E91">
        <w:rPr>
          <w:rFonts w:cs="Times New Roman"/>
          <w:b/>
          <w:szCs w:val="24"/>
        </w:rPr>
        <w:t xml:space="preserve"> </w:t>
      </w:r>
      <w:r w:rsidR="00055E91" w:rsidRPr="00055E91">
        <w:rPr>
          <w:rFonts w:cs="Times New Roman"/>
          <w:b/>
          <w:i/>
          <w:szCs w:val="24"/>
        </w:rPr>
        <w:t>(tj. povinnost bezodkladně sdělit informace dalšímu zprostředkovateli)</w:t>
      </w:r>
    </w:p>
    <w:p w14:paraId="36E6BE82" w14:textId="77777777" w:rsidR="00A94CA6" w:rsidRDefault="002F4FD8" w:rsidP="007833CD">
      <w:pPr>
        <w:rPr>
          <w:rFonts w:cs="Times New Roman"/>
          <w:szCs w:val="24"/>
        </w:rPr>
      </w:pPr>
      <w:r>
        <w:rPr>
          <w:rFonts w:cs="Times New Roman"/>
          <w:szCs w:val="24"/>
        </w:rPr>
        <w:t>29 % respondentů se domnívá, že by Česká republika měla využít tuto diskreci.</w:t>
      </w:r>
    </w:p>
    <w:p w14:paraId="4D276268" w14:textId="77777777" w:rsidR="002F4FD8" w:rsidRDefault="002F4FD8" w:rsidP="007833CD">
      <w:pPr>
        <w:rPr>
          <w:rFonts w:cs="Times New Roman"/>
          <w:szCs w:val="24"/>
        </w:rPr>
      </w:pPr>
      <w:r>
        <w:rPr>
          <w:rFonts w:cs="Times New Roman"/>
          <w:szCs w:val="24"/>
        </w:rPr>
        <w:t>57 % respondentů se naopak domnívá, že by Česká republika tuto diskreci využít neměla.</w:t>
      </w:r>
    </w:p>
    <w:p w14:paraId="7AF7202C" w14:textId="77777777" w:rsidR="002F4FD8" w:rsidRDefault="002F4FD8" w:rsidP="007833CD">
      <w:pPr>
        <w:rPr>
          <w:rFonts w:cs="Times New Roman"/>
          <w:szCs w:val="24"/>
        </w:rPr>
      </w:pPr>
      <w:r>
        <w:rPr>
          <w:rFonts w:cs="Times New Roman"/>
          <w:szCs w:val="24"/>
        </w:rPr>
        <w:lastRenderedPageBreak/>
        <w:t>Zbývajících 14 % respondentů na tuto otázku neodpovědělo.</w:t>
      </w:r>
    </w:p>
    <w:p w14:paraId="759A2381" w14:textId="77777777" w:rsidR="004214A9" w:rsidRDefault="004214A9" w:rsidP="004214A9">
      <w:pPr>
        <w:jc w:val="center"/>
        <w:rPr>
          <w:rFonts w:cs="Times New Roman"/>
          <w:szCs w:val="24"/>
        </w:rPr>
      </w:pPr>
      <w:r>
        <w:rPr>
          <w:noProof/>
          <w:lang w:eastAsia="cs-CZ"/>
        </w:rPr>
        <w:drawing>
          <wp:inline distT="0" distB="0" distL="0" distR="0" wp14:anchorId="028D18F2" wp14:editId="7A029F94">
            <wp:extent cx="5543550" cy="2743200"/>
            <wp:effectExtent l="0" t="0" r="19050" b="19050"/>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550FEE1" w14:textId="502CE6B7" w:rsidR="00A94CA6" w:rsidRPr="00627DB1" w:rsidRDefault="00A94CA6" w:rsidP="007833CD">
      <w:pPr>
        <w:rPr>
          <w:rFonts w:cs="Times New Roman"/>
          <w:b/>
          <w:szCs w:val="24"/>
        </w:rPr>
      </w:pPr>
      <w:r w:rsidRPr="00627DB1">
        <w:rPr>
          <w:rFonts w:cs="Times New Roman"/>
          <w:b/>
          <w:szCs w:val="24"/>
        </w:rPr>
        <w:t>Otázka 3.15. V čem spatřujete pozitiva a v čem negativa využití, případně nevyužití, této diskrece?</w:t>
      </w:r>
      <w:r w:rsidR="00FD3336">
        <w:rPr>
          <w:rFonts w:cs="Times New Roman"/>
          <w:b/>
          <w:szCs w:val="24"/>
        </w:rPr>
        <w:t xml:space="preserve"> </w:t>
      </w:r>
      <w:r w:rsidR="00FD3336" w:rsidRPr="00055E91">
        <w:rPr>
          <w:rFonts w:cs="Times New Roman"/>
          <w:b/>
          <w:i/>
          <w:szCs w:val="24"/>
        </w:rPr>
        <w:t>(tj. povinnost bezodkladně sdělit informace dalšímu zprostředkovateli)</w:t>
      </w:r>
    </w:p>
    <w:p w14:paraId="7F4ED0AE" w14:textId="77777777" w:rsidR="008827E9" w:rsidRDefault="008827E9" w:rsidP="007833CD">
      <w:pPr>
        <w:rPr>
          <w:rFonts w:cs="Times New Roman"/>
          <w:szCs w:val="24"/>
        </w:rPr>
      </w:pPr>
      <w:r>
        <w:rPr>
          <w:rFonts w:cs="Times New Roman"/>
          <w:szCs w:val="24"/>
        </w:rPr>
        <w:t>Na tuto otázku odpovědělo 6 respondentů. Dva respondenti uvádí, že emitentovi nezáleží na</w:t>
      </w:r>
      <w:r w:rsidR="00577CC0">
        <w:rPr>
          <w:rFonts w:cs="Times New Roman"/>
          <w:szCs w:val="24"/>
        </w:rPr>
        <w:t> </w:t>
      </w:r>
      <w:r>
        <w:rPr>
          <w:rFonts w:cs="Times New Roman"/>
          <w:szCs w:val="24"/>
        </w:rPr>
        <w:t>tom, od koho informace dostane, pokud jsou rychlé a správné, přičemž struktura držení není pro emitenta důležitá. Další respondent uvádí, že bez využití diskrece se snižuje vymahatelnost sdělení informací od dalších zprostředkovatelů.</w:t>
      </w:r>
      <w:r w:rsidR="00797645">
        <w:rPr>
          <w:rFonts w:cs="Times New Roman"/>
          <w:szCs w:val="24"/>
        </w:rPr>
        <w:t xml:space="preserve"> Dva respondenti se vyjádřili ve smyslu, že si nejsou jisti, co by mělo být přidanou hodnotou pro emitenta při využití této diskrece, jestliže budou informace o akcionářích agregovány na úrovni centrálního depozitáře. </w:t>
      </w:r>
    </w:p>
    <w:p w14:paraId="0DA8A657" w14:textId="1F2F9228" w:rsidR="008827E9" w:rsidRDefault="008827E9" w:rsidP="007833CD">
      <w:pPr>
        <w:rPr>
          <w:rFonts w:cs="Times New Roman"/>
          <w:szCs w:val="24"/>
        </w:rPr>
      </w:pPr>
      <w:r>
        <w:rPr>
          <w:rFonts w:cs="Times New Roman"/>
          <w:szCs w:val="24"/>
        </w:rPr>
        <w:t>Mezi negativy zazněl názor</w:t>
      </w:r>
      <w:r w:rsidR="00FD3336">
        <w:rPr>
          <w:rFonts w:cs="Times New Roman"/>
          <w:szCs w:val="24"/>
        </w:rPr>
        <w:t xml:space="preserve"> jednoho respondenta</w:t>
      </w:r>
      <w:r>
        <w:rPr>
          <w:rFonts w:cs="Times New Roman"/>
          <w:szCs w:val="24"/>
        </w:rPr>
        <w:t xml:space="preserve">, že nevidí reálné zlepšení pozice dlouhodobých akcionářů a je velmi obtížné zaručit včasnou odpověď na otázku přes celý </w:t>
      </w:r>
      <w:proofErr w:type="spellStart"/>
      <w:r w:rsidRPr="00C345E3">
        <w:rPr>
          <w:rFonts w:cs="Times New Roman"/>
          <w:i/>
          <w:szCs w:val="24"/>
        </w:rPr>
        <w:t>custody</w:t>
      </w:r>
      <w:proofErr w:type="spellEnd"/>
      <w:r w:rsidRPr="00C345E3">
        <w:rPr>
          <w:rFonts w:cs="Times New Roman"/>
          <w:i/>
          <w:szCs w:val="24"/>
        </w:rPr>
        <w:t xml:space="preserve"> </w:t>
      </w:r>
      <w:proofErr w:type="spellStart"/>
      <w:r w:rsidRPr="00C345E3">
        <w:rPr>
          <w:rFonts w:cs="Times New Roman"/>
          <w:i/>
          <w:szCs w:val="24"/>
        </w:rPr>
        <w:t>chain</w:t>
      </w:r>
      <w:proofErr w:type="spellEnd"/>
      <w:r>
        <w:rPr>
          <w:rFonts w:cs="Times New Roman"/>
          <w:szCs w:val="24"/>
        </w:rPr>
        <w:t>, čímž by se situace akcionářů naopak zhoršila.</w:t>
      </w:r>
    </w:p>
    <w:p w14:paraId="1A02064A" w14:textId="77777777" w:rsidR="008827E9" w:rsidRDefault="008827E9" w:rsidP="007833CD">
      <w:pPr>
        <w:rPr>
          <w:rFonts w:cs="Times New Roman"/>
          <w:szCs w:val="24"/>
        </w:rPr>
      </w:pPr>
      <w:r>
        <w:rPr>
          <w:rFonts w:cs="Times New Roman"/>
          <w:szCs w:val="24"/>
        </w:rPr>
        <w:t>Jeden respondent na tuto otázku neodpověděl.</w:t>
      </w:r>
    </w:p>
    <w:p w14:paraId="5AB7FE94" w14:textId="77777777" w:rsidR="00A94CA6" w:rsidRPr="00627DB1" w:rsidRDefault="00A94CA6" w:rsidP="007833CD">
      <w:pPr>
        <w:rPr>
          <w:rFonts w:cs="Times New Roman"/>
          <w:b/>
          <w:szCs w:val="24"/>
        </w:rPr>
      </w:pPr>
      <w:r w:rsidRPr="00627DB1">
        <w:rPr>
          <w:rFonts w:cs="Times New Roman"/>
          <w:b/>
          <w:szCs w:val="24"/>
        </w:rPr>
        <w:t>Otázka 3.16. Měly by být v zákoně vymezeny další účely pro zpracování osobních údajů akcionářů obchodními společnostmi (kromě těch, které jsou již v českém právním řádu upraveny)?</w:t>
      </w:r>
    </w:p>
    <w:p w14:paraId="5FAE485C" w14:textId="77777777" w:rsidR="00A94CA6" w:rsidRDefault="00A40408" w:rsidP="007833CD">
      <w:pPr>
        <w:rPr>
          <w:rFonts w:cs="Times New Roman"/>
          <w:szCs w:val="24"/>
        </w:rPr>
      </w:pPr>
      <w:r>
        <w:rPr>
          <w:rFonts w:cs="Times New Roman"/>
          <w:szCs w:val="24"/>
        </w:rPr>
        <w:t>Na tuto otázku odpovědělo 6 respondentů, kteří shodně uvedli, že by v zákoně neměly být vymezeny další účely pro zpracování osobních údajů akcionářů obchodními společnostmi.</w:t>
      </w:r>
    </w:p>
    <w:p w14:paraId="3C1ACE09" w14:textId="77777777" w:rsidR="00A40408" w:rsidRDefault="00A40408" w:rsidP="007833CD">
      <w:pPr>
        <w:rPr>
          <w:rFonts w:cs="Times New Roman"/>
          <w:szCs w:val="24"/>
        </w:rPr>
      </w:pPr>
      <w:r>
        <w:rPr>
          <w:rFonts w:cs="Times New Roman"/>
          <w:szCs w:val="24"/>
        </w:rPr>
        <w:t>Jeden respondent na tuto otázku neodpověděl.</w:t>
      </w:r>
    </w:p>
    <w:p w14:paraId="6B5EF639" w14:textId="77777777" w:rsidR="003000D4" w:rsidRDefault="003000D4" w:rsidP="003000D4">
      <w:pPr>
        <w:jc w:val="center"/>
        <w:rPr>
          <w:rFonts w:cs="Times New Roman"/>
          <w:szCs w:val="24"/>
        </w:rPr>
      </w:pPr>
      <w:r>
        <w:rPr>
          <w:noProof/>
          <w:lang w:eastAsia="cs-CZ"/>
        </w:rPr>
        <w:lastRenderedPageBreak/>
        <w:drawing>
          <wp:inline distT="0" distB="0" distL="0" distR="0" wp14:anchorId="51B0DC4A" wp14:editId="08FFE677">
            <wp:extent cx="5524500" cy="2743200"/>
            <wp:effectExtent l="0" t="0" r="19050" b="19050"/>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518E96F" w14:textId="77777777" w:rsidR="00A94CA6" w:rsidRPr="00627DB1" w:rsidRDefault="00A94CA6" w:rsidP="007833CD">
      <w:pPr>
        <w:rPr>
          <w:rFonts w:cs="Times New Roman"/>
          <w:b/>
          <w:szCs w:val="24"/>
        </w:rPr>
      </w:pPr>
      <w:r w:rsidRPr="00627DB1">
        <w:rPr>
          <w:rFonts w:cs="Times New Roman"/>
          <w:b/>
          <w:szCs w:val="24"/>
        </w:rPr>
        <w:t>Otázka 3.17. Pokud ano, o jaké účely by se mělo jednat a v čem spatřujete potřebnost jejich zakotvení?</w:t>
      </w:r>
    </w:p>
    <w:p w14:paraId="17C02390" w14:textId="77777777" w:rsidR="00A94CA6" w:rsidRDefault="00534F76" w:rsidP="007833CD">
      <w:pPr>
        <w:rPr>
          <w:rFonts w:cs="Times New Roman"/>
          <w:szCs w:val="24"/>
        </w:rPr>
      </w:pPr>
      <w:r>
        <w:rPr>
          <w:rFonts w:cs="Times New Roman"/>
          <w:szCs w:val="24"/>
        </w:rPr>
        <w:t>Jeden respondent k této otázce uvedl, že rozšíření možnosti zpracovávat osobní údaje i pro další účely nepodporuje.</w:t>
      </w:r>
    </w:p>
    <w:p w14:paraId="1DFEB7E9" w14:textId="43D422F4" w:rsidR="0013072F" w:rsidRDefault="00534F76" w:rsidP="007833CD">
      <w:pPr>
        <w:rPr>
          <w:rFonts w:cs="Times New Roman"/>
          <w:b/>
          <w:szCs w:val="24"/>
        </w:rPr>
      </w:pPr>
      <w:r>
        <w:rPr>
          <w:rFonts w:cs="Times New Roman"/>
          <w:szCs w:val="24"/>
        </w:rPr>
        <w:t>Ostatní respondenti na tuto otázku neodpověděli.</w:t>
      </w:r>
    </w:p>
    <w:p w14:paraId="4FE233CB" w14:textId="77777777" w:rsidR="00A94CA6" w:rsidRPr="00055E91" w:rsidRDefault="00A94CA6" w:rsidP="007833CD">
      <w:pPr>
        <w:rPr>
          <w:rFonts w:cs="Times New Roman"/>
          <w:b/>
          <w:i/>
          <w:szCs w:val="24"/>
        </w:rPr>
      </w:pPr>
      <w:r w:rsidRPr="00627DB1">
        <w:rPr>
          <w:rFonts w:cs="Times New Roman"/>
          <w:b/>
          <w:szCs w:val="24"/>
        </w:rPr>
        <w:t>Otázka 3.18. Měla by Česká republika využít tuto diskreci?</w:t>
      </w:r>
      <w:r w:rsidR="00055E91">
        <w:rPr>
          <w:rFonts w:cs="Times New Roman"/>
          <w:b/>
          <w:szCs w:val="24"/>
        </w:rPr>
        <w:t xml:space="preserve"> </w:t>
      </w:r>
      <w:r w:rsidR="00055E91">
        <w:rPr>
          <w:rFonts w:cs="Times New Roman"/>
          <w:b/>
          <w:i/>
          <w:szCs w:val="24"/>
        </w:rPr>
        <w:t>(tj. stanovení lhůty pro vyžádání potvrzení)</w:t>
      </w:r>
    </w:p>
    <w:p w14:paraId="33E9DDE5" w14:textId="3C4DCD2C" w:rsidR="00A94CA6" w:rsidRDefault="00F75AE6" w:rsidP="007833CD">
      <w:pPr>
        <w:rPr>
          <w:rFonts w:cs="Times New Roman"/>
          <w:szCs w:val="24"/>
        </w:rPr>
      </w:pPr>
      <w:r>
        <w:rPr>
          <w:rFonts w:cs="Times New Roman"/>
          <w:szCs w:val="24"/>
        </w:rPr>
        <w:t xml:space="preserve">Na tuto otázku odpovědělo </w:t>
      </w:r>
      <w:r w:rsidR="009F3EF9">
        <w:rPr>
          <w:rFonts w:cs="Times New Roman"/>
          <w:szCs w:val="24"/>
        </w:rPr>
        <w:t>71 % respondentů</w:t>
      </w:r>
      <w:r>
        <w:rPr>
          <w:rFonts w:cs="Times New Roman"/>
          <w:szCs w:val="24"/>
        </w:rPr>
        <w:t xml:space="preserve">. Všichni </w:t>
      </w:r>
      <w:r w:rsidR="009F3EF9">
        <w:rPr>
          <w:rFonts w:cs="Times New Roman"/>
          <w:szCs w:val="24"/>
        </w:rPr>
        <w:t>shodně uvedli, že by Česká republika měla využít diskreci pro stanovení lhůty pro vyžádání potvrzení</w:t>
      </w:r>
      <w:r w:rsidR="00797645">
        <w:rPr>
          <w:rFonts w:cs="Times New Roman"/>
          <w:szCs w:val="24"/>
        </w:rPr>
        <w:t xml:space="preserve"> o řádném </w:t>
      </w:r>
      <w:r w:rsidR="00877081">
        <w:rPr>
          <w:rFonts w:cs="Times New Roman"/>
          <w:szCs w:val="24"/>
        </w:rPr>
        <w:t>zaznamenání a</w:t>
      </w:r>
      <w:r w:rsidR="00FD3336">
        <w:rPr>
          <w:rFonts w:cs="Times New Roman"/>
          <w:szCs w:val="24"/>
        </w:rPr>
        <w:t> </w:t>
      </w:r>
      <w:r w:rsidR="00797645">
        <w:rPr>
          <w:rFonts w:cs="Times New Roman"/>
          <w:szCs w:val="24"/>
        </w:rPr>
        <w:t>započítání hlasů akcionáře na valné hromadě</w:t>
      </w:r>
      <w:r w:rsidR="009F3EF9">
        <w:rPr>
          <w:rFonts w:cs="Times New Roman"/>
          <w:szCs w:val="24"/>
        </w:rPr>
        <w:t>.</w:t>
      </w:r>
    </w:p>
    <w:p w14:paraId="2DF26A4B" w14:textId="77777777" w:rsidR="009F3EF9" w:rsidRDefault="009F3EF9" w:rsidP="007833CD">
      <w:pPr>
        <w:rPr>
          <w:rFonts w:cs="Times New Roman"/>
          <w:szCs w:val="24"/>
        </w:rPr>
      </w:pPr>
      <w:r>
        <w:rPr>
          <w:rFonts w:cs="Times New Roman"/>
          <w:szCs w:val="24"/>
        </w:rPr>
        <w:t>29 % respondentů na tuto otázku neodpovědělo.</w:t>
      </w:r>
    </w:p>
    <w:p w14:paraId="47E47964" w14:textId="77777777" w:rsidR="00A93EAA" w:rsidRDefault="00A93EAA" w:rsidP="00A93EAA">
      <w:pPr>
        <w:jc w:val="center"/>
        <w:rPr>
          <w:rFonts w:cs="Times New Roman"/>
          <w:szCs w:val="24"/>
        </w:rPr>
      </w:pPr>
      <w:r>
        <w:rPr>
          <w:noProof/>
          <w:lang w:eastAsia="cs-CZ"/>
        </w:rPr>
        <w:lastRenderedPageBreak/>
        <w:drawing>
          <wp:inline distT="0" distB="0" distL="0" distR="0" wp14:anchorId="5C392611" wp14:editId="177634EB">
            <wp:extent cx="5524500" cy="2743200"/>
            <wp:effectExtent l="0" t="0" r="19050" b="19050"/>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311C95F" w14:textId="77777777" w:rsidR="00A94CA6" w:rsidRPr="00055E91" w:rsidRDefault="00A94CA6" w:rsidP="007833CD">
      <w:pPr>
        <w:rPr>
          <w:rFonts w:cs="Times New Roman"/>
          <w:b/>
          <w:i/>
          <w:szCs w:val="24"/>
        </w:rPr>
      </w:pPr>
      <w:r w:rsidRPr="00627DB1">
        <w:rPr>
          <w:rFonts w:cs="Times New Roman"/>
          <w:b/>
          <w:szCs w:val="24"/>
        </w:rPr>
        <w:t>Otázka 3.19. Jak dlouhá by měla být lhůta pro podání žádosti o potvrzení?</w:t>
      </w:r>
      <w:r w:rsidR="00055E91">
        <w:rPr>
          <w:rFonts w:cs="Times New Roman"/>
          <w:b/>
          <w:i/>
          <w:szCs w:val="24"/>
        </w:rPr>
        <w:t xml:space="preserve"> (tj. stanovení lhůty pro vyžádání potvrzení)</w:t>
      </w:r>
    </w:p>
    <w:p w14:paraId="7C670565" w14:textId="19012FB0" w:rsidR="009F3EF9" w:rsidRDefault="00B47F40" w:rsidP="007833CD">
      <w:pPr>
        <w:rPr>
          <w:rFonts w:cs="Times New Roman"/>
          <w:szCs w:val="24"/>
        </w:rPr>
      </w:pPr>
      <w:r>
        <w:rPr>
          <w:rFonts w:cs="Times New Roman"/>
          <w:szCs w:val="24"/>
        </w:rPr>
        <w:t>43</w:t>
      </w:r>
      <w:r w:rsidR="009F3EF9">
        <w:rPr>
          <w:rFonts w:cs="Times New Roman"/>
          <w:szCs w:val="24"/>
        </w:rPr>
        <w:t xml:space="preserve"> % respondentů navrhlo, aby tato lhůta byla v délce 3 měsíců</w:t>
      </w:r>
      <w:r>
        <w:rPr>
          <w:rFonts w:cs="Times New Roman"/>
          <w:szCs w:val="24"/>
        </w:rPr>
        <w:t xml:space="preserve"> po skončení valné hromady</w:t>
      </w:r>
      <w:r w:rsidR="00877081">
        <w:rPr>
          <w:rFonts w:cs="Times New Roman"/>
          <w:szCs w:val="24"/>
        </w:rPr>
        <w:t xml:space="preserve"> (obdobně jako je tomu v případě dovolávání se neplatnosti usnesení valné hromady)</w:t>
      </w:r>
      <w:r w:rsidR="009F3EF9">
        <w:rPr>
          <w:rFonts w:cs="Times New Roman"/>
          <w:szCs w:val="24"/>
        </w:rPr>
        <w:t>.</w:t>
      </w:r>
      <w:r>
        <w:rPr>
          <w:rFonts w:cs="Times New Roman"/>
          <w:szCs w:val="24"/>
        </w:rPr>
        <w:t xml:space="preserve"> 29 % respondentů navrhuje, aby tato lhůta </w:t>
      </w:r>
      <w:r w:rsidR="00877081">
        <w:rPr>
          <w:rFonts w:cs="Times New Roman"/>
          <w:szCs w:val="24"/>
        </w:rPr>
        <w:t xml:space="preserve">činila </w:t>
      </w:r>
      <w:r>
        <w:rPr>
          <w:rFonts w:cs="Times New Roman"/>
          <w:szCs w:val="24"/>
        </w:rPr>
        <w:t>15 dní ode dne konání valné hromady</w:t>
      </w:r>
      <w:r w:rsidR="00877081">
        <w:rPr>
          <w:rFonts w:cs="Times New Roman"/>
          <w:szCs w:val="24"/>
        </w:rPr>
        <w:t xml:space="preserve"> (obdobně jako 15 denní lhůta podle § 120b odst. 2 ZPKT, jak upozornil jeden respondent)</w:t>
      </w:r>
      <w:r>
        <w:rPr>
          <w:rFonts w:cs="Times New Roman"/>
          <w:szCs w:val="24"/>
        </w:rPr>
        <w:t xml:space="preserve">. 14 % respondentů </w:t>
      </w:r>
      <w:r w:rsidR="00273C7D">
        <w:rPr>
          <w:rFonts w:cs="Times New Roman"/>
          <w:szCs w:val="24"/>
        </w:rPr>
        <w:t>uvedlo, že by lhůta měla odrážet možnost reálně toto potvrzení zajistit</w:t>
      </w:r>
      <w:r w:rsidR="00877081">
        <w:rPr>
          <w:rFonts w:cs="Times New Roman"/>
          <w:szCs w:val="24"/>
        </w:rPr>
        <w:t xml:space="preserve"> a měla by být diskutována na pracovní skupině</w:t>
      </w:r>
      <w:r w:rsidR="00273C7D">
        <w:rPr>
          <w:rFonts w:cs="Times New Roman"/>
          <w:szCs w:val="24"/>
        </w:rPr>
        <w:t>.</w:t>
      </w:r>
    </w:p>
    <w:p w14:paraId="1746E343" w14:textId="77777777" w:rsidR="00B47F40" w:rsidRDefault="00B47F40" w:rsidP="007833CD">
      <w:pPr>
        <w:rPr>
          <w:rFonts w:cs="Times New Roman"/>
          <w:szCs w:val="24"/>
        </w:rPr>
      </w:pPr>
      <w:r>
        <w:rPr>
          <w:rFonts w:cs="Times New Roman"/>
          <w:szCs w:val="24"/>
        </w:rPr>
        <w:t>14 % respondentů na tuto otázku neodpovědělo.</w:t>
      </w:r>
    </w:p>
    <w:p w14:paraId="158946A7" w14:textId="77777777" w:rsidR="004A037E" w:rsidRDefault="004A037E" w:rsidP="004A037E">
      <w:pPr>
        <w:jc w:val="center"/>
        <w:rPr>
          <w:rFonts w:cs="Times New Roman"/>
          <w:szCs w:val="24"/>
        </w:rPr>
      </w:pPr>
      <w:r>
        <w:rPr>
          <w:noProof/>
          <w:lang w:eastAsia="cs-CZ"/>
        </w:rPr>
        <w:drawing>
          <wp:inline distT="0" distB="0" distL="0" distR="0" wp14:anchorId="2CD8CD93" wp14:editId="14534EB5">
            <wp:extent cx="5591175" cy="2743200"/>
            <wp:effectExtent l="0" t="0" r="9525" b="1905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E6828D1" w14:textId="77777777" w:rsidR="00A94CA6" w:rsidRPr="00627DB1" w:rsidRDefault="00A94CA6" w:rsidP="007833CD">
      <w:pPr>
        <w:rPr>
          <w:rFonts w:cs="Times New Roman"/>
          <w:b/>
          <w:szCs w:val="24"/>
        </w:rPr>
      </w:pPr>
      <w:r w:rsidRPr="00627DB1">
        <w:rPr>
          <w:rFonts w:cs="Times New Roman"/>
          <w:b/>
          <w:szCs w:val="24"/>
        </w:rPr>
        <w:lastRenderedPageBreak/>
        <w:t>Otázka 3.20. Měla by Česká republika využít diskreci, tedy zakázat účtování poplatků za výpis z emise?</w:t>
      </w:r>
    </w:p>
    <w:p w14:paraId="0CF2C3F4" w14:textId="77777777" w:rsidR="00A94CA6" w:rsidRDefault="00F75AE6" w:rsidP="007833CD">
      <w:pPr>
        <w:rPr>
          <w:rFonts w:cs="Times New Roman"/>
          <w:szCs w:val="24"/>
        </w:rPr>
      </w:pPr>
      <w:r>
        <w:rPr>
          <w:rFonts w:cs="Times New Roman"/>
          <w:szCs w:val="24"/>
        </w:rPr>
        <w:t xml:space="preserve">Na tuto otázku odpovědělo </w:t>
      </w:r>
      <w:r w:rsidR="00A35CF7">
        <w:rPr>
          <w:rFonts w:cs="Times New Roman"/>
          <w:szCs w:val="24"/>
        </w:rPr>
        <w:t>86 % respondentů</w:t>
      </w:r>
      <w:r>
        <w:rPr>
          <w:rFonts w:cs="Times New Roman"/>
          <w:szCs w:val="24"/>
        </w:rPr>
        <w:t>.</w:t>
      </w:r>
      <w:r w:rsidR="00A35CF7">
        <w:rPr>
          <w:rFonts w:cs="Times New Roman"/>
          <w:szCs w:val="24"/>
        </w:rPr>
        <w:t xml:space="preserve"> </w:t>
      </w:r>
      <w:r>
        <w:rPr>
          <w:rFonts w:cs="Times New Roman"/>
          <w:szCs w:val="24"/>
        </w:rPr>
        <w:t xml:space="preserve">Všichni </w:t>
      </w:r>
      <w:r w:rsidR="00A35CF7">
        <w:rPr>
          <w:rFonts w:cs="Times New Roman"/>
          <w:szCs w:val="24"/>
        </w:rPr>
        <w:t>shodně uvedli, že by Česká republika neměla zakázat účtování poplatků za výpis z emise.</w:t>
      </w:r>
    </w:p>
    <w:p w14:paraId="58541BF0" w14:textId="77777777" w:rsidR="00A35CF7" w:rsidRDefault="00A35CF7" w:rsidP="007833CD">
      <w:pPr>
        <w:rPr>
          <w:rFonts w:cs="Times New Roman"/>
          <w:szCs w:val="24"/>
        </w:rPr>
      </w:pPr>
      <w:r>
        <w:rPr>
          <w:rFonts w:cs="Times New Roman"/>
          <w:szCs w:val="24"/>
        </w:rPr>
        <w:t>14 % respondentů na tuto otázku neodpovědělo.</w:t>
      </w:r>
    </w:p>
    <w:p w14:paraId="2DC0BE26" w14:textId="77777777" w:rsidR="003C0CAE" w:rsidRDefault="003C0CAE" w:rsidP="003C0CAE">
      <w:pPr>
        <w:jc w:val="center"/>
        <w:rPr>
          <w:rFonts w:cs="Times New Roman"/>
          <w:szCs w:val="24"/>
        </w:rPr>
      </w:pPr>
      <w:r>
        <w:rPr>
          <w:noProof/>
          <w:lang w:eastAsia="cs-CZ"/>
        </w:rPr>
        <w:drawing>
          <wp:inline distT="0" distB="0" distL="0" distR="0" wp14:anchorId="5AFF221C" wp14:editId="08CC7A65">
            <wp:extent cx="5648325" cy="2743200"/>
            <wp:effectExtent l="0" t="0" r="9525" b="19050"/>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64B8A3A" w14:textId="77777777" w:rsidR="00A94CA6" w:rsidRPr="00627DB1" w:rsidRDefault="00A94CA6" w:rsidP="007833CD">
      <w:pPr>
        <w:rPr>
          <w:rFonts w:cs="Times New Roman"/>
          <w:b/>
          <w:szCs w:val="24"/>
        </w:rPr>
      </w:pPr>
      <w:r w:rsidRPr="00627DB1">
        <w:rPr>
          <w:rFonts w:cs="Times New Roman"/>
          <w:b/>
          <w:szCs w:val="24"/>
        </w:rPr>
        <w:t>Otázka 3.21. V čem spatřujete pozitiva zákazu poplatků a v čem negativa? Preferovali byste nějaká omezení poplatků za splnění těchto povinností?</w:t>
      </w:r>
    </w:p>
    <w:p w14:paraId="2B02A56B" w14:textId="5D8F2151" w:rsidR="00A94CA6" w:rsidRDefault="00475E88" w:rsidP="007833CD">
      <w:pPr>
        <w:rPr>
          <w:rFonts w:cs="Times New Roman"/>
          <w:szCs w:val="24"/>
        </w:rPr>
      </w:pPr>
      <w:r>
        <w:rPr>
          <w:rFonts w:cs="Times New Roman"/>
          <w:szCs w:val="24"/>
        </w:rPr>
        <w:t xml:space="preserve">Na tuto otázku odpovědělo </w:t>
      </w:r>
      <w:r w:rsidR="00E74CCD">
        <w:rPr>
          <w:rFonts w:cs="Times New Roman"/>
          <w:szCs w:val="24"/>
        </w:rPr>
        <w:t>6</w:t>
      </w:r>
      <w:r>
        <w:rPr>
          <w:rFonts w:cs="Times New Roman"/>
          <w:szCs w:val="24"/>
        </w:rPr>
        <w:t xml:space="preserve"> respondentů.</w:t>
      </w:r>
    </w:p>
    <w:p w14:paraId="1F90C540" w14:textId="6AF7D788" w:rsidR="00475E88" w:rsidRDefault="003C4609" w:rsidP="007833CD">
      <w:pPr>
        <w:rPr>
          <w:rFonts w:cs="Times New Roman"/>
          <w:szCs w:val="24"/>
        </w:rPr>
      </w:pPr>
      <w:r>
        <w:rPr>
          <w:rFonts w:cs="Times New Roman"/>
          <w:szCs w:val="24"/>
        </w:rPr>
        <w:t xml:space="preserve">Negativa zákazu poplatků respondenti </w:t>
      </w:r>
      <w:r w:rsidR="00475E88">
        <w:rPr>
          <w:rFonts w:cs="Times New Roman"/>
          <w:szCs w:val="24"/>
        </w:rPr>
        <w:t>spatřují v tom, že přiměřený poplatek může motivovat zprostředkovatele k splnění jejich povinnosti. Navrhují stanovení maximální výše poplatku za výpis. Dále uvádí, že poplatek za výpis reguluje počet žádostí emitenta v průběhu roku pouze na případy, kdy tento výpis skutečně potřebuje.</w:t>
      </w:r>
    </w:p>
    <w:p w14:paraId="0FEBF7C1" w14:textId="0FC4E55B" w:rsidR="00475E88" w:rsidRDefault="003C4609" w:rsidP="007833CD">
      <w:pPr>
        <w:rPr>
          <w:rFonts w:cs="Times New Roman"/>
          <w:szCs w:val="24"/>
        </w:rPr>
      </w:pPr>
      <w:r>
        <w:rPr>
          <w:rFonts w:cs="Times New Roman"/>
          <w:szCs w:val="24"/>
        </w:rPr>
        <w:t xml:space="preserve">Dále upozorňují, že případný zákaz poplatků by mohl vést k </w:t>
      </w:r>
      <w:r w:rsidR="00475E88">
        <w:rPr>
          <w:rFonts w:cs="Times New Roman"/>
          <w:szCs w:val="24"/>
        </w:rPr>
        <w:t>častějším</w:t>
      </w:r>
      <w:r w:rsidR="001B01B0">
        <w:rPr>
          <w:rFonts w:cs="Times New Roman"/>
          <w:szCs w:val="24"/>
        </w:rPr>
        <w:t xml:space="preserve">u </w:t>
      </w:r>
      <w:r>
        <w:rPr>
          <w:rFonts w:cs="Times New Roman"/>
          <w:szCs w:val="24"/>
        </w:rPr>
        <w:t>podávání</w:t>
      </w:r>
      <w:r w:rsidR="00475E88">
        <w:rPr>
          <w:rFonts w:cs="Times New Roman"/>
          <w:szCs w:val="24"/>
        </w:rPr>
        <w:t xml:space="preserve"> žádost</w:t>
      </w:r>
      <w:r>
        <w:rPr>
          <w:rFonts w:cs="Times New Roman"/>
          <w:szCs w:val="24"/>
        </w:rPr>
        <w:t>í</w:t>
      </w:r>
      <w:r w:rsidR="00475E88">
        <w:rPr>
          <w:rFonts w:cs="Times New Roman"/>
          <w:szCs w:val="24"/>
        </w:rPr>
        <w:t xml:space="preserve"> o</w:t>
      </w:r>
      <w:r w:rsidR="00CE7274">
        <w:rPr>
          <w:rFonts w:cs="Times New Roman"/>
          <w:szCs w:val="24"/>
        </w:rPr>
        <w:t> </w:t>
      </w:r>
      <w:r w:rsidR="00475E88">
        <w:rPr>
          <w:rFonts w:cs="Times New Roman"/>
          <w:szCs w:val="24"/>
        </w:rPr>
        <w:t xml:space="preserve">výpis a </w:t>
      </w:r>
      <w:r w:rsidR="001B01B0">
        <w:rPr>
          <w:rFonts w:cs="Times New Roman"/>
          <w:szCs w:val="24"/>
        </w:rPr>
        <w:t xml:space="preserve">promítnutí zrušení </w:t>
      </w:r>
      <w:r w:rsidR="00475E88">
        <w:rPr>
          <w:rFonts w:cs="Times New Roman"/>
          <w:szCs w:val="24"/>
        </w:rPr>
        <w:t>tohoto poplatku do zdražení jiných služeb.</w:t>
      </w:r>
    </w:p>
    <w:p w14:paraId="6A8C4FDF" w14:textId="77777777" w:rsidR="00475E88" w:rsidRDefault="00475E88" w:rsidP="007833CD">
      <w:pPr>
        <w:rPr>
          <w:rFonts w:cs="Times New Roman"/>
          <w:szCs w:val="24"/>
        </w:rPr>
      </w:pPr>
      <w:r>
        <w:rPr>
          <w:rFonts w:cs="Times New Roman"/>
          <w:szCs w:val="24"/>
        </w:rPr>
        <w:t>Jeden respondent na tuto otázku neodpověděl.</w:t>
      </w:r>
    </w:p>
    <w:p w14:paraId="0DE865A4" w14:textId="77777777" w:rsidR="00CE7274" w:rsidRDefault="00CE7274" w:rsidP="007833CD">
      <w:pPr>
        <w:rPr>
          <w:rFonts w:cs="Times New Roman"/>
          <w:b/>
          <w:szCs w:val="24"/>
        </w:rPr>
      </w:pPr>
    </w:p>
    <w:p w14:paraId="278FEED7" w14:textId="77777777" w:rsidR="00CE7274" w:rsidRDefault="00CE7274" w:rsidP="007833CD">
      <w:pPr>
        <w:rPr>
          <w:rFonts w:cs="Times New Roman"/>
          <w:b/>
          <w:szCs w:val="24"/>
        </w:rPr>
      </w:pPr>
    </w:p>
    <w:p w14:paraId="23E11706" w14:textId="67BE6EFC" w:rsidR="00A94CA6" w:rsidRPr="00627DB1" w:rsidRDefault="00A94CA6" w:rsidP="007833CD">
      <w:pPr>
        <w:rPr>
          <w:rFonts w:cs="Times New Roman"/>
          <w:b/>
          <w:szCs w:val="24"/>
        </w:rPr>
      </w:pPr>
      <w:r w:rsidRPr="00627DB1">
        <w:rPr>
          <w:rFonts w:cs="Times New Roman"/>
          <w:b/>
          <w:szCs w:val="24"/>
        </w:rPr>
        <w:lastRenderedPageBreak/>
        <w:t>Otázka 3.22. Nebude-li emitent postupovat tak</w:t>
      </w:r>
      <w:r w:rsidR="0065171E">
        <w:rPr>
          <w:rFonts w:cs="Times New Roman"/>
          <w:b/>
          <w:szCs w:val="24"/>
        </w:rPr>
        <w:t>,</w:t>
      </w:r>
      <w:r w:rsidRPr="00627DB1">
        <w:rPr>
          <w:rFonts w:cs="Times New Roman"/>
          <w:b/>
          <w:szCs w:val="24"/>
        </w:rPr>
        <w:t xml:space="preserve"> jak umožňuje čl. 3a odst. 3 pododstavec 3 směrnice (a v návaznosti na to český právní řád), jak by mohla být stanovena úplata za zaslání informace od jednotlivých zprostředkovatelů emitentovi? Mezi zprostředkovatelem a emitentem totiž zpravidla nebude existovat dohoda o poskytnutí služby s návazným ujednáním o úplatě.</w:t>
      </w:r>
    </w:p>
    <w:p w14:paraId="0D3D0212" w14:textId="0F9F9BC5" w:rsidR="00A94CA6" w:rsidRDefault="00475E88" w:rsidP="007833CD">
      <w:pPr>
        <w:rPr>
          <w:rFonts w:cs="Times New Roman"/>
          <w:szCs w:val="24"/>
        </w:rPr>
      </w:pPr>
      <w:r>
        <w:rPr>
          <w:rFonts w:cs="Times New Roman"/>
          <w:szCs w:val="24"/>
        </w:rPr>
        <w:t>Na tuto otázku odpovědělo 57 % respondentů. První respondent uvedl, že předpokládá standardní zařazení položky do sazebníku zprostředkovatele a existenci unifikované žádosti o</w:t>
      </w:r>
      <w:r w:rsidR="00CE7274">
        <w:rPr>
          <w:rFonts w:cs="Times New Roman"/>
          <w:szCs w:val="24"/>
        </w:rPr>
        <w:t> </w:t>
      </w:r>
      <w:r>
        <w:rPr>
          <w:rFonts w:cs="Times New Roman"/>
          <w:szCs w:val="24"/>
        </w:rPr>
        <w:t xml:space="preserve">zajištění služby. </w:t>
      </w:r>
      <w:r w:rsidR="00653A98">
        <w:rPr>
          <w:rFonts w:cs="Times New Roman"/>
          <w:szCs w:val="24"/>
        </w:rPr>
        <w:t>Druhý navrhl, aby emitent zaplatil svému zprostředkovateli, který dále vyplatí své zprostředkovatele a tak dále, současně doporučil omezit nebo nastavit výši poplatku. Další respondent uvedl, že by úplatu měl hradit každý subjekt tomu, od koho žádá informace, resp. s kým má smlouvu. Čtvrtý respondent se domnívá, že není zřejmé, co by mělo být přidanou hodnotou pro emitenta, pokud by zjistil údaje o zprostředkovatelích v řetězci držení, proto se kloní k názoru, že by zákonodárce v českém prostředí tuto diskreci využít neměl.</w:t>
      </w:r>
    </w:p>
    <w:p w14:paraId="78852B8D" w14:textId="77777777" w:rsidR="00475E88" w:rsidRDefault="00475E88" w:rsidP="007833CD">
      <w:pPr>
        <w:rPr>
          <w:rFonts w:cs="Times New Roman"/>
          <w:szCs w:val="24"/>
        </w:rPr>
      </w:pPr>
      <w:r>
        <w:rPr>
          <w:rFonts w:cs="Times New Roman"/>
          <w:szCs w:val="24"/>
        </w:rPr>
        <w:t>43 % respondentů na tuto otázku neodpovědělo.</w:t>
      </w:r>
    </w:p>
    <w:p w14:paraId="27E4B736" w14:textId="77777777" w:rsidR="0009704B" w:rsidRDefault="0009704B">
      <w:pPr>
        <w:spacing w:line="276" w:lineRule="auto"/>
        <w:jc w:val="left"/>
        <w:rPr>
          <w:rFonts w:cs="Times New Roman"/>
          <w:b/>
          <w:szCs w:val="24"/>
        </w:rPr>
      </w:pPr>
      <w:r>
        <w:rPr>
          <w:rFonts w:cs="Times New Roman"/>
          <w:b/>
          <w:szCs w:val="24"/>
        </w:rPr>
        <w:br w:type="page"/>
      </w:r>
    </w:p>
    <w:p w14:paraId="0C55572E" w14:textId="79278185" w:rsidR="0009704B" w:rsidRPr="00304DD0" w:rsidRDefault="0009704B" w:rsidP="0009704B">
      <w:pPr>
        <w:pStyle w:val="Otzka"/>
        <w:spacing w:before="200"/>
        <w:ind w:left="0"/>
        <w:jc w:val="center"/>
        <w:outlineLvl w:val="1"/>
        <w:rPr>
          <w:b/>
          <w:sz w:val="32"/>
          <w:szCs w:val="32"/>
        </w:rPr>
      </w:pPr>
      <w:bookmarkStart w:id="5" w:name="_Toc491249979"/>
      <w:r w:rsidRPr="00304DD0">
        <w:rPr>
          <w:b/>
          <w:sz w:val="32"/>
          <w:szCs w:val="32"/>
        </w:rPr>
        <w:lastRenderedPageBreak/>
        <w:t>KAPITOLA III. – TRANSPARENTNOST INSTITUCIONÁLNÍCH INVESTORŮ, SPRÁVCŮ AKTIV A</w:t>
      </w:r>
      <w:r w:rsidR="007E2993">
        <w:rPr>
          <w:b/>
          <w:sz w:val="32"/>
          <w:szCs w:val="32"/>
        </w:rPr>
        <w:t> </w:t>
      </w:r>
      <w:r w:rsidRPr="00304DD0">
        <w:rPr>
          <w:b/>
          <w:sz w:val="32"/>
          <w:szCs w:val="32"/>
        </w:rPr>
        <w:t>PORADCŮ PRO HLASOVÁNÍ</w:t>
      </w:r>
      <w:bookmarkEnd w:id="5"/>
    </w:p>
    <w:p w14:paraId="40FE3AE8" w14:textId="7BA0CAEA" w:rsidR="00A94CA6" w:rsidRPr="00055E91" w:rsidRDefault="00A94CA6" w:rsidP="007833CD">
      <w:pPr>
        <w:rPr>
          <w:rFonts w:cs="Times New Roman"/>
          <w:b/>
          <w:i/>
          <w:szCs w:val="24"/>
        </w:rPr>
      </w:pPr>
      <w:r w:rsidRPr="00627DB1">
        <w:rPr>
          <w:rFonts w:cs="Times New Roman"/>
          <w:b/>
          <w:szCs w:val="24"/>
        </w:rPr>
        <w:t>Otázka 4.1. Měla by Česká republika využít diskreci?</w:t>
      </w:r>
      <w:r w:rsidR="00055E91">
        <w:rPr>
          <w:rFonts w:cs="Times New Roman"/>
          <w:b/>
          <w:szCs w:val="24"/>
        </w:rPr>
        <w:t xml:space="preserve"> </w:t>
      </w:r>
      <w:r w:rsidR="00055E91">
        <w:rPr>
          <w:rFonts w:cs="Times New Roman"/>
          <w:b/>
          <w:i/>
          <w:szCs w:val="24"/>
        </w:rPr>
        <w:t xml:space="preserve">(tj. </w:t>
      </w:r>
      <w:r w:rsidR="00F87D62">
        <w:rPr>
          <w:rFonts w:cs="Times New Roman"/>
          <w:b/>
          <w:i/>
          <w:szCs w:val="24"/>
        </w:rPr>
        <w:t>u</w:t>
      </w:r>
      <w:r w:rsidR="00055E91">
        <w:rPr>
          <w:rFonts w:cs="Times New Roman"/>
          <w:b/>
          <w:i/>
          <w:szCs w:val="24"/>
        </w:rPr>
        <w:t>veřejňovat politiku zapojení i</w:t>
      </w:r>
      <w:r w:rsidR="007E2993">
        <w:rPr>
          <w:rFonts w:cs="Times New Roman"/>
          <w:b/>
          <w:i/>
          <w:szCs w:val="24"/>
        </w:rPr>
        <w:t> </w:t>
      </w:r>
      <w:r w:rsidR="00055E91">
        <w:rPr>
          <w:rFonts w:cs="Times New Roman"/>
          <w:b/>
          <w:i/>
          <w:szCs w:val="24"/>
        </w:rPr>
        <w:t>jiným způsobem, než jen na internetových stránkách)</w:t>
      </w:r>
    </w:p>
    <w:p w14:paraId="74269CC9" w14:textId="652C4A9C" w:rsidR="000C3306" w:rsidRDefault="000C3306" w:rsidP="007833CD">
      <w:pPr>
        <w:rPr>
          <w:rFonts w:cs="Times New Roman"/>
          <w:szCs w:val="24"/>
        </w:rPr>
      </w:pPr>
      <w:r>
        <w:rPr>
          <w:rFonts w:cs="Times New Roman"/>
          <w:szCs w:val="24"/>
        </w:rPr>
        <w:t xml:space="preserve">57 % respondentů se shoduje v názoru, že Česká republika by neměla </w:t>
      </w:r>
      <w:r w:rsidR="00F87D62">
        <w:rPr>
          <w:rFonts w:cs="Times New Roman"/>
          <w:szCs w:val="24"/>
        </w:rPr>
        <w:t>u</w:t>
      </w:r>
      <w:r>
        <w:rPr>
          <w:rFonts w:cs="Times New Roman"/>
          <w:szCs w:val="24"/>
        </w:rPr>
        <w:t>veřejňovat politiku zapojení i jiným způsobem, než jen na internetových stránkách.</w:t>
      </w:r>
    </w:p>
    <w:p w14:paraId="0859C84E" w14:textId="77777777" w:rsidR="00A94CA6" w:rsidRDefault="00F82138" w:rsidP="007833CD">
      <w:pPr>
        <w:rPr>
          <w:rFonts w:cs="Times New Roman"/>
          <w:szCs w:val="24"/>
        </w:rPr>
      </w:pPr>
      <w:r>
        <w:rPr>
          <w:rFonts w:cs="Times New Roman"/>
          <w:szCs w:val="24"/>
        </w:rPr>
        <w:t>43 %</w:t>
      </w:r>
      <w:r w:rsidR="003E106C">
        <w:rPr>
          <w:rFonts w:cs="Times New Roman"/>
          <w:szCs w:val="24"/>
        </w:rPr>
        <w:t xml:space="preserve"> respondent</w:t>
      </w:r>
      <w:r>
        <w:rPr>
          <w:rFonts w:cs="Times New Roman"/>
          <w:szCs w:val="24"/>
        </w:rPr>
        <w:t>ů</w:t>
      </w:r>
      <w:r w:rsidR="003E106C">
        <w:rPr>
          <w:rFonts w:cs="Times New Roman"/>
          <w:szCs w:val="24"/>
        </w:rPr>
        <w:t xml:space="preserve"> na tuto otázku neodpověděl</w:t>
      </w:r>
      <w:r>
        <w:rPr>
          <w:rFonts w:cs="Times New Roman"/>
          <w:szCs w:val="24"/>
        </w:rPr>
        <w:t>o</w:t>
      </w:r>
      <w:r w:rsidR="003E106C">
        <w:rPr>
          <w:rFonts w:cs="Times New Roman"/>
          <w:szCs w:val="24"/>
        </w:rPr>
        <w:t>.</w:t>
      </w:r>
    </w:p>
    <w:p w14:paraId="7766006B" w14:textId="77777777" w:rsidR="001D72B7" w:rsidRDefault="001D72B7" w:rsidP="001D72B7">
      <w:pPr>
        <w:jc w:val="center"/>
        <w:rPr>
          <w:rFonts w:cs="Times New Roman"/>
          <w:szCs w:val="24"/>
        </w:rPr>
      </w:pPr>
      <w:r>
        <w:rPr>
          <w:noProof/>
          <w:lang w:eastAsia="cs-CZ"/>
        </w:rPr>
        <w:drawing>
          <wp:inline distT="0" distB="0" distL="0" distR="0" wp14:anchorId="27802F96" wp14:editId="04F6459B">
            <wp:extent cx="5534025" cy="2743200"/>
            <wp:effectExtent l="0" t="0" r="9525" b="19050"/>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F2B0FE5" w14:textId="77777777" w:rsidR="00A94CA6" w:rsidRPr="00627DB1" w:rsidRDefault="00A94CA6" w:rsidP="007833CD">
      <w:pPr>
        <w:rPr>
          <w:rFonts w:cs="Times New Roman"/>
          <w:b/>
          <w:szCs w:val="24"/>
        </w:rPr>
      </w:pPr>
      <w:r w:rsidRPr="00627DB1">
        <w:rPr>
          <w:rFonts w:cs="Times New Roman"/>
          <w:b/>
          <w:szCs w:val="24"/>
        </w:rPr>
        <w:t>Otázka 4.2. Jak jinak by institucionální investor a správce aktiv měli uveřejňovat politiku zapojení akcionářů?</w:t>
      </w:r>
    </w:p>
    <w:p w14:paraId="520D83F4" w14:textId="12575D60" w:rsidR="00F82138" w:rsidRDefault="00F82138" w:rsidP="007833CD">
      <w:pPr>
        <w:rPr>
          <w:rFonts w:cs="Times New Roman"/>
          <w:szCs w:val="24"/>
        </w:rPr>
      </w:pPr>
      <w:r>
        <w:rPr>
          <w:rFonts w:cs="Times New Roman"/>
          <w:szCs w:val="24"/>
        </w:rPr>
        <w:t xml:space="preserve">Podle názoru respondentů je uveřejňování na internetových stránkách dostatečné s ohledem na praxi obvyklou na finančním trhu. </w:t>
      </w:r>
      <w:r w:rsidR="00F87D62">
        <w:rPr>
          <w:rFonts w:cs="Times New Roman"/>
          <w:szCs w:val="24"/>
        </w:rPr>
        <w:t xml:space="preserve">Internetové </w:t>
      </w:r>
      <w:r w:rsidR="001C0656">
        <w:rPr>
          <w:rFonts w:cs="Times New Roman"/>
          <w:szCs w:val="24"/>
        </w:rPr>
        <w:t>stránky společnosti jsou logickým místem, kde lze takové informace najít.</w:t>
      </w:r>
      <w:r>
        <w:rPr>
          <w:rFonts w:cs="Times New Roman"/>
          <w:szCs w:val="24"/>
        </w:rPr>
        <w:t xml:space="preserve"> </w:t>
      </w:r>
    </w:p>
    <w:p w14:paraId="6B8C1795" w14:textId="77777777" w:rsidR="00A94CA6" w:rsidRDefault="00F82138" w:rsidP="007833CD">
      <w:pPr>
        <w:rPr>
          <w:rFonts w:cs="Times New Roman"/>
          <w:szCs w:val="24"/>
        </w:rPr>
      </w:pPr>
      <w:r>
        <w:rPr>
          <w:rFonts w:cs="Times New Roman"/>
          <w:szCs w:val="24"/>
        </w:rPr>
        <w:t>4</w:t>
      </w:r>
      <w:r w:rsidR="003E106C">
        <w:rPr>
          <w:rFonts w:cs="Times New Roman"/>
          <w:szCs w:val="24"/>
        </w:rPr>
        <w:t xml:space="preserve"> respondenti na tuto otázku neodpověděli.</w:t>
      </w:r>
    </w:p>
    <w:p w14:paraId="78719734" w14:textId="62958019" w:rsidR="00A94CA6" w:rsidRPr="00055E91" w:rsidRDefault="00A94CA6" w:rsidP="007833CD">
      <w:pPr>
        <w:rPr>
          <w:rFonts w:cs="Times New Roman"/>
          <w:b/>
          <w:i/>
          <w:szCs w:val="24"/>
        </w:rPr>
      </w:pPr>
      <w:r w:rsidRPr="00627DB1">
        <w:rPr>
          <w:rFonts w:cs="Times New Roman"/>
          <w:b/>
          <w:szCs w:val="24"/>
        </w:rPr>
        <w:t>Otázka 4.3. Měla by Česká republika využít diskreci?</w:t>
      </w:r>
      <w:r w:rsidR="00055E91">
        <w:rPr>
          <w:rFonts w:cs="Times New Roman"/>
          <w:b/>
          <w:szCs w:val="24"/>
        </w:rPr>
        <w:t xml:space="preserve"> </w:t>
      </w:r>
      <w:r w:rsidR="00055E91">
        <w:rPr>
          <w:rFonts w:cs="Times New Roman"/>
          <w:b/>
          <w:i/>
          <w:szCs w:val="24"/>
        </w:rPr>
        <w:t xml:space="preserve">(tj. </w:t>
      </w:r>
      <w:r w:rsidR="00F87D62">
        <w:rPr>
          <w:rFonts w:cs="Times New Roman"/>
          <w:b/>
          <w:i/>
          <w:szCs w:val="24"/>
        </w:rPr>
        <w:t>u</w:t>
      </w:r>
      <w:r w:rsidR="00055E91">
        <w:rPr>
          <w:rFonts w:cs="Times New Roman"/>
          <w:b/>
          <w:i/>
          <w:szCs w:val="24"/>
        </w:rPr>
        <w:t>veřejňovat investiční strategii i</w:t>
      </w:r>
      <w:r w:rsidR="00887C83">
        <w:rPr>
          <w:rFonts w:cs="Times New Roman"/>
          <w:b/>
          <w:i/>
          <w:szCs w:val="24"/>
        </w:rPr>
        <w:t> </w:t>
      </w:r>
      <w:r w:rsidR="00055E91">
        <w:rPr>
          <w:rFonts w:cs="Times New Roman"/>
          <w:b/>
          <w:i/>
          <w:szCs w:val="24"/>
        </w:rPr>
        <w:t>jiným způsobem)</w:t>
      </w:r>
    </w:p>
    <w:p w14:paraId="38C28B45" w14:textId="4C27A6B8" w:rsidR="00631CB3" w:rsidRDefault="00631CB3" w:rsidP="007833CD">
      <w:pPr>
        <w:rPr>
          <w:rFonts w:cs="Times New Roman"/>
          <w:szCs w:val="24"/>
        </w:rPr>
      </w:pPr>
      <w:r>
        <w:rPr>
          <w:rFonts w:cs="Times New Roman"/>
          <w:szCs w:val="24"/>
        </w:rPr>
        <w:t xml:space="preserve">3 respondenti se domnívají, že by Česká republika neměla využít diskreci a </w:t>
      </w:r>
      <w:r w:rsidR="00F87D62">
        <w:rPr>
          <w:rFonts w:cs="Times New Roman"/>
          <w:szCs w:val="24"/>
        </w:rPr>
        <w:t>stanovit povinnost u</w:t>
      </w:r>
      <w:r>
        <w:rPr>
          <w:rFonts w:cs="Times New Roman"/>
          <w:szCs w:val="24"/>
        </w:rPr>
        <w:t>veřejňovat investiční strategii i jiným způsobem.</w:t>
      </w:r>
    </w:p>
    <w:p w14:paraId="1A65A6C4" w14:textId="77777777" w:rsidR="00A94CA6" w:rsidRDefault="00631CB3" w:rsidP="007833CD">
      <w:pPr>
        <w:rPr>
          <w:rFonts w:cs="Times New Roman"/>
          <w:szCs w:val="24"/>
        </w:rPr>
      </w:pPr>
      <w:r>
        <w:rPr>
          <w:rFonts w:cs="Times New Roman"/>
          <w:szCs w:val="24"/>
        </w:rPr>
        <w:lastRenderedPageBreak/>
        <w:t>4</w:t>
      </w:r>
      <w:r w:rsidR="003E106C">
        <w:rPr>
          <w:rFonts w:cs="Times New Roman"/>
          <w:szCs w:val="24"/>
        </w:rPr>
        <w:t xml:space="preserve"> respondenti na tuto otázku neodpověděli.</w:t>
      </w:r>
    </w:p>
    <w:p w14:paraId="48BB78BB" w14:textId="77777777" w:rsidR="001D72B7" w:rsidRDefault="001D72B7" w:rsidP="001D72B7">
      <w:pPr>
        <w:jc w:val="center"/>
        <w:rPr>
          <w:rFonts w:cs="Times New Roman"/>
          <w:szCs w:val="24"/>
        </w:rPr>
      </w:pPr>
      <w:r>
        <w:rPr>
          <w:noProof/>
          <w:lang w:eastAsia="cs-CZ"/>
        </w:rPr>
        <w:drawing>
          <wp:inline distT="0" distB="0" distL="0" distR="0" wp14:anchorId="6B6BC8CF" wp14:editId="3CA5D8D5">
            <wp:extent cx="5419725" cy="2743200"/>
            <wp:effectExtent l="0" t="0" r="9525" b="19050"/>
            <wp:docPr id="19" name="Graf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B137B5E" w14:textId="77777777" w:rsidR="00A94CA6" w:rsidRDefault="00A94CA6" w:rsidP="007833CD">
      <w:pPr>
        <w:rPr>
          <w:rFonts w:cs="Times New Roman"/>
          <w:b/>
          <w:szCs w:val="24"/>
        </w:rPr>
      </w:pPr>
      <w:r w:rsidRPr="00627DB1">
        <w:rPr>
          <w:rFonts w:cs="Times New Roman"/>
          <w:b/>
          <w:szCs w:val="24"/>
        </w:rPr>
        <w:t>Otázka 4.4. Jak jinak by institucionální investoři měli uveřejňovat svou investiční strategii a její plnění?</w:t>
      </w:r>
    </w:p>
    <w:p w14:paraId="1570B266" w14:textId="2833AC13" w:rsidR="00631CB3" w:rsidRPr="00631CB3" w:rsidRDefault="00631CB3" w:rsidP="007833CD">
      <w:pPr>
        <w:rPr>
          <w:rFonts w:cs="Times New Roman"/>
          <w:szCs w:val="24"/>
        </w:rPr>
      </w:pPr>
      <w:r w:rsidRPr="00631CB3">
        <w:rPr>
          <w:rFonts w:cs="Times New Roman"/>
          <w:szCs w:val="24"/>
        </w:rPr>
        <w:t>Rovněž i u této diskrece se 3 respondenti domnívají, že uveřejňování na internetových stránkách</w:t>
      </w:r>
      <w:r w:rsidR="00C345E3">
        <w:rPr>
          <w:rFonts w:cs="Times New Roman"/>
          <w:szCs w:val="24"/>
        </w:rPr>
        <w:t xml:space="preserve"> je</w:t>
      </w:r>
      <w:r w:rsidRPr="00631CB3">
        <w:rPr>
          <w:rFonts w:cs="Times New Roman"/>
          <w:szCs w:val="24"/>
        </w:rPr>
        <w:t xml:space="preserve"> dostatečné s ohledem na praxi obvyklou na finančním trhu. </w:t>
      </w:r>
      <w:r w:rsidR="00F87D62">
        <w:rPr>
          <w:rFonts w:cs="Times New Roman"/>
          <w:szCs w:val="24"/>
        </w:rPr>
        <w:t>Internetové</w:t>
      </w:r>
      <w:r w:rsidR="00F87D62" w:rsidRPr="00631CB3">
        <w:rPr>
          <w:rFonts w:cs="Times New Roman"/>
          <w:szCs w:val="24"/>
        </w:rPr>
        <w:t xml:space="preserve"> </w:t>
      </w:r>
      <w:r w:rsidRPr="00631CB3">
        <w:rPr>
          <w:rFonts w:cs="Times New Roman"/>
          <w:szCs w:val="24"/>
        </w:rPr>
        <w:t>stránky společnosti jsou logickým místem, kde lze takové informace najít.</w:t>
      </w:r>
    </w:p>
    <w:p w14:paraId="1F78A017" w14:textId="77777777" w:rsidR="00A94CA6" w:rsidRDefault="00631CB3" w:rsidP="00A94CA6">
      <w:pPr>
        <w:rPr>
          <w:rFonts w:cs="Times New Roman"/>
          <w:szCs w:val="24"/>
        </w:rPr>
      </w:pPr>
      <w:r>
        <w:rPr>
          <w:rFonts w:cs="Times New Roman"/>
          <w:szCs w:val="24"/>
        </w:rPr>
        <w:t>4</w:t>
      </w:r>
      <w:r w:rsidR="003E106C">
        <w:rPr>
          <w:rFonts w:cs="Times New Roman"/>
          <w:szCs w:val="24"/>
        </w:rPr>
        <w:t xml:space="preserve"> respondenti na tuto otázku neodpověděli.</w:t>
      </w:r>
    </w:p>
    <w:p w14:paraId="71A24C33" w14:textId="77777777" w:rsidR="00A94CA6" w:rsidRPr="00564782" w:rsidRDefault="00A94CA6" w:rsidP="00A94CA6">
      <w:pPr>
        <w:rPr>
          <w:rFonts w:cs="Times New Roman"/>
          <w:b/>
          <w:szCs w:val="24"/>
        </w:rPr>
      </w:pPr>
      <w:r w:rsidRPr="00627DB1">
        <w:rPr>
          <w:rFonts w:cs="Times New Roman"/>
          <w:b/>
          <w:szCs w:val="24"/>
        </w:rPr>
        <w:t>Otázka 4.5. Měla by Česká republika využít tuto diskreci</w:t>
      </w:r>
      <w:r w:rsidRPr="009B1AEE">
        <w:rPr>
          <w:rFonts w:cs="Times New Roman"/>
          <w:b/>
          <w:szCs w:val="24"/>
        </w:rPr>
        <w:t>?</w:t>
      </w:r>
      <w:r w:rsidR="00055E91" w:rsidRPr="00564782">
        <w:rPr>
          <w:rFonts w:cs="Times New Roman"/>
          <w:b/>
          <w:szCs w:val="24"/>
        </w:rPr>
        <w:t xml:space="preserve"> </w:t>
      </w:r>
      <w:r w:rsidR="00055E91" w:rsidRPr="00C345E3">
        <w:rPr>
          <w:rFonts w:cs="Times New Roman"/>
          <w:b/>
          <w:i/>
          <w:szCs w:val="24"/>
        </w:rPr>
        <w:t>(tj. sdělování informací správci aktiv institucionálnímu investorovi)</w:t>
      </w:r>
      <w:r w:rsidRPr="009B1AEE">
        <w:rPr>
          <w:rFonts w:cs="Times New Roman"/>
          <w:b/>
          <w:szCs w:val="24"/>
        </w:rPr>
        <w:t xml:space="preserve"> </w:t>
      </w:r>
    </w:p>
    <w:p w14:paraId="7A52230E" w14:textId="4B88139D" w:rsidR="008D194C" w:rsidRDefault="008D194C" w:rsidP="00A94CA6">
      <w:pPr>
        <w:rPr>
          <w:rFonts w:cs="Times New Roman"/>
          <w:szCs w:val="24"/>
        </w:rPr>
      </w:pPr>
      <w:r>
        <w:rPr>
          <w:rFonts w:cs="Times New Roman"/>
          <w:szCs w:val="24"/>
        </w:rPr>
        <w:t>43 % respondentů souhlasí s využitím diskrece</w:t>
      </w:r>
      <w:r w:rsidR="00F87D62">
        <w:rPr>
          <w:rFonts w:cs="Times New Roman"/>
          <w:szCs w:val="24"/>
        </w:rPr>
        <w:t xml:space="preserve">, </w:t>
      </w:r>
      <w:r w:rsidR="00921163">
        <w:rPr>
          <w:rFonts w:cs="Times New Roman"/>
          <w:szCs w:val="24"/>
        </w:rPr>
        <w:t>podle níž mohou členské státy stanovit, že informace poskytované správci aktiv institucionálnímu investorovi se budou uveřejňovat společně s výroční zprávou nebo v pravidelných sděleních. Respondenti s využitím této diskrece souhlasí, ovšem pouze za situace, bude-li se jednat o alternativu k přímému oznamování informací institucionálnímu investorovi</w:t>
      </w:r>
      <w:r w:rsidR="008D29A2">
        <w:rPr>
          <w:rFonts w:cs="Times New Roman"/>
          <w:szCs w:val="24"/>
        </w:rPr>
        <w:t>.</w:t>
      </w:r>
      <w:r>
        <w:rPr>
          <w:rFonts w:cs="Times New Roman"/>
          <w:szCs w:val="24"/>
        </w:rPr>
        <w:t xml:space="preserve"> </w:t>
      </w:r>
      <w:r w:rsidR="00921163">
        <w:rPr>
          <w:rFonts w:cs="Times New Roman"/>
          <w:szCs w:val="24"/>
        </w:rPr>
        <w:t xml:space="preserve">Jeden respondent specifikuje, že by tyto informace měly být uveřejňovány v rámci pravidelných sdělení podle § 15g ZPKT. </w:t>
      </w:r>
      <w:r>
        <w:rPr>
          <w:rFonts w:cs="Times New Roman"/>
          <w:szCs w:val="24"/>
        </w:rPr>
        <w:t>14 % respondentů naopak s využitím diskrece nesouhlasí.</w:t>
      </w:r>
    </w:p>
    <w:p w14:paraId="3C17CAE5" w14:textId="77777777" w:rsidR="00A94CA6" w:rsidRDefault="008D194C" w:rsidP="00A94CA6">
      <w:pPr>
        <w:rPr>
          <w:rFonts w:cs="Times New Roman"/>
          <w:szCs w:val="24"/>
        </w:rPr>
      </w:pPr>
      <w:r>
        <w:rPr>
          <w:rFonts w:cs="Times New Roman"/>
          <w:szCs w:val="24"/>
        </w:rPr>
        <w:t xml:space="preserve">43 % </w:t>
      </w:r>
      <w:r w:rsidR="003E106C">
        <w:rPr>
          <w:rFonts w:cs="Times New Roman"/>
          <w:szCs w:val="24"/>
        </w:rPr>
        <w:t>respondent</w:t>
      </w:r>
      <w:r>
        <w:rPr>
          <w:rFonts w:cs="Times New Roman"/>
          <w:szCs w:val="24"/>
        </w:rPr>
        <w:t>ů</w:t>
      </w:r>
      <w:r w:rsidR="003E106C">
        <w:rPr>
          <w:rFonts w:cs="Times New Roman"/>
          <w:szCs w:val="24"/>
        </w:rPr>
        <w:t xml:space="preserve"> na tuto otázku neodpověděl</w:t>
      </w:r>
      <w:r>
        <w:rPr>
          <w:rFonts w:cs="Times New Roman"/>
          <w:szCs w:val="24"/>
        </w:rPr>
        <w:t>o</w:t>
      </w:r>
      <w:r w:rsidR="003E106C">
        <w:rPr>
          <w:rFonts w:cs="Times New Roman"/>
          <w:szCs w:val="24"/>
        </w:rPr>
        <w:t>.</w:t>
      </w:r>
    </w:p>
    <w:p w14:paraId="77CF81F0" w14:textId="77777777" w:rsidR="00CD00D0" w:rsidRDefault="00CD00D0" w:rsidP="00CD00D0">
      <w:pPr>
        <w:jc w:val="center"/>
        <w:rPr>
          <w:rFonts w:cs="Times New Roman"/>
          <w:szCs w:val="24"/>
        </w:rPr>
      </w:pPr>
      <w:r>
        <w:rPr>
          <w:noProof/>
          <w:lang w:eastAsia="cs-CZ"/>
        </w:rPr>
        <w:lastRenderedPageBreak/>
        <w:drawing>
          <wp:inline distT="0" distB="0" distL="0" distR="0" wp14:anchorId="2331B069" wp14:editId="4449786C">
            <wp:extent cx="5476875" cy="2743200"/>
            <wp:effectExtent l="0" t="0" r="9525" b="19050"/>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EB8D0B7" w14:textId="77777777" w:rsidR="00A94CA6" w:rsidRPr="00055E91" w:rsidRDefault="00A94CA6" w:rsidP="00A94CA6">
      <w:pPr>
        <w:rPr>
          <w:rFonts w:cs="Times New Roman"/>
          <w:b/>
          <w:i/>
          <w:szCs w:val="24"/>
        </w:rPr>
      </w:pPr>
      <w:r w:rsidRPr="00627DB1">
        <w:rPr>
          <w:rFonts w:cs="Times New Roman"/>
          <w:b/>
          <w:szCs w:val="24"/>
        </w:rPr>
        <w:t>Otázka 4.6. Měla by Česká republika využít uvedenou diskreci?</w:t>
      </w:r>
      <w:r w:rsidR="00055E91">
        <w:rPr>
          <w:rFonts w:cs="Times New Roman"/>
          <w:b/>
          <w:szCs w:val="24"/>
        </w:rPr>
        <w:t xml:space="preserve"> </w:t>
      </w:r>
      <w:r w:rsidR="00055E91">
        <w:rPr>
          <w:rFonts w:cs="Times New Roman"/>
          <w:b/>
          <w:i/>
          <w:szCs w:val="24"/>
        </w:rPr>
        <w:t>(tj. sdělování informací správci aktiv v případě, kdy správce aktiv nespravuje aktiva s možností vlastního uvážení ve vztahu k jednotlivým klientům)</w:t>
      </w:r>
    </w:p>
    <w:p w14:paraId="432BF87D" w14:textId="051A414E" w:rsidR="00E3545A" w:rsidRDefault="00E3545A" w:rsidP="00A94CA6">
      <w:pPr>
        <w:rPr>
          <w:rFonts w:cs="Times New Roman"/>
          <w:szCs w:val="24"/>
        </w:rPr>
      </w:pPr>
      <w:r>
        <w:rPr>
          <w:rFonts w:cs="Times New Roman"/>
          <w:szCs w:val="24"/>
        </w:rPr>
        <w:t xml:space="preserve">Všichni 4 respondenti, kteří odpověděli na tuto otázku, shodně uvedli, že by Česká republika neměla využít diskreci </w:t>
      </w:r>
      <w:r w:rsidR="00921163">
        <w:rPr>
          <w:rFonts w:cs="Times New Roman"/>
          <w:szCs w:val="24"/>
        </w:rPr>
        <w:t>a stanovit, že  správce aktiv</w:t>
      </w:r>
      <w:r>
        <w:rPr>
          <w:rFonts w:cs="Times New Roman"/>
          <w:szCs w:val="24"/>
        </w:rPr>
        <w:t xml:space="preserve">, </w:t>
      </w:r>
      <w:r w:rsidR="00921163">
        <w:rPr>
          <w:rFonts w:cs="Times New Roman"/>
          <w:szCs w:val="24"/>
        </w:rPr>
        <w:t>který</w:t>
      </w:r>
      <w:r>
        <w:rPr>
          <w:rFonts w:cs="Times New Roman"/>
          <w:szCs w:val="24"/>
        </w:rPr>
        <w:t xml:space="preserve"> nespravuje aktiva s možností vlastního uvážení ve vztahu k jednotlivým klientům</w:t>
      </w:r>
      <w:r w:rsidR="00921163">
        <w:rPr>
          <w:rFonts w:cs="Times New Roman"/>
          <w:szCs w:val="24"/>
        </w:rPr>
        <w:t>, poskytne oznamované informace (podle čl. 3i odst. 1 směrnice) i ostatním investorům stejného fondu</w:t>
      </w:r>
      <w:r>
        <w:rPr>
          <w:rFonts w:cs="Times New Roman"/>
          <w:szCs w:val="24"/>
        </w:rPr>
        <w:t>.</w:t>
      </w:r>
      <w:r w:rsidR="00921163">
        <w:rPr>
          <w:rFonts w:cs="Times New Roman"/>
          <w:szCs w:val="24"/>
        </w:rPr>
        <w:t xml:space="preserve"> Jeden respondent podotýká, že na tuto otázku nemá jednoznačný názor, avšak spíše se kloní k odpovědi „ne“. Další respondent </w:t>
      </w:r>
      <w:r w:rsidR="00887C83">
        <w:rPr>
          <w:rFonts w:cs="Times New Roman"/>
          <w:szCs w:val="24"/>
        </w:rPr>
        <w:t>uvádí</w:t>
      </w:r>
      <w:r w:rsidR="00921163">
        <w:rPr>
          <w:rFonts w:cs="Times New Roman"/>
          <w:szCs w:val="24"/>
        </w:rPr>
        <w:t xml:space="preserve">, že správce aktiv vypracovává informace podle smlouvy s konkrétním institucionálním investorem, pročež by předmětné informace měly být poskytovány pouze tomuto institucionálnímu investorovi; ostatní na takové informace pouze z titulu, že jsou investory </w:t>
      </w:r>
      <w:r w:rsidR="001F221F">
        <w:rPr>
          <w:rFonts w:cs="Times New Roman"/>
          <w:szCs w:val="24"/>
        </w:rPr>
        <w:t xml:space="preserve">do </w:t>
      </w:r>
      <w:r w:rsidR="00921163">
        <w:rPr>
          <w:rFonts w:cs="Times New Roman"/>
          <w:szCs w:val="24"/>
        </w:rPr>
        <w:t xml:space="preserve">stejného fondu, nemají nárok. </w:t>
      </w:r>
    </w:p>
    <w:p w14:paraId="08E89E91" w14:textId="77777777" w:rsidR="00A94CA6" w:rsidRDefault="003E106C" w:rsidP="00A94CA6">
      <w:pPr>
        <w:rPr>
          <w:rFonts w:cs="Times New Roman"/>
          <w:szCs w:val="24"/>
        </w:rPr>
      </w:pPr>
      <w:r>
        <w:rPr>
          <w:rFonts w:cs="Times New Roman"/>
          <w:szCs w:val="24"/>
        </w:rPr>
        <w:t>3 respondenti na tuto otázku neodpověděli.</w:t>
      </w:r>
    </w:p>
    <w:p w14:paraId="5F17DB45" w14:textId="77777777" w:rsidR="00CD00D0" w:rsidRDefault="00CD00D0" w:rsidP="00CD00D0">
      <w:pPr>
        <w:jc w:val="center"/>
        <w:rPr>
          <w:rFonts w:cs="Times New Roman"/>
          <w:szCs w:val="24"/>
        </w:rPr>
      </w:pPr>
      <w:r>
        <w:rPr>
          <w:noProof/>
          <w:lang w:eastAsia="cs-CZ"/>
        </w:rPr>
        <w:lastRenderedPageBreak/>
        <w:drawing>
          <wp:inline distT="0" distB="0" distL="0" distR="0" wp14:anchorId="519D9DA0" wp14:editId="26B4ED86">
            <wp:extent cx="5419725" cy="2743200"/>
            <wp:effectExtent l="0" t="0" r="9525" b="19050"/>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143C18E" w14:textId="77777777" w:rsidR="0009704B" w:rsidRDefault="0009704B">
      <w:pPr>
        <w:spacing w:line="276" w:lineRule="auto"/>
        <w:jc w:val="left"/>
        <w:rPr>
          <w:b/>
          <w:szCs w:val="24"/>
        </w:rPr>
      </w:pPr>
      <w:r>
        <w:rPr>
          <w:b/>
          <w:szCs w:val="24"/>
        </w:rPr>
        <w:br w:type="page"/>
      </w:r>
    </w:p>
    <w:p w14:paraId="0F65361C" w14:textId="77777777" w:rsidR="0009704B" w:rsidRDefault="0009704B" w:rsidP="00C345E3">
      <w:pPr>
        <w:jc w:val="center"/>
        <w:rPr>
          <w:b/>
          <w:szCs w:val="24"/>
        </w:rPr>
      </w:pPr>
      <w:bookmarkStart w:id="6" w:name="_Toc491249984"/>
      <w:r w:rsidRPr="00304DD0">
        <w:rPr>
          <w:b/>
          <w:sz w:val="32"/>
          <w:szCs w:val="32"/>
        </w:rPr>
        <w:lastRenderedPageBreak/>
        <w:t>KAPITOLA IV. – POLITIKA ODMĚŇOVÁNÍ</w:t>
      </w:r>
      <w:bookmarkEnd w:id="6"/>
    </w:p>
    <w:p w14:paraId="38D99BA0" w14:textId="77777777" w:rsidR="00A94CA6" w:rsidRPr="00627DB1" w:rsidRDefault="00A33CF2" w:rsidP="00A94CA6">
      <w:pPr>
        <w:rPr>
          <w:b/>
          <w:szCs w:val="24"/>
        </w:rPr>
      </w:pPr>
      <w:r w:rsidRPr="00627DB1">
        <w:rPr>
          <w:b/>
          <w:szCs w:val="24"/>
        </w:rPr>
        <w:t>Otázka 5.1. Jaký charakter by mělo mít hlasování o politice odměňování na valné hromadě?</w:t>
      </w:r>
    </w:p>
    <w:p w14:paraId="0F341F98" w14:textId="77777777" w:rsidR="00A34E2D" w:rsidRDefault="00A34E2D" w:rsidP="00A94CA6">
      <w:pPr>
        <w:rPr>
          <w:szCs w:val="24"/>
        </w:rPr>
      </w:pPr>
      <w:r>
        <w:rPr>
          <w:szCs w:val="24"/>
        </w:rPr>
        <w:t>Na tuto otázku odpověděli 4 respondenti. Tři z nich zastávají názor, že hlasování o politice odměňování na valné hromadě by mělo být závazné. Jeden respondent uvádí, že by toto hlasování mělo mít charakter poradní</w:t>
      </w:r>
      <w:r w:rsidR="00680D92">
        <w:rPr>
          <w:szCs w:val="24"/>
        </w:rPr>
        <w:t>.</w:t>
      </w:r>
      <w:r>
        <w:rPr>
          <w:szCs w:val="24"/>
        </w:rPr>
        <w:t xml:space="preserve"> </w:t>
      </w:r>
    </w:p>
    <w:p w14:paraId="5DACD538" w14:textId="77777777" w:rsidR="00A33CF2" w:rsidRDefault="003E106C" w:rsidP="00A94CA6">
      <w:pPr>
        <w:rPr>
          <w:szCs w:val="24"/>
        </w:rPr>
      </w:pPr>
      <w:r>
        <w:rPr>
          <w:szCs w:val="24"/>
        </w:rPr>
        <w:t>3 respondenti na tuto otázku neodpověděli.</w:t>
      </w:r>
    </w:p>
    <w:p w14:paraId="4A7CBEBA" w14:textId="77777777" w:rsidR="00BB4315" w:rsidRDefault="00BB4315" w:rsidP="00BB4315">
      <w:pPr>
        <w:jc w:val="center"/>
        <w:rPr>
          <w:szCs w:val="24"/>
        </w:rPr>
      </w:pPr>
      <w:r>
        <w:rPr>
          <w:noProof/>
          <w:lang w:eastAsia="cs-CZ"/>
        </w:rPr>
        <w:drawing>
          <wp:inline distT="0" distB="0" distL="0" distR="0" wp14:anchorId="060904D3" wp14:editId="230ACFA5">
            <wp:extent cx="5314950" cy="2743200"/>
            <wp:effectExtent l="0" t="0" r="19050" b="19050"/>
            <wp:docPr id="23" name="Graf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EADC94D" w14:textId="77777777" w:rsidR="00A33CF2" w:rsidRPr="00627DB1" w:rsidRDefault="00A33CF2" w:rsidP="00A94CA6">
      <w:pPr>
        <w:rPr>
          <w:b/>
          <w:szCs w:val="24"/>
        </w:rPr>
      </w:pPr>
      <w:r w:rsidRPr="00F169BF">
        <w:rPr>
          <w:b/>
          <w:szCs w:val="24"/>
        </w:rPr>
        <w:t>Otázka 5.2. Z jakého důvodu se přikláníte k možnosti uvedené v otázce 5.1.?</w:t>
      </w:r>
    </w:p>
    <w:p w14:paraId="5C105FBE" w14:textId="77777777" w:rsidR="00A34E2D" w:rsidRDefault="00A34E2D" w:rsidP="00A94CA6">
      <w:pPr>
        <w:rPr>
          <w:szCs w:val="24"/>
        </w:rPr>
      </w:pPr>
      <w:r>
        <w:rPr>
          <w:szCs w:val="24"/>
        </w:rPr>
        <w:t>Respondent, který zvolil v předchozí otázce poradní charakter hlasování, k tomuto uvedl, že by šlo o zbytečnou administrativní zátěž. Pokud je odměna člena orgánu voleného valnou hromadou detailně specifikována ve smlouvě o výkonu funkce člena orgánu a tato je předkládána valné hromadě ke schválení, nemělo by být vyžadováno schválení politiky odměňování ani formou poradního hlasování.</w:t>
      </w:r>
    </w:p>
    <w:p w14:paraId="7B35F4E1" w14:textId="3660A8B9" w:rsidR="004E36A9" w:rsidRDefault="00F169BF" w:rsidP="00A94CA6">
      <w:pPr>
        <w:rPr>
          <w:szCs w:val="24"/>
        </w:rPr>
      </w:pPr>
      <w:r>
        <w:rPr>
          <w:szCs w:val="24"/>
        </w:rPr>
        <w:t>Závazn</w:t>
      </w:r>
      <w:r w:rsidR="001F221F">
        <w:rPr>
          <w:szCs w:val="24"/>
        </w:rPr>
        <w:t>ý charakter</w:t>
      </w:r>
      <w:r>
        <w:rPr>
          <w:szCs w:val="24"/>
        </w:rPr>
        <w:t xml:space="preserve"> hlasování o politice odměňování na valné hromadě respondenti odůvodnili tím, že by se vůle akcionářů měla odrazit ve výsledku hlasování a politika odměňování by měla být po skončení valné hromady jasně daná. Rovněž nevidí důvod, proč do českého právního řádu zavádět nový institut „nezávazného usnesení“. Současná obecná právní úprava v zákoně </w:t>
      </w:r>
      <w:r w:rsidR="005E0F23">
        <w:rPr>
          <w:szCs w:val="24"/>
        </w:rPr>
        <w:t>č. 90/2012</w:t>
      </w:r>
      <w:r w:rsidR="009A0781">
        <w:rPr>
          <w:szCs w:val="24"/>
        </w:rPr>
        <w:t xml:space="preserve"> Sb.</w:t>
      </w:r>
      <w:r w:rsidR="005E0F23">
        <w:rPr>
          <w:szCs w:val="24"/>
        </w:rPr>
        <w:t xml:space="preserve">, </w:t>
      </w:r>
      <w:r>
        <w:rPr>
          <w:szCs w:val="24"/>
        </w:rPr>
        <w:t xml:space="preserve">o obchodních </w:t>
      </w:r>
      <w:r w:rsidR="001F221F">
        <w:rPr>
          <w:szCs w:val="24"/>
        </w:rPr>
        <w:t xml:space="preserve">společnostech a družstvech (zákon o obchodních </w:t>
      </w:r>
      <w:r w:rsidR="001F221F">
        <w:rPr>
          <w:szCs w:val="24"/>
        </w:rPr>
        <w:lastRenderedPageBreak/>
        <w:t>korporacích)</w:t>
      </w:r>
      <w:r w:rsidR="005E0F23">
        <w:rPr>
          <w:szCs w:val="24"/>
        </w:rPr>
        <w:t>, ve znění pozdějších předpisů (dále jen „ZOK“),</w:t>
      </w:r>
      <w:r>
        <w:rPr>
          <w:szCs w:val="24"/>
        </w:rPr>
        <w:t xml:space="preserve"> v zásadě odpovídá směrnicové úpravě s variantou závazného hlasování.</w:t>
      </w:r>
    </w:p>
    <w:p w14:paraId="60005B6A" w14:textId="77777777" w:rsidR="00A33CF2" w:rsidRDefault="003E106C" w:rsidP="00A94CA6">
      <w:pPr>
        <w:rPr>
          <w:szCs w:val="24"/>
        </w:rPr>
      </w:pPr>
      <w:r>
        <w:rPr>
          <w:szCs w:val="24"/>
        </w:rPr>
        <w:t>3 respondenti na tuto otázku neodpověděli.</w:t>
      </w:r>
    </w:p>
    <w:p w14:paraId="08BFDF22" w14:textId="77777777" w:rsidR="00A33CF2" w:rsidRPr="00627DB1" w:rsidRDefault="00A33CF2" w:rsidP="00A94CA6">
      <w:pPr>
        <w:rPr>
          <w:b/>
          <w:szCs w:val="24"/>
        </w:rPr>
      </w:pPr>
      <w:r w:rsidRPr="00627DB1">
        <w:rPr>
          <w:b/>
          <w:szCs w:val="24"/>
        </w:rPr>
        <w:t>Otázka 5.3. Mělo by být umožněno společnostem se za určitých okolností od politiky odměňování odchýlit?</w:t>
      </w:r>
    </w:p>
    <w:p w14:paraId="43DFC4DD" w14:textId="77777777" w:rsidR="000D0957" w:rsidRDefault="004367A7" w:rsidP="00A94CA6">
      <w:pPr>
        <w:rPr>
          <w:szCs w:val="24"/>
        </w:rPr>
      </w:pPr>
      <w:r>
        <w:rPr>
          <w:szCs w:val="24"/>
        </w:rPr>
        <w:t>Všichni 4 respondenti, kteří odpověděli na tuto otázku, shodně uvádí, že by mělo být společnostem umožněno se za určitých okolností od politiky odměňování odchýlit.</w:t>
      </w:r>
    </w:p>
    <w:p w14:paraId="7A901DE2" w14:textId="77777777" w:rsidR="00A33CF2" w:rsidRDefault="003E106C" w:rsidP="00A94CA6">
      <w:pPr>
        <w:rPr>
          <w:szCs w:val="24"/>
        </w:rPr>
      </w:pPr>
      <w:r>
        <w:rPr>
          <w:szCs w:val="24"/>
        </w:rPr>
        <w:t>3 respondenti na tuto otázku neodpověděli.</w:t>
      </w:r>
    </w:p>
    <w:p w14:paraId="4D566C6C" w14:textId="7B96A84B" w:rsidR="00920F80" w:rsidRDefault="00920F80" w:rsidP="007A147D">
      <w:pPr>
        <w:jc w:val="center"/>
        <w:rPr>
          <w:szCs w:val="24"/>
        </w:rPr>
      </w:pPr>
      <w:r>
        <w:rPr>
          <w:noProof/>
          <w:lang w:eastAsia="cs-CZ"/>
        </w:rPr>
        <w:drawing>
          <wp:inline distT="0" distB="0" distL="0" distR="0" wp14:anchorId="5DC34B97" wp14:editId="23087079">
            <wp:extent cx="5372100" cy="2638425"/>
            <wp:effectExtent l="0" t="0" r="19050" b="9525"/>
            <wp:docPr id="51" name="Graf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5383AC6" w14:textId="77777777" w:rsidR="00A33CF2" w:rsidRPr="00627DB1" w:rsidRDefault="00A33CF2" w:rsidP="00A94CA6">
      <w:pPr>
        <w:rPr>
          <w:b/>
          <w:szCs w:val="24"/>
        </w:rPr>
      </w:pPr>
      <w:r w:rsidRPr="00627DB1">
        <w:rPr>
          <w:b/>
          <w:szCs w:val="24"/>
        </w:rPr>
        <w:t>Otázka 5.4. Za jakých výjimečných okolností (situace, kdy je odchýlení se od politiky odměňování nezbytné z hlediska dlouhodobých zájmů a udržitelnosti společnosti nebo z hlediska zajištění její životaschopnosti) by bylo žádoucí umožnit odchýlení se od politiky odměňování?</w:t>
      </w:r>
    </w:p>
    <w:p w14:paraId="493391B3" w14:textId="77777777" w:rsidR="003B7E50" w:rsidRDefault="00661586" w:rsidP="00A94CA6">
      <w:pPr>
        <w:rPr>
          <w:szCs w:val="24"/>
        </w:rPr>
      </w:pPr>
      <w:r>
        <w:rPr>
          <w:szCs w:val="24"/>
        </w:rPr>
        <w:t xml:space="preserve">Na tuto otázku odpověděli 4 respondenti. Všichni čtyři shodně uvedli, že těmito výjimečnými okolnostmi by měly být </w:t>
      </w:r>
      <w:r w:rsidRPr="00661586">
        <w:rPr>
          <w:szCs w:val="24"/>
        </w:rPr>
        <w:t>úpadek nebo hrozící úpadek společnosti</w:t>
      </w:r>
      <w:r>
        <w:rPr>
          <w:szCs w:val="24"/>
        </w:rPr>
        <w:t xml:space="preserve"> a</w:t>
      </w:r>
      <w:r w:rsidRPr="00661586">
        <w:rPr>
          <w:szCs w:val="24"/>
        </w:rPr>
        <w:t xml:space="preserve"> restrukturalizace společnosti (například souběžné snížení a zvýšení základního kapitálu a další ozdravné postupy)</w:t>
      </w:r>
      <w:r>
        <w:rPr>
          <w:szCs w:val="24"/>
        </w:rPr>
        <w:t xml:space="preserve">. Tři </w:t>
      </w:r>
      <w:r w:rsidR="00B01CE4">
        <w:rPr>
          <w:szCs w:val="24"/>
        </w:rPr>
        <w:t>respondenti</w:t>
      </w:r>
      <w:r>
        <w:rPr>
          <w:szCs w:val="24"/>
        </w:rPr>
        <w:t xml:space="preserve"> by mezi tyto okolnosti zařadili dále </w:t>
      </w:r>
      <w:r w:rsidR="00736A8D">
        <w:rPr>
          <w:szCs w:val="24"/>
        </w:rPr>
        <w:t xml:space="preserve">i </w:t>
      </w:r>
      <w:r w:rsidRPr="00661586">
        <w:rPr>
          <w:szCs w:val="24"/>
        </w:rPr>
        <w:t>přeměn</w:t>
      </w:r>
      <w:r>
        <w:rPr>
          <w:szCs w:val="24"/>
        </w:rPr>
        <w:t>u</w:t>
      </w:r>
      <w:r w:rsidRPr="00661586">
        <w:rPr>
          <w:szCs w:val="24"/>
        </w:rPr>
        <w:t xml:space="preserve"> společnosti</w:t>
      </w:r>
      <w:r>
        <w:rPr>
          <w:szCs w:val="24"/>
        </w:rPr>
        <w:t xml:space="preserve"> a</w:t>
      </w:r>
      <w:r w:rsidRPr="00661586">
        <w:rPr>
          <w:szCs w:val="24"/>
        </w:rPr>
        <w:t xml:space="preserve"> získání výjimečně k</w:t>
      </w:r>
      <w:r>
        <w:rPr>
          <w:szCs w:val="24"/>
        </w:rPr>
        <w:t xml:space="preserve">valitního člena voleného orgánu. </w:t>
      </w:r>
    </w:p>
    <w:p w14:paraId="5A695CB6" w14:textId="023B7DD6" w:rsidR="00CF4BBC" w:rsidRDefault="00B01CE4" w:rsidP="00A94CA6">
      <w:pPr>
        <w:rPr>
          <w:szCs w:val="24"/>
        </w:rPr>
      </w:pPr>
      <w:r>
        <w:rPr>
          <w:szCs w:val="24"/>
        </w:rPr>
        <w:t xml:space="preserve">Tři respondenti zvolili i možnost jiné, kde </w:t>
      </w:r>
      <w:r w:rsidR="003B7E50">
        <w:rPr>
          <w:szCs w:val="24"/>
        </w:rPr>
        <w:t xml:space="preserve">první </w:t>
      </w:r>
      <w:r>
        <w:rPr>
          <w:szCs w:val="24"/>
        </w:rPr>
        <w:t>navrhl</w:t>
      </w:r>
      <w:r w:rsidR="00120E5D">
        <w:rPr>
          <w:szCs w:val="24"/>
        </w:rPr>
        <w:t xml:space="preserve"> </w:t>
      </w:r>
      <w:r w:rsidR="00CB4BCD">
        <w:rPr>
          <w:szCs w:val="24"/>
        </w:rPr>
        <w:t xml:space="preserve">možnost, aby výjimečné okolnosti mohly být určeny </w:t>
      </w:r>
      <w:r w:rsidR="00120E5D">
        <w:rPr>
          <w:szCs w:val="24"/>
        </w:rPr>
        <w:t>rozhodnutí</w:t>
      </w:r>
      <w:r w:rsidR="00CB4BCD">
        <w:rPr>
          <w:szCs w:val="24"/>
        </w:rPr>
        <w:t>m</w:t>
      </w:r>
      <w:r w:rsidR="00120E5D">
        <w:rPr>
          <w:szCs w:val="24"/>
        </w:rPr>
        <w:t xml:space="preserve"> dozorčího orgánu z jiného závažného důvodu výše </w:t>
      </w:r>
      <w:r w:rsidR="00120E5D">
        <w:rPr>
          <w:szCs w:val="24"/>
        </w:rPr>
        <w:lastRenderedPageBreak/>
        <w:t>neuvedeného</w:t>
      </w:r>
      <w:r w:rsidR="00736A8D">
        <w:rPr>
          <w:szCs w:val="24"/>
        </w:rPr>
        <w:t>.</w:t>
      </w:r>
      <w:r w:rsidR="00120E5D">
        <w:rPr>
          <w:szCs w:val="24"/>
        </w:rPr>
        <w:t xml:space="preserve"> </w:t>
      </w:r>
      <w:r w:rsidR="00736A8D">
        <w:rPr>
          <w:szCs w:val="24"/>
        </w:rPr>
        <w:t>D</w:t>
      </w:r>
      <w:r w:rsidR="00120E5D">
        <w:rPr>
          <w:szCs w:val="24"/>
        </w:rPr>
        <w:t>alší respondent navrhl, aby zákon byl dostatečně flexibilní a umožnil, aby si společnost v zakladatelském právním jednání upravila dle potřeby další výjimečné případy</w:t>
      </w:r>
      <w:r w:rsidR="00736A8D">
        <w:rPr>
          <w:szCs w:val="24"/>
        </w:rPr>
        <w:t>.</w:t>
      </w:r>
      <w:r w:rsidR="003B7E50">
        <w:rPr>
          <w:szCs w:val="24"/>
        </w:rPr>
        <w:t xml:space="preserve"> </w:t>
      </w:r>
      <w:r w:rsidR="00736A8D">
        <w:rPr>
          <w:szCs w:val="24"/>
        </w:rPr>
        <w:t>T</w:t>
      </w:r>
      <w:r w:rsidR="003B7E50">
        <w:rPr>
          <w:szCs w:val="24"/>
        </w:rPr>
        <w:t>řetí</w:t>
      </w:r>
      <w:r w:rsidR="00736A8D">
        <w:rPr>
          <w:szCs w:val="24"/>
        </w:rPr>
        <w:t xml:space="preserve"> respondent uvedl</w:t>
      </w:r>
      <w:r w:rsidR="003B7E50">
        <w:rPr>
          <w:szCs w:val="24"/>
        </w:rPr>
        <w:t xml:space="preserve">, </w:t>
      </w:r>
      <w:r w:rsidR="00736A8D">
        <w:rPr>
          <w:szCs w:val="24"/>
        </w:rPr>
        <w:t xml:space="preserve">že by mělo být umožněno </w:t>
      </w:r>
      <w:r w:rsidR="003B7E50">
        <w:rPr>
          <w:szCs w:val="24"/>
        </w:rPr>
        <w:t>odchýlit</w:t>
      </w:r>
      <w:r w:rsidR="00736A8D">
        <w:rPr>
          <w:szCs w:val="24"/>
        </w:rPr>
        <w:t xml:space="preserve"> se</w:t>
      </w:r>
      <w:r w:rsidR="003B7E50">
        <w:rPr>
          <w:szCs w:val="24"/>
        </w:rPr>
        <w:t xml:space="preserve"> vždy, pokud je volitelským orgánem schvalována smlouva o výkonu funkce, jejíž součástí jsou detailní ustanovení o</w:t>
      </w:r>
      <w:r w:rsidR="00BF391A">
        <w:rPr>
          <w:szCs w:val="24"/>
        </w:rPr>
        <w:t> </w:t>
      </w:r>
      <w:r w:rsidR="003B7E50">
        <w:rPr>
          <w:szCs w:val="24"/>
        </w:rPr>
        <w:t>odměně.</w:t>
      </w:r>
    </w:p>
    <w:p w14:paraId="1716A669" w14:textId="77777777" w:rsidR="00A33CF2" w:rsidRDefault="003E106C" w:rsidP="00A94CA6">
      <w:pPr>
        <w:rPr>
          <w:szCs w:val="24"/>
        </w:rPr>
      </w:pPr>
      <w:r>
        <w:rPr>
          <w:szCs w:val="24"/>
        </w:rPr>
        <w:t>3 respondenti na tuto otázku neodpověděli.</w:t>
      </w:r>
      <w:r w:rsidR="00661586" w:rsidRPr="00661586">
        <w:rPr>
          <w:szCs w:val="24"/>
        </w:rPr>
        <w:t xml:space="preserve"> </w:t>
      </w:r>
    </w:p>
    <w:p w14:paraId="5AFABA06" w14:textId="77777777" w:rsidR="00096891" w:rsidRDefault="00096891" w:rsidP="00976732">
      <w:pPr>
        <w:spacing w:line="240" w:lineRule="auto"/>
        <w:jc w:val="center"/>
        <w:rPr>
          <w:szCs w:val="24"/>
        </w:rPr>
      </w:pPr>
      <w:r>
        <w:rPr>
          <w:noProof/>
          <w:lang w:eastAsia="cs-CZ"/>
        </w:rPr>
        <w:drawing>
          <wp:inline distT="0" distB="0" distL="0" distR="0" wp14:anchorId="6C3BABFE" wp14:editId="48422E94">
            <wp:extent cx="5543550" cy="2743200"/>
            <wp:effectExtent l="0" t="0" r="19050" b="19050"/>
            <wp:docPr id="25" name="Graf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FBF54A4" w14:textId="77777777" w:rsidR="00A33CF2" w:rsidRPr="00627DB1" w:rsidRDefault="00A33CF2" w:rsidP="00A94CA6">
      <w:pPr>
        <w:rPr>
          <w:rFonts w:cs="Times New Roman"/>
          <w:b/>
          <w:szCs w:val="24"/>
        </w:rPr>
      </w:pPr>
      <w:r w:rsidRPr="00627DB1">
        <w:rPr>
          <w:rFonts w:cs="Times New Roman"/>
          <w:b/>
          <w:szCs w:val="24"/>
        </w:rPr>
        <w:t>Otázka 5.5. Měly by být v zákoně vymezeny další účely pro zpracování osobních údajů členů orgánů společnosti (kromě těch, které jsou již v českém právním řádu upraveny)?</w:t>
      </w:r>
    </w:p>
    <w:p w14:paraId="4A1EF6F6" w14:textId="77777777" w:rsidR="00E3578C" w:rsidRDefault="00E3578C" w:rsidP="00A94CA6">
      <w:pPr>
        <w:rPr>
          <w:rFonts w:cs="Times New Roman"/>
          <w:szCs w:val="24"/>
        </w:rPr>
      </w:pPr>
      <w:r>
        <w:rPr>
          <w:rFonts w:cs="Times New Roman"/>
          <w:szCs w:val="24"/>
        </w:rPr>
        <w:t>57 % respondentů shodně uvedlo, že by v zákoně neměly být vymezeny další účely pro</w:t>
      </w:r>
      <w:r w:rsidR="004E36A9">
        <w:rPr>
          <w:rFonts w:cs="Times New Roman"/>
          <w:szCs w:val="24"/>
        </w:rPr>
        <w:t> </w:t>
      </w:r>
      <w:r>
        <w:rPr>
          <w:rFonts w:cs="Times New Roman"/>
          <w:szCs w:val="24"/>
        </w:rPr>
        <w:t>zpracování osobních údajů členů orgánů společnosti.</w:t>
      </w:r>
      <w:r w:rsidR="00F10AF5">
        <w:rPr>
          <w:rFonts w:cs="Times New Roman"/>
          <w:szCs w:val="24"/>
        </w:rPr>
        <w:t xml:space="preserve"> Doporučují držet se minimální transpozice a nerozšiřovat účely pro zpracování osobních údajů.</w:t>
      </w:r>
    </w:p>
    <w:p w14:paraId="20F51DFA" w14:textId="77777777" w:rsidR="00A33CF2" w:rsidRDefault="003E106C" w:rsidP="00A94CA6">
      <w:pPr>
        <w:rPr>
          <w:rFonts w:cs="Times New Roman"/>
          <w:szCs w:val="24"/>
        </w:rPr>
      </w:pPr>
      <w:r>
        <w:rPr>
          <w:rFonts w:cs="Times New Roman"/>
          <w:szCs w:val="24"/>
        </w:rPr>
        <w:t>3 respondenti na tuto otázku neodpověděli.</w:t>
      </w:r>
    </w:p>
    <w:p w14:paraId="768BB4CB" w14:textId="77777777" w:rsidR="00976732" w:rsidRDefault="00976732" w:rsidP="00976732">
      <w:pPr>
        <w:jc w:val="center"/>
        <w:rPr>
          <w:rFonts w:cs="Times New Roman"/>
          <w:szCs w:val="24"/>
        </w:rPr>
      </w:pPr>
      <w:r>
        <w:rPr>
          <w:noProof/>
          <w:lang w:eastAsia="cs-CZ"/>
        </w:rPr>
        <w:lastRenderedPageBreak/>
        <w:drawing>
          <wp:inline distT="0" distB="0" distL="0" distR="0" wp14:anchorId="2E01AE9F" wp14:editId="1194CED9">
            <wp:extent cx="5429250" cy="2743200"/>
            <wp:effectExtent l="0" t="0" r="19050" b="19050"/>
            <wp:docPr id="26" name="Graf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8A3B9B1" w14:textId="77777777" w:rsidR="00A33CF2" w:rsidRPr="00627DB1" w:rsidRDefault="00A33CF2" w:rsidP="00A94CA6">
      <w:pPr>
        <w:rPr>
          <w:rFonts w:cs="Times New Roman"/>
          <w:b/>
          <w:szCs w:val="24"/>
        </w:rPr>
      </w:pPr>
      <w:r w:rsidRPr="00627DB1">
        <w:rPr>
          <w:rFonts w:cs="Times New Roman"/>
          <w:b/>
          <w:szCs w:val="24"/>
        </w:rPr>
        <w:t>Otázka 5.6 Pokud ano, o jaké účely by se mělo jednat a v čem spatřujete potřebnost jejich zakotvení v zákoně?</w:t>
      </w:r>
    </w:p>
    <w:p w14:paraId="6C17B582" w14:textId="77777777" w:rsidR="00450DA0" w:rsidRDefault="00450DA0" w:rsidP="00A94CA6">
      <w:pPr>
        <w:rPr>
          <w:rFonts w:cs="Times New Roman"/>
          <w:szCs w:val="24"/>
        </w:rPr>
      </w:pPr>
      <w:r>
        <w:rPr>
          <w:rFonts w:cs="Times New Roman"/>
          <w:szCs w:val="24"/>
        </w:rPr>
        <w:t>S ohledem na odpověď na předchozí otázku na tuto otázku neodpověděl žádný respondent.</w:t>
      </w:r>
    </w:p>
    <w:p w14:paraId="649B1FE1" w14:textId="77777777" w:rsidR="00A33CF2" w:rsidRPr="00627DB1" w:rsidRDefault="00A33CF2" w:rsidP="00A94CA6">
      <w:pPr>
        <w:rPr>
          <w:b/>
          <w:szCs w:val="24"/>
        </w:rPr>
      </w:pPr>
      <w:r w:rsidRPr="00627DB1">
        <w:rPr>
          <w:b/>
          <w:szCs w:val="24"/>
        </w:rPr>
        <w:t>Otázka 5.7. Měla by Česká republika využít diskreci a v případě malých a středních podniků stanovit, že zpráva o odměňování je pouze předmětem diskuse na valné hromadě?</w:t>
      </w:r>
    </w:p>
    <w:p w14:paraId="2E22EB0F" w14:textId="77777777" w:rsidR="005C2D1B" w:rsidRDefault="005C2D1B" w:rsidP="00A94CA6">
      <w:pPr>
        <w:rPr>
          <w:szCs w:val="24"/>
        </w:rPr>
      </w:pPr>
      <w:r>
        <w:rPr>
          <w:szCs w:val="24"/>
        </w:rPr>
        <w:t xml:space="preserve">Na tuto otázku odpověděli </w:t>
      </w:r>
      <w:r w:rsidR="00564782">
        <w:rPr>
          <w:szCs w:val="24"/>
        </w:rPr>
        <w:t xml:space="preserve">4 </w:t>
      </w:r>
      <w:r>
        <w:rPr>
          <w:szCs w:val="24"/>
        </w:rPr>
        <w:t xml:space="preserve">respondenti. </w:t>
      </w:r>
      <w:r w:rsidR="00564782">
        <w:rPr>
          <w:szCs w:val="24"/>
        </w:rPr>
        <w:t xml:space="preserve">Dva </w:t>
      </w:r>
      <w:r>
        <w:rPr>
          <w:szCs w:val="24"/>
        </w:rPr>
        <w:t>z nich zastáv</w:t>
      </w:r>
      <w:r w:rsidR="00564782">
        <w:rPr>
          <w:szCs w:val="24"/>
        </w:rPr>
        <w:t>ají</w:t>
      </w:r>
      <w:r>
        <w:rPr>
          <w:szCs w:val="24"/>
        </w:rPr>
        <w:t xml:space="preserve"> názor, že by Česká republika měla využít diskreci a v případě malých a středních podniků stanovit, že zpráva o odměňování je pouze předmětem diskuse na valné hromadě</w:t>
      </w:r>
      <w:r w:rsidR="00564782">
        <w:rPr>
          <w:szCs w:val="24"/>
        </w:rPr>
        <w:t>, neboť by měla být zavedena větší flexibilita v případě malých a středních podniků</w:t>
      </w:r>
      <w:r>
        <w:rPr>
          <w:szCs w:val="24"/>
        </w:rPr>
        <w:t>. Ostatní dva respondenti nesouhlasí s využitím této diskrece.</w:t>
      </w:r>
    </w:p>
    <w:p w14:paraId="0CA05CA5" w14:textId="77777777" w:rsidR="00A33CF2" w:rsidRDefault="0097416B" w:rsidP="00A94CA6">
      <w:pPr>
        <w:rPr>
          <w:szCs w:val="24"/>
        </w:rPr>
      </w:pPr>
      <w:r>
        <w:rPr>
          <w:szCs w:val="24"/>
        </w:rPr>
        <w:t xml:space="preserve">3 </w:t>
      </w:r>
      <w:r w:rsidR="003E106C">
        <w:rPr>
          <w:szCs w:val="24"/>
        </w:rPr>
        <w:t>respondenti na tuto otázku neodpověděli.</w:t>
      </w:r>
    </w:p>
    <w:p w14:paraId="7F0ED046" w14:textId="77777777" w:rsidR="0097416B" w:rsidRDefault="0097416B" w:rsidP="004E36A9">
      <w:pPr>
        <w:jc w:val="center"/>
        <w:rPr>
          <w:szCs w:val="24"/>
        </w:rPr>
      </w:pPr>
      <w:r>
        <w:rPr>
          <w:noProof/>
          <w:lang w:eastAsia="cs-CZ"/>
        </w:rPr>
        <w:lastRenderedPageBreak/>
        <w:drawing>
          <wp:inline distT="0" distB="0" distL="0" distR="0" wp14:anchorId="14D02072" wp14:editId="0F795F14">
            <wp:extent cx="5553075" cy="2771775"/>
            <wp:effectExtent l="0" t="0" r="9525" b="9525"/>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658FF51" w14:textId="77777777" w:rsidR="00A33CF2" w:rsidRPr="00627DB1" w:rsidRDefault="00A33CF2" w:rsidP="00A94CA6">
      <w:pPr>
        <w:rPr>
          <w:b/>
          <w:szCs w:val="24"/>
        </w:rPr>
      </w:pPr>
      <w:r w:rsidRPr="00627DB1">
        <w:rPr>
          <w:b/>
          <w:szCs w:val="24"/>
        </w:rPr>
        <w:t>Otázka 5.8. Z jakého důvodu se přikláníte k možnosti vybrané v otázce 5.7.?</w:t>
      </w:r>
    </w:p>
    <w:p w14:paraId="4F47CA39" w14:textId="77777777" w:rsidR="00A33CF2" w:rsidRDefault="005C2D1B" w:rsidP="00A94CA6">
      <w:pPr>
        <w:rPr>
          <w:szCs w:val="24"/>
        </w:rPr>
      </w:pPr>
      <w:r>
        <w:rPr>
          <w:szCs w:val="24"/>
        </w:rPr>
        <w:t>Respondent, který podpořil využití této diskrece</w:t>
      </w:r>
      <w:r w:rsidR="0055736E">
        <w:rPr>
          <w:szCs w:val="24"/>
        </w:rPr>
        <w:t>, uvádí, že pro malé a střední podniky je vypracování zprávy o odměňování nesmyslné a zbytečně administrativně zatěžující.</w:t>
      </w:r>
    </w:p>
    <w:p w14:paraId="1025DA08" w14:textId="3F572693" w:rsidR="000438A6" w:rsidRDefault="002D7D56" w:rsidP="00A94CA6">
      <w:pPr>
        <w:rPr>
          <w:szCs w:val="24"/>
        </w:rPr>
      </w:pPr>
      <w:r>
        <w:rPr>
          <w:szCs w:val="24"/>
        </w:rPr>
        <w:t xml:space="preserve">Ostatní respondenti, kteří nesouhlasí s využitím diskrece, uvedli, že diskuse nemá stanovena žádná pravidla, připomínky či náměty mohou být protichůdné a </w:t>
      </w:r>
      <w:r w:rsidR="000438A6">
        <w:rPr>
          <w:szCs w:val="24"/>
        </w:rPr>
        <w:t xml:space="preserve">z diskuze tak </w:t>
      </w:r>
      <w:r>
        <w:rPr>
          <w:szCs w:val="24"/>
        </w:rPr>
        <w:t>nemusí plynout jednoznačný závěr. Následn</w:t>
      </w:r>
      <w:r w:rsidR="000438A6">
        <w:rPr>
          <w:szCs w:val="24"/>
        </w:rPr>
        <w:t>é</w:t>
      </w:r>
      <w:r>
        <w:rPr>
          <w:szCs w:val="24"/>
        </w:rPr>
        <w:t xml:space="preserve"> zohlednění diskuse ve zprávě </w:t>
      </w:r>
      <w:r w:rsidR="000438A6">
        <w:rPr>
          <w:szCs w:val="24"/>
        </w:rPr>
        <w:t xml:space="preserve">o odměňování </w:t>
      </w:r>
      <w:r>
        <w:rPr>
          <w:szCs w:val="24"/>
        </w:rPr>
        <w:t>může být problematické.</w:t>
      </w:r>
      <w:r w:rsidR="005D1F35">
        <w:rPr>
          <w:szCs w:val="24"/>
        </w:rPr>
        <w:t xml:space="preserve"> Dále uvádí, že využitím diskrece by byla zavedena další kategorie společností s odlišnou úpravou, což by vedlo k znepřehlednění již tak složité právní úpravy odměňování.</w:t>
      </w:r>
      <w:r w:rsidR="000438A6">
        <w:rPr>
          <w:szCs w:val="24"/>
        </w:rPr>
        <w:t xml:space="preserve"> Zároveň je upozorňováno na skutečnost, že zavedení odchylky od poradního hlasování nedává příliš smysl, neboť není zásadní rozdíl mezi tím, zda má hlasování valné hromady o</w:t>
      </w:r>
      <w:r w:rsidR="00BF391A">
        <w:rPr>
          <w:szCs w:val="24"/>
        </w:rPr>
        <w:t> </w:t>
      </w:r>
      <w:r w:rsidR="000438A6">
        <w:rPr>
          <w:szCs w:val="24"/>
        </w:rPr>
        <w:t xml:space="preserve">určité otázce pouze poradní funkci, a tím, zda o určité otázce valná hromada jen diskutuje. </w:t>
      </w:r>
    </w:p>
    <w:p w14:paraId="172A18E9" w14:textId="77777777" w:rsidR="00766E3B" w:rsidRDefault="002D7D56" w:rsidP="00A94CA6">
      <w:pPr>
        <w:rPr>
          <w:szCs w:val="24"/>
        </w:rPr>
      </w:pPr>
      <w:r>
        <w:rPr>
          <w:szCs w:val="24"/>
        </w:rPr>
        <w:t>3</w:t>
      </w:r>
      <w:r w:rsidR="009502C7">
        <w:rPr>
          <w:szCs w:val="24"/>
        </w:rPr>
        <w:t xml:space="preserve"> respondenti na tuto otázku neodpověděli.</w:t>
      </w:r>
    </w:p>
    <w:p w14:paraId="450A585E" w14:textId="77777777" w:rsidR="0009704B" w:rsidRDefault="0009704B">
      <w:pPr>
        <w:spacing w:line="276" w:lineRule="auto"/>
        <w:jc w:val="left"/>
        <w:rPr>
          <w:b/>
          <w:szCs w:val="24"/>
        </w:rPr>
      </w:pPr>
      <w:r>
        <w:rPr>
          <w:b/>
          <w:szCs w:val="24"/>
        </w:rPr>
        <w:br w:type="page"/>
      </w:r>
    </w:p>
    <w:p w14:paraId="38ECF10E" w14:textId="77777777" w:rsidR="00AE4A2C" w:rsidRPr="00304DD0" w:rsidRDefault="00AE4A2C" w:rsidP="00AE4A2C">
      <w:pPr>
        <w:pStyle w:val="Otzka"/>
        <w:spacing w:before="360"/>
        <w:jc w:val="center"/>
        <w:outlineLvl w:val="1"/>
        <w:rPr>
          <w:b/>
          <w:sz w:val="32"/>
          <w:szCs w:val="32"/>
        </w:rPr>
      </w:pPr>
      <w:bookmarkStart w:id="7" w:name="_Toc491249989"/>
      <w:r w:rsidRPr="00304DD0">
        <w:rPr>
          <w:b/>
          <w:sz w:val="32"/>
          <w:szCs w:val="32"/>
        </w:rPr>
        <w:lastRenderedPageBreak/>
        <w:t xml:space="preserve">KAPITOLA V. – </w:t>
      </w:r>
      <w:r>
        <w:rPr>
          <w:b/>
          <w:caps/>
          <w:sz w:val="32"/>
          <w:szCs w:val="32"/>
        </w:rPr>
        <w:t>Transparentnost a </w:t>
      </w:r>
      <w:r w:rsidRPr="00304DD0">
        <w:rPr>
          <w:b/>
          <w:caps/>
          <w:sz w:val="32"/>
          <w:szCs w:val="32"/>
        </w:rPr>
        <w:t>schvalování transakcí se spřízněnými stranami</w:t>
      </w:r>
      <w:bookmarkEnd w:id="7"/>
    </w:p>
    <w:p w14:paraId="74E876EE" w14:textId="77777777" w:rsidR="00AE4A2C" w:rsidRDefault="00AE4A2C" w:rsidP="00AE4A2C">
      <w:pPr>
        <w:rPr>
          <w:b/>
          <w:szCs w:val="24"/>
        </w:rPr>
      </w:pPr>
      <w:r w:rsidRPr="00627DB1">
        <w:rPr>
          <w:b/>
          <w:szCs w:val="24"/>
        </w:rPr>
        <w:t>Otázka 6.1. Na čem by mělo být založeno vymezení významných transakcí v České republice?</w:t>
      </w:r>
    </w:p>
    <w:p w14:paraId="1527884B" w14:textId="77777777" w:rsidR="00AE4A2C" w:rsidRPr="00A26712" w:rsidRDefault="00AE4A2C" w:rsidP="00AE4A2C">
      <w:pPr>
        <w:rPr>
          <w:szCs w:val="24"/>
        </w:rPr>
      </w:pPr>
      <w:r w:rsidRPr="00A26712">
        <w:rPr>
          <w:szCs w:val="24"/>
        </w:rPr>
        <w:t>Na tuto otázku odpovědělo 57 % respondentů, z nichž polovina se domnívá, že by vymezení významných transakcí v České republice mělo být založeno na povaze transakce a postavení spřízněné strany. Druhá polovina by vymezila významné transakce podle kvantitativních ukazatelů.</w:t>
      </w:r>
    </w:p>
    <w:p w14:paraId="28A4543A" w14:textId="77777777" w:rsidR="00AE4A2C" w:rsidRDefault="00AE4A2C" w:rsidP="00AE4A2C">
      <w:pPr>
        <w:rPr>
          <w:szCs w:val="24"/>
        </w:rPr>
      </w:pPr>
      <w:r>
        <w:rPr>
          <w:szCs w:val="24"/>
        </w:rPr>
        <w:t>3 respondenti na tuto otázku neodpověděli.</w:t>
      </w:r>
    </w:p>
    <w:p w14:paraId="43400AA3" w14:textId="4498361E" w:rsidR="00AE4A2C" w:rsidRDefault="00A135E6" w:rsidP="00AE4A2C">
      <w:pPr>
        <w:jc w:val="center"/>
        <w:rPr>
          <w:szCs w:val="24"/>
        </w:rPr>
      </w:pPr>
      <w:r>
        <w:rPr>
          <w:noProof/>
          <w:lang w:eastAsia="cs-CZ"/>
        </w:rPr>
        <w:drawing>
          <wp:inline distT="0" distB="0" distL="0" distR="0" wp14:anchorId="1E60FCCF" wp14:editId="6E79B178">
            <wp:extent cx="5048250" cy="2847975"/>
            <wp:effectExtent l="0" t="0" r="19050" b="9525"/>
            <wp:docPr id="27" name="Graf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AE4F9B1" w14:textId="77777777" w:rsidR="00AE4A2C" w:rsidRPr="00627DB1" w:rsidRDefault="00AE4A2C" w:rsidP="00AE4A2C">
      <w:pPr>
        <w:rPr>
          <w:b/>
          <w:szCs w:val="24"/>
        </w:rPr>
      </w:pPr>
      <w:r w:rsidRPr="00627DB1">
        <w:rPr>
          <w:b/>
          <w:szCs w:val="24"/>
        </w:rPr>
        <w:t>Otázka 6.2. Z jakého důvodu se přikláníte k možnosti vybrané v otázce 6.1.?</w:t>
      </w:r>
    </w:p>
    <w:p w14:paraId="0D4BB30D" w14:textId="4D541727" w:rsidR="00AE4A2C" w:rsidRDefault="00AE4A2C" w:rsidP="00AE4A2C">
      <w:pPr>
        <w:rPr>
          <w:szCs w:val="24"/>
        </w:rPr>
      </w:pPr>
      <w:r>
        <w:rPr>
          <w:szCs w:val="24"/>
        </w:rPr>
        <w:t xml:space="preserve">Povaha transakce a postavení spřízněné strany, jak uvádí dva respondenti, jsou pro společnost lépe zjistitelné. Tento ukazatel bude vhodným kritériem, pokud bude úprava současně doplněna o výjimku ze schvalování a uveřejňování transakcí v případě transakcí uzavíraných v rámci běžného obchodního styku a za běžných tržních podmínek. Naopak </w:t>
      </w:r>
      <w:r w:rsidR="00795121">
        <w:rPr>
          <w:szCs w:val="24"/>
        </w:rPr>
        <w:t>v případě volby</w:t>
      </w:r>
      <w:r>
        <w:rPr>
          <w:szCs w:val="24"/>
        </w:rPr>
        <w:t xml:space="preserve"> kvantitativních ukazatelů pro vymezení významných transakcí </w:t>
      </w:r>
      <w:r w:rsidR="00DE6D39">
        <w:rPr>
          <w:szCs w:val="24"/>
        </w:rPr>
        <w:t xml:space="preserve">respondent </w:t>
      </w:r>
      <w:r>
        <w:rPr>
          <w:szCs w:val="24"/>
        </w:rPr>
        <w:t>upozorňuje, že u</w:t>
      </w:r>
      <w:r w:rsidR="00DE6D39">
        <w:t> </w:t>
      </w:r>
      <w:r>
        <w:rPr>
          <w:szCs w:val="24"/>
        </w:rPr>
        <w:t>jakýchkoliv pevných limitů více hrozí jejich obcházení, či jen čistě formální dodržování (transakce v hodnotě 1 Kč pod limitem).</w:t>
      </w:r>
    </w:p>
    <w:p w14:paraId="2C20B298" w14:textId="0CC7BD87" w:rsidR="00AE4A2C" w:rsidRDefault="00AE4A2C" w:rsidP="00AE4A2C">
      <w:pPr>
        <w:rPr>
          <w:szCs w:val="24"/>
        </w:rPr>
      </w:pPr>
      <w:r>
        <w:rPr>
          <w:szCs w:val="24"/>
        </w:rPr>
        <w:lastRenderedPageBreak/>
        <w:t>Respondenti, kteří uvedli jako možnost kvantitativní ukazatele, tuto možnost odůvodnili její jednoznačnou měřitelností. Doporučují tento ukazatel pouze za předpokladu, že budou vyloučeny transakce, které neohrožují akcionáře.</w:t>
      </w:r>
    </w:p>
    <w:p w14:paraId="7D7045E2" w14:textId="77777777" w:rsidR="00AE4A2C" w:rsidRDefault="00AE4A2C" w:rsidP="00AE4A2C">
      <w:pPr>
        <w:rPr>
          <w:szCs w:val="24"/>
        </w:rPr>
      </w:pPr>
      <w:r>
        <w:rPr>
          <w:szCs w:val="24"/>
        </w:rPr>
        <w:t>3 respondenti na tuto otázku neodpověděli.</w:t>
      </w:r>
    </w:p>
    <w:p w14:paraId="5735F90B" w14:textId="77777777" w:rsidR="00AE4A2C" w:rsidRDefault="00AE4A2C" w:rsidP="00AE4A2C">
      <w:pPr>
        <w:rPr>
          <w:b/>
          <w:szCs w:val="24"/>
        </w:rPr>
      </w:pPr>
      <w:r w:rsidRPr="00627DB1">
        <w:rPr>
          <w:b/>
          <w:szCs w:val="24"/>
        </w:rPr>
        <w:t>Otázka 6.3. Pokud by mělo být zvoleno kritérium „povaha transakce a postavení spřízněné strany“ – jaké transakce by měly být významné?</w:t>
      </w:r>
    </w:p>
    <w:p w14:paraId="4CA00445" w14:textId="77777777" w:rsidR="00AE4A2C" w:rsidRDefault="00AE4A2C" w:rsidP="00AE4A2C">
      <w:pPr>
        <w:rPr>
          <w:szCs w:val="24"/>
        </w:rPr>
      </w:pPr>
      <w:r w:rsidRPr="00C9631E">
        <w:rPr>
          <w:szCs w:val="24"/>
        </w:rPr>
        <w:t xml:space="preserve">Na tuto otázku odpověděli pouze dva respondenti, kteří shodně jako významné transakce uvádí </w:t>
      </w:r>
      <w:r>
        <w:rPr>
          <w:szCs w:val="24"/>
        </w:rPr>
        <w:t xml:space="preserve">poskytnutí úvěru, </w:t>
      </w:r>
      <w:r w:rsidRPr="00C9631E">
        <w:rPr>
          <w:szCs w:val="24"/>
        </w:rPr>
        <w:t>poskytnutí zápůjčky, zajištění dluhu, převod majetku společnost</w:t>
      </w:r>
      <w:r>
        <w:rPr>
          <w:szCs w:val="24"/>
        </w:rPr>
        <w:t>i</w:t>
      </w:r>
      <w:r w:rsidRPr="00C9631E">
        <w:rPr>
          <w:szCs w:val="24"/>
        </w:rPr>
        <w:t>, převod závodu nebo jeho části, zastavení závodu nebo jeho části a pacht závodu nebo jeho části. Jeden z respondentů jako jinou možnost uvedl převzetí dluhu</w:t>
      </w:r>
      <w:r>
        <w:rPr>
          <w:szCs w:val="24"/>
        </w:rPr>
        <w:t xml:space="preserve"> a připustil existenci dalších transakcí, jež by měly vzejít z empirického podkladu</w:t>
      </w:r>
      <w:r w:rsidRPr="00C9631E">
        <w:rPr>
          <w:szCs w:val="24"/>
        </w:rPr>
        <w:t>.</w:t>
      </w:r>
    </w:p>
    <w:p w14:paraId="31D0ACC6" w14:textId="77777777" w:rsidR="00AE4A2C" w:rsidRDefault="00AE4A2C" w:rsidP="00AE4A2C">
      <w:pPr>
        <w:rPr>
          <w:szCs w:val="24"/>
        </w:rPr>
      </w:pPr>
      <w:r>
        <w:rPr>
          <w:szCs w:val="24"/>
        </w:rPr>
        <w:t>5 respondentů na tuto otázku neodpovědělo.</w:t>
      </w:r>
    </w:p>
    <w:p w14:paraId="2D80FC60" w14:textId="6CC43922" w:rsidR="00AE4A2C" w:rsidRDefault="00795121" w:rsidP="00AE4A2C">
      <w:pPr>
        <w:jc w:val="center"/>
        <w:rPr>
          <w:szCs w:val="24"/>
        </w:rPr>
      </w:pPr>
      <w:r>
        <w:rPr>
          <w:noProof/>
          <w:lang w:eastAsia="cs-CZ"/>
        </w:rPr>
        <w:drawing>
          <wp:inline distT="0" distB="0" distL="0" distR="0" wp14:anchorId="3ED0C17E" wp14:editId="17D27588">
            <wp:extent cx="5316142" cy="3127772"/>
            <wp:effectExtent l="0" t="0" r="18415" b="15875"/>
            <wp:docPr id="48" name="Graf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85EBD8D" w14:textId="77777777" w:rsidR="00AE4A2C" w:rsidRDefault="00AE4A2C" w:rsidP="00AE4A2C">
      <w:pPr>
        <w:rPr>
          <w:b/>
          <w:szCs w:val="24"/>
        </w:rPr>
      </w:pPr>
      <w:r w:rsidRPr="00627DB1">
        <w:rPr>
          <w:b/>
          <w:szCs w:val="24"/>
        </w:rPr>
        <w:t>Otázka 6.4. Pokud by mělo být zvoleno kritérium „povaha transakce a postavení spřízněné strany“ – transakce se kterými spřízněnými stranami by měly podléhat schválení?</w:t>
      </w:r>
    </w:p>
    <w:p w14:paraId="759A996B" w14:textId="47609944" w:rsidR="00AE4A2C" w:rsidRPr="0078354C" w:rsidRDefault="00AE4A2C" w:rsidP="00AE4A2C">
      <w:pPr>
        <w:rPr>
          <w:szCs w:val="24"/>
        </w:rPr>
      </w:pPr>
      <w:r w:rsidRPr="0078354C">
        <w:rPr>
          <w:szCs w:val="24"/>
        </w:rPr>
        <w:t xml:space="preserve">Na tuto otázku </w:t>
      </w:r>
      <w:r>
        <w:rPr>
          <w:szCs w:val="24"/>
        </w:rPr>
        <w:t xml:space="preserve">rovněž </w:t>
      </w:r>
      <w:r w:rsidRPr="0078354C">
        <w:rPr>
          <w:szCs w:val="24"/>
        </w:rPr>
        <w:t xml:space="preserve">odpověděli dva respondenti, kteří jako spřízněné strany, s nimiž by </w:t>
      </w:r>
      <w:r w:rsidR="00292D1B">
        <w:rPr>
          <w:szCs w:val="24"/>
        </w:rPr>
        <w:t xml:space="preserve">uzavírané </w:t>
      </w:r>
      <w:r w:rsidRPr="0078354C">
        <w:rPr>
          <w:szCs w:val="24"/>
        </w:rPr>
        <w:t xml:space="preserve">transakce měly podléhat schválení, </w:t>
      </w:r>
      <w:r>
        <w:rPr>
          <w:szCs w:val="24"/>
        </w:rPr>
        <w:t xml:space="preserve">shodně </w:t>
      </w:r>
      <w:r w:rsidRPr="0078354C">
        <w:rPr>
          <w:szCs w:val="24"/>
        </w:rPr>
        <w:t xml:space="preserve">uvedli člena voleného orgánu (představenstva, dozorčí rady, správní rady, statutárního ředitele dobrovolně zřízeného </w:t>
      </w:r>
      <w:r w:rsidRPr="0078354C">
        <w:rPr>
          <w:szCs w:val="24"/>
        </w:rPr>
        <w:lastRenderedPageBreak/>
        <w:t>orgánu), generálního ředitele, akcionáře, který je spřízněnou stranou, a vlivnou nebo ovládající osobu (jeden z respondentů je pouze pro ovládající osobu).</w:t>
      </w:r>
      <w:r>
        <w:rPr>
          <w:szCs w:val="24"/>
        </w:rPr>
        <w:t xml:space="preserve"> Následně pak vždy jen jeden z nich označil osoby ovládané stejnou ovládající osobou, řídicí osobu, osoby tvořící koncern, osoby blízké všech výše uvedených osob, osoby blízké členů volených orgánů. Jeden respondent využil i možnosti označit jiné spřízněné strany, kdy uvedl osoby jednající ve shodě s osobami výše uvedenými.</w:t>
      </w:r>
    </w:p>
    <w:p w14:paraId="46FC9DD9" w14:textId="77777777" w:rsidR="00AE4A2C" w:rsidRDefault="00AE4A2C" w:rsidP="00AE4A2C">
      <w:pPr>
        <w:rPr>
          <w:szCs w:val="24"/>
        </w:rPr>
      </w:pPr>
      <w:r>
        <w:rPr>
          <w:szCs w:val="24"/>
        </w:rPr>
        <w:t>5 respondentů na tuto otázku neodpovědělo.</w:t>
      </w:r>
    </w:p>
    <w:p w14:paraId="644070F6" w14:textId="77777777" w:rsidR="00AE4A2C" w:rsidRDefault="00AE4A2C" w:rsidP="00AE4A2C">
      <w:pPr>
        <w:jc w:val="center"/>
        <w:rPr>
          <w:szCs w:val="24"/>
        </w:rPr>
      </w:pPr>
      <w:r>
        <w:rPr>
          <w:noProof/>
          <w:lang w:eastAsia="cs-CZ"/>
        </w:rPr>
        <w:drawing>
          <wp:inline distT="0" distB="0" distL="0" distR="0" wp14:anchorId="7C6D4356" wp14:editId="06BD3248">
            <wp:extent cx="5357813" cy="3425430"/>
            <wp:effectExtent l="0" t="0" r="14605" b="22860"/>
            <wp:docPr id="30" name="Graf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73A731F" w14:textId="6C335CE4" w:rsidR="00AE4A2C" w:rsidRPr="00627DB1" w:rsidRDefault="00AE4A2C" w:rsidP="00AE4A2C">
      <w:pPr>
        <w:rPr>
          <w:b/>
          <w:szCs w:val="24"/>
        </w:rPr>
      </w:pPr>
      <w:r w:rsidRPr="00627DB1">
        <w:rPr>
          <w:b/>
          <w:szCs w:val="24"/>
        </w:rPr>
        <w:t>Otázka 6.5. Pokud by měly podléhat schválení pouze určité kombinace transakcí a</w:t>
      </w:r>
      <w:r w:rsidR="00DE6D39">
        <w:rPr>
          <w:b/>
          <w:szCs w:val="24"/>
        </w:rPr>
        <w:t> </w:t>
      </w:r>
      <w:r w:rsidRPr="00627DB1">
        <w:rPr>
          <w:b/>
          <w:szCs w:val="24"/>
        </w:rPr>
        <w:t>konkrétních spřízněných stran (viz otázky 6.3. a 6.4., například pouze poskytnutí úvěru členu voleného orgánu, nikoli však řídící osobě), uveďte je:</w:t>
      </w:r>
    </w:p>
    <w:p w14:paraId="385F395D" w14:textId="77777777" w:rsidR="00AE4A2C" w:rsidRDefault="00AE4A2C" w:rsidP="00AE4A2C">
      <w:pPr>
        <w:rPr>
          <w:szCs w:val="24"/>
        </w:rPr>
      </w:pPr>
      <w:r>
        <w:rPr>
          <w:szCs w:val="24"/>
        </w:rPr>
        <w:t>Na tuto otázku neodpověděl žádný respondent.</w:t>
      </w:r>
    </w:p>
    <w:p w14:paraId="38287B1A" w14:textId="77777777" w:rsidR="00AE4A2C" w:rsidRDefault="00AE4A2C" w:rsidP="00AE4A2C">
      <w:pPr>
        <w:rPr>
          <w:b/>
          <w:szCs w:val="24"/>
        </w:rPr>
      </w:pPr>
      <w:r w:rsidRPr="00627DB1">
        <w:rPr>
          <w:b/>
          <w:szCs w:val="24"/>
        </w:rPr>
        <w:t>Otázka 6.6. Pokud by mělo být zvoleno kritérium „kvantitativního ukazatele“ – jaké kvantitativní ukazatele (jednoho nebo více) by měla Česká republika využít při vymezení významných transakcí?</w:t>
      </w:r>
    </w:p>
    <w:p w14:paraId="040777E1" w14:textId="77777777" w:rsidR="00AE4A2C" w:rsidRPr="00BE1F42" w:rsidRDefault="00AE4A2C" w:rsidP="00AE4A2C">
      <w:pPr>
        <w:rPr>
          <w:szCs w:val="24"/>
        </w:rPr>
      </w:pPr>
      <w:r w:rsidRPr="00BE1F42">
        <w:rPr>
          <w:szCs w:val="24"/>
        </w:rPr>
        <w:t>Na tuto otázku odpověděli dva respondenti, z nichž jeden respondent uvedl jako kvantitativní ukazatel aktiva a druhý respondent uvedl vlastní kapitál.</w:t>
      </w:r>
    </w:p>
    <w:p w14:paraId="2D8EA7A4" w14:textId="77777777" w:rsidR="00AE4A2C" w:rsidRDefault="00AE4A2C" w:rsidP="00AE4A2C">
      <w:pPr>
        <w:rPr>
          <w:szCs w:val="24"/>
        </w:rPr>
      </w:pPr>
      <w:r>
        <w:rPr>
          <w:szCs w:val="24"/>
        </w:rPr>
        <w:t>5 respondentů na tuto otázku neodpovědělo.</w:t>
      </w:r>
    </w:p>
    <w:p w14:paraId="54C1FB32" w14:textId="77777777" w:rsidR="00AE4A2C" w:rsidRDefault="00AE4A2C" w:rsidP="00AE4A2C">
      <w:pPr>
        <w:jc w:val="center"/>
        <w:rPr>
          <w:szCs w:val="24"/>
        </w:rPr>
      </w:pPr>
      <w:r>
        <w:rPr>
          <w:noProof/>
          <w:lang w:eastAsia="cs-CZ"/>
        </w:rPr>
        <w:lastRenderedPageBreak/>
        <w:drawing>
          <wp:inline distT="0" distB="0" distL="0" distR="0" wp14:anchorId="233EA756" wp14:editId="35A6440B">
            <wp:extent cx="5181600" cy="2743200"/>
            <wp:effectExtent l="0" t="0" r="19050" b="19050"/>
            <wp:docPr id="31" name="Graf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0CE84FB" w14:textId="77777777" w:rsidR="00AE4A2C" w:rsidRDefault="00AE4A2C" w:rsidP="00AE4A2C">
      <w:pPr>
        <w:rPr>
          <w:b/>
          <w:szCs w:val="24"/>
        </w:rPr>
      </w:pPr>
      <w:r>
        <w:rPr>
          <w:szCs w:val="24"/>
        </w:rPr>
        <w:t xml:space="preserve"> </w:t>
      </w:r>
      <w:r w:rsidRPr="00627DB1">
        <w:rPr>
          <w:b/>
          <w:szCs w:val="24"/>
        </w:rPr>
        <w:t>Otázka 6.7. V případě, že jste zvolili v otázce 6.6. více ukazatelů, v jakém poměru by měly být?</w:t>
      </w:r>
    </w:p>
    <w:p w14:paraId="7DD06686" w14:textId="77777777" w:rsidR="00AE4A2C" w:rsidRDefault="00AE4A2C" w:rsidP="00AE4A2C">
      <w:pPr>
        <w:rPr>
          <w:szCs w:val="24"/>
        </w:rPr>
      </w:pPr>
      <w:r>
        <w:rPr>
          <w:szCs w:val="24"/>
        </w:rPr>
        <w:t>Na tuto otázku neodpověděl žádný respondent.</w:t>
      </w:r>
    </w:p>
    <w:p w14:paraId="3EFA1E9D" w14:textId="77777777" w:rsidR="00AE4A2C" w:rsidRPr="00627DB1" w:rsidRDefault="00AE4A2C" w:rsidP="00AE4A2C">
      <w:pPr>
        <w:rPr>
          <w:b/>
          <w:szCs w:val="24"/>
        </w:rPr>
      </w:pPr>
      <w:r w:rsidRPr="00627DB1">
        <w:rPr>
          <w:b/>
          <w:szCs w:val="24"/>
        </w:rPr>
        <w:t>Otázka 6.8. Jaká by měla být hraniční hodnota pro významné transakce?</w:t>
      </w:r>
    </w:p>
    <w:p w14:paraId="1C75314C" w14:textId="77777777" w:rsidR="00AE4A2C" w:rsidRDefault="00AE4A2C" w:rsidP="00AE4A2C">
      <w:pPr>
        <w:rPr>
          <w:szCs w:val="24"/>
        </w:rPr>
      </w:pPr>
      <w:r>
        <w:rPr>
          <w:szCs w:val="24"/>
        </w:rPr>
        <w:t>Jeden respondent jako hraniční hodnotu uvedl alespoň 10 % s tím, že by rozhodně měla být určena hraniční hodnota. Dva respondenti jako hraniční hodnotu pro významné transakce uvedli 20 %. Jeden respondent uvedl, že nedoporučuje využít kvantitativní ukazatele, neboť i např. minimální 3 % kritérium bude znamenat, že v zásadě všechny transakce mezi členem orgánu a společností budou mimo zvláštní režim. Současně nelze obecně odpovědět, jaká jiná hraniční hodnota je vhodná pro významné transakce, neboť to záleží na volbě kvantitativního ukazatele, na velikosti společnosti a na tom, zda bude kombinováno více kvantitativních ukazatelů.</w:t>
      </w:r>
    </w:p>
    <w:p w14:paraId="56F0F64B" w14:textId="77777777" w:rsidR="00AE4A2C" w:rsidRDefault="00AE4A2C" w:rsidP="00AE4A2C">
      <w:pPr>
        <w:rPr>
          <w:szCs w:val="24"/>
        </w:rPr>
      </w:pPr>
      <w:r>
        <w:rPr>
          <w:szCs w:val="24"/>
        </w:rPr>
        <w:t>3 respondenti na tuto otázku neodpověděli.</w:t>
      </w:r>
    </w:p>
    <w:p w14:paraId="7525723C" w14:textId="5C33DD3B" w:rsidR="00AE4A2C" w:rsidRDefault="00CC2DA5" w:rsidP="00AE4A2C">
      <w:pPr>
        <w:jc w:val="center"/>
        <w:rPr>
          <w:szCs w:val="24"/>
        </w:rPr>
      </w:pPr>
      <w:r>
        <w:rPr>
          <w:noProof/>
          <w:lang w:eastAsia="cs-CZ"/>
        </w:rPr>
        <w:lastRenderedPageBreak/>
        <w:drawing>
          <wp:inline distT="0" distB="0" distL="0" distR="0" wp14:anchorId="4CBB1027" wp14:editId="3F677B57">
            <wp:extent cx="4572000" cy="2743200"/>
            <wp:effectExtent l="0" t="0" r="19050" b="19050"/>
            <wp:docPr id="49" name="Graf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89C6394" w14:textId="77777777" w:rsidR="00AE4A2C" w:rsidRPr="00627DB1" w:rsidRDefault="00AE4A2C" w:rsidP="00AE4A2C">
      <w:pPr>
        <w:rPr>
          <w:rFonts w:cs="Times New Roman"/>
          <w:b/>
        </w:rPr>
      </w:pPr>
      <w:r w:rsidRPr="00627DB1">
        <w:rPr>
          <w:rFonts w:cs="Times New Roman"/>
          <w:b/>
        </w:rPr>
        <w:t>Otázka 6.9. Měla by Česká republika rozlišovat vymezení významných transakcí podle velikosti společnosti?</w:t>
      </w:r>
    </w:p>
    <w:p w14:paraId="62A5014D" w14:textId="3919576A" w:rsidR="00AE4A2C" w:rsidRDefault="00AE4A2C" w:rsidP="00AE4A2C">
      <w:pPr>
        <w:rPr>
          <w:rFonts w:cs="Times New Roman"/>
        </w:rPr>
      </w:pPr>
      <w:r>
        <w:rPr>
          <w:rFonts w:cs="Times New Roman"/>
        </w:rPr>
        <w:t>Na tuto otázku odpovědělo 57 % respondentů. 14 % se domnívá, že by Česká republika měla rozlišovat vymezení významných transakcí podle velikosti společnosti. 43 % naopak uvádí, že by Česká republika neměla rozlišovat vymezení významných transakcí podle velikosti společnosti, k čemuž jeden z respondentů dodává, že v případě volby kvantitativních ukazatelů však dává smysl rozlišovat významné transakce v závislosti na velikosti společnosti.</w:t>
      </w:r>
    </w:p>
    <w:p w14:paraId="6F2FCD52" w14:textId="77777777" w:rsidR="00AE4A2C" w:rsidRDefault="00AE4A2C" w:rsidP="00AE4A2C">
      <w:pPr>
        <w:rPr>
          <w:rFonts w:cs="Times New Roman"/>
        </w:rPr>
      </w:pPr>
      <w:r>
        <w:rPr>
          <w:rFonts w:cs="Times New Roman"/>
        </w:rPr>
        <w:t>43 % respondentů na tuto otázku neodpovědělo.</w:t>
      </w:r>
    </w:p>
    <w:p w14:paraId="17E4C7A4" w14:textId="77777777" w:rsidR="00AE4A2C" w:rsidRDefault="00AE4A2C" w:rsidP="00AE4A2C">
      <w:pPr>
        <w:jc w:val="center"/>
        <w:rPr>
          <w:rFonts w:cs="Times New Roman"/>
        </w:rPr>
      </w:pPr>
      <w:r>
        <w:rPr>
          <w:noProof/>
          <w:lang w:eastAsia="cs-CZ"/>
        </w:rPr>
        <w:drawing>
          <wp:inline distT="0" distB="0" distL="0" distR="0" wp14:anchorId="76A9FA7A" wp14:editId="71FB125A">
            <wp:extent cx="5153025" cy="2743200"/>
            <wp:effectExtent l="0" t="0" r="9525" b="19050"/>
            <wp:docPr id="33" name="Graf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ECB9401" w14:textId="77777777" w:rsidR="00AE4A2C" w:rsidRDefault="00AE4A2C" w:rsidP="00AE4A2C">
      <w:pPr>
        <w:rPr>
          <w:rFonts w:cs="Times New Roman"/>
          <w:b/>
        </w:rPr>
      </w:pPr>
    </w:p>
    <w:p w14:paraId="22F9B166" w14:textId="77777777" w:rsidR="00AE4A2C" w:rsidRPr="00627DB1" w:rsidRDefault="00AE4A2C" w:rsidP="00AE4A2C">
      <w:pPr>
        <w:rPr>
          <w:rFonts w:cs="Times New Roman"/>
          <w:b/>
        </w:rPr>
      </w:pPr>
      <w:r w:rsidRPr="00627DB1">
        <w:rPr>
          <w:rFonts w:cs="Times New Roman"/>
          <w:b/>
        </w:rPr>
        <w:lastRenderedPageBreak/>
        <w:t>Otázka 6.10. V případě, že by Česká republika měla rozlišovat vymezení významných transakcí podle velikosti společnosti, jak by měly být určeny hraniční hodnoty?</w:t>
      </w:r>
    </w:p>
    <w:p w14:paraId="60175106" w14:textId="77777777" w:rsidR="00AE4A2C" w:rsidRDefault="00AE4A2C" w:rsidP="00AE4A2C">
      <w:pPr>
        <w:rPr>
          <w:color w:val="000000"/>
          <w:szCs w:val="24"/>
        </w:rPr>
      </w:pPr>
      <w:r>
        <w:rPr>
          <w:rFonts w:cs="Times New Roman"/>
        </w:rPr>
        <w:t>Na tuto otázku odpověděli 2 respondenti. První uvedl, že by se hraniční hodnoty m</w:t>
      </w:r>
      <w:r w:rsidRPr="00D66F8F">
        <w:rPr>
          <w:color w:val="000000"/>
          <w:szCs w:val="24"/>
        </w:rPr>
        <w:t>ěly rozlišovat podle kategorií účetních jednotek (§ 1b zákona č. 563/1991 Sb., o účetnictví</w:t>
      </w:r>
      <w:r>
        <w:rPr>
          <w:color w:val="000000"/>
          <w:szCs w:val="24"/>
        </w:rPr>
        <w:t>, ve znění pozdějších přepisů</w:t>
      </w:r>
      <w:r w:rsidRPr="00D66F8F">
        <w:rPr>
          <w:color w:val="000000"/>
          <w:szCs w:val="24"/>
        </w:rPr>
        <w:t>) – pouze na 2 skupiny: vel</w:t>
      </w:r>
      <w:r>
        <w:rPr>
          <w:color w:val="000000"/>
          <w:szCs w:val="24"/>
        </w:rPr>
        <w:t>ké a ostatní, a to v zájmu přehlednosti právní úpravy a srozumitelné aplikace.</w:t>
      </w:r>
    </w:p>
    <w:p w14:paraId="798C2B24" w14:textId="77777777" w:rsidR="00AE4A2C" w:rsidRDefault="00AE4A2C" w:rsidP="00AE4A2C">
      <w:pPr>
        <w:rPr>
          <w:color w:val="000000"/>
          <w:szCs w:val="24"/>
        </w:rPr>
      </w:pPr>
      <w:r>
        <w:rPr>
          <w:color w:val="000000"/>
          <w:szCs w:val="24"/>
        </w:rPr>
        <w:t>Druhý respondent pouze uvedl, že rozlišování podle kategorií účetních jednotek je možné.</w:t>
      </w:r>
    </w:p>
    <w:p w14:paraId="11600DB9" w14:textId="77777777" w:rsidR="00AE4A2C" w:rsidRDefault="00AE4A2C" w:rsidP="00AE4A2C">
      <w:pPr>
        <w:shd w:val="clear" w:color="auto" w:fill="FFFFFF"/>
        <w:spacing w:before="40" w:after="40"/>
        <w:rPr>
          <w:color w:val="000000"/>
          <w:szCs w:val="24"/>
        </w:rPr>
      </w:pPr>
      <w:r>
        <w:rPr>
          <w:rFonts w:cs="Times New Roman"/>
        </w:rPr>
        <w:t>5 respondentů na tuto otázku neodpovědělo.</w:t>
      </w:r>
    </w:p>
    <w:p w14:paraId="2CFB3F9C" w14:textId="77777777" w:rsidR="00AE4A2C" w:rsidRPr="007B2033" w:rsidRDefault="00AE4A2C" w:rsidP="00AE4A2C">
      <w:pPr>
        <w:shd w:val="clear" w:color="auto" w:fill="FFFFFF"/>
        <w:spacing w:before="40" w:after="40"/>
        <w:rPr>
          <w:color w:val="000000"/>
          <w:szCs w:val="24"/>
        </w:rPr>
      </w:pPr>
      <w:r w:rsidRPr="00627DB1">
        <w:rPr>
          <w:rFonts w:cs="Times New Roman"/>
          <w:b/>
        </w:rPr>
        <w:t xml:space="preserve">Otázka 6.11. Měla by Česká republika rozlišovat vymezení významných transakcí pro účely uveřejnění (nový čl. 9c odst. 2) a schvalování (nový čl. 9c odst. 4)? </w:t>
      </w:r>
    </w:p>
    <w:p w14:paraId="3DC40F80" w14:textId="77777777" w:rsidR="00AE4A2C" w:rsidRDefault="00AE4A2C" w:rsidP="00AE4A2C">
      <w:pPr>
        <w:rPr>
          <w:rFonts w:cs="Times New Roman"/>
          <w:szCs w:val="24"/>
        </w:rPr>
      </w:pPr>
      <w:r>
        <w:rPr>
          <w:rFonts w:cs="Times New Roman"/>
          <w:szCs w:val="24"/>
        </w:rPr>
        <w:t>Všichni respondenti, kteří odpověděli na tuto otázku, tedy 43 %, shodně uvedli, že by Česká republika neměla rozlišovat vymezení významných transakcí pro účely uveřejnění a schvalování.</w:t>
      </w:r>
    </w:p>
    <w:p w14:paraId="25937473" w14:textId="77777777" w:rsidR="00AE4A2C" w:rsidRDefault="00AE4A2C" w:rsidP="00AE4A2C">
      <w:pPr>
        <w:rPr>
          <w:rFonts w:cs="Times New Roman"/>
          <w:szCs w:val="24"/>
        </w:rPr>
      </w:pPr>
      <w:r>
        <w:rPr>
          <w:rFonts w:cs="Times New Roman"/>
          <w:szCs w:val="24"/>
        </w:rPr>
        <w:t>57 % respondentů na tuto otázku neodpovědělo.</w:t>
      </w:r>
    </w:p>
    <w:p w14:paraId="24E7162D" w14:textId="77777777" w:rsidR="00AE4A2C" w:rsidRDefault="00AE4A2C" w:rsidP="00AE4A2C">
      <w:pPr>
        <w:jc w:val="center"/>
        <w:rPr>
          <w:rFonts w:cs="Times New Roman"/>
          <w:szCs w:val="24"/>
        </w:rPr>
      </w:pPr>
      <w:r>
        <w:rPr>
          <w:noProof/>
          <w:lang w:eastAsia="cs-CZ"/>
        </w:rPr>
        <w:drawing>
          <wp:inline distT="0" distB="0" distL="0" distR="0" wp14:anchorId="47FC0699" wp14:editId="2A95F7D2">
            <wp:extent cx="4572000" cy="2743200"/>
            <wp:effectExtent l="0" t="0" r="19050" b="19050"/>
            <wp:docPr id="34" name="Graf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04A913E" w14:textId="77777777" w:rsidR="00AE4A2C" w:rsidRPr="00627DB1" w:rsidRDefault="00AE4A2C" w:rsidP="00AE4A2C">
      <w:pPr>
        <w:rPr>
          <w:rFonts w:cs="Times New Roman"/>
          <w:b/>
        </w:rPr>
      </w:pPr>
      <w:r w:rsidRPr="00627DB1">
        <w:rPr>
          <w:rFonts w:cs="Times New Roman"/>
          <w:b/>
        </w:rPr>
        <w:t>Otázka 6.12. Z jakého důvodu se přikláníte k možnosti vybrané v otázce 6.11. a jak by se měla vymezení významných transakcí lišit?</w:t>
      </w:r>
    </w:p>
    <w:p w14:paraId="57B2C9A5" w14:textId="77777777" w:rsidR="00AE4A2C" w:rsidRDefault="00AE4A2C" w:rsidP="00AE4A2C">
      <w:pPr>
        <w:rPr>
          <w:rFonts w:cs="Times New Roman"/>
        </w:rPr>
      </w:pPr>
      <w:r>
        <w:rPr>
          <w:rFonts w:cs="Times New Roman"/>
        </w:rPr>
        <w:t>Na tuto otázku odpověděli 2 respondenti, přičemž uvedli, že všechny významné transakce by měly podléhat stejnému režimu a dvojí přístup není žádoucí, protože již tak je právní úprava značně složitá.</w:t>
      </w:r>
    </w:p>
    <w:p w14:paraId="00EE9BC8" w14:textId="77777777" w:rsidR="00AE4A2C" w:rsidRDefault="00AE4A2C" w:rsidP="00AE4A2C">
      <w:pPr>
        <w:rPr>
          <w:rFonts w:cs="Times New Roman"/>
        </w:rPr>
      </w:pPr>
      <w:r>
        <w:rPr>
          <w:rFonts w:cs="Times New Roman"/>
        </w:rPr>
        <w:lastRenderedPageBreak/>
        <w:t>5 respondentů na tuto otázku neodpovědělo.</w:t>
      </w:r>
    </w:p>
    <w:p w14:paraId="5CDAFD27" w14:textId="77777777" w:rsidR="00AE4A2C" w:rsidRPr="00627DB1" w:rsidRDefault="00AE4A2C" w:rsidP="00AE4A2C">
      <w:pPr>
        <w:spacing w:before="40" w:after="40"/>
        <w:rPr>
          <w:rFonts w:cs="Times New Roman"/>
          <w:b/>
          <w:szCs w:val="24"/>
        </w:rPr>
      </w:pPr>
      <w:r w:rsidRPr="00627DB1">
        <w:rPr>
          <w:rFonts w:cs="Times New Roman"/>
          <w:b/>
          <w:szCs w:val="24"/>
        </w:rPr>
        <w:t>Otázka 6.13. Považujete následující vymezení významných transakcí za vhodné? Z jakého důvodu?</w:t>
      </w:r>
    </w:p>
    <w:p w14:paraId="582EB588" w14:textId="097F83B4" w:rsidR="00AE4A2C" w:rsidRPr="00627DB1" w:rsidRDefault="00AE4A2C" w:rsidP="00AE4A2C">
      <w:pPr>
        <w:rPr>
          <w:rFonts w:cs="Times New Roman"/>
          <w:b/>
          <w:szCs w:val="24"/>
        </w:rPr>
      </w:pPr>
      <w:r w:rsidRPr="00627DB1">
        <w:rPr>
          <w:rFonts w:cs="Times New Roman"/>
          <w:b/>
          <w:szCs w:val="24"/>
        </w:rPr>
        <w:t>Ve společnosti, která je velkou účetní jednotkou podle zákona upravujícího účetnictví, je významnou transakcí taková transakce, která převyšuje 5 % vlastního kapitálu nebo 5</w:t>
      </w:r>
      <w:r w:rsidR="006F0D5A">
        <w:rPr>
          <w:rFonts w:cs="Times New Roman"/>
          <w:b/>
          <w:szCs w:val="24"/>
        </w:rPr>
        <w:t> </w:t>
      </w:r>
      <w:r w:rsidRPr="00627DB1">
        <w:rPr>
          <w:rFonts w:cs="Times New Roman"/>
          <w:b/>
          <w:szCs w:val="24"/>
        </w:rPr>
        <w:t>% ročního úhrnu čistého obratu společnosti vyplývajícího z účetní závěrky za bezprostředně předcházející účetní období; v ostatních společnostech taková transakce, která převyšuje 10 % vlastního kapitálu nebo 10 % ročního úhrnu čistého obratu vyplývajícího z účetní závěrky za bezprostředně předcházející účetní období.</w:t>
      </w:r>
    </w:p>
    <w:p w14:paraId="12F70B16" w14:textId="1C3B53AE" w:rsidR="00AE4A2C" w:rsidRDefault="00AE4A2C" w:rsidP="00AE4A2C">
      <w:pPr>
        <w:rPr>
          <w:rFonts w:cs="Times New Roman"/>
          <w:szCs w:val="24"/>
        </w:rPr>
      </w:pPr>
      <w:r>
        <w:rPr>
          <w:rFonts w:cs="Times New Roman"/>
          <w:szCs w:val="24"/>
        </w:rPr>
        <w:t xml:space="preserve">Na tuto otázku odpovědělo 57 % respondentů. Polovina z nich se domnívá, že takové vymezení významných transakcí je vhodné s tím, že upozorňují, že vymezení na úrovni 5 % vlastního kapitálu a čistého obratu může představovat u velké kótované společnosti poměrně vysokou hodnotu a velké množství transakcí tak vypadne ze schvalovacího režimu, přičemž tyto transakce budou na újmu společnosti a akcionářů. Z tohoto důvodu respondent doporučuje vyhnout se kvantitativnímu kritériu a jako hlavní hledisko použít obvyklost v obchodním styku. </w:t>
      </w:r>
    </w:p>
    <w:p w14:paraId="2A70F4F4" w14:textId="77777777" w:rsidR="00AE4A2C" w:rsidRDefault="00AE4A2C" w:rsidP="00AE4A2C">
      <w:pPr>
        <w:rPr>
          <w:rFonts w:cs="Times New Roman"/>
          <w:szCs w:val="24"/>
        </w:rPr>
      </w:pPr>
      <w:r>
        <w:rPr>
          <w:rFonts w:cs="Times New Roman"/>
          <w:szCs w:val="24"/>
        </w:rPr>
        <w:t>Druhá polovina respondentů nepovažuje toto vymezení za vhodné, protože vlastní kapitál banky je výrazně větší než čistý obrat, 5 % čistého obratu je příliš nízká hodnota vzhledem k objemu transakcí prováděných bankou v rámci běžného obchodního styku.</w:t>
      </w:r>
    </w:p>
    <w:p w14:paraId="4A7203B1" w14:textId="77777777" w:rsidR="00AE4A2C" w:rsidRDefault="00AE4A2C" w:rsidP="00AE4A2C">
      <w:pPr>
        <w:rPr>
          <w:rFonts w:cs="Times New Roman"/>
          <w:szCs w:val="24"/>
        </w:rPr>
      </w:pPr>
      <w:r>
        <w:rPr>
          <w:rFonts w:cs="Times New Roman"/>
          <w:szCs w:val="24"/>
        </w:rPr>
        <w:t>43 % respondentů na tuto otázku neodpovědělo.</w:t>
      </w:r>
    </w:p>
    <w:p w14:paraId="130468FB" w14:textId="77777777" w:rsidR="00AE4A2C" w:rsidRDefault="00AE4A2C" w:rsidP="00AE4A2C">
      <w:pPr>
        <w:jc w:val="center"/>
        <w:rPr>
          <w:rFonts w:cs="Times New Roman"/>
          <w:szCs w:val="24"/>
        </w:rPr>
      </w:pPr>
      <w:r>
        <w:rPr>
          <w:noProof/>
          <w:lang w:eastAsia="cs-CZ"/>
        </w:rPr>
        <w:drawing>
          <wp:inline distT="0" distB="0" distL="0" distR="0" wp14:anchorId="5650FDC4" wp14:editId="4D39000D">
            <wp:extent cx="5362575" cy="2743200"/>
            <wp:effectExtent l="0" t="0" r="9525" b="19050"/>
            <wp:docPr id="35" name="Graf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B3C2A32" w14:textId="77777777" w:rsidR="00AE4A2C" w:rsidRDefault="00AE4A2C" w:rsidP="00AE4A2C">
      <w:pPr>
        <w:rPr>
          <w:b/>
          <w:szCs w:val="24"/>
        </w:rPr>
      </w:pPr>
    </w:p>
    <w:p w14:paraId="3E2B7ECE" w14:textId="77777777" w:rsidR="00AE4A2C" w:rsidRPr="00627DB1" w:rsidRDefault="00AE4A2C" w:rsidP="00AE4A2C">
      <w:pPr>
        <w:rPr>
          <w:b/>
          <w:szCs w:val="24"/>
        </w:rPr>
      </w:pPr>
      <w:r w:rsidRPr="00627DB1">
        <w:rPr>
          <w:b/>
          <w:szCs w:val="24"/>
        </w:rPr>
        <w:t>Otázka 6.14. Měla by Česká republika využít diskreci, tj. stanovit povinnost vyhotovení a uveřejnění zprávy posuzující, zda je transakce spravedlivá a přiměřená?</w:t>
      </w:r>
    </w:p>
    <w:p w14:paraId="25AC78FB" w14:textId="77777777" w:rsidR="00AE4A2C" w:rsidRDefault="00AE4A2C" w:rsidP="00AE4A2C">
      <w:pPr>
        <w:rPr>
          <w:szCs w:val="24"/>
        </w:rPr>
      </w:pPr>
      <w:r>
        <w:rPr>
          <w:szCs w:val="24"/>
        </w:rPr>
        <w:t>3 respondenti se domnívají, že by Česká republika neměla využít diskreci a stanovit povinnost vyhotovení a uveřejnění zprávy posuzující, zda je transakce spravedlivá a přiměřená.</w:t>
      </w:r>
    </w:p>
    <w:p w14:paraId="64AA0E59" w14:textId="77777777" w:rsidR="00AE4A2C" w:rsidRDefault="00AE4A2C" w:rsidP="00AE4A2C">
      <w:pPr>
        <w:rPr>
          <w:szCs w:val="24"/>
        </w:rPr>
      </w:pPr>
      <w:r>
        <w:rPr>
          <w:szCs w:val="24"/>
        </w:rPr>
        <w:t>Jeden respondent je pro využití této diskrece.</w:t>
      </w:r>
    </w:p>
    <w:p w14:paraId="6AF54C03" w14:textId="77777777" w:rsidR="00AE4A2C" w:rsidRDefault="00AE4A2C" w:rsidP="00AE4A2C">
      <w:pPr>
        <w:rPr>
          <w:szCs w:val="24"/>
        </w:rPr>
      </w:pPr>
      <w:r>
        <w:rPr>
          <w:szCs w:val="24"/>
        </w:rPr>
        <w:t>3 respondenti na tuto otázku neodpověděli.</w:t>
      </w:r>
    </w:p>
    <w:p w14:paraId="5F720D91" w14:textId="77777777" w:rsidR="00AE4A2C" w:rsidRDefault="00AE4A2C" w:rsidP="00AE4A2C">
      <w:pPr>
        <w:jc w:val="center"/>
        <w:rPr>
          <w:szCs w:val="24"/>
        </w:rPr>
      </w:pPr>
      <w:r>
        <w:rPr>
          <w:noProof/>
          <w:lang w:eastAsia="cs-CZ"/>
        </w:rPr>
        <w:drawing>
          <wp:inline distT="0" distB="0" distL="0" distR="0" wp14:anchorId="14656D33" wp14:editId="121B0BAE">
            <wp:extent cx="5419725" cy="2743200"/>
            <wp:effectExtent l="0" t="0" r="9525" b="19050"/>
            <wp:docPr id="36" name="Graf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57F64E5" w14:textId="77777777" w:rsidR="00AE4A2C" w:rsidRPr="00627DB1" w:rsidRDefault="00AE4A2C" w:rsidP="00AE4A2C">
      <w:pPr>
        <w:rPr>
          <w:b/>
          <w:szCs w:val="24"/>
        </w:rPr>
      </w:pPr>
      <w:r w:rsidRPr="00627DB1">
        <w:rPr>
          <w:b/>
          <w:szCs w:val="24"/>
        </w:rPr>
        <w:t>Otázka 6.15. Z jakého důvodu se přikláníte k  možnosti vybrané v otázce 6.14.?</w:t>
      </w:r>
    </w:p>
    <w:p w14:paraId="734E6A46" w14:textId="77777777" w:rsidR="00AE4A2C" w:rsidRDefault="00AE4A2C" w:rsidP="00AE4A2C">
      <w:pPr>
        <w:rPr>
          <w:szCs w:val="24"/>
        </w:rPr>
      </w:pPr>
      <w:r>
        <w:rPr>
          <w:szCs w:val="24"/>
        </w:rPr>
        <w:t>Respondenti nepodporující využití diskrece uvedli, že jde o nepřiměřenou zátěž a že na banku je tato povinnost kladena zejména ustanoveními § 8a a § 12 zákona č. 21/1992 Sb., o bankách, ve znění pozdějších předpisů.</w:t>
      </w:r>
    </w:p>
    <w:p w14:paraId="224FEB67" w14:textId="77777777" w:rsidR="00AE4A2C" w:rsidRDefault="00AE4A2C" w:rsidP="00AE4A2C">
      <w:pPr>
        <w:rPr>
          <w:szCs w:val="24"/>
        </w:rPr>
      </w:pPr>
      <w:r>
        <w:rPr>
          <w:szCs w:val="24"/>
        </w:rPr>
        <w:t xml:space="preserve">Navrhované využití diskrece respondent odůvodnil tím, že pokud </w:t>
      </w:r>
      <w:r w:rsidRPr="008176D1">
        <w:rPr>
          <w:szCs w:val="24"/>
        </w:rPr>
        <w:t>bude využita výjimka ve</w:t>
      </w:r>
      <w:r>
        <w:rPr>
          <w:szCs w:val="24"/>
        </w:rPr>
        <w:t> </w:t>
      </w:r>
      <w:r w:rsidRPr="008176D1">
        <w:rPr>
          <w:szCs w:val="24"/>
        </w:rPr>
        <w:t xml:space="preserve">směrnici pro transakce učiněné v rámci běžného obchodního styku a za běžných tržních podmínek, pak schvalování a transparence budou nutné pouze u transakcí mimo běžný obchodní styk a uzavřené za nikoli běžných tržních </w:t>
      </w:r>
      <w:r w:rsidRPr="00C721CB">
        <w:rPr>
          <w:szCs w:val="24"/>
        </w:rPr>
        <w:t xml:space="preserve">podmínek. V takovém případě je na místě uveřejnění zprávy posuzující, zda je transakce za takových netržních podmínek spravedlivá </w:t>
      </w:r>
      <w:r>
        <w:rPr>
          <w:szCs w:val="24"/>
        </w:rPr>
        <w:t> a </w:t>
      </w:r>
      <w:r w:rsidRPr="00C721CB">
        <w:rPr>
          <w:szCs w:val="24"/>
        </w:rPr>
        <w:t>přiměřená, např. že společnost bude kompenzována jinak při uzavření nevýhodné smlouvy s členem orgánu nebo ovládající osobou (získá jinou výhodu v rámci skupiny apod.).</w:t>
      </w:r>
    </w:p>
    <w:p w14:paraId="6F069E84" w14:textId="77777777" w:rsidR="00AE4A2C" w:rsidRDefault="00AE4A2C" w:rsidP="00AE4A2C">
      <w:pPr>
        <w:rPr>
          <w:szCs w:val="24"/>
        </w:rPr>
      </w:pPr>
      <w:r>
        <w:rPr>
          <w:szCs w:val="24"/>
        </w:rPr>
        <w:lastRenderedPageBreak/>
        <w:t>4 respondenti na tuto otázku neodpověděli.</w:t>
      </w:r>
    </w:p>
    <w:p w14:paraId="6BFC0E75" w14:textId="77777777" w:rsidR="00AE4A2C" w:rsidRPr="00627DB1" w:rsidRDefault="00AE4A2C" w:rsidP="00AE4A2C">
      <w:pPr>
        <w:rPr>
          <w:b/>
          <w:szCs w:val="24"/>
        </w:rPr>
      </w:pPr>
      <w:r w:rsidRPr="00627DB1">
        <w:rPr>
          <w:b/>
          <w:szCs w:val="24"/>
        </w:rPr>
        <w:t>Otázka 6.16. V případě, že by měla být uložena povinnost vyhotovit a uveřejnit zprávu posuzující, zda je transakce spravedlivá a přiměřená, kdo by měl tuto zprávu vypracovat?</w:t>
      </w:r>
    </w:p>
    <w:p w14:paraId="3FC39CE9" w14:textId="2B05E958" w:rsidR="00AE4A2C" w:rsidRDefault="00AE4A2C" w:rsidP="00AE4A2C">
      <w:pPr>
        <w:rPr>
          <w:szCs w:val="24"/>
        </w:rPr>
      </w:pPr>
      <w:r>
        <w:rPr>
          <w:szCs w:val="24"/>
        </w:rPr>
        <w:t>Na tuto otázku odpověděli 2 respondenti. Jeden z nich označil výbor pro audit jako subjekt, kterému má být uložena povinnost vyhotovit a uveřejnit zprávu posuzující, zda je transakce spravedlivá a přiměřená. Druhý respondent zvolil správní nebo dozorčí orgán společnosti s vysvětlením, že těmto subjektům je stanovena péče řádného hospodáře. Tím však není dotčena možnost, aby si členové správního nebo dozorčího orgánu opatřili znalecký posudek.</w:t>
      </w:r>
    </w:p>
    <w:p w14:paraId="4E675A9B" w14:textId="77777777" w:rsidR="00AE4A2C" w:rsidRDefault="00AE4A2C" w:rsidP="00AE4A2C">
      <w:pPr>
        <w:rPr>
          <w:szCs w:val="24"/>
        </w:rPr>
      </w:pPr>
      <w:r>
        <w:rPr>
          <w:szCs w:val="24"/>
        </w:rPr>
        <w:t>5 respondentů na tuto otázku neodpovědělo.</w:t>
      </w:r>
    </w:p>
    <w:p w14:paraId="6E0BBC7B" w14:textId="77777777" w:rsidR="00AE4A2C" w:rsidRDefault="00AE4A2C" w:rsidP="00AE4A2C">
      <w:pPr>
        <w:jc w:val="center"/>
        <w:rPr>
          <w:szCs w:val="24"/>
        </w:rPr>
      </w:pPr>
      <w:r>
        <w:rPr>
          <w:noProof/>
          <w:lang w:eastAsia="cs-CZ"/>
        </w:rPr>
        <w:drawing>
          <wp:inline distT="0" distB="0" distL="0" distR="0" wp14:anchorId="329BD6FF" wp14:editId="1F93C4BD">
            <wp:extent cx="5524500" cy="2743200"/>
            <wp:effectExtent l="0" t="0" r="19050" b="19050"/>
            <wp:docPr id="37" name="Graf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34AA229" w14:textId="77777777" w:rsidR="00AE4A2C" w:rsidRPr="00627DB1" w:rsidRDefault="00AE4A2C" w:rsidP="00AE4A2C">
      <w:pPr>
        <w:rPr>
          <w:b/>
          <w:szCs w:val="24"/>
        </w:rPr>
      </w:pPr>
      <w:r w:rsidRPr="00627DB1">
        <w:rPr>
          <w:b/>
          <w:szCs w:val="24"/>
        </w:rPr>
        <w:t>Otázka 6.17. Který orgán by měl v České republice schvalovat významné transakce se spřízněnými stranami?</w:t>
      </w:r>
    </w:p>
    <w:p w14:paraId="713BD2E3" w14:textId="2AC93F07" w:rsidR="00AE4A2C" w:rsidRDefault="00AE4A2C" w:rsidP="00AE4A2C">
      <w:pPr>
        <w:rPr>
          <w:szCs w:val="24"/>
        </w:rPr>
      </w:pPr>
      <w:r>
        <w:rPr>
          <w:szCs w:val="24"/>
        </w:rPr>
        <w:t xml:space="preserve">Respondenti v této otázce volili ze dvou možných odpovědí. Zodpovědělo ji 57 % respondentů. Většina z nich se domnívá, že významné transakce se spřízněnými stranami by měl schvalovat správní nebo dozorčí orgán. Pouze jeden respondent uvedl, že by tímto subjektem měla být valná hromada. </w:t>
      </w:r>
    </w:p>
    <w:p w14:paraId="1F16400F" w14:textId="77777777" w:rsidR="00AE4A2C" w:rsidRDefault="00AE4A2C" w:rsidP="00AE4A2C">
      <w:pPr>
        <w:rPr>
          <w:szCs w:val="24"/>
        </w:rPr>
      </w:pPr>
      <w:r>
        <w:rPr>
          <w:szCs w:val="24"/>
        </w:rPr>
        <w:t>3 respondenti na tuto otázku neodpověděli.</w:t>
      </w:r>
    </w:p>
    <w:p w14:paraId="33A44103" w14:textId="77777777" w:rsidR="00AE4A2C" w:rsidRDefault="00AE4A2C" w:rsidP="00AE4A2C">
      <w:pPr>
        <w:jc w:val="center"/>
        <w:rPr>
          <w:szCs w:val="24"/>
        </w:rPr>
      </w:pPr>
      <w:r>
        <w:rPr>
          <w:noProof/>
          <w:lang w:eastAsia="cs-CZ"/>
        </w:rPr>
        <w:lastRenderedPageBreak/>
        <w:drawing>
          <wp:inline distT="0" distB="0" distL="0" distR="0" wp14:anchorId="02EF40CF" wp14:editId="2F95F6E1">
            <wp:extent cx="5553075" cy="2743200"/>
            <wp:effectExtent l="0" t="0" r="9525" b="19050"/>
            <wp:docPr id="38" name="Graf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F5EE775" w14:textId="77777777" w:rsidR="00AE4A2C" w:rsidRPr="00627DB1" w:rsidRDefault="00AE4A2C" w:rsidP="00AE4A2C">
      <w:pPr>
        <w:rPr>
          <w:b/>
          <w:szCs w:val="24"/>
        </w:rPr>
      </w:pPr>
      <w:r w:rsidRPr="00627DB1">
        <w:rPr>
          <w:b/>
          <w:szCs w:val="24"/>
        </w:rPr>
        <w:t>Otázka 6.18. Z jakého důvodu se přikláníte k  možnosti vybrané v otázce 6.17.?</w:t>
      </w:r>
    </w:p>
    <w:p w14:paraId="36E24567" w14:textId="77777777" w:rsidR="00AE4A2C" w:rsidRDefault="00AE4A2C" w:rsidP="00AE4A2C">
      <w:pPr>
        <w:rPr>
          <w:szCs w:val="24"/>
        </w:rPr>
      </w:pPr>
      <w:r>
        <w:rPr>
          <w:szCs w:val="24"/>
        </w:rPr>
        <w:t>Respondenti volbu správního nebo dozorčího orgán zdůvodnili administrativní a časovou zátěží pro svolání a konání valné hromady, zvýšením nákladů společnosti a možností operativnějšího rozhodování. Časová a finanční náročnost by často provedení transakce znemožnila bez ohledu na její výhodnost pro společnost. Rovněž jeden z nich uvedl, že ZOK např. v ustanoveních § 190 a 421 tuto otázku dostatečně upravuje již nyní.</w:t>
      </w:r>
    </w:p>
    <w:p w14:paraId="218D485A" w14:textId="5B685CF5" w:rsidR="00AE4A2C" w:rsidRDefault="00AE4A2C" w:rsidP="00AE4A2C">
      <w:pPr>
        <w:rPr>
          <w:szCs w:val="24"/>
        </w:rPr>
      </w:pPr>
      <w:r w:rsidRPr="00E07139">
        <w:rPr>
          <w:szCs w:val="24"/>
        </w:rPr>
        <w:t>Poslední respondent prosazuje schvalování transakcí se spřízněnými osobami valnou hromadou</w:t>
      </w:r>
      <w:r w:rsidR="00292D1B">
        <w:rPr>
          <w:szCs w:val="24"/>
        </w:rPr>
        <w:t>,</w:t>
      </w:r>
      <w:r w:rsidRPr="00E07139">
        <w:rPr>
          <w:szCs w:val="24"/>
        </w:rPr>
        <w:t xml:space="preserve"> </w:t>
      </w:r>
      <w:r w:rsidR="00BD43E0">
        <w:rPr>
          <w:szCs w:val="24"/>
        </w:rPr>
        <w:t>pouze však za předpokladu, že budou splněny podmínky, které zabrání, resp. omezí vznik nežádoucích nákladů na straně společnosti (</w:t>
      </w:r>
      <w:r w:rsidR="00292D1B">
        <w:rPr>
          <w:szCs w:val="24"/>
        </w:rPr>
        <w:t>neschvalování transakcí v rámci běžného obchodního styku a za tržních podmínek, posouzení přípustnosti transakce členy správního či dozorčího orgánu a až následné schvalování transakce na valné hromadě s tím, že akcionáři, který je spřízněnou stranou, nebude umožněno o transakci hlasovat</w:t>
      </w:r>
      <w:r w:rsidR="00BD43E0">
        <w:rPr>
          <w:szCs w:val="24"/>
        </w:rPr>
        <w:t>)</w:t>
      </w:r>
      <w:r w:rsidR="00292D1B">
        <w:rPr>
          <w:szCs w:val="24"/>
        </w:rPr>
        <w:t>.</w:t>
      </w:r>
      <w:r>
        <w:rPr>
          <w:szCs w:val="24"/>
        </w:rPr>
        <w:t xml:space="preserve">  </w:t>
      </w:r>
    </w:p>
    <w:p w14:paraId="441D668F" w14:textId="77777777" w:rsidR="00AE4A2C" w:rsidRDefault="00AE4A2C" w:rsidP="00AE4A2C">
      <w:pPr>
        <w:rPr>
          <w:szCs w:val="24"/>
        </w:rPr>
      </w:pPr>
      <w:r>
        <w:rPr>
          <w:szCs w:val="24"/>
        </w:rPr>
        <w:t>3 respondenti na tuto otázku neodpověděli.</w:t>
      </w:r>
    </w:p>
    <w:p w14:paraId="36F448D4" w14:textId="77777777" w:rsidR="00AE4A2C" w:rsidRPr="00627DB1" w:rsidRDefault="00AE4A2C" w:rsidP="00AE4A2C">
      <w:pPr>
        <w:rPr>
          <w:rFonts w:cs="Times New Roman"/>
          <w:b/>
        </w:rPr>
      </w:pPr>
      <w:r w:rsidRPr="00627DB1">
        <w:rPr>
          <w:rFonts w:cs="Times New Roman"/>
          <w:b/>
        </w:rPr>
        <w:t>Otázka 6.19. Pokud by měl významné transakce se spřízněnými stranami schvalovat správní nebo dozorčí orgán (viz otázka 6.17.), měly by být takto schválené transakce dále předmětem hlasování na valné hromadě?</w:t>
      </w:r>
    </w:p>
    <w:p w14:paraId="549AAE6D" w14:textId="77777777" w:rsidR="00AE4A2C" w:rsidRDefault="00AE4A2C" w:rsidP="00AE4A2C">
      <w:pPr>
        <w:rPr>
          <w:rFonts w:cs="Times New Roman"/>
        </w:rPr>
      </w:pPr>
      <w:r>
        <w:rPr>
          <w:rFonts w:cs="Times New Roman"/>
        </w:rPr>
        <w:t>Na tuto otázku odpovědělo 43 % respondentů, kteří shodně uvedli, že významné transakce se spřízněnými stranami schválené správním nebo dozorčím orgánem by následně neměly být předmětem hlasování na valné hromadě.</w:t>
      </w:r>
    </w:p>
    <w:p w14:paraId="4D227B64" w14:textId="77777777" w:rsidR="00AE4A2C" w:rsidRDefault="00AE4A2C" w:rsidP="00AE4A2C">
      <w:pPr>
        <w:rPr>
          <w:rFonts w:cs="Times New Roman"/>
        </w:rPr>
      </w:pPr>
      <w:r>
        <w:rPr>
          <w:rFonts w:cs="Times New Roman"/>
        </w:rPr>
        <w:lastRenderedPageBreak/>
        <w:t>4 respondenti na tuto otázku neodpověděli.</w:t>
      </w:r>
    </w:p>
    <w:p w14:paraId="3EE48578" w14:textId="77777777" w:rsidR="00AE4A2C" w:rsidRDefault="00AE4A2C" w:rsidP="00AE4A2C">
      <w:pPr>
        <w:jc w:val="center"/>
        <w:rPr>
          <w:rFonts w:cs="Times New Roman"/>
        </w:rPr>
      </w:pPr>
      <w:r>
        <w:rPr>
          <w:noProof/>
          <w:lang w:eastAsia="cs-CZ"/>
        </w:rPr>
        <w:drawing>
          <wp:inline distT="0" distB="0" distL="0" distR="0" wp14:anchorId="272CD9A1" wp14:editId="5413F90C">
            <wp:extent cx="5334000" cy="2743200"/>
            <wp:effectExtent l="0" t="0" r="19050" b="19050"/>
            <wp:docPr id="39" name="Graf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FE113C6" w14:textId="77777777" w:rsidR="00AE4A2C" w:rsidRPr="00627DB1" w:rsidRDefault="00AE4A2C" w:rsidP="00AE4A2C">
      <w:pPr>
        <w:rPr>
          <w:rFonts w:cs="Times New Roman"/>
          <w:b/>
        </w:rPr>
      </w:pPr>
      <w:r w:rsidRPr="00627DB1">
        <w:rPr>
          <w:rFonts w:cs="Times New Roman"/>
          <w:b/>
        </w:rPr>
        <w:t>Otázka 6.20. Z jakého důvodu se přikláníte k  možnosti vybrané v otázce 6.19.?</w:t>
      </w:r>
    </w:p>
    <w:p w14:paraId="58C08232" w14:textId="63AFFC3F" w:rsidR="00AE4A2C" w:rsidRDefault="00AE4A2C" w:rsidP="00AE4A2C">
      <w:pPr>
        <w:rPr>
          <w:rFonts w:cs="Times New Roman"/>
        </w:rPr>
      </w:pPr>
      <w:r>
        <w:rPr>
          <w:rFonts w:cs="Times New Roman"/>
        </w:rPr>
        <w:t xml:space="preserve">Respondentům se na dvojím schvalování významných transakcí nezamlouvá, že by rozhodovaly dva orgány společnosti. Taková dvojí kontrola není nezbytná a představovala by zbytečnou </w:t>
      </w:r>
      <w:r w:rsidR="008C3C06">
        <w:rPr>
          <w:rFonts w:cs="Times New Roman"/>
        </w:rPr>
        <w:t>(</w:t>
      </w:r>
      <w:r>
        <w:rPr>
          <w:rFonts w:cs="Times New Roman"/>
        </w:rPr>
        <w:t>nejen</w:t>
      </w:r>
      <w:r w:rsidR="008C3C06">
        <w:rPr>
          <w:rFonts w:cs="Times New Roman"/>
        </w:rPr>
        <w:t>)</w:t>
      </w:r>
      <w:r>
        <w:rPr>
          <w:rFonts w:cs="Times New Roman"/>
        </w:rPr>
        <w:t xml:space="preserve"> administrativní zátěž pro společnost. Pro některé typy významných transakcí by bylo omezení operativnosti spočívající v jejich schvalování valnou hromadou ohrožující.</w:t>
      </w:r>
    </w:p>
    <w:p w14:paraId="6C4FAE40" w14:textId="77777777" w:rsidR="00AE4A2C" w:rsidRDefault="00AE4A2C" w:rsidP="00AE4A2C">
      <w:pPr>
        <w:rPr>
          <w:rFonts w:cs="Times New Roman"/>
        </w:rPr>
      </w:pPr>
      <w:r>
        <w:rPr>
          <w:rFonts w:cs="Times New Roman"/>
        </w:rPr>
        <w:t>4 respondenti na tuto otázku neodpověděli.</w:t>
      </w:r>
    </w:p>
    <w:p w14:paraId="47DCB147" w14:textId="77777777" w:rsidR="00AE4A2C" w:rsidRPr="00627DB1" w:rsidRDefault="00AE4A2C" w:rsidP="00AE4A2C">
      <w:pPr>
        <w:rPr>
          <w:b/>
          <w:szCs w:val="24"/>
        </w:rPr>
      </w:pPr>
      <w:r w:rsidRPr="00627DB1">
        <w:rPr>
          <w:b/>
          <w:szCs w:val="24"/>
        </w:rPr>
        <w:t>Otázka 6.21. Měla by Česká republika využít diskreci a umožnit akcionáři, který je spřízněnou stranou, hlasovat na valné hromadě o významné transakci?</w:t>
      </w:r>
    </w:p>
    <w:p w14:paraId="7889DD83" w14:textId="13FB2ED4" w:rsidR="00AE4A2C" w:rsidRDefault="00AE4A2C" w:rsidP="00AE4A2C">
      <w:pPr>
        <w:rPr>
          <w:szCs w:val="24"/>
        </w:rPr>
      </w:pPr>
      <w:r>
        <w:rPr>
          <w:szCs w:val="24"/>
        </w:rPr>
        <w:t>Na tuto otázku odpověděli 4 respondenti. Dva uvedli, že by Česká republika měla využít diskreci a umožnit akcionáři, který je spřízněnou stranou, hlasovat na valné hromadě o významné transakci. Jeden respondent zastává opačný názor a nesouhlasí s využitím této diskrece. Další respondent uvedl, že dnes není zákonem zakázáno, aby takový akcionář hlasoval, tudíž považuje využití diskrece za irelevantní, neboť není ve vztahu k čemu výjimku zakotvit.</w:t>
      </w:r>
    </w:p>
    <w:p w14:paraId="5C03D9EF" w14:textId="26402C52" w:rsidR="00AE4A2C" w:rsidRDefault="00AE4A2C" w:rsidP="00AE4A2C">
      <w:pPr>
        <w:rPr>
          <w:szCs w:val="24"/>
        </w:rPr>
      </w:pPr>
      <w:r>
        <w:rPr>
          <w:szCs w:val="24"/>
        </w:rPr>
        <w:t>3 respondenti na tuto otázku neodpověděli.</w:t>
      </w:r>
    </w:p>
    <w:p w14:paraId="1ACC7CAB" w14:textId="77777777" w:rsidR="00AE4A2C" w:rsidRDefault="00AE4A2C" w:rsidP="00AE4A2C">
      <w:pPr>
        <w:jc w:val="center"/>
        <w:rPr>
          <w:szCs w:val="24"/>
        </w:rPr>
      </w:pPr>
      <w:r>
        <w:rPr>
          <w:noProof/>
          <w:lang w:eastAsia="cs-CZ"/>
        </w:rPr>
        <w:lastRenderedPageBreak/>
        <w:drawing>
          <wp:inline distT="0" distB="0" distL="0" distR="0" wp14:anchorId="35443269" wp14:editId="144EBA97">
            <wp:extent cx="5334000" cy="2743200"/>
            <wp:effectExtent l="0" t="0" r="19050" b="19050"/>
            <wp:docPr id="40" name="Graf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1D7739B" w14:textId="77777777" w:rsidR="00AE4A2C" w:rsidRPr="00627DB1" w:rsidRDefault="00AE4A2C" w:rsidP="00AE4A2C">
      <w:pPr>
        <w:rPr>
          <w:b/>
          <w:szCs w:val="24"/>
        </w:rPr>
      </w:pPr>
      <w:r w:rsidRPr="00627DB1">
        <w:rPr>
          <w:b/>
          <w:szCs w:val="24"/>
        </w:rPr>
        <w:t>Otázka 6.22. Z jakého důvodu se přikláníte k  možnosti vybrané v otázce 6.21.?</w:t>
      </w:r>
    </w:p>
    <w:p w14:paraId="317ABFBA" w14:textId="715871FE" w:rsidR="00AE4A2C" w:rsidRDefault="00AE4A2C" w:rsidP="00AE4A2C">
      <w:pPr>
        <w:rPr>
          <w:szCs w:val="24"/>
        </w:rPr>
      </w:pPr>
      <w:r>
        <w:rPr>
          <w:szCs w:val="24"/>
        </w:rPr>
        <w:t>Dva respondenti podporující využití diskrece vychází z předpokladu, že by akcionář-spřízněná strana neměl mít omezeno hlasovací právo, neboť v tomto případě budou uplatněny takové nástroje ochrany, které ochrání zájmy společnosti a akcionářů, kteří nejsou spřízněnou stranou, přičemž úplné vyloučení akcionáře-spřízněné strany by mohlo vést k poškození zájmů společnosti včetně spřízněného akcionáře. Případný střet zájmů je řešitelný například stanovením vyššího počtu hlasů potřebných ke schválení nebo možnost</w:t>
      </w:r>
      <w:r w:rsidR="00BD43E0">
        <w:rPr>
          <w:szCs w:val="24"/>
        </w:rPr>
        <w:t>í</w:t>
      </w:r>
      <w:r>
        <w:rPr>
          <w:szCs w:val="24"/>
        </w:rPr>
        <w:t xml:space="preserve"> namítat neplatnost usnesení valné hromady např. pro rozpor s dobrými mravy.</w:t>
      </w:r>
    </w:p>
    <w:p w14:paraId="4D1A01CF" w14:textId="7BEC4104" w:rsidR="00AE4A2C" w:rsidRDefault="00AE4A2C" w:rsidP="00AE4A2C">
      <w:pPr>
        <w:rPr>
          <w:szCs w:val="24"/>
        </w:rPr>
      </w:pPr>
      <w:r>
        <w:rPr>
          <w:szCs w:val="24"/>
        </w:rPr>
        <w:t>Nevyužití diskrece třetí respondent odůvodnil tím, že akcionář, který je v postavení spřízněné protistrany a uzavírá se společností smlouvu, která není v rámci běžného obchodního styku a</w:t>
      </w:r>
      <w:r w:rsidR="008C3C06">
        <w:rPr>
          <w:szCs w:val="24"/>
        </w:rPr>
        <w:t> </w:t>
      </w:r>
      <w:r>
        <w:rPr>
          <w:szCs w:val="24"/>
        </w:rPr>
        <w:t xml:space="preserve">její podmínky mohou způsobit újmu společnosti a ostatním akcionářům, by o takové transakci neměl hlasovat, tedy pomocí váhy svých hlasů podpořit schválení takové transakce. Jde o střet zájmů. </w:t>
      </w:r>
    </w:p>
    <w:p w14:paraId="79C447B9" w14:textId="49E80259" w:rsidR="00AE4A2C" w:rsidRDefault="00AE4A2C" w:rsidP="00AE4A2C">
      <w:pPr>
        <w:rPr>
          <w:szCs w:val="24"/>
        </w:rPr>
      </w:pPr>
      <w:r>
        <w:rPr>
          <w:szCs w:val="24"/>
        </w:rPr>
        <w:t>4 respondenti na tuto otázku neodpověděli.</w:t>
      </w:r>
    </w:p>
    <w:p w14:paraId="7A008920" w14:textId="77777777" w:rsidR="00AE4A2C" w:rsidRPr="00627DB1" w:rsidRDefault="00AE4A2C" w:rsidP="00AE4A2C">
      <w:pPr>
        <w:rPr>
          <w:b/>
          <w:szCs w:val="24"/>
        </w:rPr>
      </w:pPr>
      <w:r w:rsidRPr="00627DB1">
        <w:rPr>
          <w:b/>
          <w:szCs w:val="24"/>
        </w:rPr>
        <w:t>Otázka 6.23. Pokud by Česká republika umožnila akcionáři, který je spřízněnou stranou, hlasovat na valné hromadě o významné transakci (otázka 6.21.), jaké nástroje ochrany by se měly uplatnit?</w:t>
      </w:r>
    </w:p>
    <w:p w14:paraId="019999D3" w14:textId="192094A1" w:rsidR="00AE4A2C" w:rsidRDefault="00AE4A2C" w:rsidP="00AE4A2C">
      <w:pPr>
        <w:rPr>
          <w:szCs w:val="24"/>
        </w:rPr>
      </w:pPr>
      <w:r>
        <w:rPr>
          <w:szCs w:val="24"/>
        </w:rPr>
        <w:t xml:space="preserve"> 43 % </w:t>
      </w:r>
      <w:r w:rsidR="00BC7F91">
        <w:rPr>
          <w:szCs w:val="24"/>
        </w:rPr>
        <w:t>respondentů</w:t>
      </w:r>
      <w:r w:rsidR="008C3C06">
        <w:rPr>
          <w:szCs w:val="24"/>
        </w:rPr>
        <w:t xml:space="preserve"> </w:t>
      </w:r>
      <w:r>
        <w:rPr>
          <w:szCs w:val="24"/>
        </w:rPr>
        <w:t>se domnívá, že na ochranu při hlasování akcionáře, který je spřízněnou stranou, na valné hromadě o významné transakci</w:t>
      </w:r>
      <w:r w:rsidR="008C3C06">
        <w:rPr>
          <w:szCs w:val="24"/>
        </w:rPr>
        <w:t>,</w:t>
      </w:r>
      <w:r>
        <w:rPr>
          <w:szCs w:val="24"/>
        </w:rPr>
        <w:t xml:space="preserve"> by měla být stanovena vyšší většina hlasů </w:t>
      </w:r>
      <w:r>
        <w:rPr>
          <w:szCs w:val="24"/>
        </w:rPr>
        <w:lastRenderedPageBreak/>
        <w:t>potřebné pro její schválení. Jeden respondent upřesňuje, že by tato většina měla být </w:t>
      </w:r>
      <w:r w:rsidR="007714A4">
        <w:rPr>
          <w:szCs w:val="24"/>
        </w:rPr>
        <w:t>3/4</w:t>
      </w:r>
      <w:r>
        <w:rPr>
          <w:szCs w:val="24"/>
        </w:rPr>
        <w:t xml:space="preserve"> hlasů</w:t>
      </w:r>
      <w:r w:rsidR="007714A4">
        <w:rPr>
          <w:szCs w:val="24"/>
        </w:rPr>
        <w:t>, další uvedl, že by měla být 3/5 hlasů</w:t>
      </w:r>
      <w:r>
        <w:rPr>
          <w:szCs w:val="24"/>
        </w:rPr>
        <w:t>.</w:t>
      </w:r>
    </w:p>
    <w:p w14:paraId="6081AAD5" w14:textId="77777777" w:rsidR="007714A4" w:rsidRDefault="00AE4A2C" w:rsidP="00AE4A2C">
      <w:pPr>
        <w:rPr>
          <w:szCs w:val="24"/>
        </w:rPr>
      </w:pPr>
      <w:r>
        <w:rPr>
          <w:szCs w:val="24"/>
        </w:rPr>
        <w:t xml:space="preserve">Jeden respondent, který nepodporuje využití diskrece umožňující akcionáři, který je spřízněnou stranou, hlasovat o významné transakci na valné hromadě, je naopak pro stanovení stropu počtu hlasů tohoto akcionáře, který je spřízněnou stranou. Akcionář by neměl být schopen proti vůli ostatních akcionářů zajistit schválení významné transakce jen pomocí svých hlasů. Respondent upozorňuje, že stanovení vyšší kvalifikované většiny hlasů nemusí být dostatečné, neboť akcionář může touto většinou hlasů (sám nebo ve shodě s dalšími akcionáři) disponovat, čímž zajistí schválení transakce na újmu minoritních akcionářů. </w:t>
      </w:r>
    </w:p>
    <w:p w14:paraId="5A844A14" w14:textId="6983A064" w:rsidR="00AE4A2C" w:rsidRDefault="007714A4" w:rsidP="00AE4A2C">
      <w:pPr>
        <w:rPr>
          <w:szCs w:val="24"/>
        </w:rPr>
      </w:pPr>
      <w:r>
        <w:rPr>
          <w:szCs w:val="24"/>
        </w:rPr>
        <w:t>3</w:t>
      </w:r>
      <w:r w:rsidR="00AE4A2C">
        <w:rPr>
          <w:szCs w:val="24"/>
        </w:rPr>
        <w:t xml:space="preserve"> respondenti na tuto otázku neodpověděli.</w:t>
      </w:r>
    </w:p>
    <w:p w14:paraId="201ABD81" w14:textId="77777777" w:rsidR="00AE4A2C" w:rsidRDefault="00AE4A2C" w:rsidP="00AE4A2C">
      <w:pPr>
        <w:jc w:val="center"/>
        <w:rPr>
          <w:szCs w:val="24"/>
        </w:rPr>
      </w:pPr>
      <w:r>
        <w:rPr>
          <w:noProof/>
          <w:lang w:eastAsia="cs-CZ"/>
        </w:rPr>
        <w:drawing>
          <wp:inline distT="0" distB="0" distL="0" distR="0" wp14:anchorId="2B590188" wp14:editId="109C8D9C">
            <wp:extent cx="5286375" cy="2743200"/>
            <wp:effectExtent l="0" t="0" r="9525" b="19050"/>
            <wp:docPr id="41" name="Graf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CE4C858" w14:textId="77777777" w:rsidR="00AE4A2C" w:rsidRDefault="00AE4A2C" w:rsidP="00AE4A2C">
      <w:pPr>
        <w:rPr>
          <w:szCs w:val="24"/>
        </w:rPr>
      </w:pPr>
    </w:p>
    <w:p w14:paraId="2FE6A093" w14:textId="2A9F0456" w:rsidR="00AE4A2C" w:rsidRPr="00627DB1" w:rsidRDefault="00AE4A2C" w:rsidP="00AE4A2C">
      <w:pPr>
        <w:rPr>
          <w:b/>
          <w:szCs w:val="24"/>
        </w:rPr>
      </w:pPr>
      <w:r w:rsidRPr="00627DB1">
        <w:rPr>
          <w:b/>
          <w:szCs w:val="24"/>
        </w:rPr>
        <w:t>Otázka 6.24. Měla by Česká republika využít diskreci, tj. měly by podléhat schválení a</w:t>
      </w:r>
      <w:r w:rsidR="008C3C06">
        <w:rPr>
          <w:b/>
          <w:szCs w:val="24"/>
        </w:rPr>
        <w:t> </w:t>
      </w:r>
      <w:r w:rsidRPr="00627DB1">
        <w:rPr>
          <w:b/>
          <w:szCs w:val="24"/>
        </w:rPr>
        <w:t>uveřejnění i transakce uzavřené v rámci běžného obchodního styku a za běžných tržních podmínek?</w:t>
      </w:r>
    </w:p>
    <w:p w14:paraId="3DAB019E" w14:textId="77777777" w:rsidR="00AE4A2C" w:rsidRDefault="00AE4A2C" w:rsidP="00AE4A2C">
      <w:pPr>
        <w:rPr>
          <w:szCs w:val="24"/>
        </w:rPr>
      </w:pPr>
      <w:r>
        <w:rPr>
          <w:szCs w:val="24"/>
        </w:rPr>
        <w:t>Všichni 4 respondenti, kteří odpověděli na tuto otázku, se shodli v názoru, že by transakce uzavřené v rámci běžného obchodního styku a za běžných tržních podmínek neměly podléhat schválení a uveřejnění.</w:t>
      </w:r>
    </w:p>
    <w:p w14:paraId="6469D88C" w14:textId="77777777" w:rsidR="00AE4A2C" w:rsidRDefault="00AE4A2C" w:rsidP="00AE4A2C">
      <w:pPr>
        <w:rPr>
          <w:szCs w:val="24"/>
        </w:rPr>
      </w:pPr>
      <w:r>
        <w:rPr>
          <w:szCs w:val="24"/>
        </w:rPr>
        <w:t>3 respondenti na tuto otázku neodpověděli.</w:t>
      </w:r>
    </w:p>
    <w:p w14:paraId="4BA55E02" w14:textId="77777777" w:rsidR="00AE4A2C" w:rsidRDefault="00AE4A2C" w:rsidP="00AE4A2C">
      <w:pPr>
        <w:jc w:val="center"/>
        <w:rPr>
          <w:szCs w:val="24"/>
        </w:rPr>
      </w:pPr>
      <w:r>
        <w:rPr>
          <w:noProof/>
          <w:lang w:eastAsia="cs-CZ"/>
        </w:rPr>
        <w:lastRenderedPageBreak/>
        <w:drawing>
          <wp:inline distT="0" distB="0" distL="0" distR="0" wp14:anchorId="60F14CEC" wp14:editId="2420DCDE">
            <wp:extent cx="5381625" cy="2743200"/>
            <wp:effectExtent l="0" t="0" r="9525" b="19050"/>
            <wp:docPr id="42" name="Graf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21442D4" w14:textId="77777777" w:rsidR="00AE4A2C" w:rsidRPr="00627DB1" w:rsidRDefault="00AE4A2C" w:rsidP="00AE4A2C">
      <w:pPr>
        <w:rPr>
          <w:b/>
          <w:szCs w:val="24"/>
        </w:rPr>
      </w:pPr>
      <w:r w:rsidRPr="00627DB1">
        <w:rPr>
          <w:b/>
          <w:szCs w:val="24"/>
        </w:rPr>
        <w:t>Otázka 6.25. Z jakého důvodu se přikláníte k  možnosti vybrané v otázce 6.24.?</w:t>
      </w:r>
    </w:p>
    <w:p w14:paraId="7E547928" w14:textId="50E6E308" w:rsidR="00AE4A2C" w:rsidRDefault="00AE4A2C" w:rsidP="00AE4A2C">
      <w:pPr>
        <w:rPr>
          <w:szCs w:val="24"/>
        </w:rPr>
      </w:pPr>
      <w:r>
        <w:rPr>
          <w:szCs w:val="24"/>
        </w:rPr>
        <w:t>Respondenti své odpovědi na předchozí otázku odůvodnili tím, že by šlo o nadbytečnou administrativní zátěž, neboť v rámci běžného obchodního styku společnosti uzavírají velké množství transakcí na denní bázi. V případě transakcí uzavíraných v rámci běžného obchodního styku a za běžných tržních podmínek nehrozí újma společnosti, akcionářům na transakci nezúčastněným ani věřitelům společnosti. Zároveň uvádí, že splnění podmínky běžného obchodního styku a tržních podmínek je dostatečně kryto péčí řádného hospodáře, která tíží osoby, jež jsou v postavení členů správního a dozorčího orgánu společnosti.</w:t>
      </w:r>
    </w:p>
    <w:p w14:paraId="09B8F1F0" w14:textId="77777777" w:rsidR="00AE4A2C" w:rsidRDefault="00AE4A2C" w:rsidP="00AE4A2C">
      <w:pPr>
        <w:rPr>
          <w:szCs w:val="24"/>
        </w:rPr>
      </w:pPr>
      <w:r>
        <w:rPr>
          <w:szCs w:val="24"/>
        </w:rPr>
        <w:t>3 respondenti na tuto otázku neodpověděli.</w:t>
      </w:r>
    </w:p>
    <w:p w14:paraId="17264826" w14:textId="77777777" w:rsidR="00AE4A2C" w:rsidRPr="00055E91" w:rsidRDefault="00AE4A2C" w:rsidP="00AE4A2C">
      <w:pPr>
        <w:rPr>
          <w:b/>
          <w:i/>
          <w:szCs w:val="24"/>
        </w:rPr>
      </w:pPr>
      <w:r w:rsidRPr="00627DB1">
        <w:rPr>
          <w:b/>
          <w:szCs w:val="24"/>
        </w:rPr>
        <w:t xml:space="preserve">Otázka 6.26. Měla by Česká republika využít diskreci a vyjmout některé transakce z povinností podle čl. </w:t>
      </w:r>
      <w:r w:rsidRPr="00627DB1">
        <w:rPr>
          <w:b/>
          <w:color w:val="000000"/>
          <w:szCs w:val="24"/>
        </w:rPr>
        <w:t>9c odst. 2 a 4</w:t>
      </w:r>
      <w:r w:rsidRPr="00627DB1">
        <w:rPr>
          <w:b/>
          <w:szCs w:val="24"/>
        </w:rPr>
        <w:t>?</w:t>
      </w:r>
      <w:r>
        <w:rPr>
          <w:b/>
          <w:szCs w:val="24"/>
        </w:rPr>
        <w:t xml:space="preserve"> </w:t>
      </w:r>
      <w:r>
        <w:rPr>
          <w:b/>
          <w:i/>
          <w:szCs w:val="24"/>
        </w:rPr>
        <w:t>(tj. výjimky z požadavků na schvalování významných transakcí se spřízněnými stranami)</w:t>
      </w:r>
    </w:p>
    <w:p w14:paraId="32AAA9FB" w14:textId="77777777" w:rsidR="00AE4A2C" w:rsidRDefault="00AE4A2C" w:rsidP="00AE4A2C">
      <w:pPr>
        <w:rPr>
          <w:szCs w:val="24"/>
        </w:rPr>
      </w:pPr>
      <w:r>
        <w:rPr>
          <w:szCs w:val="24"/>
        </w:rPr>
        <w:t xml:space="preserve">Na tuto otázku odpověděli 4 respondenti, kteří se shodli, že by Česká republika měla využít diskreci a vyjmout některé transakce z povinností podle čl. 9c odst. 2 a 4. </w:t>
      </w:r>
    </w:p>
    <w:p w14:paraId="5847C34C" w14:textId="77777777" w:rsidR="00AE4A2C" w:rsidRDefault="00AE4A2C" w:rsidP="00AE4A2C">
      <w:pPr>
        <w:rPr>
          <w:szCs w:val="24"/>
        </w:rPr>
      </w:pPr>
      <w:r>
        <w:rPr>
          <w:szCs w:val="24"/>
        </w:rPr>
        <w:t xml:space="preserve">3 respondenti na tuto otázku neodpověděli. </w:t>
      </w:r>
    </w:p>
    <w:p w14:paraId="541C0E87" w14:textId="77777777" w:rsidR="00AE4A2C" w:rsidRDefault="00AE4A2C" w:rsidP="00AE4A2C">
      <w:pPr>
        <w:jc w:val="center"/>
        <w:rPr>
          <w:szCs w:val="24"/>
        </w:rPr>
      </w:pPr>
      <w:r>
        <w:rPr>
          <w:noProof/>
          <w:lang w:eastAsia="cs-CZ"/>
        </w:rPr>
        <w:lastRenderedPageBreak/>
        <w:drawing>
          <wp:inline distT="0" distB="0" distL="0" distR="0" wp14:anchorId="1BC5F00A" wp14:editId="13967CBD">
            <wp:extent cx="5334000" cy="2743200"/>
            <wp:effectExtent l="0" t="0" r="19050" b="19050"/>
            <wp:docPr id="43" name="Graf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3663BAA" w14:textId="77777777" w:rsidR="00AE4A2C" w:rsidRPr="00627DB1" w:rsidRDefault="00AE4A2C" w:rsidP="00AE4A2C">
      <w:pPr>
        <w:rPr>
          <w:b/>
          <w:szCs w:val="24"/>
        </w:rPr>
      </w:pPr>
      <w:r w:rsidRPr="00627DB1">
        <w:rPr>
          <w:b/>
          <w:szCs w:val="24"/>
        </w:rPr>
        <w:t>Otázka 6.27. Z jakého důvodu se přikláníte k  možnosti vybrané v otázce 6.26.?</w:t>
      </w:r>
    </w:p>
    <w:p w14:paraId="140BD4CF" w14:textId="2D72E4F7" w:rsidR="00AE4A2C" w:rsidRDefault="00AE4A2C" w:rsidP="00AE4A2C">
      <w:pPr>
        <w:rPr>
          <w:szCs w:val="24"/>
        </w:rPr>
      </w:pPr>
      <w:r>
        <w:rPr>
          <w:szCs w:val="24"/>
        </w:rPr>
        <w:t xml:space="preserve">Své odpovědi na předchozí otázku respondenti zdůvodnili tím, že nevyužití diskrece vyjmout některé transakce se spřízněnými stranami z režimu jejich schvalování by vedlo k neefektivnímu fungování společností. Jeden respondent upozorňuje, že banka podléhá dohledu České národní banky a je vázána přísnými pravidly, která upravují veškeré činnosti banky, tedy i transakce uvedené v čl. 9c odst. 6 písm. a) až e). </w:t>
      </w:r>
    </w:p>
    <w:p w14:paraId="24EFB9D4" w14:textId="77777777" w:rsidR="00AE4A2C" w:rsidRDefault="00AE4A2C" w:rsidP="00AE4A2C">
      <w:pPr>
        <w:rPr>
          <w:szCs w:val="24"/>
        </w:rPr>
      </w:pPr>
      <w:r>
        <w:rPr>
          <w:szCs w:val="24"/>
        </w:rPr>
        <w:t xml:space="preserve">Další respondent upřesňuje, že doporučuje využít výjimku podle čl. 9c odst. 6 písm. d) směrnice, tj. pro transakce uzavřené úvěrovými institucemi v případě ozdravných postupů. Ostatní transakce se spřízněnými stranami nedoporučuje vyjímat z režimu schvalování, neboť budou-li vyňaty transakce uzavírané v rámci běžného obchodního styku a za tržních podmínek, není pro to důvod. </w:t>
      </w:r>
    </w:p>
    <w:p w14:paraId="1BB8CF70" w14:textId="77777777" w:rsidR="00AE4A2C" w:rsidRDefault="00AE4A2C" w:rsidP="00AE4A2C">
      <w:pPr>
        <w:rPr>
          <w:szCs w:val="24"/>
        </w:rPr>
      </w:pPr>
      <w:r>
        <w:rPr>
          <w:szCs w:val="24"/>
        </w:rPr>
        <w:t>4 respondenti na tuto otázku neodpověděli.</w:t>
      </w:r>
    </w:p>
    <w:p w14:paraId="1BFAB1DD" w14:textId="77777777" w:rsidR="00AE4A2C" w:rsidRPr="00627DB1" w:rsidRDefault="00AE4A2C" w:rsidP="00AE4A2C">
      <w:pPr>
        <w:rPr>
          <w:b/>
          <w:szCs w:val="24"/>
        </w:rPr>
      </w:pPr>
      <w:r w:rsidRPr="00627DB1">
        <w:rPr>
          <w:b/>
          <w:szCs w:val="24"/>
        </w:rPr>
        <w:t>Otázka 6.28. Které transakce by měly být vyjmuty z povinností podle čl. 9c odst. 2 a 4?</w:t>
      </w:r>
    </w:p>
    <w:p w14:paraId="7B862B45" w14:textId="7CE80138" w:rsidR="00AE4A2C" w:rsidRDefault="00AE4A2C" w:rsidP="00AE4A2C">
      <w:pPr>
        <w:shd w:val="clear" w:color="auto" w:fill="FFFFFF"/>
        <w:spacing w:before="40" w:after="40"/>
        <w:rPr>
          <w:color w:val="000000"/>
          <w:szCs w:val="24"/>
        </w:rPr>
      </w:pPr>
      <w:r>
        <w:rPr>
          <w:szCs w:val="24"/>
        </w:rPr>
        <w:t xml:space="preserve">Na tuto otázku odpověděli 3 respondenti. Všichni tři se domnívají, že by měly být vyjmuty z povinností podle čl. 9c odst. 2 a 4 transakce </w:t>
      </w:r>
      <w:r>
        <w:rPr>
          <w:color w:val="000000"/>
          <w:szCs w:val="24"/>
        </w:rPr>
        <w:t xml:space="preserve">uzavřené úvěrovými institucemi </w:t>
      </w:r>
      <w:r w:rsidRPr="00E96625">
        <w:rPr>
          <w:color w:val="000000"/>
          <w:szCs w:val="24"/>
        </w:rPr>
        <w:t>na základě opatření zaměřených na ochranu jejich stability a přijatých příslušným orgánem odpovědným za obezřetnostní dohled ve smyslu práva Unie</w:t>
      </w:r>
      <w:r>
        <w:rPr>
          <w:color w:val="000000"/>
          <w:szCs w:val="24"/>
        </w:rPr>
        <w:t>. Dva respondenti jsou i pro vyjmutí t</w:t>
      </w:r>
      <w:r w:rsidRPr="00D66F8F">
        <w:rPr>
          <w:color w:val="000000"/>
          <w:szCs w:val="24"/>
        </w:rPr>
        <w:t>ransakc</w:t>
      </w:r>
      <w:r>
        <w:rPr>
          <w:color w:val="000000"/>
          <w:szCs w:val="24"/>
        </w:rPr>
        <w:t>í</w:t>
      </w:r>
      <w:r w:rsidRPr="00D66F8F">
        <w:rPr>
          <w:color w:val="000000"/>
          <w:szCs w:val="24"/>
        </w:rPr>
        <w:t xml:space="preserve"> mezi mateřskou a dceřinou společností za předpokladu, že mateřská společnost je jediným společníkem dceřiné společnosti</w:t>
      </w:r>
      <w:r>
        <w:rPr>
          <w:color w:val="000000"/>
          <w:szCs w:val="24"/>
        </w:rPr>
        <w:t>, t</w:t>
      </w:r>
      <w:r w:rsidRPr="00D66F8F">
        <w:rPr>
          <w:color w:val="000000"/>
          <w:szCs w:val="24"/>
        </w:rPr>
        <w:t>ransakc</w:t>
      </w:r>
      <w:r>
        <w:rPr>
          <w:color w:val="000000"/>
          <w:szCs w:val="24"/>
        </w:rPr>
        <w:t>í</w:t>
      </w:r>
      <w:r w:rsidRPr="00D66F8F">
        <w:rPr>
          <w:color w:val="000000"/>
          <w:szCs w:val="24"/>
        </w:rPr>
        <w:t xml:space="preserve"> mezi mateřskou a dceřinou společností za</w:t>
      </w:r>
      <w:r>
        <w:rPr>
          <w:color w:val="000000"/>
          <w:szCs w:val="24"/>
        </w:rPr>
        <w:t> </w:t>
      </w:r>
      <w:r w:rsidRPr="00D66F8F">
        <w:rPr>
          <w:color w:val="000000"/>
          <w:szCs w:val="24"/>
        </w:rPr>
        <w:t xml:space="preserve">předpokladu, </w:t>
      </w:r>
      <w:r>
        <w:rPr>
          <w:color w:val="000000"/>
          <w:szCs w:val="24"/>
        </w:rPr>
        <w:t xml:space="preserve">že žádná další spřízněná strana nemá v dceřiné společnosti žádný podíl, </w:t>
      </w:r>
      <w:r>
        <w:rPr>
          <w:color w:val="000000"/>
          <w:szCs w:val="24"/>
        </w:rPr>
        <w:lastRenderedPageBreak/>
        <w:t>a t</w:t>
      </w:r>
      <w:r w:rsidRPr="00D66F8F">
        <w:rPr>
          <w:color w:val="000000"/>
          <w:szCs w:val="24"/>
        </w:rPr>
        <w:t>ransakc</w:t>
      </w:r>
      <w:r>
        <w:rPr>
          <w:color w:val="000000"/>
          <w:szCs w:val="24"/>
        </w:rPr>
        <w:t>í</w:t>
      </w:r>
      <w:r w:rsidRPr="00D66F8F">
        <w:rPr>
          <w:color w:val="000000"/>
          <w:szCs w:val="24"/>
        </w:rPr>
        <w:t xml:space="preserve"> mezi </w:t>
      </w:r>
      <w:r>
        <w:rPr>
          <w:color w:val="000000"/>
          <w:szCs w:val="24"/>
        </w:rPr>
        <w:t>mateřskou společností</w:t>
      </w:r>
      <w:r w:rsidRPr="00D66F8F">
        <w:rPr>
          <w:color w:val="000000"/>
          <w:szCs w:val="24"/>
        </w:rPr>
        <w:t xml:space="preserve"> a </w:t>
      </w:r>
      <w:r>
        <w:rPr>
          <w:color w:val="000000"/>
          <w:szCs w:val="24"/>
        </w:rPr>
        <w:t>jí řízenou dceřinou společností. Jeden respondent navrhl, že by měly být vyjmuty transakce ve všech případech, které připouští směrnice.</w:t>
      </w:r>
    </w:p>
    <w:p w14:paraId="6536FAEA" w14:textId="77777777" w:rsidR="00AE4A2C" w:rsidRDefault="00AE4A2C" w:rsidP="00AE4A2C">
      <w:pPr>
        <w:rPr>
          <w:szCs w:val="24"/>
        </w:rPr>
      </w:pPr>
      <w:r>
        <w:rPr>
          <w:szCs w:val="24"/>
        </w:rPr>
        <w:t>4 respondenti na tuto otázku neodpověděli.</w:t>
      </w:r>
    </w:p>
    <w:p w14:paraId="0944BECC" w14:textId="77777777" w:rsidR="00AE4A2C" w:rsidRDefault="00AE4A2C" w:rsidP="00AE4A2C">
      <w:pPr>
        <w:jc w:val="center"/>
        <w:rPr>
          <w:szCs w:val="24"/>
        </w:rPr>
      </w:pPr>
      <w:r>
        <w:rPr>
          <w:noProof/>
          <w:lang w:eastAsia="cs-CZ"/>
        </w:rPr>
        <w:drawing>
          <wp:inline distT="0" distB="0" distL="0" distR="0" wp14:anchorId="0F3C0E9E" wp14:editId="0E098078">
            <wp:extent cx="5772150" cy="3048000"/>
            <wp:effectExtent l="0" t="0" r="19050" b="19050"/>
            <wp:docPr id="44" name="Graf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D585F25" w14:textId="77777777" w:rsidR="00AE4A2C" w:rsidRPr="00627DB1" w:rsidRDefault="00AE4A2C" w:rsidP="00AE4A2C">
      <w:pPr>
        <w:rPr>
          <w:b/>
          <w:szCs w:val="24"/>
        </w:rPr>
      </w:pPr>
      <w:r w:rsidRPr="00627DB1">
        <w:rPr>
          <w:b/>
          <w:szCs w:val="24"/>
        </w:rPr>
        <w:t>Otázka 6.29. Měla by Česká republika využít diskreci, tj. stanovit povinnost vyhotovení a uveřejnění zprávy posuzující, zda je transakce spravedlivá a přiměřená?</w:t>
      </w:r>
    </w:p>
    <w:p w14:paraId="3246C969" w14:textId="6B83A9CB" w:rsidR="00AE4A2C" w:rsidRDefault="00AE4A2C" w:rsidP="00AE4A2C">
      <w:pPr>
        <w:rPr>
          <w:szCs w:val="24"/>
        </w:rPr>
      </w:pPr>
      <w:r>
        <w:rPr>
          <w:szCs w:val="24"/>
        </w:rPr>
        <w:t>Tři respondenti shodně uvedli, že by Česká republika neměla stanovit povinnost vyhotovení a uveřejnění zprávy posuzující, zda je transakce spravedlivá a přiměřená. Jeden respondent doporučil využít této diskrece.</w:t>
      </w:r>
    </w:p>
    <w:p w14:paraId="60A9991C" w14:textId="77777777" w:rsidR="00AE4A2C" w:rsidRDefault="00AE4A2C" w:rsidP="00AE4A2C">
      <w:pPr>
        <w:rPr>
          <w:szCs w:val="24"/>
        </w:rPr>
      </w:pPr>
      <w:r>
        <w:rPr>
          <w:szCs w:val="24"/>
        </w:rPr>
        <w:t>Tři respondenti na tuto otázku neodpověděli.</w:t>
      </w:r>
    </w:p>
    <w:p w14:paraId="75D24D73" w14:textId="0FC540B6" w:rsidR="00AE4A2C" w:rsidRPr="008C3C06" w:rsidRDefault="00AE4A2C" w:rsidP="008C3C06">
      <w:pPr>
        <w:jc w:val="center"/>
        <w:rPr>
          <w:szCs w:val="24"/>
        </w:rPr>
      </w:pPr>
      <w:r>
        <w:rPr>
          <w:noProof/>
          <w:lang w:eastAsia="cs-CZ"/>
        </w:rPr>
        <w:lastRenderedPageBreak/>
        <w:drawing>
          <wp:inline distT="0" distB="0" distL="0" distR="0" wp14:anchorId="1D92307F" wp14:editId="0C5B34C2">
            <wp:extent cx="5372100" cy="2743200"/>
            <wp:effectExtent l="0" t="0" r="19050" b="19050"/>
            <wp:docPr id="45" name="Graf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1FF23236" w14:textId="77777777" w:rsidR="00AE4A2C" w:rsidRPr="00627DB1" w:rsidRDefault="00AE4A2C" w:rsidP="00AE4A2C">
      <w:pPr>
        <w:rPr>
          <w:b/>
          <w:szCs w:val="24"/>
        </w:rPr>
      </w:pPr>
      <w:r w:rsidRPr="00627DB1">
        <w:rPr>
          <w:b/>
          <w:szCs w:val="24"/>
        </w:rPr>
        <w:t>Otázka 6.30. Z jakého důvodu se přikláníte k  možnosti vybrané v otázce 6.29.?</w:t>
      </w:r>
    </w:p>
    <w:p w14:paraId="297CF7CB" w14:textId="3A605FEA" w:rsidR="00AE4A2C" w:rsidRDefault="00AE4A2C" w:rsidP="00AE4A2C">
      <w:pPr>
        <w:rPr>
          <w:szCs w:val="24"/>
        </w:rPr>
      </w:pPr>
      <w:r>
        <w:rPr>
          <w:szCs w:val="24"/>
        </w:rPr>
        <w:t>Respondenti hlasující proti zavedení diskrece uvádí, že by šlo o zbytečnou administrativní zátěž, a nevidí důvod, proč by měla být taková povinnost zakotvena. Jeden respondent upozorňuje, že banky podléhají dohledu České národní banky a jsou vázány přísnými pravidly, která upravují veškerou činnost banky.</w:t>
      </w:r>
    </w:p>
    <w:p w14:paraId="3A3AE6BC" w14:textId="44EDCFB7" w:rsidR="00AE4A2C" w:rsidRDefault="00AE4A2C" w:rsidP="00AE4A2C">
      <w:pPr>
        <w:rPr>
          <w:szCs w:val="24"/>
        </w:rPr>
      </w:pPr>
      <w:r>
        <w:rPr>
          <w:szCs w:val="24"/>
        </w:rPr>
        <w:t>Respondent podporující využití diskrece uvádí, že diskrece doplňuje povinnost veřejně oznamovat transakce uzavřené mezi spřízněnou protistranou společnosti a dceřinou společností této společnosti, aby nemohlo docházet k obcházení regulace.</w:t>
      </w:r>
    </w:p>
    <w:p w14:paraId="00B298C9" w14:textId="77777777" w:rsidR="00AE4A2C" w:rsidRDefault="00AE4A2C" w:rsidP="00AE4A2C">
      <w:pPr>
        <w:rPr>
          <w:szCs w:val="24"/>
        </w:rPr>
      </w:pPr>
      <w:r>
        <w:rPr>
          <w:szCs w:val="24"/>
        </w:rPr>
        <w:t>3 respondenti na tuto otázku neodpověděli.</w:t>
      </w:r>
    </w:p>
    <w:p w14:paraId="5E9C0C5E" w14:textId="77777777" w:rsidR="00AE4A2C" w:rsidRPr="00627DB1" w:rsidRDefault="00AE4A2C" w:rsidP="00AE4A2C">
      <w:pPr>
        <w:rPr>
          <w:b/>
          <w:szCs w:val="24"/>
        </w:rPr>
      </w:pPr>
      <w:r w:rsidRPr="00627DB1">
        <w:rPr>
          <w:b/>
          <w:szCs w:val="24"/>
        </w:rPr>
        <w:t>Otázka 6.31. V případě, že by měla být uložena povinnost vyhotovit a uveřejnit zprávu posuzující, zda je transakce spravedlivá a přiměřená, kdo by měl tuto zprávu vypracovat?</w:t>
      </w:r>
    </w:p>
    <w:p w14:paraId="23935894" w14:textId="2098F2EF" w:rsidR="00AE4A2C" w:rsidRDefault="00AE4A2C" w:rsidP="00AE4A2C">
      <w:pPr>
        <w:rPr>
          <w:szCs w:val="24"/>
        </w:rPr>
      </w:pPr>
      <w:r>
        <w:rPr>
          <w:szCs w:val="24"/>
        </w:rPr>
        <w:t>Na tuto otázku odpověděli dva respondenti. Respondent podporující využití diskrece, tedy stanovení povinnosti vypracovat zprávu posuzující spravedlivost a přiměřenost transakce, uvedl, že by tuto zprávu měl vyhotovit a uveřejnit správní nebo dozorčí orgán společnosti. Druhý respondent uvedl, že by zprávu měl vyhotovit a uveřejnit výbor pro audit.</w:t>
      </w:r>
    </w:p>
    <w:p w14:paraId="66B9F051" w14:textId="77777777" w:rsidR="00AE4A2C" w:rsidRDefault="00AE4A2C" w:rsidP="00AE4A2C">
      <w:pPr>
        <w:rPr>
          <w:szCs w:val="24"/>
        </w:rPr>
      </w:pPr>
      <w:r>
        <w:rPr>
          <w:szCs w:val="24"/>
        </w:rPr>
        <w:t>5 respondentů na tuto otázku neodpovědělo.</w:t>
      </w:r>
    </w:p>
    <w:p w14:paraId="0645495E" w14:textId="1A4BDB57" w:rsidR="00AE4A2C" w:rsidRDefault="00B21225" w:rsidP="00AE4A2C">
      <w:pPr>
        <w:jc w:val="center"/>
        <w:rPr>
          <w:rFonts w:cs="Times New Roman"/>
          <w:szCs w:val="24"/>
        </w:rPr>
      </w:pPr>
      <w:r>
        <w:rPr>
          <w:noProof/>
          <w:lang w:eastAsia="cs-CZ"/>
        </w:rPr>
        <w:lastRenderedPageBreak/>
        <w:drawing>
          <wp:inline distT="0" distB="0" distL="0" distR="0" wp14:anchorId="6B2A4C14" wp14:editId="50B5934D">
            <wp:extent cx="4572000" cy="2743200"/>
            <wp:effectExtent l="0" t="0" r="19050" b="19050"/>
            <wp:docPr id="50" name="Graf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2B1C4AE1" w14:textId="77777777" w:rsidR="00AE4A2C" w:rsidRPr="00A94CA6" w:rsidRDefault="00AE4A2C" w:rsidP="00AE4A2C">
      <w:pPr>
        <w:spacing w:before="40" w:after="40" w:line="276" w:lineRule="auto"/>
        <w:rPr>
          <w:rFonts w:cs="Times New Roman"/>
          <w:szCs w:val="24"/>
        </w:rPr>
      </w:pPr>
    </w:p>
    <w:p w14:paraId="77716843" w14:textId="77777777" w:rsidR="00AE4A2C" w:rsidRPr="00A94CA6" w:rsidRDefault="00AE4A2C" w:rsidP="00AE4A2C">
      <w:pPr>
        <w:rPr>
          <w:rFonts w:cs="Times New Roman"/>
          <w:szCs w:val="24"/>
        </w:rPr>
      </w:pPr>
    </w:p>
    <w:p w14:paraId="54B9B9F7" w14:textId="77777777" w:rsidR="00AE4A2C" w:rsidRDefault="00AE4A2C" w:rsidP="00AE4A2C">
      <w:pPr>
        <w:rPr>
          <w:rFonts w:cs="Times New Roman"/>
          <w:szCs w:val="24"/>
        </w:rPr>
      </w:pPr>
    </w:p>
    <w:p w14:paraId="74201AA9" w14:textId="77777777" w:rsidR="00AE4A2C" w:rsidRPr="00CE6A2A" w:rsidRDefault="00AE4A2C" w:rsidP="00AE4A2C">
      <w:pPr>
        <w:rPr>
          <w:rFonts w:cs="Times New Roman"/>
          <w:b/>
          <w:szCs w:val="24"/>
        </w:rPr>
      </w:pPr>
      <w:r w:rsidRPr="00CE6A2A">
        <w:rPr>
          <w:rFonts w:cs="Times New Roman"/>
          <w:b/>
          <w:szCs w:val="24"/>
        </w:rPr>
        <w:t>Závěr</w:t>
      </w:r>
    </w:p>
    <w:p w14:paraId="0EABAEBF" w14:textId="77777777" w:rsidR="00AE4A2C" w:rsidRPr="00CE6A2A" w:rsidRDefault="00AE4A2C" w:rsidP="00AE4A2C">
      <w:pPr>
        <w:rPr>
          <w:rFonts w:cs="Times New Roman"/>
          <w:szCs w:val="24"/>
        </w:rPr>
      </w:pPr>
      <w:r>
        <w:rPr>
          <w:rFonts w:cs="Times New Roman"/>
          <w:szCs w:val="24"/>
        </w:rPr>
        <w:t xml:space="preserve">Ministerstvo financí a Ministerstvo spravedlnosti získaly díky odpovědím na konzultaci řadu zajímavých podnětů, které budou moci využít při </w:t>
      </w:r>
      <w:r w:rsidRPr="00496482">
        <w:rPr>
          <w:rFonts w:cs="Times New Roman"/>
          <w:szCs w:val="24"/>
        </w:rPr>
        <w:t xml:space="preserve">přípravě </w:t>
      </w:r>
      <w:r>
        <w:rPr>
          <w:rFonts w:cs="Times New Roman"/>
          <w:szCs w:val="24"/>
        </w:rPr>
        <w:t xml:space="preserve">transpozice směrnice </w:t>
      </w:r>
      <w:r w:rsidRPr="007E5239">
        <w:rPr>
          <w:rFonts w:cs="Times New Roman"/>
          <w:bCs/>
          <w:szCs w:val="24"/>
        </w:rPr>
        <w:t>Evropského parlamentu a Rady (EU) 2017/828 ze dne 17.</w:t>
      </w:r>
      <w:r>
        <w:rPr>
          <w:rFonts w:cs="Times New Roman"/>
          <w:bCs/>
          <w:szCs w:val="24"/>
        </w:rPr>
        <w:t> </w:t>
      </w:r>
      <w:r w:rsidRPr="007E5239">
        <w:rPr>
          <w:rFonts w:cs="Times New Roman"/>
          <w:bCs/>
          <w:szCs w:val="24"/>
        </w:rPr>
        <w:t>května 2017, kterou se mění směrnice 2007/36/ES</w:t>
      </w:r>
      <w:r>
        <w:rPr>
          <w:rFonts w:cs="Times New Roman"/>
          <w:bCs/>
          <w:szCs w:val="24"/>
        </w:rPr>
        <w:t>, pokud jde o podporu dlouhodobého zapojení akcionářů</w:t>
      </w:r>
      <w:r w:rsidRPr="00496482">
        <w:rPr>
          <w:rFonts w:cs="Times New Roman"/>
          <w:szCs w:val="24"/>
        </w:rPr>
        <w:t>.</w:t>
      </w:r>
      <w:r>
        <w:rPr>
          <w:rFonts w:cs="Times New Roman"/>
          <w:szCs w:val="24"/>
        </w:rPr>
        <w:t xml:space="preserve"> Jak je zřejmé ze shrnutí uvedeného výše, na některé otázky nevyplynula jednoznačná odpověď. Díky došlým odpovědím ale mohou Ministerstvo financí a Ministerstvo spravedlnosti lépe zhodnotit, jakých diskrecí mají při transpozici směrnice využít.</w:t>
      </w:r>
    </w:p>
    <w:p w14:paraId="6B5B97D9" w14:textId="77777777" w:rsidR="00217F87" w:rsidRPr="00CE6A2A" w:rsidRDefault="00217F87" w:rsidP="00AE4A2C">
      <w:pPr>
        <w:pStyle w:val="Otzka"/>
        <w:spacing w:before="360"/>
        <w:jc w:val="center"/>
        <w:outlineLvl w:val="1"/>
        <w:rPr>
          <w:szCs w:val="24"/>
        </w:rPr>
      </w:pPr>
    </w:p>
    <w:sectPr w:rsidR="00217F87" w:rsidRPr="00CE6A2A" w:rsidSect="00164C1E">
      <w:footerReference w:type="default" r:id="rId54"/>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73B9FF" w15:done="0"/>
  <w15:commentEx w15:paraId="51B36458" w15:done="0"/>
  <w15:commentEx w15:paraId="6A1D75C8" w15:done="0"/>
  <w15:commentEx w15:paraId="073C767E" w15:done="0"/>
  <w15:commentEx w15:paraId="359A646A" w15:done="0"/>
  <w15:commentEx w15:paraId="7F0B0986" w15:done="0"/>
  <w15:commentEx w15:paraId="657963C5" w15:done="0"/>
  <w15:commentEx w15:paraId="6EAA51D1" w15:done="0"/>
  <w15:commentEx w15:paraId="3674D32E" w15:done="0"/>
  <w15:commentEx w15:paraId="2186F693" w15:done="0"/>
  <w15:commentEx w15:paraId="51AE386C" w15:done="0"/>
  <w15:commentEx w15:paraId="23B76AF7" w15:done="0"/>
  <w15:commentEx w15:paraId="4E8F5681" w15:done="0"/>
  <w15:commentEx w15:paraId="6BF6655B" w15:done="0"/>
  <w15:commentEx w15:paraId="669B53BC" w15:done="0"/>
  <w15:commentEx w15:paraId="312D07A4" w15:done="0"/>
  <w15:commentEx w15:paraId="278AEA8F" w15:done="0"/>
  <w15:commentEx w15:paraId="17552A79" w15:done="0"/>
  <w15:commentEx w15:paraId="394B121D" w15:done="0"/>
  <w15:commentEx w15:paraId="39462A5F" w15:done="0"/>
  <w15:commentEx w15:paraId="53D45E1F" w15:done="0"/>
  <w15:commentEx w15:paraId="152B9C69" w15:done="0"/>
  <w15:commentEx w15:paraId="451C371E" w15:done="0"/>
  <w15:commentEx w15:paraId="17C1F820" w15:done="0"/>
  <w15:commentEx w15:paraId="647ABB39" w15:done="0"/>
  <w15:commentEx w15:paraId="536D5BCA" w15:done="0"/>
  <w15:commentEx w15:paraId="37C3B3A4" w15:done="0"/>
  <w15:commentEx w15:paraId="69CF6295" w15:done="0"/>
  <w15:commentEx w15:paraId="5405E8C9" w15:done="0"/>
  <w15:commentEx w15:paraId="147D1C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54D38" w14:textId="77777777" w:rsidR="00C16E69" w:rsidRDefault="00C16E69" w:rsidP="00D7423C">
      <w:pPr>
        <w:spacing w:after="0" w:line="240" w:lineRule="auto"/>
      </w:pPr>
      <w:r>
        <w:separator/>
      </w:r>
    </w:p>
  </w:endnote>
  <w:endnote w:type="continuationSeparator" w:id="0">
    <w:p w14:paraId="3BC264AE" w14:textId="77777777" w:rsidR="00C16E69" w:rsidRDefault="00C16E69" w:rsidP="00D74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230383"/>
      <w:docPartObj>
        <w:docPartGallery w:val="Page Numbers (Bottom of Page)"/>
        <w:docPartUnique/>
      </w:docPartObj>
    </w:sdtPr>
    <w:sdtEndPr/>
    <w:sdtContent>
      <w:p w14:paraId="11B8D9DB" w14:textId="77777777" w:rsidR="006561D6" w:rsidRDefault="006561D6">
        <w:pPr>
          <w:pStyle w:val="Zpat"/>
          <w:jc w:val="right"/>
        </w:pPr>
        <w:r>
          <w:fldChar w:fldCharType="begin"/>
        </w:r>
        <w:r>
          <w:instrText>PAGE   \* MERGEFORMAT</w:instrText>
        </w:r>
        <w:r>
          <w:fldChar w:fldCharType="separate"/>
        </w:r>
        <w:r w:rsidR="006E0CCF">
          <w:rPr>
            <w:noProof/>
          </w:rPr>
          <w:t>2</w:t>
        </w:r>
        <w:r>
          <w:fldChar w:fldCharType="end"/>
        </w:r>
      </w:p>
    </w:sdtContent>
  </w:sdt>
  <w:p w14:paraId="7B8A6366" w14:textId="77777777" w:rsidR="006561D6" w:rsidRDefault="006561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2D970" w14:textId="77777777" w:rsidR="00C16E69" w:rsidRDefault="00C16E69" w:rsidP="00D7423C">
      <w:pPr>
        <w:spacing w:after="0" w:line="240" w:lineRule="auto"/>
      </w:pPr>
      <w:r>
        <w:separator/>
      </w:r>
    </w:p>
  </w:footnote>
  <w:footnote w:type="continuationSeparator" w:id="0">
    <w:p w14:paraId="3D8F6DFF" w14:textId="77777777" w:rsidR="00C16E69" w:rsidRDefault="00C16E69" w:rsidP="00D742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45F51"/>
    <w:multiLevelType w:val="hybridMultilevel"/>
    <w:tmpl w:val="99D85CD6"/>
    <w:lvl w:ilvl="0" w:tplc="29841F3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lala89@gmail.com">
    <w15:presenceInfo w15:providerId="None" w15:userId="daniel.lala89@g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EC"/>
    <w:rsid w:val="00001F7A"/>
    <w:rsid w:val="00011664"/>
    <w:rsid w:val="00011CEF"/>
    <w:rsid w:val="00015BCD"/>
    <w:rsid w:val="00025790"/>
    <w:rsid w:val="00027F5D"/>
    <w:rsid w:val="00031880"/>
    <w:rsid w:val="00037AB4"/>
    <w:rsid w:val="000438A6"/>
    <w:rsid w:val="0005476B"/>
    <w:rsid w:val="00055E91"/>
    <w:rsid w:val="000571E4"/>
    <w:rsid w:val="0006522F"/>
    <w:rsid w:val="0007635A"/>
    <w:rsid w:val="00081BA7"/>
    <w:rsid w:val="00082AE2"/>
    <w:rsid w:val="00090BD1"/>
    <w:rsid w:val="000931FF"/>
    <w:rsid w:val="000948F1"/>
    <w:rsid w:val="00096891"/>
    <w:rsid w:val="0009704B"/>
    <w:rsid w:val="000A012A"/>
    <w:rsid w:val="000A2572"/>
    <w:rsid w:val="000B73E5"/>
    <w:rsid w:val="000C2A23"/>
    <w:rsid w:val="000C3306"/>
    <w:rsid w:val="000C3F46"/>
    <w:rsid w:val="000D0957"/>
    <w:rsid w:val="000D0D84"/>
    <w:rsid w:val="000E2104"/>
    <w:rsid w:val="000E2AB2"/>
    <w:rsid w:val="000E47E7"/>
    <w:rsid w:val="001025AC"/>
    <w:rsid w:val="00103B7B"/>
    <w:rsid w:val="00104110"/>
    <w:rsid w:val="00110A14"/>
    <w:rsid w:val="0011336D"/>
    <w:rsid w:val="001138F5"/>
    <w:rsid w:val="00115626"/>
    <w:rsid w:val="00115B66"/>
    <w:rsid w:val="00120E5D"/>
    <w:rsid w:val="001222FB"/>
    <w:rsid w:val="001238A3"/>
    <w:rsid w:val="0012704C"/>
    <w:rsid w:val="0013072F"/>
    <w:rsid w:val="00133D7E"/>
    <w:rsid w:val="00136857"/>
    <w:rsid w:val="00140140"/>
    <w:rsid w:val="00143D32"/>
    <w:rsid w:val="00151F02"/>
    <w:rsid w:val="0015664F"/>
    <w:rsid w:val="001600B2"/>
    <w:rsid w:val="00164C1E"/>
    <w:rsid w:val="00167B0C"/>
    <w:rsid w:val="00171572"/>
    <w:rsid w:val="00171CA6"/>
    <w:rsid w:val="00172C4A"/>
    <w:rsid w:val="00185B58"/>
    <w:rsid w:val="00187617"/>
    <w:rsid w:val="00193D6B"/>
    <w:rsid w:val="00197E3D"/>
    <w:rsid w:val="001A49C6"/>
    <w:rsid w:val="001B01B0"/>
    <w:rsid w:val="001B1B3F"/>
    <w:rsid w:val="001C0656"/>
    <w:rsid w:val="001C1CEE"/>
    <w:rsid w:val="001C5ADA"/>
    <w:rsid w:val="001D4435"/>
    <w:rsid w:val="001D72B7"/>
    <w:rsid w:val="001E0212"/>
    <w:rsid w:val="001F221F"/>
    <w:rsid w:val="001F492B"/>
    <w:rsid w:val="00203A29"/>
    <w:rsid w:val="00206402"/>
    <w:rsid w:val="0020674A"/>
    <w:rsid w:val="00206D3E"/>
    <w:rsid w:val="00213D21"/>
    <w:rsid w:val="002154C2"/>
    <w:rsid w:val="00217F87"/>
    <w:rsid w:val="0022548F"/>
    <w:rsid w:val="00225B25"/>
    <w:rsid w:val="0023029B"/>
    <w:rsid w:val="00234C76"/>
    <w:rsid w:val="00235E49"/>
    <w:rsid w:val="00236393"/>
    <w:rsid w:val="00237B87"/>
    <w:rsid w:val="00241A14"/>
    <w:rsid w:val="00241B98"/>
    <w:rsid w:val="002427F8"/>
    <w:rsid w:val="00243DD2"/>
    <w:rsid w:val="00244BDB"/>
    <w:rsid w:val="002502CE"/>
    <w:rsid w:val="00250DD3"/>
    <w:rsid w:val="00253503"/>
    <w:rsid w:val="00260EEB"/>
    <w:rsid w:val="002625DD"/>
    <w:rsid w:val="002636DF"/>
    <w:rsid w:val="00266606"/>
    <w:rsid w:val="002715EF"/>
    <w:rsid w:val="002734A1"/>
    <w:rsid w:val="00273C7D"/>
    <w:rsid w:val="00280147"/>
    <w:rsid w:val="0028063B"/>
    <w:rsid w:val="00280883"/>
    <w:rsid w:val="0028620D"/>
    <w:rsid w:val="00292D1B"/>
    <w:rsid w:val="002A2174"/>
    <w:rsid w:val="002A5EC6"/>
    <w:rsid w:val="002B0C7C"/>
    <w:rsid w:val="002B1400"/>
    <w:rsid w:val="002B3833"/>
    <w:rsid w:val="002B7ABE"/>
    <w:rsid w:val="002C0ADF"/>
    <w:rsid w:val="002C1DD7"/>
    <w:rsid w:val="002C72D8"/>
    <w:rsid w:val="002D7D56"/>
    <w:rsid w:val="002E5D4C"/>
    <w:rsid w:val="002F45CA"/>
    <w:rsid w:val="002F4FD8"/>
    <w:rsid w:val="003000D4"/>
    <w:rsid w:val="00321A64"/>
    <w:rsid w:val="00321FDB"/>
    <w:rsid w:val="0032506B"/>
    <w:rsid w:val="0033497C"/>
    <w:rsid w:val="00335F36"/>
    <w:rsid w:val="0034143F"/>
    <w:rsid w:val="00341C5A"/>
    <w:rsid w:val="00346E90"/>
    <w:rsid w:val="0035111A"/>
    <w:rsid w:val="003660C0"/>
    <w:rsid w:val="00366B45"/>
    <w:rsid w:val="00373D60"/>
    <w:rsid w:val="00375303"/>
    <w:rsid w:val="0038253C"/>
    <w:rsid w:val="003836A3"/>
    <w:rsid w:val="00385319"/>
    <w:rsid w:val="0038762B"/>
    <w:rsid w:val="00387711"/>
    <w:rsid w:val="00392EFC"/>
    <w:rsid w:val="00396EE4"/>
    <w:rsid w:val="003A78EE"/>
    <w:rsid w:val="003B426E"/>
    <w:rsid w:val="003B597F"/>
    <w:rsid w:val="003B6F3E"/>
    <w:rsid w:val="003B7E50"/>
    <w:rsid w:val="003C09EF"/>
    <w:rsid w:val="003C0CAE"/>
    <w:rsid w:val="003C4609"/>
    <w:rsid w:val="003D06BB"/>
    <w:rsid w:val="003E106C"/>
    <w:rsid w:val="003E1B0F"/>
    <w:rsid w:val="003E2876"/>
    <w:rsid w:val="003E7291"/>
    <w:rsid w:val="003F0898"/>
    <w:rsid w:val="003F1235"/>
    <w:rsid w:val="003F4E4D"/>
    <w:rsid w:val="003F6D0E"/>
    <w:rsid w:val="00401B96"/>
    <w:rsid w:val="00406A09"/>
    <w:rsid w:val="00410A37"/>
    <w:rsid w:val="00411DAD"/>
    <w:rsid w:val="00416651"/>
    <w:rsid w:val="004200EC"/>
    <w:rsid w:val="0042032D"/>
    <w:rsid w:val="004214A9"/>
    <w:rsid w:val="0042651C"/>
    <w:rsid w:val="00431421"/>
    <w:rsid w:val="004367A7"/>
    <w:rsid w:val="00437553"/>
    <w:rsid w:val="00441DF4"/>
    <w:rsid w:val="00443EE8"/>
    <w:rsid w:val="004459D1"/>
    <w:rsid w:val="00450DA0"/>
    <w:rsid w:val="0045506E"/>
    <w:rsid w:val="004650E2"/>
    <w:rsid w:val="004708E0"/>
    <w:rsid w:val="00472D00"/>
    <w:rsid w:val="00475E88"/>
    <w:rsid w:val="00477597"/>
    <w:rsid w:val="00486F3F"/>
    <w:rsid w:val="004922E0"/>
    <w:rsid w:val="00496482"/>
    <w:rsid w:val="004A037E"/>
    <w:rsid w:val="004A2CBD"/>
    <w:rsid w:val="004A4297"/>
    <w:rsid w:val="004B44F2"/>
    <w:rsid w:val="004C3BED"/>
    <w:rsid w:val="004C766F"/>
    <w:rsid w:val="004D118C"/>
    <w:rsid w:val="004D1F30"/>
    <w:rsid w:val="004D25DC"/>
    <w:rsid w:val="004D676D"/>
    <w:rsid w:val="004D695F"/>
    <w:rsid w:val="004D6B1F"/>
    <w:rsid w:val="004E36A9"/>
    <w:rsid w:val="004F45BF"/>
    <w:rsid w:val="005021E3"/>
    <w:rsid w:val="005039A6"/>
    <w:rsid w:val="00505BD0"/>
    <w:rsid w:val="00510EB0"/>
    <w:rsid w:val="00517241"/>
    <w:rsid w:val="005215C7"/>
    <w:rsid w:val="0053255B"/>
    <w:rsid w:val="005344A9"/>
    <w:rsid w:val="00534F76"/>
    <w:rsid w:val="0054140C"/>
    <w:rsid w:val="00547309"/>
    <w:rsid w:val="00547C03"/>
    <w:rsid w:val="00550448"/>
    <w:rsid w:val="0055736E"/>
    <w:rsid w:val="00564782"/>
    <w:rsid w:val="005714D4"/>
    <w:rsid w:val="00577CC0"/>
    <w:rsid w:val="0059310E"/>
    <w:rsid w:val="005C2D1B"/>
    <w:rsid w:val="005D0816"/>
    <w:rsid w:val="005D1031"/>
    <w:rsid w:val="005D1F35"/>
    <w:rsid w:val="005D5DA9"/>
    <w:rsid w:val="005E00F3"/>
    <w:rsid w:val="005E0DBF"/>
    <w:rsid w:val="005E0F23"/>
    <w:rsid w:val="005E27CE"/>
    <w:rsid w:val="005E7EA8"/>
    <w:rsid w:val="005F58D7"/>
    <w:rsid w:val="005F5BCC"/>
    <w:rsid w:val="005F7AEC"/>
    <w:rsid w:val="00601430"/>
    <w:rsid w:val="0060306B"/>
    <w:rsid w:val="0060634E"/>
    <w:rsid w:val="00617364"/>
    <w:rsid w:val="00627079"/>
    <w:rsid w:val="00627B08"/>
    <w:rsid w:val="00627DB1"/>
    <w:rsid w:val="00631CB3"/>
    <w:rsid w:val="00632BA1"/>
    <w:rsid w:val="00635B25"/>
    <w:rsid w:val="00637511"/>
    <w:rsid w:val="0064118C"/>
    <w:rsid w:val="00643FEC"/>
    <w:rsid w:val="006444F6"/>
    <w:rsid w:val="00646015"/>
    <w:rsid w:val="0065171E"/>
    <w:rsid w:val="006537FF"/>
    <w:rsid w:val="00653A98"/>
    <w:rsid w:val="006551E5"/>
    <w:rsid w:val="0065549A"/>
    <w:rsid w:val="006561D6"/>
    <w:rsid w:val="00656EDA"/>
    <w:rsid w:val="00657440"/>
    <w:rsid w:val="006575B6"/>
    <w:rsid w:val="00661586"/>
    <w:rsid w:val="006623CA"/>
    <w:rsid w:val="00680D92"/>
    <w:rsid w:val="00680FC1"/>
    <w:rsid w:val="00686A52"/>
    <w:rsid w:val="00687878"/>
    <w:rsid w:val="0069087F"/>
    <w:rsid w:val="00691F2C"/>
    <w:rsid w:val="00693167"/>
    <w:rsid w:val="00694477"/>
    <w:rsid w:val="006A7DAC"/>
    <w:rsid w:val="006C16C1"/>
    <w:rsid w:val="006C27C4"/>
    <w:rsid w:val="006C7401"/>
    <w:rsid w:val="006D51EC"/>
    <w:rsid w:val="006E0CCF"/>
    <w:rsid w:val="006E1221"/>
    <w:rsid w:val="006E2F08"/>
    <w:rsid w:val="006F0D5A"/>
    <w:rsid w:val="006F2626"/>
    <w:rsid w:val="006F5569"/>
    <w:rsid w:val="006F62BB"/>
    <w:rsid w:val="0070302D"/>
    <w:rsid w:val="0071205F"/>
    <w:rsid w:val="00712FA8"/>
    <w:rsid w:val="007150BD"/>
    <w:rsid w:val="00715A69"/>
    <w:rsid w:val="0072096F"/>
    <w:rsid w:val="00731C2A"/>
    <w:rsid w:val="00731FC5"/>
    <w:rsid w:val="00736A8D"/>
    <w:rsid w:val="00743555"/>
    <w:rsid w:val="007570B9"/>
    <w:rsid w:val="00764F62"/>
    <w:rsid w:val="00766E3B"/>
    <w:rsid w:val="007714A4"/>
    <w:rsid w:val="00775729"/>
    <w:rsid w:val="00775EBD"/>
    <w:rsid w:val="007833CD"/>
    <w:rsid w:val="0078354C"/>
    <w:rsid w:val="00787606"/>
    <w:rsid w:val="00792454"/>
    <w:rsid w:val="00794551"/>
    <w:rsid w:val="0079475E"/>
    <w:rsid w:val="00795121"/>
    <w:rsid w:val="007961D0"/>
    <w:rsid w:val="00797645"/>
    <w:rsid w:val="007A147D"/>
    <w:rsid w:val="007A365B"/>
    <w:rsid w:val="007A791A"/>
    <w:rsid w:val="007B2033"/>
    <w:rsid w:val="007B2B52"/>
    <w:rsid w:val="007B4832"/>
    <w:rsid w:val="007B7E8E"/>
    <w:rsid w:val="007D28CA"/>
    <w:rsid w:val="007D2B69"/>
    <w:rsid w:val="007D517B"/>
    <w:rsid w:val="007E014E"/>
    <w:rsid w:val="007E2993"/>
    <w:rsid w:val="007E455B"/>
    <w:rsid w:val="007E5239"/>
    <w:rsid w:val="007E52F2"/>
    <w:rsid w:val="007E778F"/>
    <w:rsid w:val="007F0BA1"/>
    <w:rsid w:val="007F3037"/>
    <w:rsid w:val="00802250"/>
    <w:rsid w:val="008063B9"/>
    <w:rsid w:val="00812F1A"/>
    <w:rsid w:val="00814619"/>
    <w:rsid w:val="008172D7"/>
    <w:rsid w:val="008176D1"/>
    <w:rsid w:val="00817ECA"/>
    <w:rsid w:val="0082469A"/>
    <w:rsid w:val="00837F64"/>
    <w:rsid w:val="008418F5"/>
    <w:rsid w:val="008464D6"/>
    <w:rsid w:val="00853682"/>
    <w:rsid w:val="00856BE3"/>
    <w:rsid w:val="00861C77"/>
    <w:rsid w:val="008638EB"/>
    <w:rsid w:val="00870282"/>
    <w:rsid w:val="00877081"/>
    <w:rsid w:val="00880DB6"/>
    <w:rsid w:val="008823C5"/>
    <w:rsid w:val="008827E9"/>
    <w:rsid w:val="00887C83"/>
    <w:rsid w:val="008A34EE"/>
    <w:rsid w:val="008A6661"/>
    <w:rsid w:val="008B4D9E"/>
    <w:rsid w:val="008C3C06"/>
    <w:rsid w:val="008C5F55"/>
    <w:rsid w:val="008D17F8"/>
    <w:rsid w:val="008D194C"/>
    <w:rsid w:val="008D29A2"/>
    <w:rsid w:val="008D4223"/>
    <w:rsid w:val="008D6AF8"/>
    <w:rsid w:val="008E09D0"/>
    <w:rsid w:val="008E2C99"/>
    <w:rsid w:val="008E6BC3"/>
    <w:rsid w:val="008E6CA0"/>
    <w:rsid w:val="008E74CC"/>
    <w:rsid w:val="0090029C"/>
    <w:rsid w:val="00902565"/>
    <w:rsid w:val="00903075"/>
    <w:rsid w:val="009074B3"/>
    <w:rsid w:val="009121D5"/>
    <w:rsid w:val="009158D1"/>
    <w:rsid w:val="00920F80"/>
    <w:rsid w:val="00921163"/>
    <w:rsid w:val="00921A43"/>
    <w:rsid w:val="00922899"/>
    <w:rsid w:val="009245F2"/>
    <w:rsid w:val="009300C1"/>
    <w:rsid w:val="00930989"/>
    <w:rsid w:val="009336FF"/>
    <w:rsid w:val="009424A5"/>
    <w:rsid w:val="009502C7"/>
    <w:rsid w:val="009575BE"/>
    <w:rsid w:val="0096327B"/>
    <w:rsid w:val="0096776E"/>
    <w:rsid w:val="0097192A"/>
    <w:rsid w:val="0097416B"/>
    <w:rsid w:val="00976732"/>
    <w:rsid w:val="009772F4"/>
    <w:rsid w:val="0098540C"/>
    <w:rsid w:val="00987757"/>
    <w:rsid w:val="00991575"/>
    <w:rsid w:val="0099771E"/>
    <w:rsid w:val="00997AC8"/>
    <w:rsid w:val="009A0781"/>
    <w:rsid w:val="009A7017"/>
    <w:rsid w:val="009A7C64"/>
    <w:rsid w:val="009B0BAD"/>
    <w:rsid w:val="009B1AEE"/>
    <w:rsid w:val="009B3C4C"/>
    <w:rsid w:val="009B46E5"/>
    <w:rsid w:val="009B6B92"/>
    <w:rsid w:val="009C1625"/>
    <w:rsid w:val="009C5735"/>
    <w:rsid w:val="009D503F"/>
    <w:rsid w:val="009E2143"/>
    <w:rsid w:val="009E6073"/>
    <w:rsid w:val="009F3452"/>
    <w:rsid w:val="009F3EF9"/>
    <w:rsid w:val="009F40FA"/>
    <w:rsid w:val="00A04A07"/>
    <w:rsid w:val="00A10A66"/>
    <w:rsid w:val="00A133EB"/>
    <w:rsid w:val="00A135E6"/>
    <w:rsid w:val="00A14ACA"/>
    <w:rsid w:val="00A14F4E"/>
    <w:rsid w:val="00A163CF"/>
    <w:rsid w:val="00A26712"/>
    <w:rsid w:val="00A276B5"/>
    <w:rsid w:val="00A33CF2"/>
    <w:rsid w:val="00A34E2D"/>
    <w:rsid w:val="00A35CF7"/>
    <w:rsid w:val="00A40408"/>
    <w:rsid w:val="00A42483"/>
    <w:rsid w:val="00A42701"/>
    <w:rsid w:val="00A4277F"/>
    <w:rsid w:val="00A44673"/>
    <w:rsid w:val="00A50DA1"/>
    <w:rsid w:val="00A6515A"/>
    <w:rsid w:val="00A66BEC"/>
    <w:rsid w:val="00A6720A"/>
    <w:rsid w:val="00A720F3"/>
    <w:rsid w:val="00A772B9"/>
    <w:rsid w:val="00A77335"/>
    <w:rsid w:val="00A77527"/>
    <w:rsid w:val="00A91AE3"/>
    <w:rsid w:val="00A93EAA"/>
    <w:rsid w:val="00A94CA6"/>
    <w:rsid w:val="00A97F55"/>
    <w:rsid w:val="00AA2CC5"/>
    <w:rsid w:val="00AB3A10"/>
    <w:rsid w:val="00AC553C"/>
    <w:rsid w:val="00AC7B7A"/>
    <w:rsid w:val="00AD1962"/>
    <w:rsid w:val="00AD4567"/>
    <w:rsid w:val="00AE4A2C"/>
    <w:rsid w:val="00AF7332"/>
    <w:rsid w:val="00B01CE4"/>
    <w:rsid w:val="00B21225"/>
    <w:rsid w:val="00B25855"/>
    <w:rsid w:val="00B3263A"/>
    <w:rsid w:val="00B33D23"/>
    <w:rsid w:val="00B35449"/>
    <w:rsid w:val="00B358C6"/>
    <w:rsid w:val="00B4069C"/>
    <w:rsid w:val="00B4149F"/>
    <w:rsid w:val="00B41BE2"/>
    <w:rsid w:val="00B44DCA"/>
    <w:rsid w:val="00B47F40"/>
    <w:rsid w:val="00B520AA"/>
    <w:rsid w:val="00B703CB"/>
    <w:rsid w:val="00B76921"/>
    <w:rsid w:val="00B90F68"/>
    <w:rsid w:val="00B956C8"/>
    <w:rsid w:val="00B96C09"/>
    <w:rsid w:val="00B96C5B"/>
    <w:rsid w:val="00BA64D5"/>
    <w:rsid w:val="00BB4315"/>
    <w:rsid w:val="00BC2818"/>
    <w:rsid w:val="00BC3785"/>
    <w:rsid w:val="00BC4CFE"/>
    <w:rsid w:val="00BC5FB0"/>
    <w:rsid w:val="00BC6A69"/>
    <w:rsid w:val="00BC7F91"/>
    <w:rsid w:val="00BD43E0"/>
    <w:rsid w:val="00BD4855"/>
    <w:rsid w:val="00BE06D4"/>
    <w:rsid w:val="00BE0C4A"/>
    <w:rsid w:val="00BE14A0"/>
    <w:rsid w:val="00BE1F42"/>
    <w:rsid w:val="00BF391A"/>
    <w:rsid w:val="00C00639"/>
    <w:rsid w:val="00C0074D"/>
    <w:rsid w:val="00C05D6A"/>
    <w:rsid w:val="00C0635B"/>
    <w:rsid w:val="00C14254"/>
    <w:rsid w:val="00C14921"/>
    <w:rsid w:val="00C16BBC"/>
    <w:rsid w:val="00C16E69"/>
    <w:rsid w:val="00C17A10"/>
    <w:rsid w:val="00C21EEC"/>
    <w:rsid w:val="00C26192"/>
    <w:rsid w:val="00C332BF"/>
    <w:rsid w:val="00C345E3"/>
    <w:rsid w:val="00C4132E"/>
    <w:rsid w:val="00C51982"/>
    <w:rsid w:val="00C53A53"/>
    <w:rsid w:val="00C566A4"/>
    <w:rsid w:val="00C721CB"/>
    <w:rsid w:val="00C76231"/>
    <w:rsid w:val="00C771CB"/>
    <w:rsid w:val="00C81FBE"/>
    <w:rsid w:val="00C82F75"/>
    <w:rsid w:val="00C851A8"/>
    <w:rsid w:val="00C85A1A"/>
    <w:rsid w:val="00C85ACF"/>
    <w:rsid w:val="00C94CB2"/>
    <w:rsid w:val="00C95116"/>
    <w:rsid w:val="00C9631E"/>
    <w:rsid w:val="00CA3AD6"/>
    <w:rsid w:val="00CB4BCD"/>
    <w:rsid w:val="00CB6726"/>
    <w:rsid w:val="00CB6BC3"/>
    <w:rsid w:val="00CC2DA5"/>
    <w:rsid w:val="00CC79DC"/>
    <w:rsid w:val="00CD00D0"/>
    <w:rsid w:val="00CD6DEA"/>
    <w:rsid w:val="00CD770F"/>
    <w:rsid w:val="00CE6A2A"/>
    <w:rsid w:val="00CE7274"/>
    <w:rsid w:val="00CF047F"/>
    <w:rsid w:val="00CF2749"/>
    <w:rsid w:val="00CF4BBC"/>
    <w:rsid w:val="00CF6624"/>
    <w:rsid w:val="00D127A8"/>
    <w:rsid w:val="00D232D2"/>
    <w:rsid w:val="00D23D69"/>
    <w:rsid w:val="00D378C9"/>
    <w:rsid w:val="00D40E90"/>
    <w:rsid w:val="00D44034"/>
    <w:rsid w:val="00D44D91"/>
    <w:rsid w:val="00D462FE"/>
    <w:rsid w:val="00D501F1"/>
    <w:rsid w:val="00D544A3"/>
    <w:rsid w:val="00D5796F"/>
    <w:rsid w:val="00D6524B"/>
    <w:rsid w:val="00D7423C"/>
    <w:rsid w:val="00D74B30"/>
    <w:rsid w:val="00D85AB7"/>
    <w:rsid w:val="00D937BC"/>
    <w:rsid w:val="00D96321"/>
    <w:rsid w:val="00D96D2F"/>
    <w:rsid w:val="00DA1367"/>
    <w:rsid w:val="00DE44D9"/>
    <w:rsid w:val="00DE5E1A"/>
    <w:rsid w:val="00DE6D39"/>
    <w:rsid w:val="00DE75E2"/>
    <w:rsid w:val="00DF019A"/>
    <w:rsid w:val="00DF070B"/>
    <w:rsid w:val="00E01193"/>
    <w:rsid w:val="00E01420"/>
    <w:rsid w:val="00E015A7"/>
    <w:rsid w:val="00E06F35"/>
    <w:rsid w:val="00E11E8D"/>
    <w:rsid w:val="00E238B6"/>
    <w:rsid w:val="00E24BB5"/>
    <w:rsid w:val="00E30AF9"/>
    <w:rsid w:val="00E34854"/>
    <w:rsid w:val="00E3545A"/>
    <w:rsid w:val="00E3578C"/>
    <w:rsid w:val="00E374C8"/>
    <w:rsid w:val="00E6251D"/>
    <w:rsid w:val="00E7249D"/>
    <w:rsid w:val="00E7288D"/>
    <w:rsid w:val="00E73E33"/>
    <w:rsid w:val="00E74CCD"/>
    <w:rsid w:val="00E76632"/>
    <w:rsid w:val="00E81E74"/>
    <w:rsid w:val="00E84C0C"/>
    <w:rsid w:val="00E93A02"/>
    <w:rsid w:val="00E93A59"/>
    <w:rsid w:val="00E969CA"/>
    <w:rsid w:val="00EA2F32"/>
    <w:rsid w:val="00EA4371"/>
    <w:rsid w:val="00EA757D"/>
    <w:rsid w:val="00EC24E7"/>
    <w:rsid w:val="00ED19AC"/>
    <w:rsid w:val="00ED3EAA"/>
    <w:rsid w:val="00ED4268"/>
    <w:rsid w:val="00ED6A47"/>
    <w:rsid w:val="00EE1541"/>
    <w:rsid w:val="00EE1886"/>
    <w:rsid w:val="00EE649B"/>
    <w:rsid w:val="00EE66B1"/>
    <w:rsid w:val="00EE7C28"/>
    <w:rsid w:val="00EF021F"/>
    <w:rsid w:val="00EF1A59"/>
    <w:rsid w:val="00EF1F17"/>
    <w:rsid w:val="00EF226D"/>
    <w:rsid w:val="00EF73A3"/>
    <w:rsid w:val="00F0151A"/>
    <w:rsid w:val="00F04461"/>
    <w:rsid w:val="00F0536E"/>
    <w:rsid w:val="00F10AF5"/>
    <w:rsid w:val="00F12519"/>
    <w:rsid w:val="00F13ABC"/>
    <w:rsid w:val="00F155B0"/>
    <w:rsid w:val="00F169BF"/>
    <w:rsid w:val="00F223F6"/>
    <w:rsid w:val="00F22E08"/>
    <w:rsid w:val="00F340BF"/>
    <w:rsid w:val="00F36ACB"/>
    <w:rsid w:val="00F37025"/>
    <w:rsid w:val="00F37D01"/>
    <w:rsid w:val="00F4178B"/>
    <w:rsid w:val="00F62862"/>
    <w:rsid w:val="00F62DD8"/>
    <w:rsid w:val="00F75AE6"/>
    <w:rsid w:val="00F80571"/>
    <w:rsid w:val="00F81D6D"/>
    <w:rsid w:val="00F82138"/>
    <w:rsid w:val="00F833B7"/>
    <w:rsid w:val="00F85CB9"/>
    <w:rsid w:val="00F87B9C"/>
    <w:rsid w:val="00F87D62"/>
    <w:rsid w:val="00F926CD"/>
    <w:rsid w:val="00F93CFF"/>
    <w:rsid w:val="00F93F66"/>
    <w:rsid w:val="00FB1F07"/>
    <w:rsid w:val="00FB6540"/>
    <w:rsid w:val="00FB7EE3"/>
    <w:rsid w:val="00FC1689"/>
    <w:rsid w:val="00FC26A4"/>
    <w:rsid w:val="00FC779C"/>
    <w:rsid w:val="00FD3336"/>
    <w:rsid w:val="00FD5D60"/>
    <w:rsid w:val="00FE1142"/>
    <w:rsid w:val="00FE13ED"/>
    <w:rsid w:val="00FE3BFA"/>
    <w:rsid w:val="00FE5B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34A1"/>
    <w:pPr>
      <w:spacing w:line="360" w:lineRule="auto"/>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5039A6"/>
    <w:rPr>
      <w:sz w:val="16"/>
      <w:szCs w:val="16"/>
    </w:rPr>
  </w:style>
  <w:style w:type="paragraph" w:styleId="Textkomente">
    <w:name w:val="annotation text"/>
    <w:basedOn w:val="Normln"/>
    <w:link w:val="TextkomenteChar"/>
    <w:uiPriority w:val="99"/>
    <w:unhideWhenUsed/>
    <w:rsid w:val="005039A6"/>
    <w:pPr>
      <w:spacing w:line="240" w:lineRule="auto"/>
    </w:pPr>
    <w:rPr>
      <w:sz w:val="20"/>
      <w:szCs w:val="20"/>
    </w:rPr>
  </w:style>
  <w:style w:type="character" w:customStyle="1" w:styleId="TextkomenteChar">
    <w:name w:val="Text komentáře Char"/>
    <w:basedOn w:val="Standardnpsmoodstavce"/>
    <w:link w:val="Textkomente"/>
    <w:uiPriority w:val="99"/>
    <w:rsid w:val="005039A6"/>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5039A6"/>
    <w:rPr>
      <w:b/>
      <w:bCs/>
    </w:rPr>
  </w:style>
  <w:style w:type="character" w:customStyle="1" w:styleId="PedmtkomenteChar">
    <w:name w:val="Předmět komentáře Char"/>
    <w:basedOn w:val="TextkomenteChar"/>
    <w:link w:val="Pedmtkomente"/>
    <w:uiPriority w:val="99"/>
    <w:semiHidden/>
    <w:rsid w:val="005039A6"/>
    <w:rPr>
      <w:rFonts w:ascii="Times New Roman" w:hAnsi="Times New Roman"/>
      <w:b/>
      <w:bCs/>
      <w:sz w:val="20"/>
      <w:szCs w:val="20"/>
    </w:rPr>
  </w:style>
  <w:style w:type="paragraph" w:styleId="Textbubliny">
    <w:name w:val="Balloon Text"/>
    <w:basedOn w:val="Normln"/>
    <w:link w:val="TextbublinyChar"/>
    <w:uiPriority w:val="99"/>
    <w:semiHidden/>
    <w:unhideWhenUsed/>
    <w:rsid w:val="005039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39A6"/>
    <w:rPr>
      <w:rFonts w:ascii="Tahoma" w:hAnsi="Tahoma" w:cs="Tahoma"/>
      <w:sz w:val="16"/>
      <w:szCs w:val="16"/>
    </w:rPr>
  </w:style>
  <w:style w:type="paragraph" w:styleId="Zhlav">
    <w:name w:val="header"/>
    <w:basedOn w:val="Normln"/>
    <w:link w:val="ZhlavChar"/>
    <w:uiPriority w:val="99"/>
    <w:unhideWhenUsed/>
    <w:rsid w:val="00D742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423C"/>
    <w:rPr>
      <w:rFonts w:ascii="Times New Roman" w:hAnsi="Times New Roman"/>
      <w:sz w:val="24"/>
    </w:rPr>
  </w:style>
  <w:style w:type="paragraph" w:styleId="Zpat">
    <w:name w:val="footer"/>
    <w:basedOn w:val="Normln"/>
    <w:link w:val="ZpatChar"/>
    <w:uiPriority w:val="99"/>
    <w:unhideWhenUsed/>
    <w:rsid w:val="00D7423C"/>
    <w:pPr>
      <w:tabs>
        <w:tab w:val="center" w:pos="4536"/>
        <w:tab w:val="right" w:pos="9072"/>
      </w:tabs>
      <w:spacing w:after="0" w:line="240" w:lineRule="auto"/>
    </w:pPr>
  </w:style>
  <w:style w:type="character" w:customStyle="1" w:styleId="ZpatChar">
    <w:name w:val="Zápatí Char"/>
    <w:basedOn w:val="Standardnpsmoodstavce"/>
    <w:link w:val="Zpat"/>
    <w:uiPriority w:val="99"/>
    <w:rsid w:val="00D7423C"/>
    <w:rPr>
      <w:rFonts w:ascii="Times New Roman" w:hAnsi="Times New Roman"/>
      <w:sz w:val="24"/>
    </w:rPr>
  </w:style>
  <w:style w:type="table" w:styleId="Mkatabulky">
    <w:name w:val="Table Grid"/>
    <w:basedOn w:val="Normlntabulka"/>
    <w:uiPriority w:val="59"/>
    <w:rsid w:val="00A9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15A69"/>
    <w:pPr>
      <w:spacing w:after="0" w:line="240" w:lineRule="auto"/>
      <w:jc w:val="left"/>
    </w:pPr>
    <w:rPr>
      <w:rFonts w:asciiTheme="minorHAnsi" w:hAnsiTheme="minorHAnsi"/>
      <w:sz w:val="20"/>
      <w:szCs w:val="20"/>
    </w:rPr>
  </w:style>
  <w:style w:type="character" w:customStyle="1" w:styleId="TextpoznpodarouChar">
    <w:name w:val="Text pozn. pod čarou Char"/>
    <w:basedOn w:val="Standardnpsmoodstavce"/>
    <w:link w:val="Textpoznpodarou"/>
    <w:uiPriority w:val="99"/>
    <w:semiHidden/>
    <w:rsid w:val="00715A69"/>
    <w:rPr>
      <w:sz w:val="20"/>
      <w:szCs w:val="20"/>
    </w:rPr>
  </w:style>
  <w:style w:type="character" w:styleId="Znakapoznpodarou">
    <w:name w:val="footnote reference"/>
    <w:basedOn w:val="Standardnpsmoodstavce"/>
    <w:uiPriority w:val="99"/>
    <w:semiHidden/>
    <w:unhideWhenUsed/>
    <w:rsid w:val="00715A69"/>
    <w:rPr>
      <w:vertAlign w:val="superscript"/>
    </w:rPr>
  </w:style>
  <w:style w:type="paragraph" w:customStyle="1" w:styleId="Otzka">
    <w:name w:val="Otázka"/>
    <w:basedOn w:val="Odstavecseseznamem"/>
    <w:qFormat/>
    <w:rsid w:val="0009704B"/>
    <w:pPr>
      <w:spacing w:line="276" w:lineRule="auto"/>
      <w:jc w:val="left"/>
    </w:pPr>
    <w:rPr>
      <w:rFonts w:cs="Times New Roman"/>
      <w:sz w:val="28"/>
      <w:szCs w:val="28"/>
    </w:rPr>
  </w:style>
  <w:style w:type="paragraph" w:styleId="Odstavecseseznamem">
    <w:name w:val="List Paragraph"/>
    <w:basedOn w:val="Normln"/>
    <w:uiPriority w:val="34"/>
    <w:qFormat/>
    <w:rsid w:val="0009704B"/>
    <w:pPr>
      <w:ind w:left="720"/>
      <w:contextualSpacing/>
    </w:pPr>
  </w:style>
  <w:style w:type="paragraph" w:styleId="Bezmezer">
    <w:name w:val="No Spacing"/>
    <w:uiPriority w:val="1"/>
    <w:qFormat/>
    <w:rsid w:val="00FB7EE3"/>
    <w:pPr>
      <w:spacing w:after="0" w:line="240" w:lineRule="auto"/>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34A1"/>
    <w:pPr>
      <w:spacing w:line="360" w:lineRule="auto"/>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5039A6"/>
    <w:rPr>
      <w:sz w:val="16"/>
      <w:szCs w:val="16"/>
    </w:rPr>
  </w:style>
  <w:style w:type="paragraph" w:styleId="Textkomente">
    <w:name w:val="annotation text"/>
    <w:basedOn w:val="Normln"/>
    <w:link w:val="TextkomenteChar"/>
    <w:uiPriority w:val="99"/>
    <w:unhideWhenUsed/>
    <w:rsid w:val="005039A6"/>
    <w:pPr>
      <w:spacing w:line="240" w:lineRule="auto"/>
    </w:pPr>
    <w:rPr>
      <w:sz w:val="20"/>
      <w:szCs w:val="20"/>
    </w:rPr>
  </w:style>
  <w:style w:type="character" w:customStyle="1" w:styleId="TextkomenteChar">
    <w:name w:val="Text komentáře Char"/>
    <w:basedOn w:val="Standardnpsmoodstavce"/>
    <w:link w:val="Textkomente"/>
    <w:uiPriority w:val="99"/>
    <w:rsid w:val="005039A6"/>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5039A6"/>
    <w:rPr>
      <w:b/>
      <w:bCs/>
    </w:rPr>
  </w:style>
  <w:style w:type="character" w:customStyle="1" w:styleId="PedmtkomenteChar">
    <w:name w:val="Předmět komentáře Char"/>
    <w:basedOn w:val="TextkomenteChar"/>
    <w:link w:val="Pedmtkomente"/>
    <w:uiPriority w:val="99"/>
    <w:semiHidden/>
    <w:rsid w:val="005039A6"/>
    <w:rPr>
      <w:rFonts w:ascii="Times New Roman" w:hAnsi="Times New Roman"/>
      <w:b/>
      <w:bCs/>
      <w:sz w:val="20"/>
      <w:szCs w:val="20"/>
    </w:rPr>
  </w:style>
  <w:style w:type="paragraph" w:styleId="Textbubliny">
    <w:name w:val="Balloon Text"/>
    <w:basedOn w:val="Normln"/>
    <w:link w:val="TextbublinyChar"/>
    <w:uiPriority w:val="99"/>
    <w:semiHidden/>
    <w:unhideWhenUsed/>
    <w:rsid w:val="005039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39A6"/>
    <w:rPr>
      <w:rFonts w:ascii="Tahoma" w:hAnsi="Tahoma" w:cs="Tahoma"/>
      <w:sz w:val="16"/>
      <w:szCs w:val="16"/>
    </w:rPr>
  </w:style>
  <w:style w:type="paragraph" w:styleId="Zhlav">
    <w:name w:val="header"/>
    <w:basedOn w:val="Normln"/>
    <w:link w:val="ZhlavChar"/>
    <w:uiPriority w:val="99"/>
    <w:unhideWhenUsed/>
    <w:rsid w:val="00D742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423C"/>
    <w:rPr>
      <w:rFonts w:ascii="Times New Roman" w:hAnsi="Times New Roman"/>
      <w:sz w:val="24"/>
    </w:rPr>
  </w:style>
  <w:style w:type="paragraph" w:styleId="Zpat">
    <w:name w:val="footer"/>
    <w:basedOn w:val="Normln"/>
    <w:link w:val="ZpatChar"/>
    <w:uiPriority w:val="99"/>
    <w:unhideWhenUsed/>
    <w:rsid w:val="00D7423C"/>
    <w:pPr>
      <w:tabs>
        <w:tab w:val="center" w:pos="4536"/>
        <w:tab w:val="right" w:pos="9072"/>
      </w:tabs>
      <w:spacing w:after="0" w:line="240" w:lineRule="auto"/>
    </w:pPr>
  </w:style>
  <w:style w:type="character" w:customStyle="1" w:styleId="ZpatChar">
    <w:name w:val="Zápatí Char"/>
    <w:basedOn w:val="Standardnpsmoodstavce"/>
    <w:link w:val="Zpat"/>
    <w:uiPriority w:val="99"/>
    <w:rsid w:val="00D7423C"/>
    <w:rPr>
      <w:rFonts w:ascii="Times New Roman" w:hAnsi="Times New Roman"/>
      <w:sz w:val="24"/>
    </w:rPr>
  </w:style>
  <w:style w:type="table" w:styleId="Mkatabulky">
    <w:name w:val="Table Grid"/>
    <w:basedOn w:val="Normlntabulka"/>
    <w:uiPriority w:val="59"/>
    <w:rsid w:val="00A9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15A69"/>
    <w:pPr>
      <w:spacing w:after="0" w:line="240" w:lineRule="auto"/>
      <w:jc w:val="left"/>
    </w:pPr>
    <w:rPr>
      <w:rFonts w:asciiTheme="minorHAnsi" w:hAnsiTheme="minorHAnsi"/>
      <w:sz w:val="20"/>
      <w:szCs w:val="20"/>
    </w:rPr>
  </w:style>
  <w:style w:type="character" w:customStyle="1" w:styleId="TextpoznpodarouChar">
    <w:name w:val="Text pozn. pod čarou Char"/>
    <w:basedOn w:val="Standardnpsmoodstavce"/>
    <w:link w:val="Textpoznpodarou"/>
    <w:uiPriority w:val="99"/>
    <w:semiHidden/>
    <w:rsid w:val="00715A69"/>
    <w:rPr>
      <w:sz w:val="20"/>
      <w:szCs w:val="20"/>
    </w:rPr>
  </w:style>
  <w:style w:type="character" w:styleId="Znakapoznpodarou">
    <w:name w:val="footnote reference"/>
    <w:basedOn w:val="Standardnpsmoodstavce"/>
    <w:uiPriority w:val="99"/>
    <w:semiHidden/>
    <w:unhideWhenUsed/>
    <w:rsid w:val="00715A69"/>
    <w:rPr>
      <w:vertAlign w:val="superscript"/>
    </w:rPr>
  </w:style>
  <w:style w:type="paragraph" w:customStyle="1" w:styleId="Otzka">
    <w:name w:val="Otázka"/>
    <w:basedOn w:val="Odstavecseseznamem"/>
    <w:qFormat/>
    <w:rsid w:val="0009704B"/>
    <w:pPr>
      <w:spacing w:line="276" w:lineRule="auto"/>
      <w:jc w:val="left"/>
    </w:pPr>
    <w:rPr>
      <w:rFonts w:cs="Times New Roman"/>
      <w:sz w:val="28"/>
      <w:szCs w:val="28"/>
    </w:rPr>
  </w:style>
  <w:style w:type="paragraph" w:styleId="Odstavecseseznamem">
    <w:name w:val="List Paragraph"/>
    <w:basedOn w:val="Normln"/>
    <w:uiPriority w:val="34"/>
    <w:qFormat/>
    <w:rsid w:val="0009704B"/>
    <w:pPr>
      <w:ind w:left="720"/>
      <w:contextualSpacing/>
    </w:pPr>
  </w:style>
  <w:style w:type="paragraph" w:styleId="Bezmezer">
    <w:name w:val="No Spacing"/>
    <w:uiPriority w:val="1"/>
    <w:qFormat/>
    <w:rsid w:val="00FB7EE3"/>
    <w:pPr>
      <w:spacing w:after="0" w:line="240" w:lineRule="auto"/>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48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chart" Target="charts/chart38.xml"/><Relationship Id="rId50" Type="http://schemas.openxmlformats.org/officeDocument/2006/relationships/chart" Target="charts/chart41.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59"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32.xm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3" Type="http://schemas.openxmlformats.org/officeDocument/2006/relationships/chart" Target="charts/chart44.xml"/><Relationship Id="rId58" Type="http://schemas.microsoft.com/office/2011/relationships/people" Target="people.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chart" Target="charts/chart40.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chart" Target="charts/chart35.xml"/><Relationship Id="rId52" Type="http://schemas.openxmlformats.org/officeDocument/2006/relationships/chart" Target="charts/chart4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chart" Target="charts/chart39.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hart" Target="charts/chart42.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20(obnoven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URAD\NS1\ODBORY\Odbor35\Odd3502\01%20Dom&#225;c&#237;%20legislativa\23%20Transpozice%20SHRD\02%20Konzultace\Vyhodnocen&#237;%20konzultace\graf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cs-CZ" sz="1800" b="1">
                <a:effectLst/>
              </a:rPr>
              <a:t>Je nutné k normě vyjádřené v čl. 1 odst. 2 směrnice přistupovat jako ke kolizní normě?</a:t>
            </a:r>
            <a:endParaRPr lang="cs-CZ">
              <a:effectLst/>
            </a:endParaRP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0"/>
            <c:showSerName val="0"/>
            <c:showPercent val="1"/>
            <c:showBubbleSize val="0"/>
            <c:showLeaderLines val="1"/>
          </c:dLbls>
          <c:cat>
            <c:strRef>
              <c:f>List1!$A$4:$A$7</c:f>
              <c:strCache>
                <c:ptCount val="4"/>
                <c:pt idx="0">
                  <c:v>ano</c:v>
                </c:pt>
                <c:pt idx="1">
                  <c:v>ne</c:v>
                </c:pt>
                <c:pt idx="2">
                  <c:v>bez odpovědi</c:v>
                </c:pt>
                <c:pt idx="3">
                  <c:v>nejasná odpověď</c:v>
                </c:pt>
              </c:strCache>
            </c:strRef>
          </c:cat>
          <c:val>
            <c:numRef>
              <c:f>List1!$B$4:$B$7</c:f>
              <c:numCache>
                <c:formatCode>0%</c:formatCode>
                <c:ptCount val="4"/>
                <c:pt idx="0">
                  <c:v>0.02</c:v>
                </c:pt>
                <c:pt idx="1">
                  <c:v>0.01</c:v>
                </c:pt>
                <c:pt idx="2">
                  <c:v>0.03</c:v>
                </c:pt>
                <c:pt idx="3">
                  <c:v>0.01</c:v>
                </c:pt>
              </c:numCache>
            </c:numRef>
          </c:val>
        </c:ser>
        <c:dLbls>
          <c:showLegendKey val="0"/>
          <c:showVal val="0"/>
          <c:showCatName val="0"/>
          <c:showSerName val="0"/>
          <c:showPercent val="1"/>
          <c:showBubbleSize val="0"/>
          <c:showLeaderLines val="1"/>
        </c:dLbls>
      </c:pie3DChart>
    </c:plotArea>
    <c:legend>
      <c:legendPos val="r"/>
      <c:layout/>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Je emitent limitován, co se týče výběru zprostředkovatele?</a:t>
            </a:r>
            <a:endParaRPr lang="cs-CZ"/>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List1!$A$44:$A$46</c:f>
              <c:strCache>
                <c:ptCount val="3"/>
                <c:pt idx="0">
                  <c:v>ano</c:v>
                </c:pt>
                <c:pt idx="1">
                  <c:v>ne</c:v>
                </c:pt>
                <c:pt idx="2">
                  <c:v>bez odpovědi</c:v>
                </c:pt>
              </c:strCache>
            </c:strRef>
          </c:cat>
          <c:val>
            <c:numRef>
              <c:f>List1!$B$44:$B$46</c:f>
              <c:numCache>
                <c:formatCode>0%</c:formatCode>
                <c:ptCount val="3"/>
                <c:pt idx="0">
                  <c:v>0.06</c:v>
                </c:pt>
                <c:pt idx="1">
                  <c:v>0</c:v>
                </c:pt>
                <c:pt idx="2">
                  <c:v>0.01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 by zákon řešit vyrovnání nákladů mezi zprostředkovateli?</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List1!$A$48:$A$50</c:f>
              <c:strCache>
                <c:ptCount val="3"/>
                <c:pt idx="0">
                  <c:v>ano</c:v>
                </c:pt>
                <c:pt idx="1">
                  <c:v>ne</c:v>
                </c:pt>
                <c:pt idx="2">
                  <c:v>bez odpovědi</c:v>
                </c:pt>
              </c:strCache>
            </c:strRef>
          </c:cat>
          <c:val>
            <c:numRef>
              <c:f>List1!$B$48:$B$50</c:f>
              <c:numCache>
                <c:formatCode>0%</c:formatCode>
                <c:ptCount val="3"/>
                <c:pt idx="0">
                  <c:v>0.04</c:v>
                </c:pt>
                <c:pt idx="1">
                  <c:v>0.02</c:v>
                </c:pt>
                <c:pt idx="2">
                  <c:v>0.01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ČR využít tuto diskreci?</a:t>
            </a:r>
            <a:endParaRPr lang="cs-CZ"/>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List1!$A$52:$A$54</c:f>
              <c:strCache>
                <c:ptCount val="3"/>
                <c:pt idx="0">
                  <c:v>ano</c:v>
                </c:pt>
                <c:pt idx="1">
                  <c:v>ne</c:v>
                </c:pt>
                <c:pt idx="2">
                  <c:v>bez odpovědi</c:v>
                </c:pt>
              </c:strCache>
            </c:strRef>
          </c:cat>
          <c:val>
            <c:numRef>
              <c:f>List1!$B$52:$B$54</c:f>
              <c:numCache>
                <c:formatCode>0%</c:formatCode>
                <c:ptCount val="3"/>
                <c:pt idx="0">
                  <c:v>0.02</c:v>
                </c:pt>
                <c:pt idx="1">
                  <c:v>0.04</c:v>
                </c:pt>
                <c:pt idx="2">
                  <c:v>0.01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Měly by být v zákoně vymezeny další účely pro zpracování osobních údajů akcionářů obchodními společnostmi?</a:t>
            </a:r>
            <a:endParaRPr lang="cs-CZ"/>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List1!$A$56:$A$58</c:f>
              <c:strCache>
                <c:ptCount val="3"/>
                <c:pt idx="0">
                  <c:v>ano</c:v>
                </c:pt>
                <c:pt idx="1">
                  <c:v>ne</c:v>
                </c:pt>
                <c:pt idx="2">
                  <c:v>bez odpovědi</c:v>
                </c:pt>
              </c:strCache>
            </c:strRef>
          </c:cat>
          <c:val>
            <c:numRef>
              <c:f>List1!$B$56:$B$58</c:f>
              <c:numCache>
                <c:formatCode>0%</c:formatCode>
                <c:ptCount val="3"/>
                <c:pt idx="0">
                  <c:v>0</c:v>
                </c:pt>
                <c:pt idx="1">
                  <c:v>0.06</c:v>
                </c:pt>
                <c:pt idx="2">
                  <c:v>0.01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ČR využít tuto diskreci?</a:t>
            </a:r>
            <a:endParaRPr lang="cs-CZ"/>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List1!$A$56:$A$58</c:f>
              <c:strCache>
                <c:ptCount val="3"/>
                <c:pt idx="0">
                  <c:v>ano</c:v>
                </c:pt>
                <c:pt idx="1">
                  <c:v>ne</c:v>
                </c:pt>
                <c:pt idx="2">
                  <c:v>bez odpovědi</c:v>
                </c:pt>
              </c:strCache>
            </c:strRef>
          </c:cat>
          <c:val>
            <c:numRef>
              <c:f>List1!$B$56:$B$58</c:f>
              <c:numCache>
                <c:formatCode>0%</c:formatCode>
                <c:ptCount val="3"/>
                <c:pt idx="0">
                  <c:v>0.05</c:v>
                </c:pt>
                <c:pt idx="1">
                  <c:v>0</c:v>
                </c:pt>
                <c:pt idx="2">
                  <c:v>0.02</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Jak dlouhá by měla být lhůta pro podání žádosti o potvrzení?</a:t>
            </a:r>
            <a:r>
              <a:rPr lang="cs-CZ" sz="1800" b="1" i="1" u="none" strike="noStrike" baseline="0">
                <a:effectLst/>
              </a:rPr>
              <a:t> </a:t>
            </a:r>
            <a:endParaRPr lang="cs-CZ"/>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List1!$A$60:$A$63</c:f>
              <c:strCache>
                <c:ptCount val="4"/>
                <c:pt idx="0">
                  <c:v>3 měsíce</c:v>
                </c:pt>
                <c:pt idx="1">
                  <c:v>15 dní</c:v>
                </c:pt>
                <c:pt idx="2">
                  <c:v>bez odpovědi</c:v>
                </c:pt>
                <c:pt idx="3">
                  <c:v>jiné</c:v>
                </c:pt>
              </c:strCache>
            </c:strRef>
          </c:cat>
          <c:val>
            <c:numRef>
              <c:f>List1!$B$60:$B$63</c:f>
              <c:numCache>
                <c:formatCode>0%</c:formatCode>
                <c:ptCount val="4"/>
                <c:pt idx="0">
                  <c:v>0.03</c:v>
                </c:pt>
                <c:pt idx="1">
                  <c:v>0.02</c:v>
                </c:pt>
                <c:pt idx="2">
                  <c:v>0.01</c:v>
                </c:pt>
                <c:pt idx="3">
                  <c:v>0.01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ČR zakázat účtování poplatků za výpis z emise?</a:t>
            </a:r>
            <a:endParaRPr lang="cs-CZ"/>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List1!$A$18:$A$20</c:f>
              <c:strCache>
                <c:ptCount val="3"/>
                <c:pt idx="0">
                  <c:v>ano</c:v>
                </c:pt>
                <c:pt idx="1">
                  <c:v>ne</c:v>
                </c:pt>
                <c:pt idx="2">
                  <c:v>bez odpovědi</c:v>
                </c:pt>
              </c:strCache>
            </c:strRef>
          </c:cat>
          <c:val>
            <c:numRef>
              <c:f>List1!$B$18:$B$20</c:f>
              <c:numCache>
                <c:formatCode>0%</c:formatCode>
                <c:ptCount val="3"/>
                <c:pt idx="0">
                  <c:v>0</c:v>
                </c:pt>
                <c:pt idx="1">
                  <c:v>0.06</c:v>
                </c:pt>
                <c:pt idx="2">
                  <c:v>0.01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ČR využít diskreci? (tj. uveřejňovat politiku zapojení i jiným způsobem, než jen na internetových stránkách)</a:t>
            </a:r>
            <a:endParaRPr lang="cs-CZ" i="0"/>
          </a:p>
        </c:rich>
      </c:tx>
      <c:layout>
        <c:manualLayout>
          <c:xMode val="edge"/>
          <c:yMode val="edge"/>
          <c:x val="0.11090655509065551"/>
          <c:y val="2.7777777777777776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List1!$A$23:$A$25</c:f>
              <c:strCache>
                <c:ptCount val="3"/>
                <c:pt idx="0">
                  <c:v>ano</c:v>
                </c:pt>
                <c:pt idx="1">
                  <c:v>ne</c:v>
                </c:pt>
                <c:pt idx="2">
                  <c:v>bez odpovědi</c:v>
                </c:pt>
              </c:strCache>
            </c:strRef>
          </c:cat>
          <c:val>
            <c:numRef>
              <c:f>List1!$B$23:$B$25</c:f>
              <c:numCache>
                <c:formatCode>0%</c:formatCode>
                <c:ptCount val="3"/>
                <c:pt idx="0">
                  <c:v>0</c:v>
                </c:pt>
                <c:pt idx="1">
                  <c:v>0.04</c:v>
                </c:pt>
                <c:pt idx="2">
                  <c:v>0.03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ČR využít diskreci? (tj. uveřejňovat investiční strategii i jiným způsobem)</a:t>
            </a:r>
            <a:endParaRPr lang="cs-CZ" i="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List1!$A$65:$A$67</c:f>
              <c:strCache>
                <c:ptCount val="3"/>
                <c:pt idx="0">
                  <c:v>ano</c:v>
                </c:pt>
                <c:pt idx="1">
                  <c:v>ne</c:v>
                </c:pt>
                <c:pt idx="2">
                  <c:v>bez odpovědi</c:v>
                </c:pt>
              </c:strCache>
            </c:strRef>
          </c:cat>
          <c:val>
            <c:numRef>
              <c:f>List1!$B$65:$B$67</c:f>
              <c:numCache>
                <c:formatCode>0%</c:formatCode>
                <c:ptCount val="3"/>
                <c:pt idx="0">
                  <c:v>0</c:v>
                </c:pt>
                <c:pt idx="1">
                  <c:v>0.03</c:v>
                </c:pt>
                <c:pt idx="2">
                  <c:v>0.04</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ČR využít tuto diskreci? (tj. sdělování informací správci aktiv institucionálnímu investorovi)</a:t>
            </a:r>
            <a:endParaRPr lang="cs-CZ" i="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List1!$A$69:$A$71</c:f>
              <c:strCache>
                <c:ptCount val="3"/>
                <c:pt idx="0">
                  <c:v>ano</c:v>
                </c:pt>
                <c:pt idx="1">
                  <c:v>ne</c:v>
                </c:pt>
                <c:pt idx="2">
                  <c:v>bez odpovědi</c:v>
                </c:pt>
              </c:strCache>
            </c:strRef>
          </c:cat>
          <c:val>
            <c:numRef>
              <c:f>List1!$B$69:$B$71</c:f>
              <c:numCache>
                <c:formatCode>0%</c:formatCode>
                <c:ptCount val="3"/>
                <c:pt idx="0">
                  <c:v>0.03</c:v>
                </c:pt>
                <c:pt idx="1">
                  <c:v>0.01</c:v>
                </c:pt>
                <c:pt idx="2">
                  <c:v>0.03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být působnost směrnice širší a dopadat i na další společnosti, než jen na společnosti s kótovanými akciemi?</a:t>
            </a:r>
            <a:endParaRPr lang="cs-CZ"/>
          </a:p>
        </c:rich>
      </c:tx>
      <c:layout>
        <c:manualLayout>
          <c:xMode val="edge"/>
          <c:yMode val="edge"/>
          <c:x val="0.12498726005818406"/>
          <c:y val="2.7777777777777776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9596237970253725E-2"/>
          <c:y val="0.48307268883056287"/>
          <c:w val="0.7068027561397181"/>
          <c:h val="0.43153980752405952"/>
        </c:manualLayout>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List1!$A$18:$A$20</c:f>
              <c:strCache>
                <c:ptCount val="3"/>
                <c:pt idx="0">
                  <c:v>ano</c:v>
                </c:pt>
                <c:pt idx="1">
                  <c:v>ne</c:v>
                </c:pt>
                <c:pt idx="2">
                  <c:v>bez odpovědi</c:v>
                </c:pt>
              </c:strCache>
            </c:strRef>
          </c:cat>
          <c:val>
            <c:numRef>
              <c:f>List1!$B$18:$B$20</c:f>
              <c:numCache>
                <c:formatCode>0%</c:formatCode>
                <c:ptCount val="3"/>
                <c:pt idx="1">
                  <c:v>0.86</c:v>
                </c:pt>
                <c:pt idx="2">
                  <c:v>0.14000000000000001</c:v>
                </c:pt>
              </c:numCache>
            </c:numRef>
          </c:val>
        </c:ser>
        <c:dLbls>
          <c:showLegendKey val="0"/>
          <c:showVal val="0"/>
          <c:showCatName val="0"/>
          <c:showSerName val="0"/>
          <c:showPercent val="1"/>
          <c:showBubbleSize val="0"/>
          <c:showLeaderLines val="1"/>
        </c:dLbls>
      </c:pie3DChart>
    </c:plotArea>
    <c:legend>
      <c:legendPos val="r"/>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ČR využít tuto diskreci? </a:t>
            </a:r>
            <a:endParaRPr lang="cs-CZ" i="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List1!$A$23:$A$25</c:f>
              <c:strCache>
                <c:ptCount val="3"/>
                <c:pt idx="0">
                  <c:v>ano</c:v>
                </c:pt>
                <c:pt idx="1">
                  <c:v>ne</c:v>
                </c:pt>
                <c:pt idx="2">
                  <c:v>bez odpovědi</c:v>
                </c:pt>
              </c:strCache>
            </c:strRef>
          </c:cat>
          <c:val>
            <c:numRef>
              <c:f>List1!$B$23:$B$25</c:f>
              <c:numCache>
                <c:formatCode>0%</c:formatCode>
                <c:ptCount val="3"/>
                <c:pt idx="0">
                  <c:v>0</c:v>
                </c:pt>
                <c:pt idx="1">
                  <c:v>0.04</c:v>
                </c:pt>
                <c:pt idx="2">
                  <c:v>0.03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Jaký charakter by mělo mít hlasování o politice odměňování na valné hromadě?</a:t>
            </a:r>
            <a:endParaRPr lang="cs-CZ"/>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List1!$A$73:$A$75</c:f>
              <c:strCache>
                <c:ptCount val="3"/>
                <c:pt idx="0">
                  <c:v>závazné</c:v>
                </c:pt>
                <c:pt idx="1">
                  <c:v>poradní</c:v>
                </c:pt>
                <c:pt idx="2">
                  <c:v>bez odpovědi</c:v>
                </c:pt>
              </c:strCache>
            </c:strRef>
          </c:cat>
          <c:val>
            <c:numRef>
              <c:f>List1!$B$73:$B$75</c:f>
              <c:numCache>
                <c:formatCode>0%</c:formatCode>
                <c:ptCount val="3"/>
                <c:pt idx="0">
                  <c:v>0.03</c:v>
                </c:pt>
                <c:pt idx="1">
                  <c:v>0.01</c:v>
                </c:pt>
                <c:pt idx="2">
                  <c:v>0.03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baseline="0">
                <a:effectLst/>
              </a:rPr>
              <a:t>Mělo by být umožněno společnostem se za určitých okolností od politiky odměňování odchýlit?</a:t>
            </a:r>
            <a:endParaRPr lang="cs-CZ">
              <a:effectLs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0"/>
            <c:showSerName val="0"/>
            <c:showPercent val="1"/>
            <c:showBubbleSize val="0"/>
            <c:showLeaderLines val="1"/>
          </c:dLbls>
          <c:cat>
            <c:strRef>
              <c:f>List1!$A$23:$A$25</c:f>
              <c:strCache>
                <c:ptCount val="3"/>
                <c:pt idx="0">
                  <c:v>ano</c:v>
                </c:pt>
                <c:pt idx="1">
                  <c:v>ne</c:v>
                </c:pt>
                <c:pt idx="2">
                  <c:v>bez odpovědi</c:v>
                </c:pt>
              </c:strCache>
            </c:strRef>
          </c:cat>
          <c:val>
            <c:numRef>
              <c:f>List1!$B$23:$B$25</c:f>
              <c:numCache>
                <c:formatCode>0%</c:formatCode>
                <c:ptCount val="3"/>
                <c:pt idx="0">
                  <c:v>0.04</c:v>
                </c:pt>
                <c:pt idx="1">
                  <c:v>0</c:v>
                </c:pt>
                <c:pt idx="2">
                  <c:v>0.03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Za jakých výjimečných okolností by bylo žádoucí umožnit odchýlení se od politiky odměňování?</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5.7905074365704287E-2"/>
          <c:y val="0.39827573636628755"/>
          <c:w val="0.39506146106736656"/>
          <c:h val="0.55032370953630794"/>
        </c:manualLayout>
      </c:layout>
      <c:bar3DChart>
        <c:barDir val="col"/>
        <c:grouping val="clustered"/>
        <c:varyColors val="0"/>
        <c:ser>
          <c:idx val="0"/>
          <c:order val="0"/>
          <c:tx>
            <c:strRef>
              <c:f>List1!$A$77</c:f>
              <c:strCache>
                <c:ptCount val="1"/>
                <c:pt idx="0">
                  <c:v>úpadek nebo hrozící úpadek společnosti</c:v>
                </c:pt>
              </c:strCache>
            </c:strRef>
          </c:tx>
          <c:invertIfNegative val="0"/>
          <c:val>
            <c:numRef>
              <c:f>List1!$B$77</c:f>
              <c:numCache>
                <c:formatCode>General</c:formatCode>
                <c:ptCount val="1"/>
                <c:pt idx="0">
                  <c:v>4</c:v>
                </c:pt>
              </c:numCache>
            </c:numRef>
          </c:val>
        </c:ser>
        <c:ser>
          <c:idx val="1"/>
          <c:order val="1"/>
          <c:tx>
            <c:strRef>
              <c:f>List1!$A$78</c:f>
              <c:strCache>
                <c:ptCount val="1"/>
                <c:pt idx="0">
                  <c:v>přeměna společnosti</c:v>
                </c:pt>
              </c:strCache>
            </c:strRef>
          </c:tx>
          <c:invertIfNegative val="0"/>
          <c:val>
            <c:numRef>
              <c:f>List1!$B$78</c:f>
              <c:numCache>
                <c:formatCode>General</c:formatCode>
                <c:ptCount val="1"/>
                <c:pt idx="0">
                  <c:v>3</c:v>
                </c:pt>
              </c:numCache>
            </c:numRef>
          </c:val>
        </c:ser>
        <c:ser>
          <c:idx val="2"/>
          <c:order val="2"/>
          <c:tx>
            <c:strRef>
              <c:f>List1!$A$79</c:f>
              <c:strCache>
                <c:ptCount val="1"/>
                <c:pt idx="0">
                  <c:v>restrukturalizace společnosti</c:v>
                </c:pt>
              </c:strCache>
            </c:strRef>
          </c:tx>
          <c:invertIfNegative val="0"/>
          <c:val>
            <c:numRef>
              <c:f>List1!$B$79</c:f>
              <c:numCache>
                <c:formatCode>General</c:formatCode>
                <c:ptCount val="1"/>
                <c:pt idx="0">
                  <c:v>4</c:v>
                </c:pt>
              </c:numCache>
            </c:numRef>
          </c:val>
        </c:ser>
        <c:ser>
          <c:idx val="3"/>
          <c:order val="3"/>
          <c:tx>
            <c:strRef>
              <c:f>List1!$A$80</c:f>
              <c:strCache>
                <c:ptCount val="1"/>
                <c:pt idx="0">
                  <c:v>získání výjimečně kvalitního člena voleného orgánu</c:v>
                </c:pt>
              </c:strCache>
            </c:strRef>
          </c:tx>
          <c:invertIfNegative val="0"/>
          <c:val>
            <c:numRef>
              <c:f>List1!$B$80</c:f>
              <c:numCache>
                <c:formatCode>General</c:formatCode>
                <c:ptCount val="1"/>
                <c:pt idx="0">
                  <c:v>3</c:v>
                </c:pt>
              </c:numCache>
            </c:numRef>
          </c:val>
        </c:ser>
        <c:ser>
          <c:idx val="4"/>
          <c:order val="4"/>
          <c:tx>
            <c:strRef>
              <c:f>List1!$A$81</c:f>
              <c:strCache>
                <c:ptCount val="1"/>
                <c:pt idx="0">
                  <c:v>jiné</c:v>
                </c:pt>
              </c:strCache>
            </c:strRef>
          </c:tx>
          <c:invertIfNegative val="0"/>
          <c:val>
            <c:numRef>
              <c:f>List1!$B$81</c:f>
              <c:numCache>
                <c:formatCode>General</c:formatCode>
                <c:ptCount val="1"/>
                <c:pt idx="0">
                  <c:v>3</c:v>
                </c:pt>
              </c:numCache>
            </c:numRef>
          </c:val>
        </c:ser>
        <c:dLbls>
          <c:showLegendKey val="0"/>
          <c:showVal val="0"/>
          <c:showCatName val="0"/>
          <c:showSerName val="0"/>
          <c:showPercent val="0"/>
          <c:showBubbleSize val="0"/>
        </c:dLbls>
        <c:gapWidth val="150"/>
        <c:shape val="box"/>
        <c:axId val="33277824"/>
        <c:axId val="33279360"/>
        <c:axId val="0"/>
      </c:bar3DChart>
      <c:catAx>
        <c:axId val="33277824"/>
        <c:scaling>
          <c:orientation val="minMax"/>
        </c:scaling>
        <c:delete val="1"/>
        <c:axPos val="b"/>
        <c:majorTickMark val="none"/>
        <c:minorTickMark val="none"/>
        <c:tickLblPos val="nextTo"/>
        <c:crossAx val="33279360"/>
        <c:crosses val="autoZero"/>
        <c:auto val="1"/>
        <c:lblAlgn val="ctr"/>
        <c:lblOffset val="100"/>
        <c:noMultiLvlLbl val="0"/>
      </c:catAx>
      <c:valAx>
        <c:axId val="33279360"/>
        <c:scaling>
          <c:orientation val="minMax"/>
        </c:scaling>
        <c:delete val="0"/>
        <c:axPos val="l"/>
        <c:majorGridlines/>
        <c:numFmt formatCode="General" sourceLinked="1"/>
        <c:majorTickMark val="none"/>
        <c:minorTickMark val="none"/>
        <c:tickLblPos val="nextTo"/>
        <c:crossAx val="33277824"/>
        <c:crosses val="autoZero"/>
        <c:crossBetween val="between"/>
        <c:majorUnit val="1"/>
      </c:valAx>
    </c:plotArea>
    <c:legend>
      <c:legendPos val="r"/>
      <c:layout>
        <c:manualLayout>
          <c:xMode val="edge"/>
          <c:yMode val="edge"/>
          <c:x val="0.49238823272090987"/>
          <c:y val="0.39393226888305627"/>
          <c:w val="0.48538954505686788"/>
          <c:h val="0.54512139107611546"/>
        </c:manualLayout>
      </c:layout>
      <c:overlay val="0"/>
      <c:txPr>
        <a:bodyPr/>
        <a:lstStyle/>
        <a:p>
          <a:pPr>
            <a:defRPr sz="900"/>
          </a:pPr>
          <a:endParaRPr lang="cs-CZ"/>
        </a:p>
      </c:txPr>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Měly by být v zákoně vymezeny další účely pro zpracování osobních údajů členů orgánů?</a:t>
            </a:r>
            <a:endParaRPr lang="cs-CZ" i="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List1!$A$23:$A$25</c:f>
              <c:strCache>
                <c:ptCount val="3"/>
                <c:pt idx="0">
                  <c:v>ano</c:v>
                </c:pt>
                <c:pt idx="1">
                  <c:v>ne</c:v>
                </c:pt>
                <c:pt idx="2">
                  <c:v>bez odpovědi</c:v>
                </c:pt>
              </c:strCache>
            </c:strRef>
          </c:cat>
          <c:val>
            <c:numRef>
              <c:f>List1!$B$23:$B$25</c:f>
              <c:numCache>
                <c:formatCode>0%</c:formatCode>
                <c:ptCount val="3"/>
                <c:pt idx="0">
                  <c:v>0</c:v>
                </c:pt>
                <c:pt idx="1">
                  <c:v>0.04</c:v>
                </c:pt>
                <c:pt idx="2">
                  <c:v>0.03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baseline="0">
                <a:effectLst/>
              </a:rPr>
              <a:t>Měla by Česká republika využít diskreci v případě malých a středních podniků?</a:t>
            </a:r>
            <a:endParaRPr lang="cs-CZ">
              <a:effectLst/>
            </a:endParaRPr>
          </a:p>
        </c:rich>
      </c:tx>
      <c:layout>
        <c:manualLayout>
          <c:xMode val="edge"/>
          <c:yMode val="edge"/>
          <c:x val="0.11296522309711286"/>
          <c:y val="2.7777777777777776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tx>
                <c:rich>
                  <a:bodyPr/>
                  <a:lstStyle/>
                  <a:p>
                    <a:r>
                      <a:rPr lang="en-US"/>
                      <a:t>28,5 %</a:t>
                    </a:r>
                  </a:p>
                </c:rich>
              </c:tx>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28,5</a:t>
                    </a:r>
                    <a:r>
                      <a:rPr lang="en-US" baseline="0"/>
                      <a:t> </a:t>
                    </a:r>
                    <a:r>
                      <a:rPr lang="en-US"/>
                      <a:t>%</a:t>
                    </a:r>
                  </a:p>
                </c:rich>
              </c:tx>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List1!$A$129:$A$131</c:f>
              <c:strCache>
                <c:ptCount val="3"/>
                <c:pt idx="0">
                  <c:v>ano</c:v>
                </c:pt>
                <c:pt idx="1">
                  <c:v>ne</c:v>
                </c:pt>
                <c:pt idx="2">
                  <c:v>bez odpovědi</c:v>
                </c:pt>
              </c:strCache>
            </c:strRef>
          </c:cat>
          <c:val>
            <c:numRef>
              <c:f>List1!$B$129:$B$131</c:f>
              <c:numCache>
                <c:formatCode>General</c:formatCode>
                <c:ptCount val="3"/>
                <c:pt idx="0">
                  <c:v>2</c:v>
                </c:pt>
                <c:pt idx="1">
                  <c:v>2</c:v>
                </c:pt>
                <c:pt idx="2">
                  <c:v>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Na čem by mělo být založeno vymezení významných transakcí v České republice?</a:t>
            </a:r>
            <a:endParaRPr lang="cs-CZ"/>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tx>
                <c:rich>
                  <a:bodyPr/>
                  <a:lstStyle/>
                  <a:p>
                    <a:r>
                      <a:rPr lang="en-US"/>
                      <a:t>28</a:t>
                    </a:r>
                    <a:r>
                      <a:rPr lang="cs-CZ"/>
                      <a:t>,5</a:t>
                    </a:r>
                    <a:r>
                      <a:rPr lang="en-US"/>
                      <a:t>%</a:t>
                    </a:r>
                  </a:p>
                </c:rich>
              </c:tx>
              <c:showLegendKey val="0"/>
              <c:showVal val="0"/>
              <c:showCatName val="0"/>
              <c:showSerName val="0"/>
              <c:showPercent val="1"/>
              <c:showBubbleSize val="0"/>
            </c:dLbl>
            <c:dLbl>
              <c:idx val="1"/>
              <c:tx>
                <c:rich>
                  <a:bodyPr/>
                  <a:lstStyle/>
                  <a:p>
                    <a:r>
                      <a:rPr lang="en-US"/>
                      <a:t>2</a:t>
                    </a:r>
                    <a:r>
                      <a:rPr lang="cs-CZ"/>
                      <a:t>8,5</a:t>
                    </a:r>
                    <a:r>
                      <a:rPr lang="en-US"/>
                      <a:t>%</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List1!$A$87:$A$89</c:f>
              <c:strCache>
                <c:ptCount val="3"/>
                <c:pt idx="0">
                  <c:v>povaha transakce a postavení spřízněné strany</c:v>
                </c:pt>
                <c:pt idx="1">
                  <c:v>kvantitativní ukazatele</c:v>
                </c:pt>
                <c:pt idx="2">
                  <c:v>bez odpovědi</c:v>
                </c:pt>
              </c:strCache>
            </c:strRef>
          </c:cat>
          <c:val>
            <c:numRef>
              <c:f>List1!$B$87:$B$89</c:f>
              <c:numCache>
                <c:formatCode>General</c:formatCode>
                <c:ptCount val="3"/>
                <c:pt idx="0">
                  <c:v>2</c:v>
                </c:pt>
                <c:pt idx="1">
                  <c:v>2</c:v>
                </c:pt>
                <c:pt idx="2">
                  <c:v>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baseline="0">
                <a:effectLst/>
              </a:rPr>
              <a:t>Jaké transakce by měly být významné?</a:t>
            </a:r>
            <a:endParaRPr lang="cs-CZ">
              <a:effectLst/>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4.9810816658670355E-2"/>
          <c:y val="0.17104698802893542"/>
          <c:w val="0.46492399237337001"/>
          <c:h val="0.78382081812944115"/>
        </c:manualLayout>
      </c:layout>
      <c:bar3DChart>
        <c:barDir val="col"/>
        <c:grouping val="clustered"/>
        <c:varyColors val="0"/>
        <c:ser>
          <c:idx val="0"/>
          <c:order val="0"/>
          <c:tx>
            <c:strRef>
              <c:f>List1!$A$90</c:f>
              <c:strCache>
                <c:ptCount val="1"/>
                <c:pt idx="0">
                  <c:v>poskytnutí úvěru</c:v>
                </c:pt>
              </c:strCache>
            </c:strRef>
          </c:tx>
          <c:invertIfNegative val="0"/>
          <c:val>
            <c:numRef>
              <c:f>List1!$B$90</c:f>
              <c:numCache>
                <c:formatCode>General</c:formatCode>
                <c:ptCount val="1"/>
                <c:pt idx="0">
                  <c:v>2</c:v>
                </c:pt>
              </c:numCache>
            </c:numRef>
          </c:val>
        </c:ser>
        <c:ser>
          <c:idx val="1"/>
          <c:order val="1"/>
          <c:tx>
            <c:strRef>
              <c:f>List1!$A$91</c:f>
              <c:strCache>
                <c:ptCount val="1"/>
                <c:pt idx="0">
                  <c:v>poskytnutí zápůjčky</c:v>
                </c:pt>
              </c:strCache>
            </c:strRef>
          </c:tx>
          <c:invertIfNegative val="0"/>
          <c:val>
            <c:numRef>
              <c:f>List1!$B$91</c:f>
              <c:numCache>
                <c:formatCode>General</c:formatCode>
                <c:ptCount val="1"/>
                <c:pt idx="0">
                  <c:v>2</c:v>
                </c:pt>
              </c:numCache>
            </c:numRef>
          </c:val>
        </c:ser>
        <c:ser>
          <c:idx val="2"/>
          <c:order val="2"/>
          <c:tx>
            <c:strRef>
              <c:f>List1!$A$92</c:f>
              <c:strCache>
                <c:ptCount val="1"/>
                <c:pt idx="0">
                  <c:v>zajištění dluhu</c:v>
                </c:pt>
              </c:strCache>
            </c:strRef>
          </c:tx>
          <c:invertIfNegative val="0"/>
          <c:val>
            <c:numRef>
              <c:f>List1!$B$92</c:f>
              <c:numCache>
                <c:formatCode>General</c:formatCode>
                <c:ptCount val="1"/>
                <c:pt idx="0">
                  <c:v>2</c:v>
                </c:pt>
              </c:numCache>
            </c:numRef>
          </c:val>
        </c:ser>
        <c:ser>
          <c:idx val="3"/>
          <c:order val="3"/>
          <c:tx>
            <c:strRef>
              <c:f>List1!$A$93</c:f>
              <c:strCache>
                <c:ptCount val="1"/>
                <c:pt idx="0">
                  <c:v>převod majetku společnosti</c:v>
                </c:pt>
              </c:strCache>
            </c:strRef>
          </c:tx>
          <c:invertIfNegative val="0"/>
          <c:val>
            <c:numRef>
              <c:f>List1!$B$93</c:f>
              <c:numCache>
                <c:formatCode>General</c:formatCode>
                <c:ptCount val="1"/>
                <c:pt idx="0">
                  <c:v>2</c:v>
                </c:pt>
              </c:numCache>
            </c:numRef>
          </c:val>
        </c:ser>
        <c:ser>
          <c:idx val="4"/>
          <c:order val="4"/>
          <c:tx>
            <c:strRef>
              <c:f>List1!$A$94</c:f>
              <c:strCache>
                <c:ptCount val="1"/>
                <c:pt idx="0">
                  <c:v>převod závodu nebo jeho části</c:v>
                </c:pt>
              </c:strCache>
            </c:strRef>
          </c:tx>
          <c:invertIfNegative val="0"/>
          <c:val>
            <c:numRef>
              <c:f>List1!$B$94</c:f>
              <c:numCache>
                <c:formatCode>General</c:formatCode>
                <c:ptCount val="1"/>
                <c:pt idx="0">
                  <c:v>2</c:v>
                </c:pt>
              </c:numCache>
            </c:numRef>
          </c:val>
        </c:ser>
        <c:ser>
          <c:idx val="5"/>
          <c:order val="5"/>
          <c:tx>
            <c:strRef>
              <c:f>List1!$A$95</c:f>
              <c:strCache>
                <c:ptCount val="1"/>
                <c:pt idx="0">
                  <c:v>zastavení závodu nebo jeho části</c:v>
                </c:pt>
              </c:strCache>
            </c:strRef>
          </c:tx>
          <c:invertIfNegative val="0"/>
          <c:val>
            <c:numRef>
              <c:f>List1!$B$95</c:f>
              <c:numCache>
                <c:formatCode>General</c:formatCode>
                <c:ptCount val="1"/>
                <c:pt idx="0">
                  <c:v>2</c:v>
                </c:pt>
              </c:numCache>
            </c:numRef>
          </c:val>
        </c:ser>
        <c:ser>
          <c:idx val="6"/>
          <c:order val="6"/>
          <c:tx>
            <c:strRef>
              <c:f>List1!$A$96</c:f>
              <c:strCache>
                <c:ptCount val="1"/>
                <c:pt idx="0">
                  <c:v>pacht závodu nebo jeho části</c:v>
                </c:pt>
              </c:strCache>
            </c:strRef>
          </c:tx>
          <c:invertIfNegative val="0"/>
          <c:val>
            <c:numRef>
              <c:f>List1!$B$96</c:f>
              <c:numCache>
                <c:formatCode>General</c:formatCode>
                <c:ptCount val="1"/>
                <c:pt idx="0">
                  <c:v>2</c:v>
                </c:pt>
              </c:numCache>
            </c:numRef>
          </c:val>
        </c:ser>
        <c:ser>
          <c:idx val="7"/>
          <c:order val="7"/>
          <c:tx>
            <c:strRef>
              <c:f>List1!$A$97</c:f>
              <c:strCache>
                <c:ptCount val="1"/>
                <c:pt idx="0">
                  <c:v>jiné</c:v>
                </c:pt>
              </c:strCache>
            </c:strRef>
          </c:tx>
          <c:invertIfNegative val="0"/>
          <c:val>
            <c:numRef>
              <c:f>List1!$B$97</c:f>
              <c:numCache>
                <c:formatCode>General</c:formatCode>
                <c:ptCount val="1"/>
                <c:pt idx="0">
                  <c:v>1</c:v>
                </c:pt>
              </c:numCache>
            </c:numRef>
          </c:val>
        </c:ser>
        <c:dLbls>
          <c:showLegendKey val="0"/>
          <c:showVal val="0"/>
          <c:showCatName val="0"/>
          <c:showSerName val="0"/>
          <c:showPercent val="0"/>
          <c:showBubbleSize val="0"/>
        </c:dLbls>
        <c:gapWidth val="150"/>
        <c:shape val="box"/>
        <c:axId val="33499008"/>
        <c:axId val="33500544"/>
        <c:axId val="0"/>
      </c:bar3DChart>
      <c:catAx>
        <c:axId val="33499008"/>
        <c:scaling>
          <c:orientation val="minMax"/>
        </c:scaling>
        <c:delete val="1"/>
        <c:axPos val="b"/>
        <c:majorTickMark val="none"/>
        <c:minorTickMark val="none"/>
        <c:tickLblPos val="nextTo"/>
        <c:crossAx val="33500544"/>
        <c:crosses val="autoZero"/>
        <c:auto val="1"/>
        <c:lblAlgn val="ctr"/>
        <c:lblOffset val="100"/>
        <c:noMultiLvlLbl val="0"/>
      </c:catAx>
      <c:valAx>
        <c:axId val="33500544"/>
        <c:scaling>
          <c:orientation val="minMax"/>
        </c:scaling>
        <c:delete val="0"/>
        <c:axPos val="l"/>
        <c:majorGridlines/>
        <c:numFmt formatCode="General" sourceLinked="1"/>
        <c:majorTickMark val="none"/>
        <c:minorTickMark val="none"/>
        <c:tickLblPos val="nextTo"/>
        <c:crossAx val="33499008"/>
        <c:crosses val="autoZero"/>
        <c:crossBetween val="between"/>
        <c:majorUnit val="1"/>
      </c:valAx>
    </c:plotArea>
    <c:legend>
      <c:legendPos val="r"/>
      <c:layout>
        <c:manualLayout>
          <c:xMode val="edge"/>
          <c:yMode val="edge"/>
          <c:x val="0.54585367689253883"/>
          <c:y val="0.19508130081300812"/>
          <c:w val="0.43975686589528717"/>
          <c:h val="0.7357518724793547"/>
        </c:manualLayout>
      </c:layout>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Transakce se kterými spřízněnými stranami by měly podléhat schválení?</a:t>
            </a:r>
            <a:endParaRPr lang="cs-CZ"/>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4.9403132411860097E-2"/>
          <c:y val="0.23759990700076292"/>
          <c:w val="0.44806780034325744"/>
          <c:h val="0.72121580145831221"/>
        </c:manualLayout>
      </c:layout>
      <c:bar3DChart>
        <c:barDir val="col"/>
        <c:grouping val="clustered"/>
        <c:varyColors val="0"/>
        <c:ser>
          <c:idx val="0"/>
          <c:order val="0"/>
          <c:tx>
            <c:strRef>
              <c:f>List1!$A$99</c:f>
              <c:strCache>
                <c:ptCount val="1"/>
                <c:pt idx="0">
                  <c:v>člen voleného orgánu </c:v>
                </c:pt>
              </c:strCache>
            </c:strRef>
          </c:tx>
          <c:invertIfNegative val="0"/>
          <c:val>
            <c:numRef>
              <c:f>List1!$B$99</c:f>
              <c:numCache>
                <c:formatCode>General</c:formatCode>
                <c:ptCount val="1"/>
                <c:pt idx="0">
                  <c:v>2</c:v>
                </c:pt>
              </c:numCache>
            </c:numRef>
          </c:val>
        </c:ser>
        <c:ser>
          <c:idx val="1"/>
          <c:order val="1"/>
          <c:tx>
            <c:strRef>
              <c:f>List1!$A$100</c:f>
              <c:strCache>
                <c:ptCount val="1"/>
                <c:pt idx="0">
                  <c:v>generální ředitel</c:v>
                </c:pt>
              </c:strCache>
            </c:strRef>
          </c:tx>
          <c:invertIfNegative val="0"/>
          <c:val>
            <c:numRef>
              <c:f>List1!$B$100</c:f>
              <c:numCache>
                <c:formatCode>General</c:formatCode>
                <c:ptCount val="1"/>
                <c:pt idx="0">
                  <c:v>2</c:v>
                </c:pt>
              </c:numCache>
            </c:numRef>
          </c:val>
        </c:ser>
        <c:ser>
          <c:idx val="2"/>
          <c:order val="2"/>
          <c:tx>
            <c:strRef>
              <c:f>List1!$A$101</c:f>
              <c:strCache>
                <c:ptCount val="1"/>
                <c:pt idx="0">
                  <c:v>jiná osoba vrcholného vedení</c:v>
                </c:pt>
              </c:strCache>
            </c:strRef>
          </c:tx>
          <c:invertIfNegative val="0"/>
          <c:val>
            <c:numRef>
              <c:f>List1!$B$101</c:f>
              <c:numCache>
                <c:formatCode>General</c:formatCode>
                <c:ptCount val="1"/>
                <c:pt idx="0">
                  <c:v>0</c:v>
                </c:pt>
              </c:numCache>
            </c:numRef>
          </c:val>
        </c:ser>
        <c:ser>
          <c:idx val="3"/>
          <c:order val="3"/>
          <c:tx>
            <c:strRef>
              <c:f>List1!$A$102</c:f>
              <c:strCache>
                <c:ptCount val="1"/>
                <c:pt idx="0">
                  <c:v>akcionář, který je spřízněnou stranou</c:v>
                </c:pt>
              </c:strCache>
            </c:strRef>
          </c:tx>
          <c:invertIfNegative val="0"/>
          <c:val>
            <c:numRef>
              <c:f>List1!$B$102</c:f>
              <c:numCache>
                <c:formatCode>General</c:formatCode>
                <c:ptCount val="1"/>
                <c:pt idx="0">
                  <c:v>2</c:v>
                </c:pt>
              </c:numCache>
            </c:numRef>
          </c:val>
        </c:ser>
        <c:ser>
          <c:idx val="4"/>
          <c:order val="4"/>
          <c:tx>
            <c:strRef>
              <c:f>List1!$A$103</c:f>
              <c:strCache>
                <c:ptCount val="1"/>
                <c:pt idx="0">
                  <c:v>vlivná nebo ovládající osoba</c:v>
                </c:pt>
              </c:strCache>
            </c:strRef>
          </c:tx>
          <c:invertIfNegative val="0"/>
          <c:val>
            <c:numRef>
              <c:f>List1!$B$103</c:f>
              <c:numCache>
                <c:formatCode>General</c:formatCode>
                <c:ptCount val="1"/>
                <c:pt idx="0">
                  <c:v>2</c:v>
                </c:pt>
              </c:numCache>
            </c:numRef>
          </c:val>
        </c:ser>
        <c:ser>
          <c:idx val="5"/>
          <c:order val="5"/>
          <c:tx>
            <c:strRef>
              <c:f>List1!$A$104</c:f>
              <c:strCache>
                <c:ptCount val="1"/>
                <c:pt idx="0">
                  <c:v>osoby ovládané stejnou ovládající osobou</c:v>
                </c:pt>
              </c:strCache>
            </c:strRef>
          </c:tx>
          <c:invertIfNegative val="0"/>
          <c:val>
            <c:numRef>
              <c:f>List1!$B$104</c:f>
              <c:numCache>
                <c:formatCode>General</c:formatCode>
                <c:ptCount val="1"/>
                <c:pt idx="0">
                  <c:v>1</c:v>
                </c:pt>
              </c:numCache>
            </c:numRef>
          </c:val>
        </c:ser>
        <c:ser>
          <c:idx val="6"/>
          <c:order val="6"/>
          <c:tx>
            <c:strRef>
              <c:f>List1!$A$105</c:f>
              <c:strCache>
                <c:ptCount val="1"/>
                <c:pt idx="0">
                  <c:v>řídící osoba</c:v>
                </c:pt>
              </c:strCache>
            </c:strRef>
          </c:tx>
          <c:invertIfNegative val="0"/>
          <c:val>
            <c:numRef>
              <c:f>List1!$B$105</c:f>
              <c:numCache>
                <c:formatCode>General</c:formatCode>
                <c:ptCount val="1"/>
                <c:pt idx="0">
                  <c:v>1</c:v>
                </c:pt>
              </c:numCache>
            </c:numRef>
          </c:val>
        </c:ser>
        <c:ser>
          <c:idx val="7"/>
          <c:order val="7"/>
          <c:tx>
            <c:strRef>
              <c:f>List1!$A$106</c:f>
              <c:strCache>
                <c:ptCount val="1"/>
                <c:pt idx="0">
                  <c:v>osoby tvořící koncern</c:v>
                </c:pt>
              </c:strCache>
            </c:strRef>
          </c:tx>
          <c:invertIfNegative val="0"/>
          <c:val>
            <c:numRef>
              <c:f>List1!$B$106</c:f>
              <c:numCache>
                <c:formatCode>General</c:formatCode>
                <c:ptCount val="1"/>
                <c:pt idx="0">
                  <c:v>1</c:v>
                </c:pt>
              </c:numCache>
            </c:numRef>
          </c:val>
        </c:ser>
        <c:ser>
          <c:idx val="8"/>
          <c:order val="8"/>
          <c:tx>
            <c:strRef>
              <c:f>List1!$A$107</c:f>
              <c:strCache>
                <c:ptCount val="1"/>
                <c:pt idx="0">
                  <c:v>osoby blízké </c:v>
                </c:pt>
              </c:strCache>
            </c:strRef>
          </c:tx>
          <c:invertIfNegative val="0"/>
          <c:val>
            <c:numRef>
              <c:f>List1!$B$107</c:f>
              <c:numCache>
                <c:formatCode>General</c:formatCode>
                <c:ptCount val="1"/>
                <c:pt idx="0">
                  <c:v>2</c:v>
                </c:pt>
              </c:numCache>
            </c:numRef>
          </c:val>
        </c:ser>
        <c:ser>
          <c:idx val="9"/>
          <c:order val="9"/>
          <c:tx>
            <c:strRef>
              <c:f>List1!$A$108</c:f>
              <c:strCache>
                <c:ptCount val="1"/>
                <c:pt idx="0">
                  <c:v>jiná spřízněná strana</c:v>
                </c:pt>
              </c:strCache>
            </c:strRef>
          </c:tx>
          <c:invertIfNegative val="0"/>
          <c:val>
            <c:numRef>
              <c:f>List1!$B$108</c:f>
              <c:numCache>
                <c:formatCode>General</c:formatCode>
                <c:ptCount val="1"/>
                <c:pt idx="0">
                  <c:v>1</c:v>
                </c:pt>
              </c:numCache>
            </c:numRef>
          </c:val>
        </c:ser>
        <c:dLbls>
          <c:showLegendKey val="0"/>
          <c:showVal val="0"/>
          <c:showCatName val="0"/>
          <c:showSerName val="0"/>
          <c:showPercent val="0"/>
          <c:showBubbleSize val="0"/>
        </c:dLbls>
        <c:gapWidth val="150"/>
        <c:shape val="box"/>
        <c:axId val="33537024"/>
        <c:axId val="33547008"/>
        <c:axId val="0"/>
      </c:bar3DChart>
      <c:catAx>
        <c:axId val="33537024"/>
        <c:scaling>
          <c:orientation val="minMax"/>
        </c:scaling>
        <c:delete val="1"/>
        <c:axPos val="b"/>
        <c:majorTickMark val="none"/>
        <c:minorTickMark val="none"/>
        <c:tickLblPos val="nextTo"/>
        <c:crossAx val="33547008"/>
        <c:crosses val="autoZero"/>
        <c:auto val="1"/>
        <c:lblAlgn val="ctr"/>
        <c:lblOffset val="100"/>
        <c:noMultiLvlLbl val="0"/>
      </c:catAx>
      <c:valAx>
        <c:axId val="33547008"/>
        <c:scaling>
          <c:orientation val="minMax"/>
        </c:scaling>
        <c:delete val="0"/>
        <c:axPos val="l"/>
        <c:majorGridlines/>
        <c:numFmt formatCode="General" sourceLinked="1"/>
        <c:majorTickMark val="none"/>
        <c:minorTickMark val="none"/>
        <c:tickLblPos val="nextTo"/>
        <c:crossAx val="33537024"/>
        <c:crosses val="autoZero"/>
        <c:crossBetween val="between"/>
        <c:majorUnit val="1"/>
      </c:valAx>
    </c:plotArea>
    <c:legend>
      <c:legendPos val="r"/>
      <c:layout>
        <c:manualLayout>
          <c:xMode val="edge"/>
          <c:yMode val="edge"/>
          <c:x val="0.5265570021997259"/>
          <c:y val="0.19044791456838994"/>
          <c:w val="0.45743430465170754"/>
          <c:h val="0.80955208543161006"/>
        </c:manualLayout>
      </c:layout>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Jaké kvantitativní ukazatele by měla ČR využít při vymezení významných transakcí?</a:t>
            </a:r>
            <a:endParaRPr lang="cs-CZ"/>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5.7905074365704287E-2"/>
          <c:y val="0.39827573636628755"/>
          <c:w val="0.4997195975503062"/>
          <c:h val="0.55032370953630794"/>
        </c:manualLayout>
      </c:layout>
      <c:bar3DChart>
        <c:barDir val="col"/>
        <c:grouping val="clustered"/>
        <c:varyColors val="0"/>
        <c:ser>
          <c:idx val="0"/>
          <c:order val="0"/>
          <c:tx>
            <c:strRef>
              <c:f>List1!$A$110</c:f>
              <c:strCache>
                <c:ptCount val="1"/>
                <c:pt idx="0">
                  <c:v>finanční pozice </c:v>
                </c:pt>
              </c:strCache>
            </c:strRef>
          </c:tx>
          <c:invertIfNegative val="0"/>
          <c:val>
            <c:numRef>
              <c:f>List1!$B$110</c:f>
              <c:numCache>
                <c:formatCode>General</c:formatCode>
                <c:ptCount val="1"/>
                <c:pt idx="0">
                  <c:v>0</c:v>
                </c:pt>
              </c:numCache>
            </c:numRef>
          </c:val>
        </c:ser>
        <c:ser>
          <c:idx val="1"/>
          <c:order val="1"/>
          <c:tx>
            <c:strRef>
              <c:f>List1!$A$111</c:f>
              <c:strCache>
                <c:ptCount val="1"/>
                <c:pt idx="0">
                  <c:v>výnosy</c:v>
                </c:pt>
              </c:strCache>
            </c:strRef>
          </c:tx>
          <c:invertIfNegative val="0"/>
          <c:val>
            <c:numRef>
              <c:f>List1!$B$111</c:f>
              <c:numCache>
                <c:formatCode>General</c:formatCode>
                <c:ptCount val="1"/>
                <c:pt idx="0">
                  <c:v>0</c:v>
                </c:pt>
              </c:numCache>
            </c:numRef>
          </c:val>
        </c:ser>
        <c:ser>
          <c:idx val="2"/>
          <c:order val="2"/>
          <c:tx>
            <c:strRef>
              <c:f>List1!$A$112</c:f>
              <c:strCache>
                <c:ptCount val="1"/>
                <c:pt idx="0">
                  <c:v>aktiva</c:v>
                </c:pt>
              </c:strCache>
            </c:strRef>
          </c:tx>
          <c:invertIfNegative val="0"/>
          <c:val>
            <c:numRef>
              <c:f>List1!$B$112</c:f>
              <c:numCache>
                <c:formatCode>General</c:formatCode>
                <c:ptCount val="1"/>
                <c:pt idx="0">
                  <c:v>1</c:v>
                </c:pt>
              </c:numCache>
            </c:numRef>
          </c:val>
        </c:ser>
        <c:ser>
          <c:idx val="3"/>
          <c:order val="3"/>
          <c:tx>
            <c:strRef>
              <c:f>List1!$A$113</c:f>
              <c:strCache>
                <c:ptCount val="1"/>
                <c:pt idx="0">
                  <c:v>vlastní kapitál </c:v>
                </c:pt>
              </c:strCache>
            </c:strRef>
          </c:tx>
          <c:invertIfNegative val="0"/>
          <c:val>
            <c:numRef>
              <c:f>List1!$B$113</c:f>
              <c:numCache>
                <c:formatCode>General</c:formatCode>
                <c:ptCount val="1"/>
                <c:pt idx="0">
                  <c:v>1</c:v>
                </c:pt>
              </c:numCache>
            </c:numRef>
          </c:val>
        </c:ser>
        <c:ser>
          <c:idx val="4"/>
          <c:order val="4"/>
          <c:tx>
            <c:strRef>
              <c:f>List1!$A$114</c:f>
              <c:strCache>
                <c:ptCount val="1"/>
                <c:pt idx="0">
                  <c:v>základní kapitál</c:v>
                </c:pt>
              </c:strCache>
            </c:strRef>
          </c:tx>
          <c:invertIfNegative val="0"/>
          <c:val>
            <c:numRef>
              <c:f>List1!$B$114</c:f>
              <c:numCache>
                <c:formatCode>General</c:formatCode>
                <c:ptCount val="1"/>
                <c:pt idx="0">
                  <c:v>0</c:v>
                </c:pt>
              </c:numCache>
            </c:numRef>
          </c:val>
        </c:ser>
        <c:ser>
          <c:idx val="5"/>
          <c:order val="5"/>
          <c:tx>
            <c:strRef>
              <c:f>List1!$A$115</c:f>
              <c:strCache>
                <c:ptCount val="1"/>
                <c:pt idx="0">
                  <c:v>roční úhrn čistého obratu</c:v>
                </c:pt>
              </c:strCache>
            </c:strRef>
          </c:tx>
          <c:invertIfNegative val="0"/>
          <c:val>
            <c:numRef>
              <c:f>List1!$B$115</c:f>
              <c:numCache>
                <c:formatCode>General</c:formatCode>
                <c:ptCount val="1"/>
                <c:pt idx="0">
                  <c:v>0</c:v>
                </c:pt>
              </c:numCache>
            </c:numRef>
          </c:val>
        </c:ser>
        <c:ser>
          <c:idx val="6"/>
          <c:order val="6"/>
          <c:tx>
            <c:strRef>
              <c:f>List1!$A$116</c:f>
              <c:strCache>
                <c:ptCount val="1"/>
                <c:pt idx="0">
                  <c:v>jiné</c:v>
                </c:pt>
              </c:strCache>
            </c:strRef>
          </c:tx>
          <c:invertIfNegative val="0"/>
          <c:val>
            <c:numRef>
              <c:f>List1!$B$116</c:f>
              <c:numCache>
                <c:formatCode>General</c:formatCode>
                <c:ptCount val="1"/>
                <c:pt idx="0">
                  <c:v>0</c:v>
                </c:pt>
              </c:numCache>
            </c:numRef>
          </c:val>
        </c:ser>
        <c:dLbls>
          <c:showLegendKey val="0"/>
          <c:showVal val="0"/>
          <c:showCatName val="0"/>
          <c:showSerName val="0"/>
          <c:showPercent val="0"/>
          <c:showBubbleSize val="0"/>
        </c:dLbls>
        <c:gapWidth val="150"/>
        <c:shape val="box"/>
        <c:axId val="33585024"/>
        <c:axId val="33586560"/>
        <c:axId val="0"/>
      </c:bar3DChart>
      <c:catAx>
        <c:axId val="33585024"/>
        <c:scaling>
          <c:orientation val="minMax"/>
        </c:scaling>
        <c:delete val="1"/>
        <c:axPos val="b"/>
        <c:majorTickMark val="none"/>
        <c:minorTickMark val="none"/>
        <c:tickLblPos val="nextTo"/>
        <c:crossAx val="33586560"/>
        <c:crosses val="autoZero"/>
        <c:auto val="1"/>
        <c:lblAlgn val="ctr"/>
        <c:lblOffset val="100"/>
        <c:noMultiLvlLbl val="0"/>
      </c:catAx>
      <c:valAx>
        <c:axId val="33586560"/>
        <c:scaling>
          <c:orientation val="minMax"/>
        </c:scaling>
        <c:delete val="0"/>
        <c:axPos val="l"/>
        <c:majorGridlines/>
        <c:numFmt formatCode="General" sourceLinked="1"/>
        <c:majorTickMark val="none"/>
        <c:minorTickMark val="none"/>
        <c:tickLblPos val="nextTo"/>
        <c:crossAx val="33585024"/>
        <c:crosses val="autoZero"/>
        <c:crossBetween val="between"/>
        <c:majorUnit val="1"/>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se pravidla daná směrnicí vztahovat i na penzijní společnosti?</a:t>
            </a:r>
            <a:endParaRPr lang="cs-CZ"/>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629245231247507E-2"/>
          <c:y val="0.34324329250510355"/>
          <c:w val="0.73200199762120721"/>
          <c:h val="0.60494860017497809"/>
        </c:manualLayout>
      </c:layout>
      <c:pie3DChart>
        <c:varyColors val="1"/>
        <c:ser>
          <c:idx val="0"/>
          <c:order val="0"/>
          <c:explosion val="25"/>
          <c:dPt>
            <c:idx val="1"/>
            <c:bubble3D val="0"/>
            <c:explosion val="10"/>
          </c:dPt>
          <c:dPt>
            <c:idx val="2"/>
            <c:bubble3D val="0"/>
            <c:explosion val="10"/>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List1!$A$23:$A$25</c:f>
              <c:strCache>
                <c:ptCount val="3"/>
                <c:pt idx="0">
                  <c:v>ano</c:v>
                </c:pt>
                <c:pt idx="1">
                  <c:v>ne</c:v>
                </c:pt>
                <c:pt idx="2">
                  <c:v>bez odpovědi</c:v>
                </c:pt>
              </c:strCache>
            </c:strRef>
          </c:cat>
          <c:val>
            <c:numRef>
              <c:f>List1!$B$23:$B$25</c:f>
              <c:numCache>
                <c:formatCode>0%</c:formatCode>
                <c:ptCount val="3"/>
                <c:pt idx="1">
                  <c:v>0.56999999999999995</c:v>
                </c:pt>
                <c:pt idx="2">
                  <c:v>0.43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Jaká by měla být hraniční hodnota pro významné transakce?</a:t>
            </a:r>
            <a:endParaRPr lang="cs-CZ"/>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List1!$A$118</c:f>
              <c:strCache>
                <c:ptCount val="1"/>
                <c:pt idx="0">
                  <c:v>3%</c:v>
                </c:pt>
              </c:strCache>
            </c:strRef>
          </c:tx>
          <c:invertIfNegative val="0"/>
          <c:val>
            <c:numRef>
              <c:f>List1!$B$118</c:f>
              <c:numCache>
                <c:formatCode>General</c:formatCode>
                <c:ptCount val="1"/>
                <c:pt idx="0">
                  <c:v>0</c:v>
                </c:pt>
              </c:numCache>
            </c:numRef>
          </c:val>
        </c:ser>
        <c:ser>
          <c:idx val="1"/>
          <c:order val="1"/>
          <c:tx>
            <c:strRef>
              <c:f>List1!$A$119</c:f>
              <c:strCache>
                <c:ptCount val="1"/>
                <c:pt idx="0">
                  <c:v>5%</c:v>
                </c:pt>
              </c:strCache>
            </c:strRef>
          </c:tx>
          <c:invertIfNegative val="0"/>
          <c:val>
            <c:numRef>
              <c:f>List1!$B$119</c:f>
              <c:numCache>
                <c:formatCode>General</c:formatCode>
                <c:ptCount val="1"/>
                <c:pt idx="0">
                  <c:v>0</c:v>
                </c:pt>
              </c:numCache>
            </c:numRef>
          </c:val>
        </c:ser>
        <c:ser>
          <c:idx val="2"/>
          <c:order val="2"/>
          <c:tx>
            <c:strRef>
              <c:f>List1!$A$120</c:f>
              <c:strCache>
                <c:ptCount val="1"/>
                <c:pt idx="0">
                  <c:v>10%</c:v>
                </c:pt>
              </c:strCache>
            </c:strRef>
          </c:tx>
          <c:invertIfNegative val="0"/>
          <c:val>
            <c:numRef>
              <c:f>List1!$B$120</c:f>
              <c:numCache>
                <c:formatCode>General</c:formatCode>
                <c:ptCount val="1"/>
                <c:pt idx="0">
                  <c:v>1</c:v>
                </c:pt>
              </c:numCache>
            </c:numRef>
          </c:val>
        </c:ser>
        <c:ser>
          <c:idx val="3"/>
          <c:order val="3"/>
          <c:tx>
            <c:strRef>
              <c:f>List1!$A$121</c:f>
              <c:strCache>
                <c:ptCount val="1"/>
                <c:pt idx="0">
                  <c:v>15%</c:v>
                </c:pt>
              </c:strCache>
            </c:strRef>
          </c:tx>
          <c:invertIfNegative val="0"/>
          <c:val>
            <c:numRef>
              <c:f>List1!$B$121</c:f>
              <c:numCache>
                <c:formatCode>General</c:formatCode>
                <c:ptCount val="1"/>
                <c:pt idx="0">
                  <c:v>0</c:v>
                </c:pt>
              </c:numCache>
            </c:numRef>
          </c:val>
        </c:ser>
        <c:ser>
          <c:idx val="4"/>
          <c:order val="4"/>
          <c:tx>
            <c:strRef>
              <c:f>List1!$A$122</c:f>
              <c:strCache>
                <c:ptCount val="1"/>
                <c:pt idx="0">
                  <c:v>20%</c:v>
                </c:pt>
              </c:strCache>
            </c:strRef>
          </c:tx>
          <c:invertIfNegative val="0"/>
          <c:val>
            <c:numRef>
              <c:f>List1!$B$122</c:f>
              <c:numCache>
                <c:formatCode>General</c:formatCode>
                <c:ptCount val="1"/>
                <c:pt idx="0">
                  <c:v>2</c:v>
                </c:pt>
              </c:numCache>
            </c:numRef>
          </c:val>
        </c:ser>
        <c:ser>
          <c:idx val="5"/>
          <c:order val="5"/>
          <c:tx>
            <c:strRef>
              <c:f>List1!$A$123</c:f>
              <c:strCache>
                <c:ptCount val="1"/>
                <c:pt idx="0">
                  <c:v>jiné</c:v>
                </c:pt>
              </c:strCache>
            </c:strRef>
          </c:tx>
          <c:invertIfNegative val="0"/>
          <c:val>
            <c:numRef>
              <c:f>List1!$B$123</c:f>
              <c:numCache>
                <c:formatCode>General</c:formatCode>
                <c:ptCount val="1"/>
                <c:pt idx="0">
                  <c:v>1</c:v>
                </c:pt>
              </c:numCache>
            </c:numRef>
          </c:val>
        </c:ser>
        <c:dLbls>
          <c:showLegendKey val="0"/>
          <c:showVal val="0"/>
          <c:showCatName val="0"/>
          <c:showSerName val="0"/>
          <c:showPercent val="0"/>
          <c:showBubbleSize val="0"/>
        </c:dLbls>
        <c:gapWidth val="150"/>
        <c:shape val="box"/>
        <c:axId val="33685888"/>
        <c:axId val="33687424"/>
        <c:axId val="0"/>
      </c:bar3DChart>
      <c:catAx>
        <c:axId val="33685888"/>
        <c:scaling>
          <c:orientation val="minMax"/>
        </c:scaling>
        <c:delete val="0"/>
        <c:axPos val="b"/>
        <c:majorTickMark val="none"/>
        <c:minorTickMark val="none"/>
        <c:tickLblPos val="nextTo"/>
        <c:crossAx val="33687424"/>
        <c:crosses val="autoZero"/>
        <c:auto val="1"/>
        <c:lblAlgn val="ctr"/>
        <c:lblOffset val="100"/>
        <c:noMultiLvlLbl val="0"/>
      </c:catAx>
      <c:valAx>
        <c:axId val="33687424"/>
        <c:scaling>
          <c:orientation val="minMax"/>
        </c:scaling>
        <c:delete val="0"/>
        <c:axPos val="l"/>
        <c:majorGridlines/>
        <c:numFmt formatCode="General" sourceLinked="1"/>
        <c:majorTickMark val="none"/>
        <c:minorTickMark val="none"/>
        <c:tickLblPos val="nextTo"/>
        <c:crossAx val="33685888"/>
        <c:crosses val="autoZero"/>
        <c:crossBetween val="between"/>
        <c:majorUnit val="1"/>
      </c:valAx>
    </c:plotArea>
    <c:legend>
      <c:legendPos val="r"/>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ČR rozlišovat vymezení významných transakcí podle velikosti společnosti?</a:t>
            </a:r>
            <a:endParaRPr lang="cs-CZ"/>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1"/>
              <c:tx>
                <c:rich>
                  <a:bodyPr/>
                  <a:lstStyle/>
                  <a:p>
                    <a:r>
                      <a:rPr lang="en-US"/>
                      <a:t>43%</a:t>
                    </a:r>
                  </a:p>
                </c:rich>
              </c:tx>
              <c:showLegendKey val="0"/>
              <c:showVal val="0"/>
              <c:showCatName val="0"/>
              <c:showSerName val="0"/>
              <c:showPercent val="1"/>
              <c:showBubbleSize val="0"/>
              <c:extLst>
                <c:ext xmlns:c15="http://schemas.microsoft.com/office/drawing/2012/chart" uri="{CE6537A1-D6FC-4f65-9D91-7224C49458BB}"/>
              </c:extLst>
            </c:dLbl>
            <c:dLbl>
              <c:idx val="2"/>
              <c:tx>
                <c:rich>
                  <a:bodyPr/>
                  <a:lstStyle/>
                  <a:p>
                    <a:r>
                      <a:rPr lang="en-US"/>
                      <a:t>43%</a:t>
                    </a:r>
                  </a:p>
                </c:rich>
              </c:tx>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List1!$A$125:$A$127</c:f>
              <c:strCache>
                <c:ptCount val="3"/>
                <c:pt idx="0">
                  <c:v>ano</c:v>
                </c:pt>
                <c:pt idx="1">
                  <c:v>ne</c:v>
                </c:pt>
                <c:pt idx="2">
                  <c:v>bez odpovědi</c:v>
                </c:pt>
              </c:strCache>
            </c:strRef>
          </c:cat>
          <c:val>
            <c:numRef>
              <c:f>List1!$B$125:$B$127</c:f>
              <c:numCache>
                <c:formatCode>General</c:formatCode>
                <c:ptCount val="3"/>
                <c:pt idx="0">
                  <c:v>1</c:v>
                </c:pt>
                <c:pt idx="1">
                  <c:v>3</c:v>
                </c:pt>
                <c:pt idx="2">
                  <c:v>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ČR rozlišovat vymezení významných transakcí pro účely uveřejnění a schvalování? </a:t>
            </a:r>
            <a:endParaRPr lang="cs-CZ" i="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List1!$A$65:$A$67</c:f>
              <c:strCache>
                <c:ptCount val="3"/>
                <c:pt idx="0">
                  <c:v>ano</c:v>
                </c:pt>
                <c:pt idx="1">
                  <c:v>ne</c:v>
                </c:pt>
                <c:pt idx="2">
                  <c:v>bez odpovědi</c:v>
                </c:pt>
              </c:strCache>
            </c:strRef>
          </c:cat>
          <c:val>
            <c:numRef>
              <c:f>List1!$B$65:$B$67</c:f>
              <c:numCache>
                <c:formatCode>0%</c:formatCode>
                <c:ptCount val="3"/>
                <c:pt idx="0">
                  <c:v>0</c:v>
                </c:pt>
                <c:pt idx="1">
                  <c:v>0.03</c:v>
                </c:pt>
                <c:pt idx="2">
                  <c:v>0.04</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Považujete uvedené vymezení významných transakcí za vhodné? </a:t>
            </a:r>
            <a:endParaRPr lang="cs-CZ"/>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tx>
                <c:rich>
                  <a:bodyPr/>
                  <a:lstStyle/>
                  <a:p>
                    <a:r>
                      <a:rPr lang="en-US"/>
                      <a:t>28,5 %</a:t>
                    </a:r>
                  </a:p>
                </c:rich>
              </c:tx>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28,5 %</a:t>
                    </a:r>
                  </a:p>
                </c:rich>
              </c:tx>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List1!$A$129:$A$131</c:f>
              <c:strCache>
                <c:ptCount val="3"/>
                <c:pt idx="0">
                  <c:v>ano</c:v>
                </c:pt>
                <c:pt idx="1">
                  <c:v>ne</c:v>
                </c:pt>
                <c:pt idx="2">
                  <c:v>bez odpovědi</c:v>
                </c:pt>
              </c:strCache>
            </c:strRef>
          </c:cat>
          <c:val>
            <c:numRef>
              <c:f>List1!$B$129:$B$131</c:f>
              <c:numCache>
                <c:formatCode>General</c:formatCode>
                <c:ptCount val="3"/>
                <c:pt idx="0">
                  <c:v>2</c:v>
                </c:pt>
                <c:pt idx="1">
                  <c:v>2</c:v>
                </c:pt>
                <c:pt idx="2">
                  <c:v>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ČR stanovit povinnost vyhotovení a uveřejnění zprávy posuzující, zda je transakce spravedlivá a přiměřená?</a:t>
            </a:r>
            <a:endParaRPr lang="cs-CZ"/>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List1!$A$125:$A$127</c:f>
              <c:strCache>
                <c:ptCount val="3"/>
                <c:pt idx="0">
                  <c:v>ano</c:v>
                </c:pt>
                <c:pt idx="1">
                  <c:v>ne</c:v>
                </c:pt>
                <c:pt idx="2">
                  <c:v>bez odpovědi</c:v>
                </c:pt>
              </c:strCache>
            </c:strRef>
          </c:cat>
          <c:val>
            <c:numRef>
              <c:f>List1!$B$125:$B$127</c:f>
              <c:numCache>
                <c:formatCode>General</c:formatCode>
                <c:ptCount val="3"/>
                <c:pt idx="0">
                  <c:v>1</c:v>
                </c:pt>
                <c:pt idx="1">
                  <c:v>3</c:v>
                </c:pt>
                <c:pt idx="2">
                  <c:v>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Kdo by měl vypracovat zprávu posuzující, zda je transakce spravedlivá a přiměřená? </a:t>
            </a:r>
            <a:endParaRPr lang="cs-CZ"/>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5.7905074365704287E-2"/>
          <c:y val="0.39827573636628755"/>
          <c:w val="0.34712204724409451"/>
          <c:h val="0.48574438611840187"/>
        </c:manualLayout>
      </c:layout>
      <c:bar3DChart>
        <c:barDir val="col"/>
        <c:grouping val="clustered"/>
        <c:varyColors val="0"/>
        <c:ser>
          <c:idx val="0"/>
          <c:order val="0"/>
          <c:tx>
            <c:strRef>
              <c:f>List1!$A$132</c:f>
              <c:strCache>
                <c:ptCount val="1"/>
                <c:pt idx="0">
                  <c:v>správní nebo dozorčí orgán společnosti</c:v>
                </c:pt>
              </c:strCache>
            </c:strRef>
          </c:tx>
          <c:invertIfNegative val="0"/>
          <c:val>
            <c:numRef>
              <c:f>List1!$B$132</c:f>
              <c:numCache>
                <c:formatCode>General</c:formatCode>
                <c:ptCount val="1"/>
                <c:pt idx="0">
                  <c:v>1</c:v>
                </c:pt>
              </c:numCache>
            </c:numRef>
          </c:val>
        </c:ser>
        <c:ser>
          <c:idx val="1"/>
          <c:order val="1"/>
          <c:tx>
            <c:strRef>
              <c:f>List1!$A$133</c:f>
              <c:strCache>
                <c:ptCount val="1"/>
                <c:pt idx="0">
                  <c:v>výbor pro audit</c:v>
                </c:pt>
              </c:strCache>
            </c:strRef>
          </c:tx>
          <c:invertIfNegative val="0"/>
          <c:val>
            <c:numRef>
              <c:f>List1!$B$133</c:f>
              <c:numCache>
                <c:formatCode>General</c:formatCode>
                <c:ptCount val="1"/>
                <c:pt idx="0">
                  <c:v>1</c:v>
                </c:pt>
              </c:numCache>
            </c:numRef>
          </c:val>
        </c:ser>
        <c:ser>
          <c:idx val="2"/>
          <c:order val="2"/>
          <c:tx>
            <c:strRef>
              <c:f>List1!$A$134</c:f>
              <c:strCache>
                <c:ptCount val="1"/>
                <c:pt idx="0">
                  <c:v>jiný výbor, jehož většinu tvoří nezávislí členové orgánu společnosti</c:v>
                </c:pt>
              </c:strCache>
            </c:strRef>
          </c:tx>
          <c:invertIfNegative val="0"/>
          <c:val>
            <c:numRef>
              <c:f>List1!$B$134</c:f>
              <c:numCache>
                <c:formatCode>General</c:formatCode>
                <c:ptCount val="1"/>
                <c:pt idx="0">
                  <c:v>0</c:v>
                </c:pt>
              </c:numCache>
            </c:numRef>
          </c:val>
        </c:ser>
        <c:ser>
          <c:idx val="3"/>
          <c:order val="3"/>
          <c:tx>
            <c:strRef>
              <c:f>List1!$A$135</c:f>
              <c:strCache>
                <c:ptCount val="1"/>
                <c:pt idx="0">
                  <c:v>auditor nebo auditorská společnost</c:v>
                </c:pt>
              </c:strCache>
            </c:strRef>
          </c:tx>
          <c:invertIfNegative val="0"/>
          <c:val>
            <c:numRef>
              <c:f>List1!$B$135</c:f>
              <c:numCache>
                <c:formatCode>General</c:formatCode>
                <c:ptCount val="1"/>
                <c:pt idx="0">
                  <c:v>0</c:v>
                </c:pt>
              </c:numCache>
            </c:numRef>
          </c:val>
        </c:ser>
        <c:ser>
          <c:idx val="4"/>
          <c:order val="4"/>
          <c:tx>
            <c:strRef>
              <c:f>List1!$A$136</c:f>
              <c:strCache>
                <c:ptCount val="1"/>
                <c:pt idx="0">
                  <c:v>znalec</c:v>
                </c:pt>
              </c:strCache>
            </c:strRef>
          </c:tx>
          <c:invertIfNegative val="0"/>
          <c:val>
            <c:numRef>
              <c:f>List1!$B$136</c:f>
              <c:numCache>
                <c:formatCode>General</c:formatCode>
                <c:ptCount val="1"/>
                <c:pt idx="0">
                  <c:v>0</c:v>
                </c:pt>
              </c:numCache>
            </c:numRef>
          </c:val>
        </c:ser>
        <c:ser>
          <c:idx val="5"/>
          <c:order val="5"/>
          <c:tx>
            <c:strRef>
              <c:f>List1!$A$137</c:f>
              <c:strCache>
                <c:ptCount val="1"/>
                <c:pt idx="0">
                  <c:v>jiná nezávislá osoba</c:v>
                </c:pt>
              </c:strCache>
            </c:strRef>
          </c:tx>
          <c:invertIfNegative val="0"/>
          <c:val>
            <c:numRef>
              <c:f>List1!$B$137</c:f>
              <c:numCache>
                <c:formatCode>General</c:formatCode>
                <c:ptCount val="1"/>
                <c:pt idx="0">
                  <c:v>0</c:v>
                </c:pt>
              </c:numCache>
            </c:numRef>
          </c:val>
        </c:ser>
        <c:dLbls>
          <c:showLegendKey val="0"/>
          <c:showVal val="0"/>
          <c:showCatName val="0"/>
          <c:showSerName val="0"/>
          <c:showPercent val="0"/>
          <c:showBubbleSize val="0"/>
        </c:dLbls>
        <c:gapWidth val="150"/>
        <c:shape val="box"/>
        <c:axId val="33850880"/>
        <c:axId val="33852416"/>
        <c:axId val="0"/>
      </c:bar3DChart>
      <c:catAx>
        <c:axId val="33850880"/>
        <c:scaling>
          <c:orientation val="minMax"/>
        </c:scaling>
        <c:delete val="1"/>
        <c:axPos val="b"/>
        <c:majorTickMark val="none"/>
        <c:minorTickMark val="none"/>
        <c:tickLblPos val="nextTo"/>
        <c:crossAx val="33852416"/>
        <c:crosses val="autoZero"/>
        <c:auto val="1"/>
        <c:lblAlgn val="ctr"/>
        <c:lblOffset val="100"/>
        <c:noMultiLvlLbl val="0"/>
      </c:catAx>
      <c:valAx>
        <c:axId val="33852416"/>
        <c:scaling>
          <c:orientation val="minMax"/>
        </c:scaling>
        <c:delete val="0"/>
        <c:axPos val="l"/>
        <c:majorGridlines/>
        <c:numFmt formatCode="General" sourceLinked="1"/>
        <c:majorTickMark val="none"/>
        <c:minorTickMark val="none"/>
        <c:tickLblPos val="nextTo"/>
        <c:crossAx val="33850880"/>
        <c:crosses val="autoZero"/>
        <c:crossBetween val="between"/>
        <c:majorUnit val="1"/>
      </c:valAx>
    </c:plotArea>
    <c:legend>
      <c:legendPos val="r"/>
      <c:layout>
        <c:manualLayout>
          <c:xMode val="edge"/>
          <c:yMode val="edge"/>
          <c:x val="0.42169378827646548"/>
          <c:y val="0.37078412073490813"/>
          <c:w val="0.56163954505686786"/>
          <c:h val="0.62845472440944883"/>
        </c:manualLayout>
      </c:layout>
      <c:overlay val="0"/>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Který orgán by měl v ČR schvalovat významné transakce se spřízněnými stranami?</a:t>
            </a:r>
            <a:endParaRPr lang="cs-CZ"/>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List1!$A$139:$A$141</c:f>
              <c:strCache>
                <c:ptCount val="3"/>
                <c:pt idx="0">
                  <c:v>správní nebo dozorčí orgán</c:v>
                </c:pt>
                <c:pt idx="1">
                  <c:v>valná hromada</c:v>
                </c:pt>
                <c:pt idx="2">
                  <c:v>bez odpovědi</c:v>
                </c:pt>
              </c:strCache>
            </c:strRef>
          </c:cat>
          <c:val>
            <c:numRef>
              <c:f>List1!$B$139:$B$141</c:f>
              <c:numCache>
                <c:formatCode>General</c:formatCode>
                <c:ptCount val="3"/>
                <c:pt idx="0">
                  <c:v>3</c:v>
                </c:pt>
                <c:pt idx="1">
                  <c:v>1</c:v>
                </c:pt>
                <c:pt idx="2">
                  <c:v>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Měly by být transakce schválené správním nebo dozorčím orgánem dále předmětem hlasování na valné hromadě?</a:t>
            </a:r>
            <a:endParaRPr lang="cs-CZ" i="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List1!$A$65:$A$67</c:f>
              <c:strCache>
                <c:ptCount val="3"/>
                <c:pt idx="0">
                  <c:v>ano</c:v>
                </c:pt>
                <c:pt idx="1">
                  <c:v>ne</c:v>
                </c:pt>
                <c:pt idx="2">
                  <c:v>bez odpovědi</c:v>
                </c:pt>
              </c:strCache>
            </c:strRef>
          </c:cat>
          <c:val>
            <c:numRef>
              <c:f>List1!$B$65:$B$67</c:f>
              <c:numCache>
                <c:formatCode>0%</c:formatCode>
                <c:ptCount val="3"/>
                <c:pt idx="0">
                  <c:v>0</c:v>
                </c:pt>
                <c:pt idx="1">
                  <c:v>0.03</c:v>
                </c:pt>
                <c:pt idx="2">
                  <c:v>0.04</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ČR umožnit akcionáři, který je spřízněnou stranou, hlasovat na valné hromadě o významné transakci?</a:t>
            </a:r>
            <a:endParaRPr lang="cs-CZ"/>
          </a:p>
        </c:rich>
      </c:tx>
      <c:layout>
        <c:manualLayout>
          <c:xMode val="edge"/>
          <c:yMode val="edge"/>
          <c:x val="0.11296522309711286"/>
          <c:y val="2.7777777777777776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tx>
                <c:rich>
                  <a:bodyPr/>
                  <a:lstStyle/>
                  <a:p>
                    <a:r>
                      <a:rPr lang="en-US"/>
                      <a:t>28,5 %</a:t>
                    </a:r>
                  </a:p>
                </c:rich>
              </c:tx>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28,5</a:t>
                    </a:r>
                    <a:r>
                      <a:rPr lang="en-US" baseline="0"/>
                      <a:t> </a:t>
                    </a:r>
                    <a:r>
                      <a:rPr lang="en-US"/>
                      <a:t>%</a:t>
                    </a:r>
                  </a:p>
                </c:rich>
              </c:tx>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List1!$A$129:$A$131</c:f>
              <c:strCache>
                <c:ptCount val="3"/>
                <c:pt idx="0">
                  <c:v>ano</c:v>
                </c:pt>
                <c:pt idx="1">
                  <c:v>ne</c:v>
                </c:pt>
                <c:pt idx="2">
                  <c:v>bez odpovědi</c:v>
                </c:pt>
              </c:strCache>
            </c:strRef>
          </c:cat>
          <c:val>
            <c:numRef>
              <c:f>List1!$B$129:$B$131</c:f>
              <c:numCache>
                <c:formatCode>General</c:formatCode>
                <c:ptCount val="3"/>
                <c:pt idx="0">
                  <c:v>2</c:v>
                </c:pt>
                <c:pt idx="1">
                  <c:v>2</c:v>
                </c:pt>
                <c:pt idx="2">
                  <c:v>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Jaké nástroje ochrany by se měly uplatnit?</a:t>
            </a:r>
            <a:endParaRPr lang="cs-CZ"/>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5.7905074365704287E-2"/>
          <c:y val="0.29653944298629337"/>
          <c:w val="0.36455293088363955"/>
          <c:h val="0.65206000291630217"/>
        </c:manualLayout>
      </c:layout>
      <c:bar3DChart>
        <c:barDir val="col"/>
        <c:grouping val="clustered"/>
        <c:varyColors val="0"/>
        <c:ser>
          <c:idx val="0"/>
          <c:order val="0"/>
          <c:tx>
            <c:strRef>
              <c:f>List1!$A$143</c:f>
              <c:strCache>
                <c:ptCount val="1"/>
                <c:pt idx="0">
                  <c:v>stanovení vyšší většiny hlasů potřebné pro schválení</c:v>
                </c:pt>
              </c:strCache>
            </c:strRef>
          </c:tx>
          <c:invertIfNegative val="0"/>
          <c:val>
            <c:numRef>
              <c:f>List1!$B$143</c:f>
              <c:numCache>
                <c:formatCode>General</c:formatCode>
                <c:ptCount val="1"/>
                <c:pt idx="0">
                  <c:v>3</c:v>
                </c:pt>
              </c:numCache>
            </c:numRef>
          </c:val>
        </c:ser>
        <c:ser>
          <c:idx val="1"/>
          <c:order val="1"/>
          <c:tx>
            <c:strRef>
              <c:f>List1!$A$144</c:f>
              <c:strCache>
                <c:ptCount val="1"/>
                <c:pt idx="0">
                  <c:v>stanovení stropu počtu hlasů akcionáře, který je spřízněnou stranou </c:v>
                </c:pt>
              </c:strCache>
            </c:strRef>
          </c:tx>
          <c:invertIfNegative val="0"/>
          <c:val>
            <c:numRef>
              <c:f>List1!$B$144</c:f>
              <c:numCache>
                <c:formatCode>General</c:formatCode>
                <c:ptCount val="1"/>
                <c:pt idx="0">
                  <c:v>1</c:v>
                </c:pt>
              </c:numCache>
            </c:numRef>
          </c:val>
        </c:ser>
        <c:ser>
          <c:idx val="2"/>
          <c:order val="2"/>
          <c:tx>
            <c:strRef>
              <c:f>List1!$A$145</c:f>
              <c:strCache>
                <c:ptCount val="1"/>
                <c:pt idx="0">
                  <c:v>Jiné</c:v>
                </c:pt>
              </c:strCache>
            </c:strRef>
          </c:tx>
          <c:invertIfNegative val="0"/>
          <c:val>
            <c:numRef>
              <c:f>List1!$B$145</c:f>
              <c:numCache>
                <c:formatCode>General</c:formatCode>
                <c:ptCount val="1"/>
                <c:pt idx="0">
                  <c:v>0</c:v>
                </c:pt>
              </c:numCache>
            </c:numRef>
          </c:val>
        </c:ser>
        <c:dLbls>
          <c:showLegendKey val="0"/>
          <c:showVal val="0"/>
          <c:showCatName val="0"/>
          <c:showSerName val="0"/>
          <c:showPercent val="0"/>
          <c:showBubbleSize val="0"/>
        </c:dLbls>
        <c:gapWidth val="150"/>
        <c:shape val="box"/>
        <c:axId val="33961472"/>
        <c:axId val="33963008"/>
        <c:axId val="0"/>
      </c:bar3DChart>
      <c:catAx>
        <c:axId val="33961472"/>
        <c:scaling>
          <c:orientation val="minMax"/>
        </c:scaling>
        <c:delete val="1"/>
        <c:axPos val="b"/>
        <c:majorTickMark val="none"/>
        <c:minorTickMark val="none"/>
        <c:tickLblPos val="nextTo"/>
        <c:crossAx val="33963008"/>
        <c:crosses val="autoZero"/>
        <c:auto val="1"/>
        <c:lblAlgn val="ctr"/>
        <c:lblOffset val="100"/>
        <c:noMultiLvlLbl val="0"/>
      </c:catAx>
      <c:valAx>
        <c:axId val="33963008"/>
        <c:scaling>
          <c:orientation val="minMax"/>
        </c:scaling>
        <c:delete val="0"/>
        <c:axPos val="l"/>
        <c:majorGridlines/>
        <c:numFmt formatCode="General" sourceLinked="1"/>
        <c:majorTickMark val="none"/>
        <c:minorTickMark val="none"/>
        <c:tickLblPos val="nextTo"/>
        <c:crossAx val="33961472"/>
        <c:crosses val="autoZero"/>
        <c:crossBetween val="between"/>
        <c:majorUnit val="1"/>
      </c:valAx>
    </c:plotArea>
    <c:legend>
      <c:legendPos val="r"/>
      <c:layout>
        <c:manualLayout>
          <c:xMode val="edge"/>
          <c:yMode val="edge"/>
          <c:x val="0.50579133858267722"/>
          <c:y val="0.31065689705453486"/>
          <c:w val="0.47754199475065617"/>
          <c:h val="0.60530657626130069"/>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Měly by být přidány další osoby do definice členů orgánu společnosti?</a:t>
            </a:r>
            <a:endParaRPr lang="cs-CZ"/>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6637251692461286E-2"/>
          <c:y val="0.30157662583843692"/>
          <c:w val="0.7192650195086745"/>
          <c:h val="0.60031897054534855"/>
        </c:manualLayout>
      </c:layout>
      <c:pie3DChart>
        <c:varyColors val="1"/>
        <c:ser>
          <c:idx val="0"/>
          <c:order val="0"/>
          <c:explosion val="25"/>
          <c:dPt>
            <c:idx val="1"/>
            <c:bubble3D val="0"/>
            <c:explosion val="12"/>
          </c:dPt>
          <c:dPt>
            <c:idx val="2"/>
            <c:bubble3D val="0"/>
            <c:explosion val="11"/>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List1!$A$23:$A$25</c:f>
              <c:strCache>
                <c:ptCount val="3"/>
                <c:pt idx="0">
                  <c:v>ano</c:v>
                </c:pt>
                <c:pt idx="1">
                  <c:v>ne</c:v>
                </c:pt>
                <c:pt idx="2">
                  <c:v>bez odpovědi</c:v>
                </c:pt>
              </c:strCache>
            </c:strRef>
          </c:cat>
          <c:val>
            <c:numRef>
              <c:f>List1!$B$23:$B$25</c:f>
              <c:numCache>
                <c:formatCode>0%</c:formatCode>
                <c:ptCount val="3"/>
                <c:pt idx="1">
                  <c:v>0.56999999999999995</c:v>
                </c:pt>
                <c:pt idx="2">
                  <c:v>0.43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Měly by podléhat schválení a uveřejnění i transakce uzavřené v rámci běžného obchodního styku a za běžných tržních podmínek?</a:t>
            </a:r>
            <a:endParaRPr lang="cs-CZ" i="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List1!$A$23:$A$25</c:f>
              <c:strCache>
                <c:ptCount val="3"/>
                <c:pt idx="0">
                  <c:v>ano</c:v>
                </c:pt>
                <c:pt idx="1">
                  <c:v>ne</c:v>
                </c:pt>
                <c:pt idx="2">
                  <c:v>bez odpovědi</c:v>
                </c:pt>
              </c:strCache>
            </c:strRef>
          </c:cat>
          <c:val>
            <c:numRef>
              <c:f>List1!$B$23:$B$25</c:f>
              <c:numCache>
                <c:formatCode>0%</c:formatCode>
                <c:ptCount val="3"/>
                <c:pt idx="0">
                  <c:v>0</c:v>
                </c:pt>
                <c:pt idx="1">
                  <c:v>0.04</c:v>
                </c:pt>
                <c:pt idx="2">
                  <c:v>0.03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baseline="0">
                <a:effectLst/>
              </a:rPr>
              <a:t>Měla by ČR vyjmout některé transakce z povinností podle čl. 9c odst. 2 a 4? </a:t>
            </a:r>
            <a:endParaRPr lang="cs-CZ">
              <a:effectLs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List1!$A$147:$A$149</c:f>
              <c:strCache>
                <c:ptCount val="3"/>
                <c:pt idx="0">
                  <c:v>ano</c:v>
                </c:pt>
                <c:pt idx="1">
                  <c:v>ne</c:v>
                </c:pt>
                <c:pt idx="2">
                  <c:v>bez odpovědi</c:v>
                </c:pt>
              </c:strCache>
            </c:strRef>
          </c:cat>
          <c:val>
            <c:numRef>
              <c:f>List1!$B$147:$B$149</c:f>
              <c:numCache>
                <c:formatCode>General</c:formatCode>
                <c:ptCount val="3"/>
                <c:pt idx="0">
                  <c:v>4</c:v>
                </c:pt>
                <c:pt idx="1">
                  <c:v>0</c:v>
                </c:pt>
                <c:pt idx="2">
                  <c:v>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Které transakce by měly být vyjmuty z povinností podle čl. 9c odst. 2 a 4?</a:t>
            </a:r>
            <a:endParaRPr lang="cs-CZ"/>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8919072615923014E-2"/>
          <c:y val="0.29653944298629337"/>
          <c:w val="0.19052537182852144"/>
          <c:h val="0.587480679498396"/>
        </c:manualLayout>
      </c:layout>
      <c:bar3DChart>
        <c:barDir val="col"/>
        <c:grouping val="clustered"/>
        <c:varyColors val="0"/>
        <c:ser>
          <c:idx val="0"/>
          <c:order val="0"/>
          <c:tx>
            <c:strRef>
              <c:f>List1!$A$151</c:f>
              <c:strCache>
                <c:ptCount val="1"/>
                <c:pt idx="0">
                  <c:v>transakce mezi mateřskou a dceřinou společností za předpokladu, že mateřská společnost je jediným společníkem dceřiné společnosti</c:v>
                </c:pt>
              </c:strCache>
            </c:strRef>
          </c:tx>
          <c:invertIfNegative val="0"/>
          <c:val>
            <c:numRef>
              <c:f>List1!$B$151</c:f>
              <c:numCache>
                <c:formatCode>General</c:formatCode>
                <c:ptCount val="1"/>
                <c:pt idx="0">
                  <c:v>2</c:v>
                </c:pt>
              </c:numCache>
            </c:numRef>
          </c:val>
        </c:ser>
        <c:ser>
          <c:idx val="1"/>
          <c:order val="1"/>
          <c:tx>
            <c:strRef>
              <c:f>List1!$A$152</c:f>
              <c:strCache>
                <c:ptCount val="1"/>
                <c:pt idx="0">
                  <c:v>transakce mezi mateřskou a dceřinou společností za předpokladu, že žádná další spřízněná strana nemá v dceřiné společnosti žádný podíl</c:v>
                </c:pt>
              </c:strCache>
            </c:strRef>
          </c:tx>
          <c:invertIfNegative val="0"/>
          <c:val>
            <c:numRef>
              <c:f>List1!$B$152</c:f>
              <c:numCache>
                <c:formatCode>General</c:formatCode>
                <c:ptCount val="1"/>
                <c:pt idx="0">
                  <c:v>2</c:v>
                </c:pt>
              </c:numCache>
            </c:numRef>
          </c:val>
        </c:ser>
        <c:ser>
          <c:idx val="2"/>
          <c:order val="2"/>
          <c:tx>
            <c:strRef>
              <c:f>List1!$A$153</c:f>
              <c:strCache>
                <c:ptCount val="1"/>
                <c:pt idx="0">
                  <c:v>transakce mezi mateřskou společností a jí řízenou dceřinou společností</c:v>
                </c:pt>
              </c:strCache>
            </c:strRef>
          </c:tx>
          <c:invertIfNegative val="0"/>
          <c:val>
            <c:numRef>
              <c:f>List1!$B$153</c:f>
              <c:numCache>
                <c:formatCode>General</c:formatCode>
                <c:ptCount val="1"/>
                <c:pt idx="0">
                  <c:v>2</c:v>
                </c:pt>
              </c:numCache>
            </c:numRef>
          </c:val>
        </c:ser>
        <c:ser>
          <c:idx val="3"/>
          <c:order val="3"/>
          <c:tx>
            <c:strRef>
              <c:f>List1!$A$154</c:f>
              <c:strCache>
                <c:ptCount val="1"/>
                <c:pt idx="0">
                  <c:v>transakce uzavřené úvěrovými institucemi na základě opatření zaměřených na ochranu jejich stability a přijatých příslušným orgánem odpovědným za obezřetnostní dohled ve smyslu práva Unie</c:v>
                </c:pt>
              </c:strCache>
            </c:strRef>
          </c:tx>
          <c:invertIfNegative val="0"/>
          <c:val>
            <c:numRef>
              <c:f>List1!$B$154</c:f>
              <c:numCache>
                <c:formatCode>General</c:formatCode>
                <c:ptCount val="1"/>
                <c:pt idx="0">
                  <c:v>3</c:v>
                </c:pt>
              </c:numCache>
            </c:numRef>
          </c:val>
        </c:ser>
        <c:ser>
          <c:idx val="4"/>
          <c:order val="4"/>
          <c:tx>
            <c:strRef>
              <c:f>List1!$A$155</c:f>
              <c:strCache>
                <c:ptCount val="1"/>
                <c:pt idx="0">
                  <c:v>jiné </c:v>
                </c:pt>
              </c:strCache>
            </c:strRef>
          </c:tx>
          <c:invertIfNegative val="0"/>
          <c:val>
            <c:numRef>
              <c:f>List1!$B$155</c:f>
              <c:numCache>
                <c:formatCode>General</c:formatCode>
                <c:ptCount val="1"/>
                <c:pt idx="0">
                  <c:v>1</c:v>
                </c:pt>
              </c:numCache>
            </c:numRef>
          </c:val>
        </c:ser>
        <c:dLbls>
          <c:showLegendKey val="0"/>
          <c:showVal val="0"/>
          <c:showCatName val="0"/>
          <c:showSerName val="0"/>
          <c:showPercent val="0"/>
          <c:showBubbleSize val="0"/>
        </c:dLbls>
        <c:gapWidth val="150"/>
        <c:shape val="box"/>
        <c:axId val="34071296"/>
        <c:axId val="34072832"/>
        <c:axId val="0"/>
      </c:bar3DChart>
      <c:catAx>
        <c:axId val="34071296"/>
        <c:scaling>
          <c:orientation val="minMax"/>
        </c:scaling>
        <c:delete val="1"/>
        <c:axPos val="b"/>
        <c:majorTickMark val="none"/>
        <c:minorTickMark val="none"/>
        <c:tickLblPos val="nextTo"/>
        <c:crossAx val="34072832"/>
        <c:crosses val="autoZero"/>
        <c:auto val="1"/>
        <c:lblAlgn val="ctr"/>
        <c:lblOffset val="100"/>
        <c:noMultiLvlLbl val="0"/>
      </c:catAx>
      <c:valAx>
        <c:axId val="34072832"/>
        <c:scaling>
          <c:orientation val="minMax"/>
        </c:scaling>
        <c:delete val="0"/>
        <c:axPos val="l"/>
        <c:majorGridlines/>
        <c:numFmt formatCode="General" sourceLinked="1"/>
        <c:majorTickMark val="none"/>
        <c:minorTickMark val="none"/>
        <c:tickLblPos val="nextTo"/>
        <c:crossAx val="34071296"/>
        <c:crosses val="autoZero"/>
        <c:crossBetween val="between"/>
        <c:majorUnit val="1"/>
      </c:valAx>
    </c:plotArea>
    <c:legend>
      <c:legendPos val="r"/>
      <c:layout>
        <c:manualLayout>
          <c:xMode val="edge"/>
          <c:yMode val="edge"/>
          <c:x val="0.28888888888888886"/>
          <c:y val="0.25500709656884757"/>
          <c:w val="0.69444444444444442"/>
          <c:h val="0.7398520379355209"/>
        </c:manualLayout>
      </c:layout>
      <c:overlay val="0"/>
      <c:txPr>
        <a:bodyPr/>
        <a:lstStyle/>
        <a:p>
          <a:pPr>
            <a:defRPr kern="0" baseline="0"/>
          </a:pPr>
          <a:endParaRPr lang="cs-CZ"/>
        </a:p>
      </c:txPr>
    </c:legend>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ČR stanovit povinnost vyhotovení a uveřejnění zprávy posuzující, zda je transakce spravedlivá a přiměřená?</a:t>
            </a:r>
            <a:endParaRPr lang="cs-CZ"/>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List1!$A$125:$A$127</c:f>
              <c:strCache>
                <c:ptCount val="3"/>
                <c:pt idx="0">
                  <c:v>ano</c:v>
                </c:pt>
                <c:pt idx="1">
                  <c:v>ne</c:v>
                </c:pt>
                <c:pt idx="2">
                  <c:v>bez odpovědi</c:v>
                </c:pt>
              </c:strCache>
            </c:strRef>
          </c:cat>
          <c:val>
            <c:numRef>
              <c:f>List1!$B$125:$B$127</c:f>
              <c:numCache>
                <c:formatCode>General</c:formatCode>
                <c:ptCount val="3"/>
                <c:pt idx="0">
                  <c:v>1</c:v>
                </c:pt>
                <c:pt idx="1">
                  <c:v>3</c:v>
                </c:pt>
                <c:pt idx="2">
                  <c:v>3</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Kdo by měl vypracovat zprávu posuzující, zda je transakce spravedlivá a přiměřená?</a:t>
            </a:r>
            <a:endParaRPr lang="cs-CZ"/>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5.7905074365704287E-2"/>
          <c:y val="0.39827573636628755"/>
          <c:w val="0.38878871391076114"/>
          <c:h val="0.48574438611840187"/>
        </c:manualLayout>
      </c:layout>
      <c:bar3DChart>
        <c:barDir val="col"/>
        <c:grouping val="clustered"/>
        <c:varyColors val="0"/>
        <c:ser>
          <c:idx val="0"/>
          <c:order val="0"/>
          <c:tx>
            <c:strRef>
              <c:f>List1!$A$157</c:f>
              <c:strCache>
                <c:ptCount val="1"/>
                <c:pt idx="0">
                  <c:v>správní nebo dozorčí orgán společnosti</c:v>
                </c:pt>
              </c:strCache>
            </c:strRef>
          </c:tx>
          <c:invertIfNegative val="0"/>
          <c:val>
            <c:numRef>
              <c:f>List1!$B$157</c:f>
              <c:numCache>
                <c:formatCode>General</c:formatCode>
                <c:ptCount val="1"/>
                <c:pt idx="0">
                  <c:v>1</c:v>
                </c:pt>
              </c:numCache>
            </c:numRef>
          </c:val>
        </c:ser>
        <c:ser>
          <c:idx val="1"/>
          <c:order val="1"/>
          <c:tx>
            <c:strRef>
              <c:f>List1!$A$158</c:f>
              <c:strCache>
                <c:ptCount val="1"/>
                <c:pt idx="0">
                  <c:v>výbor pro audit</c:v>
                </c:pt>
              </c:strCache>
            </c:strRef>
          </c:tx>
          <c:invertIfNegative val="0"/>
          <c:val>
            <c:numRef>
              <c:f>List1!$B$158</c:f>
              <c:numCache>
                <c:formatCode>General</c:formatCode>
                <c:ptCount val="1"/>
                <c:pt idx="0">
                  <c:v>1</c:v>
                </c:pt>
              </c:numCache>
            </c:numRef>
          </c:val>
        </c:ser>
        <c:ser>
          <c:idx val="2"/>
          <c:order val="2"/>
          <c:tx>
            <c:strRef>
              <c:f>List1!$A$159</c:f>
              <c:strCache>
                <c:ptCount val="1"/>
                <c:pt idx="0">
                  <c:v>jiný výbor, jehož většinu tvoří nezávislí členové orgánu společnosti</c:v>
                </c:pt>
              </c:strCache>
            </c:strRef>
          </c:tx>
          <c:invertIfNegative val="0"/>
          <c:val>
            <c:numRef>
              <c:f>List1!$B$159</c:f>
              <c:numCache>
                <c:formatCode>General</c:formatCode>
                <c:ptCount val="1"/>
                <c:pt idx="0">
                  <c:v>0</c:v>
                </c:pt>
              </c:numCache>
            </c:numRef>
          </c:val>
        </c:ser>
        <c:ser>
          <c:idx val="3"/>
          <c:order val="3"/>
          <c:tx>
            <c:strRef>
              <c:f>List1!$A$160</c:f>
              <c:strCache>
                <c:ptCount val="1"/>
                <c:pt idx="0">
                  <c:v>auditor nebo auditorská společnost</c:v>
                </c:pt>
              </c:strCache>
            </c:strRef>
          </c:tx>
          <c:invertIfNegative val="0"/>
          <c:val>
            <c:numRef>
              <c:f>List1!$B$160</c:f>
              <c:numCache>
                <c:formatCode>General</c:formatCode>
                <c:ptCount val="1"/>
                <c:pt idx="0">
                  <c:v>0</c:v>
                </c:pt>
              </c:numCache>
            </c:numRef>
          </c:val>
        </c:ser>
        <c:ser>
          <c:idx val="4"/>
          <c:order val="4"/>
          <c:tx>
            <c:strRef>
              <c:f>List1!$A$161</c:f>
              <c:strCache>
                <c:ptCount val="1"/>
                <c:pt idx="0">
                  <c:v>znalec</c:v>
                </c:pt>
              </c:strCache>
            </c:strRef>
          </c:tx>
          <c:invertIfNegative val="0"/>
          <c:val>
            <c:numRef>
              <c:f>List1!$B$161</c:f>
              <c:numCache>
                <c:formatCode>General</c:formatCode>
                <c:ptCount val="1"/>
                <c:pt idx="0">
                  <c:v>0</c:v>
                </c:pt>
              </c:numCache>
            </c:numRef>
          </c:val>
        </c:ser>
        <c:ser>
          <c:idx val="5"/>
          <c:order val="5"/>
          <c:tx>
            <c:strRef>
              <c:f>List1!$A$162</c:f>
              <c:strCache>
                <c:ptCount val="1"/>
                <c:pt idx="0">
                  <c:v>jiná nezávislá osoba </c:v>
                </c:pt>
              </c:strCache>
            </c:strRef>
          </c:tx>
          <c:invertIfNegative val="0"/>
          <c:val>
            <c:numRef>
              <c:f>List1!$B$162</c:f>
              <c:numCache>
                <c:formatCode>General</c:formatCode>
                <c:ptCount val="1"/>
                <c:pt idx="0">
                  <c:v>0</c:v>
                </c:pt>
              </c:numCache>
            </c:numRef>
          </c:val>
        </c:ser>
        <c:dLbls>
          <c:showLegendKey val="0"/>
          <c:showVal val="0"/>
          <c:showCatName val="0"/>
          <c:showSerName val="0"/>
          <c:showPercent val="0"/>
          <c:showBubbleSize val="0"/>
        </c:dLbls>
        <c:gapWidth val="150"/>
        <c:shape val="box"/>
        <c:axId val="34211328"/>
        <c:axId val="34212864"/>
        <c:axId val="0"/>
      </c:bar3DChart>
      <c:catAx>
        <c:axId val="34211328"/>
        <c:scaling>
          <c:orientation val="minMax"/>
        </c:scaling>
        <c:delete val="0"/>
        <c:axPos val="b"/>
        <c:majorTickMark val="none"/>
        <c:minorTickMark val="none"/>
        <c:tickLblPos val="nextTo"/>
        <c:crossAx val="34212864"/>
        <c:crosses val="autoZero"/>
        <c:auto val="1"/>
        <c:lblAlgn val="ctr"/>
        <c:lblOffset val="100"/>
        <c:noMultiLvlLbl val="0"/>
      </c:catAx>
      <c:valAx>
        <c:axId val="34212864"/>
        <c:scaling>
          <c:orientation val="minMax"/>
        </c:scaling>
        <c:delete val="0"/>
        <c:axPos val="l"/>
        <c:majorGridlines/>
        <c:numFmt formatCode="General" sourceLinked="1"/>
        <c:majorTickMark val="none"/>
        <c:minorTickMark val="none"/>
        <c:tickLblPos val="nextTo"/>
        <c:crossAx val="34211328"/>
        <c:crosses val="autoZero"/>
        <c:crossBetween val="between"/>
        <c:majorUnit val="1"/>
      </c:valAx>
    </c:plotArea>
    <c:legend>
      <c:legendPos val="r"/>
      <c:layout>
        <c:manualLayout>
          <c:xMode val="edge"/>
          <c:yMode val="edge"/>
          <c:x val="0.4550271216097988"/>
          <c:y val="0.38004337999416737"/>
          <c:w val="0.52830621172353454"/>
          <c:h val="0.61456583552055988"/>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se v českém právním řádu zavést vícestupňová evidence cenných papírů?</a:t>
            </a:r>
            <a:endParaRPr lang="cs-CZ"/>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6720530659175917E-2"/>
          <c:y val="0.30620625546806651"/>
          <c:w val="0.71133508958330305"/>
          <c:h val="0.5956893409157189"/>
        </c:manualLayout>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List1!$A$28:$A$30</c:f>
              <c:strCache>
                <c:ptCount val="3"/>
                <c:pt idx="0">
                  <c:v>ano</c:v>
                </c:pt>
                <c:pt idx="1">
                  <c:v>ne</c:v>
                </c:pt>
                <c:pt idx="2">
                  <c:v>bez odpovědi</c:v>
                </c:pt>
              </c:strCache>
            </c:strRef>
          </c:cat>
          <c:val>
            <c:numRef>
              <c:f>List1!$B$28:$B$30</c:f>
              <c:numCache>
                <c:formatCode>0%</c:formatCode>
                <c:ptCount val="3"/>
                <c:pt idx="0">
                  <c:v>0.06</c:v>
                </c:pt>
                <c:pt idx="1">
                  <c:v>0.01</c:v>
                </c:pt>
                <c:pt idx="2">
                  <c:v>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baseline="0">
                <a:effectLst/>
              </a:rPr>
              <a:t>Je vhodné v návaznosti na úpravu stupňů evidence zavést koncept tzv. intermediated securities známý např. ve švýcarském právu?</a:t>
            </a:r>
            <a:endParaRPr lang="cs-CZ">
              <a:effectLst/>
            </a:endParaRPr>
          </a:p>
        </c:rich>
      </c:tx>
      <c:layout>
        <c:manualLayout>
          <c:xMode val="edge"/>
          <c:yMode val="edge"/>
          <c:x val="0.10971998351974557"/>
          <c:y val="3.2880963408985643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List1!$A$164:$A$166</c:f>
              <c:strCache>
                <c:ptCount val="3"/>
                <c:pt idx="0">
                  <c:v>ano</c:v>
                </c:pt>
                <c:pt idx="1">
                  <c:v>ne</c:v>
                </c:pt>
                <c:pt idx="2">
                  <c:v>bez odpovědi</c:v>
                </c:pt>
              </c:strCache>
            </c:strRef>
          </c:cat>
          <c:val>
            <c:numRef>
              <c:f>List1!$B$164:$B$166</c:f>
              <c:numCache>
                <c:formatCode>General</c:formatCode>
                <c:ptCount val="3"/>
                <c:pt idx="0">
                  <c:v>0</c:v>
                </c:pt>
                <c:pt idx="1">
                  <c:v>7</c:v>
                </c:pt>
                <c:pt idx="2">
                  <c:v>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Bude při zachování dvoustupňové evidence naplněn smysl směrnice ohledně požadavku identifikovat akcionáře?</a:t>
            </a:r>
            <a:endParaRPr lang="cs-CZ"/>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6831471860638448E-2"/>
          <c:y val="0.40621391076115487"/>
          <c:w val="0.71005836984313386"/>
          <c:h val="0.50203995333916596"/>
        </c:manualLayout>
      </c:layout>
      <c:pie3DChart>
        <c:varyColors val="1"/>
        <c:ser>
          <c:idx val="0"/>
          <c:order val="0"/>
          <c:explosion val="18"/>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List1!$A$32:$A$34</c:f>
              <c:strCache>
                <c:ptCount val="3"/>
                <c:pt idx="0">
                  <c:v>ano</c:v>
                </c:pt>
                <c:pt idx="1">
                  <c:v>ne</c:v>
                </c:pt>
                <c:pt idx="2">
                  <c:v>bez odpovědi</c:v>
                </c:pt>
              </c:strCache>
            </c:strRef>
          </c:cat>
          <c:val>
            <c:numRef>
              <c:f>List1!$B$32:$B$34</c:f>
              <c:numCache>
                <c:formatCode>0%</c:formatCode>
                <c:ptCount val="3"/>
                <c:pt idx="0">
                  <c:v>0.05</c:v>
                </c:pt>
                <c:pt idx="1">
                  <c:v>0.01</c:v>
                </c:pt>
                <c:pt idx="2">
                  <c:v>0.01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ČR využít diskreci a zavést limit pro zjišťování akcionářů?</a:t>
            </a:r>
            <a:endParaRPr lang="cs-CZ"/>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List1!$A$36:$A$38</c:f>
              <c:strCache>
                <c:ptCount val="3"/>
                <c:pt idx="0">
                  <c:v>ano</c:v>
                </c:pt>
                <c:pt idx="1">
                  <c:v>ne</c:v>
                </c:pt>
                <c:pt idx="2">
                  <c:v>bez odpovědi</c:v>
                </c:pt>
              </c:strCache>
            </c:strRef>
          </c:cat>
          <c:val>
            <c:numRef>
              <c:f>List1!$B$36:$B$38</c:f>
              <c:numCache>
                <c:formatCode>0%</c:formatCode>
                <c:ptCount val="3"/>
                <c:pt idx="0">
                  <c:v>0.04</c:v>
                </c:pt>
                <c:pt idx="1">
                  <c:v>0.03</c:v>
                </c:pt>
                <c:pt idx="2">
                  <c:v>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800" b="1" i="0" u="none" strike="noStrike" baseline="0">
                <a:effectLst/>
              </a:rPr>
              <a:t>Měla by ČR umožnit agregaci dat u centrálního depozitáře nebo u jiného zprostředkovatele?</a:t>
            </a:r>
            <a:endParaRPr lang="cs-CZ"/>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List1!$A$40:$A$42</c:f>
              <c:strCache>
                <c:ptCount val="3"/>
                <c:pt idx="0">
                  <c:v>ano</c:v>
                </c:pt>
                <c:pt idx="1">
                  <c:v>ne</c:v>
                </c:pt>
                <c:pt idx="2">
                  <c:v>bez odpovědi</c:v>
                </c:pt>
              </c:strCache>
            </c:strRef>
          </c:cat>
          <c:val>
            <c:numRef>
              <c:f>List1!$B$40:$B$42</c:f>
              <c:numCache>
                <c:formatCode>0%</c:formatCode>
                <c:ptCount val="3"/>
                <c:pt idx="0">
                  <c:v>0.05</c:v>
                </c:pt>
                <c:pt idx="1">
                  <c:v>0.02</c:v>
                </c:pt>
                <c:pt idx="2">
                  <c:v>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0.06875</cdr:x>
      <cdr:y>0.0434</cdr:y>
    </cdr:from>
    <cdr:to>
      <cdr:x>0.93542</cdr:x>
      <cdr:y>0.15104</cdr:y>
    </cdr:to>
    <cdr:sp macro="" textlink="">
      <cdr:nvSpPr>
        <cdr:cNvPr id="2" name="TextovéPole 1"/>
        <cdr:cNvSpPr txBox="1"/>
      </cdr:nvSpPr>
      <cdr:spPr>
        <a:xfrm xmlns:a="http://schemas.openxmlformats.org/drawingml/2006/main">
          <a:off x="314325" y="119063"/>
          <a:ext cx="3962400"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cs-CZ" sz="1100"/>
        </a:p>
      </cdr:txBody>
    </cdr:sp>
  </cdr:relSizeAnchor>
  <cdr:relSizeAnchor xmlns:cdr="http://schemas.openxmlformats.org/drawingml/2006/chartDrawing">
    <cdr:from>
      <cdr:x>0.04375</cdr:x>
      <cdr:y>0.05035</cdr:y>
    </cdr:from>
    <cdr:to>
      <cdr:x>0.95</cdr:x>
      <cdr:y>0.22396</cdr:y>
    </cdr:to>
    <cdr:sp macro="" textlink="">
      <cdr:nvSpPr>
        <cdr:cNvPr id="3" name="TextovéPole 2"/>
        <cdr:cNvSpPr txBox="1"/>
      </cdr:nvSpPr>
      <cdr:spPr>
        <a:xfrm xmlns:a="http://schemas.openxmlformats.org/drawingml/2006/main">
          <a:off x="200025" y="138113"/>
          <a:ext cx="4143375" cy="476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cs-CZ" sz="1100"/>
        </a:p>
      </cdr:txBody>
    </cdr:sp>
  </cdr:relSizeAnchor>
  <cdr:relSizeAnchor xmlns:cdr="http://schemas.openxmlformats.org/drawingml/2006/chartDrawing">
    <cdr:from>
      <cdr:x>0.06875</cdr:x>
      <cdr:y>0.0434</cdr:y>
    </cdr:from>
    <cdr:to>
      <cdr:x>0.93542</cdr:x>
      <cdr:y>0.15104</cdr:y>
    </cdr:to>
    <cdr:sp macro="" textlink="">
      <cdr:nvSpPr>
        <cdr:cNvPr id="4" name="TextovéPole 1"/>
        <cdr:cNvSpPr txBox="1"/>
      </cdr:nvSpPr>
      <cdr:spPr>
        <a:xfrm xmlns:a="http://schemas.openxmlformats.org/drawingml/2006/main">
          <a:off x="314325" y="119063"/>
          <a:ext cx="3962400"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cs-CZ" sz="1100"/>
        </a:p>
      </cdr:txBody>
    </cdr:sp>
  </cdr:relSizeAnchor>
  <cdr:relSizeAnchor xmlns:cdr="http://schemas.openxmlformats.org/drawingml/2006/chartDrawing">
    <cdr:from>
      <cdr:x>0.04375</cdr:x>
      <cdr:y>0.05035</cdr:y>
    </cdr:from>
    <cdr:to>
      <cdr:x>0.95</cdr:x>
      <cdr:y>0.22396</cdr:y>
    </cdr:to>
    <cdr:sp macro="" textlink="">
      <cdr:nvSpPr>
        <cdr:cNvPr id="5" name="TextovéPole 2"/>
        <cdr:cNvSpPr txBox="1"/>
      </cdr:nvSpPr>
      <cdr:spPr>
        <a:xfrm xmlns:a="http://schemas.openxmlformats.org/drawingml/2006/main">
          <a:off x="200025" y="138113"/>
          <a:ext cx="4143375" cy="476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cs-CZ" sz="1100"/>
        </a:p>
      </cdr:txBody>
    </cdr:sp>
  </cdr:relSizeAnchor>
</c:userShape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09CB7-9F2F-407B-883E-F30DF80E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7456</Words>
  <Characters>43997</Characters>
  <Application>Microsoft Office Word</Application>
  <DocSecurity>4</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2017-11-01T16:10:00Z</dcterms:created>
  <dcterms:modified xsi:type="dcterms:W3CDTF">2017-11-01T16:10:00Z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