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00" w:rsidRPr="000517B1" w:rsidRDefault="00AE2500" w:rsidP="00AE2500">
      <w:pPr>
        <w:pStyle w:val="Nvrh"/>
        <w:spacing w:before="120" w:after="0"/>
        <w:jc w:val="right"/>
        <w:rPr>
          <w:spacing w:val="0"/>
          <w:szCs w:val="24"/>
        </w:rPr>
      </w:pPr>
      <w:r>
        <w:rPr>
          <w:spacing w:val="0"/>
          <w:szCs w:val="24"/>
        </w:rPr>
        <w:t>IV</w:t>
      </w:r>
      <w:r w:rsidRPr="000517B1">
        <w:rPr>
          <w:spacing w:val="0"/>
          <w:szCs w:val="24"/>
        </w:rPr>
        <w:t xml:space="preserve">.                                                                                             </w:t>
      </w:r>
    </w:p>
    <w:p w:rsidR="00AE2500" w:rsidRPr="000517B1" w:rsidRDefault="00AE2500" w:rsidP="00AE2500">
      <w:pPr>
        <w:spacing w:before="120"/>
        <w:jc w:val="both"/>
        <w:rPr>
          <w:rFonts w:eastAsia="Times New Roman"/>
          <w:b/>
          <w:sz w:val="24"/>
          <w:szCs w:val="24"/>
        </w:rPr>
      </w:pPr>
    </w:p>
    <w:p w:rsidR="00AE2500" w:rsidRPr="00347306" w:rsidRDefault="00AE2500" w:rsidP="00AE2500">
      <w:pPr>
        <w:spacing w:before="120"/>
        <w:jc w:val="center"/>
        <w:rPr>
          <w:rFonts w:eastAsia="Times New Roman"/>
          <w:b/>
          <w:sz w:val="28"/>
          <w:szCs w:val="28"/>
        </w:rPr>
      </w:pPr>
      <w:r w:rsidRPr="00347306">
        <w:rPr>
          <w:rFonts w:eastAsia="Times New Roman"/>
          <w:b/>
          <w:sz w:val="28"/>
          <w:szCs w:val="28"/>
        </w:rPr>
        <w:t>O D Ů V O D N Ě N Í</w:t>
      </w:r>
    </w:p>
    <w:p w:rsidR="00AE2500" w:rsidRPr="000517B1" w:rsidRDefault="00AE2500" w:rsidP="00AE2500">
      <w:pPr>
        <w:spacing w:before="120"/>
        <w:jc w:val="center"/>
        <w:rPr>
          <w:rFonts w:eastAsia="Times New Roman"/>
          <w:b/>
          <w:sz w:val="24"/>
          <w:szCs w:val="24"/>
        </w:rPr>
      </w:pPr>
    </w:p>
    <w:p w:rsidR="00AE2500" w:rsidRPr="000517B1" w:rsidRDefault="00AE2500" w:rsidP="00AE2500">
      <w:pPr>
        <w:spacing w:before="120"/>
        <w:jc w:val="both"/>
        <w:rPr>
          <w:rFonts w:eastAsia="Times New Roman"/>
          <w:b/>
          <w:sz w:val="24"/>
          <w:szCs w:val="24"/>
        </w:rPr>
      </w:pPr>
    </w:p>
    <w:p w:rsidR="00AE2500" w:rsidRPr="000517B1" w:rsidRDefault="00AE2500" w:rsidP="00AE2500">
      <w:pPr>
        <w:spacing w:before="120"/>
        <w:jc w:val="center"/>
        <w:rPr>
          <w:rFonts w:eastAsia="Times New Roman"/>
          <w:b/>
          <w:sz w:val="28"/>
          <w:szCs w:val="28"/>
        </w:rPr>
      </w:pPr>
      <w:r w:rsidRPr="000517B1">
        <w:rPr>
          <w:rFonts w:eastAsia="Times New Roman"/>
          <w:b/>
          <w:sz w:val="28"/>
          <w:szCs w:val="28"/>
        </w:rPr>
        <w:t>A. OBECNÁ ČÁST</w:t>
      </w:r>
    </w:p>
    <w:p w:rsidR="00AE2500" w:rsidRPr="000517B1" w:rsidRDefault="00AE2500" w:rsidP="00AE2500">
      <w:pPr>
        <w:spacing w:before="120"/>
        <w:jc w:val="both"/>
        <w:rPr>
          <w:rFonts w:eastAsia="Times New Roman"/>
          <w:b/>
          <w:sz w:val="24"/>
          <w:szCs w:val="24"/>
        </w:rPr>
      </w:pPr>
    </w:p>
    <w:p w:rsidR="005B066A" w:rsidRPr="009A458F" w:rsidRDefault="005B066A" w:rsidP="009A458F">
      <w:pPr>
        <w:spacing w:before="120"/>
        <w:jc w:val="both"/>
        <w:outlineLvl w:val="4"/>
        <w:rPr>
          <w:rFonts w:eastAsia="Times New Roman"/>
          <w:b/>
          <w:bCs/>
          <w:sz w:val="24"/>
          <w:szCs w:val="24"/>
          <w:lang w:eastAsia="en-US"/>
        </w:rPr>
      </w:pPr>
      <w:r w:rsidRPr="009A458F">
        <w:rPr>
          <w:rFonts w:eastAsia="Times New Roman"/>
          <w:b/>
          <w:bCs/>
          <w:sz w:val="24"/>
          <w:szCs w:val="24"/>
          <w:lang w:eastAsia="en-US"/>
        </w:rPr>
        <w:t>Hodnocení dopadů regulace (RIA)</w:t>
      </w:r>
    </w:p>
    <w:p w:rsidR="005B066A" w:rsidRDefault="005B066A" w:rsidP="009A458F">
      <w:pPr>
        <w:pStyle w:val="Textdopisu"/>
        <w:spacing w:before="120"/>
        <w:ind w:firstLine="0"/>
        <w:rPr>
          <w:szCs w:val="24"/>
        </w:rPr>
      </w:pPr>
      <w:r>
        <w:rPr>
          <w:szCs w:val="24"/>
        </w:rPr>
        <w:t>Předsedkyně Legislativní rady vlády rozhodl</w:t>
      </w:r>
      <w:r w:rsidR="009A458F">
        <w:rPr>
          <w:szCs w:val="24"/>
        </w:rPr>
        <w:t>a</w:t>
      </w:r>
      <w:r>
        <w:rPr>
          <w:szCs w:val="24"/>
        </w:rPr>
        <w:t xml:space="preserve"> o tom, že h</w:t>
      </w:r>
      <w:r w:rsidRPr="0093617D">
        <w:rPr>
          <w:szCs w:val="24"/>
        </w:rPr>
        <w:t xml:space="preserve">odnocení dopadů regulace </w:t>
      </w:r>
      <w:r>
        <w:rPr>
          <w:szCs w:val="24"/>
        </w:rPr>
        <w:t xml:space="preserve">nebude </w:t>
      </w:r>
      <w:r w:rsidR="00942424">
        <w:rPr>
          <w:szCs w:val="24"/>
        </w:rPr>
        <w:t>u </w:t>
      </w:r>
      <w:r w:rsidRPr="0093617D">
        <w:rPr>
          <w:szCs w:val="24"/>
        </w:rPr>
        <w:t xml:space="preserve">tohoto návrhu </w:t>
      </w:r>
      <w:r w:rsidR="009A458F">
        <w:rPr>
          <w:szCs w:val="24"/>
        </w:rPr>
        <w:t>nařízení vlády</w:t>
      </w:r>
      <w:r w:rsidRPr="0093617D">
        <w:rPr>
          <w:szCs w:val="24"/>
        </w:rPr>
        <w:t xml:space="preserve"> prováděno</w:t>
      </w:r>
      <w:r>
        <w:rPr>
          <w:szCs w:val="24"/>
        </w:rPr>
        <w:t>.</w:t>
      </w:r>
    </w:p>
    <w:p w:rsidR="005B066A" w:rsidRDefault="005B066A" w:rsidP="005B066A">
      <w:pPr>
        <w:spacing w:before="120"/>
        <w:jc w:val="both"/>
        <w:outlineLvl w:val="4"/>
        <w:rPr>
          <w:rFonts w:eastAsia="Times New Roman"/>
          <w:b/>
          <w:bCs/>
          <w:sz w:val="24"/>
          <w:szCs w:val="24"/>
          <w:lang w:eastAsia="en-US"/>
        </w:rPr>
      </w:pPr>
    </w:p>
    <w:p w:rsidR="005B066A" w:rsidRPr="005B066A" w:rsidRDefault="005B066A" w:rsidP="005B066A">
      <w:pPr>
        <w:spacing w:before="120"/>
        <w:jc w:val="both"/>
        <w:outlineLvl w:val="4"/>
        <w:rPr>
          <w:rFonts w:eastAsia="Times New Roman"/>
          <w:b/>
          <w:bCs/>
          <w:sz w:val="24"/>
          <w:szCs w:val="24"/>
          <w:lang w:eastAsia="en-US"/>
        </w:rPr>
      </w:pPr>
      <w:r w:rsidRPr="005B066A">
        <w:rPr>
          <w:rFonts w:eastAsia="Times New Roman"/>
          <w:b/>
          <w:bCs/>
          <w:sz w:val="24"/>
          <w:szCs w:val="24"/>
          <w:lang w:eastAsia="en-US"/>
        </w:rPr>
        <w:t>Zhodnocení platného právního stavu, odůvodnění hlavních principů navrhované právní úpravy a vysvětlení nezbytnosti navrhované právní úpravy v jejím celku</w:t>
      </w:r>
    </w:p>
    <w:p w:rsidR="00942424" w:rsidRPr="00942424" w:rsidRDefault="00942424" w:rsidP="00942424">
      <w:pPr>
        <w:pStyle w:val="Textdopisu"/>
        <w:spacing w:before="120"/>
        <w:ind w:firstLine="0"/>
        <w:rPr>
          <w:szCs w:val="24"/>
        </w:rPr>
      </w:pPr>
      <w:r w:rsidRPr="00942424">
        <w:rPr>
          <w:szCs w:val="24"/>
        </w:rPr>
        <w:t xml:space="preserve">Světová zdravotnická organizace (dále jen "WHO") dne 11. března 2020 prohlásila stávající epidemiologickou situaci v šíření nového </w:t>
      </w:r>
      <w:proofErr w:type="spellStart"/>
      <w:r w:rsidRPr="00942424">
        <w:rPr>
          <w:szCs w:val="24"/>
        </w:rPr>
        <w:t>koronaviru</w:t>
      </w:r>
      <w:proofErr w:type="spellEnd"/>
      <w:r w:rsidRPr="00942424">
        <w:rPr>
          <w:szCs w:val="24"/>
        </w:rPr>
        <w:t xml:space="preserve"> SARS CoV-2 způsobujícího onemocnění COVID-19 za pandemii. Nový </w:t>
      </w:r>
      <w:proofErr w:type="spellStart"/>
      <w:r w:rsidRPr="00942424">
        <w:rPr>
          <w:szCs w:val="24"/>
        </w:rPr>
        <w:t>koronavirus</w:t>
      </w:r>
      <w:proofErr w:type="spellEnd"/>
      <w:r w:rsidRPr="00942424">
        <w:rPr>
          <w:szCs w:val="24"/>
        </w:rPr>
        <w:t xml:space="preserve"> má nevídaný pandemický potenciál, což je nyní již deklarováno i pozicí WHO. Virus se přenáší z člověka na člověka pomocí kapének při kýchání, kašlání, případně tělesném kontaktu. Inkubační doba se pohybuje přibližně mezi 2 a 1</w:t>
      </w:r>
      <w:r>
        <w:rPr>
          <w:szCs w:val="24"/>
        </w:rPr>
        <w:t>4 dny a i </w:t>
      </w:r>
      <w:r w:rsidRPr="00942424">
        <w:rPr>
          <w:szCs w:val="24"/>
        </w:rPr>
        <w:t xml:space="preserve">během ní je nemoc infekční. WHO odhaduje, že hodnota toho, kolik lidí může nakazit jeden infikovaný člověk, je podobná jako u nemoci SARS. COVID-19 má přitom závažný průběh zejména u starších osob, což při frekvenci jeho šíření v rámci pandemie znamená výrazné zvýšení rizika úmrtí u většího počtu seniorů. Uvedené onemocnění není </w:t>
      </w:r>
      <w:proofErr w:type="spellStart"/>
      <w:r w:rsidRPr="00942424">
        <w:rPr>
          <w:szCs w:val="24"/>
        </w:rPr>
        <w:t>preventabilní</w:t>
      </w:r>
      <w:proofErr w:type="spellEnd"/>
      <w:r w:rsidRPr="00942424">
        <w:rPr>
          <w:szCs w:val="24"/>
        </w:rPr>
        <w:t xml:space="preserve"> vakcinací ani neexistuje lék, který by účinkoval přímo proti viru.</w:t>
      </w:r>
    </w:p>
    <w:p w:rsidR="00942424" w:rsidRPr="00942424" w:rsidRDefault="00942424" w:rsidP="00942424">
      <w:pPr>
        <w:pStyle w:val="Textdopisu"/>
        <w:spacing w:before="120"/>
        <w:ind w:firstLine="0"/>
        <w:rPr>
          <w:szCs w:val="24"/>
        </w:rPr>
      </w:pPr>
      <w:r w:rsidRPr="00942424">
        <w:rPr>
          <w:szCs w:val="24"/>
        </w:rPr>
        <w:t xml:space="preserve">Skutečnost, že nařízení vlády č. 453/2009 Sb. má ve své příloze č. 1, ve které jsou vyjmenovány nakažlivé nemoci pro účely trestního zákoníku, zahrnut SARS, je historicky dána mírou poznatků, které byly na téma </w:t>
      </w:r>
      <w:proofErr w:type="spellStart"/>
      <w:r w:rsidRPr="00942424">
        <w:rPr>
          <w:szCs w:val="24"/>
        </w:rPr>
        <w:t>koronavirů</w:t>
      </w:r>
      <w:proofErr w:type="spellEnd"/>
      <w:r w:rsidRPr="00942424">
        <w:rPr>
          <w:szCs w:val="24"/>
        </w:rPr>
        <w:t xml:space="preserve"> dostupné v době tvorby daného nařízení. Jediným použitelným modelem pro problematiku </w:t>
      </w:r>
      <w:proofErr w:type="spellStart"/>
      <w:r w:rsidRPr="00942424">
        <w:rPr>
          <w:szCs w:val="24"/>
        </w:rPr>
        <w:t>koronavirů</w:t>
      </w:r>
      <w:proofErr w:type="spellEnd"/>
      <w:r w:rsidRPr="00942424">
        <w:rPr>
          <w:szCs w:val="24"/>
        </w:rPr>
        <w:t xml:space="preserve"> byl ten, který vychází z epidemie onemocnění SARS v letech 2002-2003.</w:t>
      </w:r>
      <w:r>
        <w:rPr>
          <w:szCs w:val="24"/>
        </w:rPr>
        <w:t xml:space="preserve"> </w:t>
      </w:r>
      <w:r w:rsidRPr="00942424">
        <w:rPr>
          <w:szCs w:val="24"/>
        </w:rPr>
        <w:t xml:space="preserve">Toto onemocnění se manifestovalo v naprosté většině případů těžkým respiračním postižením s dominancí pneumonií. Onemocnění COVID-19 má odlišnou klinickou manifestaci, proto model SARS (Severe </w:t>
      </w:r>
      <w:proofErr w:type="spellStart"/>
      <w:r w:rsidRPr="00942424">
        <w:rPr>
          <w:szCs w:val="24"/>
        </w:rPr>
        <w:t>Acute</w:t>
      </w:r>
      <w:proofErr w:type="spellEnd"/>
      <w:r w:rsidRPr="00942424">
        <w:rPr>
          <w:szCs w:val="24"/>
        </w:rPr>
        <w:t xml:space="preserve"> </w:t>
      </w:r>
      <w:proofErr w:type="spellStart"/>
      <w:r w:rsidRPr="00942424">
        <w:rPr>
          <w:szCs w:val="24"/>
        </w:rPr>
        <w:t>Respiratory</w:t>
      </w:r>
      <w:proofErr w:type="spellEnd"/>
      <w:r w:rsidRPr="00942424">
        <w:rPr>
          <w:szCs w:val="24"/>
        </w:rPr>
        <w:t xml:space="preserve"> Synd</w:t>
      </w:r>
      <w:r>
        <w:rPr>
          <w:szCs w:val="24"/>
        </w:rPr>
        <w:t>rome) z </w:t>
      </w:r>
      <w:r w:rsidRPr="00942424">
        <w:rPr>
          <w:szCs w:val="24"/>
        </w:rPr>
        <w:t xml:space="preserve">epidemie v letech 2002-2003 nelze v případě COVID-19 aplikovat. Předmětné nařízení je tedy nutné doplnit o tento typ onemocnění způsobeného novým </w:t>
      </w:r>
      <w:proofErr w:type="spellStart"/>
      <w:r w:rsidRPr="00942424">
        <w:rPr>
          <w:szCs w:val="24"/>
        </w:rPr>
        <w:t>koronavirem</w:t>
      </w:r>
      <w:proofErr w:type="spellEnd"/>
      <w:r w:rsidRPr="00942424">
        <w:rPr>
          <w:szCs w:val="24"/>
        </w:rPr>
        <w:t xml:space="preserve"> SARS CoV-2, aby bylo zcela jednoznačně zahrnuto mezi obdobná onemocnění jako SARS, které j</w:t>
      </w:r>
      <w:r>
        <w:rPr>
          <w:szCs w:val="24"/>
        </w:rPr>
        <w:t>e již v </w:t>
      </w:r>
      <w:r w:rsidRPr="00942424">
        <w:rPr>
          <w:szCs w:val="24"/>
        </w:rPr>
        <w:t>příloze nařízení vlády uvedeno.</w:t>
      </w:r>
    </w:p>
    <w:p w:rsidR="00AE2500" w:rsidRPr="000517B1" w:rsidRDefault="00AE2500" w:rsidP="00AE2500">
      <w:pPr>
        <w:autoSpaceDE w:val="0"/>
        <w:autoSpaceDN w:val="0"/>
        <w:adjustRightInd w:val="0"/>
        <w:spacing w:before="120"/>
        <w:jc w:val="both"/>
        <w:rPr>
          <w:rFonts w:eastAsia="Times New Roman"/>
          <w:b/>
          <w:sz w:val="24"/>
          <w:szCs w:val="24"/>
        </w:rPr>
      </w:pPr>
    </w:p>
    <w:p w:rsidR="009A458F" w:rsidRPr="009A458F" w:rsidRDefault="009A458F" w:rsidP="009A458F">
      <w:pPr>
        <w:spacing w:before="120"/>
        <w:jc w:val="both"/>
        <w:outlineLvl w:val="4"/>
        <w:rPr>
          <w:rFonts w:eastAsia="Times New Roman"/>
          <w:b/>
          <w:bCs/>
          <w:sz w:val="24"/>
          <w:szCs w:val="24"/>
          <w:lang w:eastAsia="en-US"/>
        </w:rPr>
      </w:pPr>
      <w:r w:rsidRPr="009A458F">
        <w:rPr>
          <w:rFonts w:eastAsia="Times New Roman"/>
          <w:b/>
          <w:bCs/>
          <w:sz w:val="24"/>
          <w:szCs w:val="24"/>
          <w:lang w:eastAsia="en-US"/>
        </w:rPr>
        <w:t>Zhodnocení souladu navrhované právní úpravy s ústavním pořádkem České republiky, mezinárodními smlouvami, jimiž je Česká republika vázána, a s předpisy Evropské unie, judikaturou soudních orgánů Evropské unie nebo obecnými právními zásadami práva Evropské unie a judikaturou ESLP</w:t>
      </w:r>
    </w:p>
    <w:p w:rsidR="00AE2500" w:rsidRDefault="005B066A" w:rsidP="00AE2500">
      <w:pPr>
        <w:pStyle w:val="Textdopisu"/>
        <w:spacing w:before="120"/>
        <w:ind w:firstLine="0"/>
        <w:rPr>
          <w:szCs w:val="24"/>
        </w:rPr>
      </w:pPr>
      <w:r>
        <w:rPr>
          <w:szCs w:val="24"/>
        </w:rPr>
        <w:t xml:space="preserve">Ustanovení § 154 trestního zákoníku zmocňuje vládu, aby svým nařízením stanovila, co se pro účely trestního zákoníku považuje za nakažlivé lidské nemoci. Navrhovaná změna rozšiřuje stávající katalog nakažlivých lidských nemocí obsažený v nařízení vlády č. 453/2009 Sb., navrhovaná změna je v souladu se zákonným zmocněním. </w:t>
      </w:r>
    </w:p>
    <w:p w:rsidR="009A458F" w:rsidRPr="00756F80" w:rsidRDefault="009A458F" w:rsidP="009A458F">
      <w:pPr>
        <w:pStyle w:val="Textdopisu"/>
        <w:spacing w:before="120"/>
        <w:ind w:firstLine="0"/>
        <w:rPr>
          <w:szCs w:val="24"/>
        </w:rPr>
      </w:pPr>
      <w:r w:rsidRPr="00272F43">
        <w:rPr>
          <w:szCs w:val="24"/>
        </w:rPr>
        <w:lastRenderedPageBreak/>
        <w:t xml:space="preserve">Mezinárodní smlouvy, jimiž je Česká republika vázána, </w:t>
      </w:r>
      <w:r>
        <w:rPr>
          <w:szCs w:val="24"/>
        </w:rPr>
        <w:t xml:space="preserve">právo Evropské unie, </w:t>
      </w:r>
      <w:r w:rsidRPr="00272F43">
        <w:rPr>
          <w:szCs w:val="24"/>
        </w:rPr>
        <w:t>ani judikatura Evropského soudu pro lidská práva</w:t>
      </w:r>
      <w:r>
        <w:rPr>
          <w:szCs w:val="24"/>
        </w:rPr>
        <w:t xml:space="preserve"> nevymezují, šíření jakých nakažlivých lidských nemocí má být trestné.  </w:t>
      </w:r>
    </w:p>
    <w:p w:rsidR="005B066A" w:rsidRPr="001066F5" w:rsidRDefault="005B066A" w:rsidP="00AE2500">
      <w:pPr>
        <w:pStyle w:val="Textdopisu"/>
        <w:spacing w:before="120"/>
        <w:ind w:firstLine="0"/>
        <w:rPr>
          <w:szCs w:val="24"/>
        </w:rPr>
      </w:pPr>
    </w:p>
    <w:p w:rsidR="00AE2500" w:rsidRPr="009A5193" w:rsidRDefault="00AE2500" w:rsidP="00AE2500">
      <w:pPr>
        <w:spacing w:before="120"/>
        <w:jc w:val="both"/>
        <w:rPr>
          <w:rFonts w:eastAsia="Times New Roman"/>
          <w:b/>
          <w:sz w:val="24"/>
          <w:szCs w:val="24"/>
        </w:rPr>
      </w:pPr>
      <w:r w:rsidRPr="000517B1">
        <w:rPr>
          <w:rFonts w:eastAsia="Times New Roman"/>
          <w:b/>
          <w:sz w:val="24"/>
          <w:szCs w:val="24"/>
        </w:rPr>
        <w:t>Předpokládaný hospodářský a finanční dosah navrhované právní úpravy na státní rozpočet, ostatní veřejné rozpočty, na podnikatelské prostředí České republiky, sociální dopady, včetně dopadů na specifické skupiny obyvatel, sociálně slabé, zdravotně postižené a národnostní menšiny a dopady na životní prostředí</w:t>
      </w:r>
    </w:p>
    <w:p w:rsidR="00CC4621" w:rsidRPr="00CC4621" w:rsidRDefault="00CC4621" w:rsidP="00AE2500">
      <w:pPr>
        <w:spacing w:before="120"/>
        <w:jc w:val="both"/>
        <w:outlineLvl w:val="4"/>
        <w:rPr>
          <w:noProof/>
          <w:sz w:val="24"/>
          <w:szCs w:val="24"/>
        </w:rPr>
      </w:pPr>
      <w:r w:rsidRPr="00CC4621">
        <w:rPr>
          <w:noProof/>
          <w:sz w:val="24"/>
          <w:szCs w:val="24"/>
        </w:rPr>
        <w:t xml:space="preserve">Navrhovaná změna nemá žádné dopady na státní rozpočet ani na jiné veřejné rozpočty. Dopady na </w:t>
      </w:r>
      <w:r w:rsidRPr="00CC4621">
        <w:rPr>
          <w:rFonts w:eastAsia="Times New Roman"/>
          <w:sz w:val="24"/>
          <w:szCs w:val="24"/>
        </w:rPr>
        <w:t>podnikatelské prostředí České republiky, sociální dopady, včetně dopadů na specifické skupiny obyvatel, sociálně slabé, zdravotně postižené a národnostní menšiny, ani</w:t>
      </w:r>
      <w:r>
        <w:rPr>
          <w:rFonts w:eastAsia="Times New Roman"/>
          <w:sz w:val="24"/>
          <w:szCs w:val="24"/>
        </w:rPr>
        <w:t xml:space="preserve"> dopady na </w:t>
      </w:r>
      <w:r w:rsidRPr="00CC4621">
        <w:rPr>
          <w:rFonts w:eastAsia="Times New Roman"/>
          <w:sz w:val="24"/>
          <w:szCs w:val="24"/>
        </w:rPr>
        <w:t>životní prostředí se nečekají.</w:t>
      </w:r>
    </w:p>
    <w:p w:rsidR="00CC4621" w:rsidRDefault="00CC4621" w:rsidP="00AE2500">
      <w:pPr>
        <w:spacing w:before="120"/>
        <w:jc w:val="both"/>
        <w:outlineLvl w:val="4"/>
        <w:rPr>
          <w:noProof/>
          <w:sz w:val="24"/>
          <w:szCs w:val="24"/>
        </w:rPr>
      </w:pPr>
    </w:p>
    <w:p w:rsidR="00AE2500" w:rsidRPr="000517B1" w:rsidRDefault="00AE2500" w:rsidP="00AE2500">
      <w:pPr>
        <w:spacing w:before="120"/>
        <w:jc w:val="both"/>
        <w:outlineLvl w:val="4"/>
        <w:rPr>
          <w:b/>
          <w:sz w:val="24"/>
          <w:szCs w:val="24"/>
          <w:lang w:eastAsia="en-US"/>
        </w:rPr>
      </w:pPr>
      <w:r w:rsidRPr="000517B1">
        <w:rPr>
          <w:b/>
          <w:sz w:val="24"/>
          <w:szCs w:val="24"/>
          <w:lang w:eastAsia="en-US"/>
        </w:rPr>
        <w:t>Zhodnocení současného stavu a dopadů navrhovaného řešení ve vztahu k zákazu diskriminace</w:t>
      </w:r>
    </w:p>
    <w:p w:rsidR="00AE2500" w:rsidRPr="000517B1" w:rsidRDefault="00AE2500" w:rsidP="00AE2500">
      <w:pPr>
        <w:spacing w:before="120"/>
        <w:jc w:val="both"/>
        <w:rPr>
          <w:rFonts w:eastAsia="Times New Roman"/>
          <w:sz w:val="24"/>
          <w:szCs w:val="24"/>
        </w:rPr>
      </w:pPr>
      <w:r w:rsidRPr="000517B1">
        <w:rPr>
          <w:rFonts w:eastAsia="Times New Roman"/>
          <w:sz w:val="24"/>
          <w:szCs w:val="24"/>
        </w:rPr>
        <w:t>Navrhovaná právní úprava není v rozporu a nestanovuje odchylky ve vztahu k zákazu diskriminace, nezavádí žádné rozdíly na základě pohlaví, rasy, barvy pleti, jazyka, víry a náboženství, politického či jiného smýšlení, národního nebo sociálního původu, příslušnosti k národnostní nebo etnické menšině, majetku, rodu nebo jiného postavení. Navrhovaná právní úprava není rovněž v rozporu se zákonem č. 198/2009 Sb., o rovném zacházení a o právních prostředcích ochrany před diskriminací a o změně některých zákonů (antidiskriminační zákon).</w:t>
      </w:r>
    </w:p>
    <w:p w:rsidR="00AE2500" w:rsidRPr="000517B1" w:rsidRDefault="00AE2500" w:rsidP="00AE2500">
      <w:pPr>
        <w:pStyle w:val="Zkladntextodsazen3"/>
        <w:spacing w:before="120" w:after="0"/>
        <w:ind w:left="0"/>
        <w:jc w:val="both"/>
        <w:rPr>
          <w:sz w:val="24"/>
          <w:szCs w:val="24"/>
        </w:rPr>
      </w:pPr>
      <w:r w:rsidRPr="000517B1">
        <w:rPr>
          <w:sz w:val="24"/>
          <w:szCs w:val="24"/>
        </w:rPr>
        <w:t>Ve vztahu k rovnosti pohlaví navrhovaná právní úprava nemá bezprostřední, ani sekundární dopady na rovnost mužů a žen a nevede k diskriminaci jednoho z pohlaví, neboť nijak nerozlišuje, ani nezvýhodňuje jedno z pohlaví a nestanoví pro ně odlišné podmínky.</w:t>
      </w:r>
    </w:p>
    <w:p w:rsidR="00AE2500" w:rsidRPr="000517B1" w:rsidRDefault="00AE2500" w:rsidP="00AE2500">
      <w:pPr>
        <w:spacing w:before="120"/>
        <w:rPr>
          <w:sz w:val="24"/>
          <w:szCs w:val="24"/>
        </w:rPr>
      </w:pPr>
    </w:p>
    <w:p w:rsidR="00AE2500" w:rsidRPr="000517B1" w:rsidRDefault="00AE2500" w:rsidP="00AE2500">
      <w:pPr>
        <w:spacing w:before="120"/>
        <w:jc w:val="both"/>
        <w:outlineLvl w:val="4"/>
        <w:rPr>
          <w:rFonts w:eastAsia="Times New Roman"/>
          <w:b/>
          <w:bCs/>
          <w:sz w:val="24"/>
          <w:szCs w:val="24"/>
          <w:lang w:eastAsia="en-US"/>
        </w:rPr>
      </w:pPr>
      <w:r w:rsidRPr="000517B1">
        <w:rPr>
          <w:rFonts w:eastAsia="Times New Roman"/>
          <w:b/>
          <w:bCs/>
          <w:sz w:val="24"/>
          <w:szCs w:val="24"/>
          <w:lang w:eastAsia="en-US"/>
        </w:rPr>
        <w:t>Zhodnocení dopadů navrhovaného řešení ve vztahu k ochraně soukromí a osobních údajů</w:t>
      </w:r>
    </w:p>
    <w:p w:rsidR="00AE2500" w:rsidRPr="000517B1" w:rsidRDefault="00AE2500" w:rsidP="00AE2500">
      <w:pPr>
        <w:spacing w:before="120"/>
        <w:jc w:val="both"/>
        <w:rPr>
          <w:rFonts w:eastAsia="Times New Roman"/>
          <w:sz w:val="24"/>
          <w:szCs w:val="24"/>
        </w:rPr>
      </w:pPr>
      <w:r w:rsidRPr="000517B1">
        <w:rPr>
          <w:rFonts w:eastAsia="Times New Roman"/>
          <w:sz w:val="24"/>
          <w:szCs w:val="24"/>
        </w:rPr>
        <w:t>Navrhovaná právní úprava se nedotýká ochrany soukromí.</w:t>
      </w:r>
    </w:p>
    <w:p w:rsidR="00AE2500" w:rsidRDefault="00AE2500" w:rsidP="00AE2500">
      <w:pPr>
        <w:spacing w:before="120"/>
        <w:jc w:val="both"/>
        <w:outlineLvl w:val="4"/>
        <w:rPr>
          <w:rFonts w:eastAsia="Times New Roman"/>
          <w:b/>
          <w:bCs/>
          <w:iCs/>
          <w:sz w:val="24"/>
          <w:szCs w:val="24"/>
          <w:lang w:eastAsia="en-US"/>
        </w:rPr>
      </w:pPr>
    </w:p>
    <w:p w:rsidR="00AE2500" w:rsidRPr="000517B1" w:rsidRDefault="00AE2500" w:rsidP="00AE2500">
      <w:pPr>
        <w:spacing w:before="120"/>
        <w:jc w:val="both"/>
        <w:outlineLvl w:val="4"/>
        <w:rPr>
          <w:rFonts w:eastAsia="Times New Roman"/>
          <w:b/>
          <w:bCs/>
          <w:sz w:val="24"/>
          <w:szCs w:val="24"/>
          <w:lang w:eastAsia="en-US"/>
        </w:rPr>
      </w:pPr>
      <w:r w:rsidRPr="000517B1">
        <w:rPr>
          <w:rFonts w:eastAsia="Times New Roman"/>
          <w:b/>
          <w:bCs/>
          <w:iCs/>
          <w:sz w:val="24"/>
          <w:szCs w:val="24"/>
          <w:lang w:eastAsia="en-US"/>
        </w:rPr>
        <w:t>Z</w:t>
      </w:r>
      <w:r w:rsidRPr="000517B1">
        <w:rPr>
          <w:rFonts w:eastAsia="Times New Roman"/>
          <w:b/>
          <w:bCs/>
          <w:sz w:val="24"/>
          <w:szCs w:val="24"/>
          <w:lang w:eastAsia="en-US"/>
        </w:rPr>
        <w:t>hodnocení korupčních rizik</w:t>
      </w:r>
    </w:p>
    <w:p w:rsidR="00AE2500" w:rsidRPr="000517B1" w:rsidRDefault="00AE2500" w:rsidP="00AE2500">
      <w:pPr>
        <w:pStyle w:val="Default"/>
        <w:spacing w:before="120"/>
        <w:jc w:val="both"/>
        <w:rPr>
          <w:color w:val="auto"/>
        </w:rPr>
      </w:pPr>
      <w:r w:rsidRPr="000517B1">
        <w:rPr>
          <w:color w:val="auto"/>
        </w:rPr>
        <w:t>Navrhovaná právní úprava oproti dosavadní právní úpravě korupční rizika nijak nezvyšuje a ani s ní nejsou spojena nová korupční rizika.</w:t>
      </w:r>
    </w:p>
    <w:p w:rsidR="00AE2500" w:rsidRPr="000517B1" w:rsidRDefault="00AE2500" w:rsidP="00AE2500">
      <w:pPr>
        <w:spacing w:before="120"/>
        <w:jc w:val="both"/>
        <w:outlineLvl w:val="4"/>
        <w:rPr>
          <w:rFonts w:eastAsia="Times New Roman"/>
          <w:b/>
          <w:bCs/>
          <w:iCs/>
          <w:sz w:val="24"/>
          <w:szCs w:val="24"/>
          <w:lang w:eastAsia="en-US"/>
        </w:rPr>
      </w:pPr>
    </w:p>
    <w:p w:rsidR="00AE2500" w:rsidRPr="000517B1" w:rsidRDefault="00AE2500" w:rsidP="00AE2500">
      <w:pPr>
        <w:spacing w:before="120"/>
        <w:jc w:val="both"/>
        <w:outlineLvl w:val="4"/>
        <w:rPr>
          <w:rFonts w:eastAsia="Times New Roman"/>
          <w:b/>
          <w:bCs/>
          <w:iCs/>
          <w:sz w:val="24"/>
          <w:szCs w:val="24"/>
          <w:lang w:eastAsia="en-US"/>
        </w:rPr>
      </w:pPr>
      <w:r w:rsidRPr="000517B1">
        <w:rPr>
          <w:rFonts w:eastAsia="Times New Roman"/>
          <w:b/>
          <w:bCs/>
          <w:iCs/>
          <w:sz w:val="24"/>
          <w:szCs w:val="24"/>
          <w:lang w:eastAsia="en-US"/>
        </w:rPr>
        <w:t>Zhodnocení dopadů na bezpečnost nebo obranu státu</w:t>
      </w:r>
    </w:p>
    <w:p w:rsidR="00AE2500" w:rsidRDefault="00AE2500" w:rsidP="00AE2500">
      <w:pPr>
        <w:spacing w:before="120"/>
        <w:jc w:val="both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Navrhovaná úprava </w:t>
      </w:r>
      <w:r w:rsidRPr="000517B1">
        <w:rPr>
          <w:rFonts w:eastAsia="Times New Roman"/>
          <w:bCs/>
          <w:color w:val="000000"/>
          <w:sz w:val="24"/>
          <w:szCs w:val="24"/>
        </w:rPr>
        <w:t xml:space="preserve">má </w:t>
      </w:r>
      <w:r>
        <w:rPr>
          <w:rFonts w:eastAsia="Times New Roman"/>
          <w:bCs/>
          <w:color w:val="000000"/>
          <w:sz w:val="24"/>
          <w:szCs w:val="24"/>
        </w:rPr>
        <w:t xml:space="preserve">pozitivní </w:t>
      </w:r>
      <w:r w:rsidRPr="000517B1">
        <w:rPr>
          <w:rFonts w:eastAsia="Times New Roman"/>
          <w:bCs/>
          <w:color w:val="000000"/>
          <w:sz w:val="24"/>
          <w:szCs w:val="24"/>
        </w:rPr>
        <w:t xml:space="preserve">vliv </w:t>
      </w:r>
      <w:r>
        <w:rPr>
          <w:rFonts w:eastAsia="Times New Roman"/>
          <w:bCs/>
          <w:color w:val="000000"/>
          <w:sz w:val="24"/>
          <w:szCs w:val="24"/>
        </w:rPr>
        <w:t xml:space="preserve">na bezpečnost nebo obranu státu, neboť v jejím důsledku bude postaveno na jisto, že …. </w:t>
      </w:r>
      <w:proofErr w:type="gramStart"/>
      <w:r>
        <w:rPr>
          <w:rFonts w:eastAsia="Times New Roman"/>
          <w:bCs/>
          <w:color w:val="000000"/>
          <w:sz w:val="24"/>
          <w:szCs w:val="24"/>
        </w:rPr>
        <w:t>je</w:t>
      </w:r>
      <w:proofErr w:type="gramEnd"/>
      <w:r>
        <w:rPr>
          <w:rFonts w:eastAsia="Times New Roman"/>
          <w:bCs/>
          <w:color w:val="000000"/>
          <w:sz w:val="24"/>
          <w:szCs w:val="24"/>
        </w:rPr>
        <w:t xml:space="preserve"> lidskou nemocí, jejíž šíření je </w:t>
      </w:r>
      <w:r w:rsidRPr="00096397">
        <w:rPr>
          <w:rFonts w:eastAsia="Times New Roman"/>
          <w:bCs/>
          <w:color w:val="000000"/>
          <w:sz w:val="24"/>
          <w:szCs w:val="24"/>
        </w:rPr>
        <w:t>trestně postižitelné podle § 152 nebo 153 trestního zákoníku.</w:t>
      </w:r>
      <w:r>
        <w:rPr>
          <w:rFonts w:eastAsia="Times New Roman"/>
          <w:bCs/>
          <w:color w:val="000000"/>
          <w:sz w:val="24"/>
          <w:szCs w:val="24"/>
        </w:rPr>
        <w:t xml:space="preserve"> Pohrůžkou trestu tak může být omezeno rizikové chování a </w:t>
      </w:r>
      <w:r w:rsidR="00CC4621">
        <w:rPr>
          <w:rFonts w:eastAsia="Times New Roman"/>
          <w:bCs/>
          <w:color w:val="000000"/>
          <w:sz w:val="24"/>
          <w:szCs w:val="24"/>
        </w:rPr>
        <w:t>může tak být pozitivně ovlivněno riziko další expanze této nákazy. Toto opatření tak může mít pozitivní vliv mj. i na vnitřní bezpečnost.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AE2500" w:rsidRDefault="00AE2500" w:rsidP="00AE2500">
      <w:pPr>
        <w:spacing w:before="1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E2500" w:rsidRPr="000517B1" w:rsidRDefault="00AE2500" w:rsidP="00AE2500">
      <w:pPr>
        <w:spacing w:before="12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B</w:t>
      </w:r>
      <w:r w:rsidRPr="000517B1">
        <w:rPr>
          <w:rFonts w:eastAsia="Times New Roman"/>
          <w:b/>
          <w:sz w:val="28"/>
          <w:szCs w:val="28"/>
        </w:rPr>
        <w:t xml:space="preserve">. </w:t>
      </w:r>
      <w:r>
        <w:rPr>
          <w:rFonts w:eastAsia="Times New Roman"/>
          <w:b/>
          <w:sz w:val="28"/>
          <w:szCs w:val="28"/>
        </w:rPr>
        <w:t xml:space="preserve">ZVLÁŠTNÍ </w:t>
      </w:r>
      <w:r w:rsidRPr="000517B1">
        <w:rPr>
          <w:rFonts w:eastAsia="Times New Roman"/>
          <w:b/>
          <w:sz w:val="28"/>
          <w:szCs w:val="28"/>
        </w:rPr>
        <w:t>ČÁST</w:t>
      </w:r>
    </w:p>
    <w:p w:rsidR="00AE2500" w:rsidRPr="00347306" w:rsidRDefault="00AE2500" w:rsidP="00AE2500">
      <w:pPr>
        <w:spacing w:before="120"/>
        <w:rPr>
          <w:sz w:val="24"/>
          <w:szCs w:val="24"/>
        </w:rPr>
      </w:pPr>
      <w:r w:rsidRPr="0009552B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 čl. I</w:t>
      </w:r>
    </w:p>
    <w:p w:rsidR="00AE2500" w:rsidRDefault="009A458F" w:rsidP="00AE250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V souladu s obecnou částí důvodové zprávy se rozšiřuje seznam nakažlivých lidských nemocí obsažený v příloze č. 1 nařízení vlády č. 453/2009 Sb.</w:t>
      </w:r>
    </w:p>
    <w:p w:rsidR="009A458F" w:rsidRDefault="009A458F" w:rsidP="00AE2500">
      <w:pPr>
        <w:spacing w:before="120"/>
        <w:jc w:val="both"/>
        <w:rPr>
          <w:sz w:val="24"/>
          <w:szCs w:val="24"/>
        </w:rPr>
      </w:pPr>
    </w:p>
    <w:p w:rsidR="00AE2500" w:rsidRDefault="00AE2500" w:rsidP="00AE2500">
      <w:pPr>
        <w:spacing w:before="120"/>
        <w:rPr>
          <w:b/>
          <w:sz w:val="24"/>
          <w:szCs w:val="24"/>
        </w:rPr>
      </w:pPr>
      <w:r w:rsidRPr="00347306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 čl. II</w:t>
      </w:r>
    </w:p>
    <w:p w:rsidR="00AE2500" w:rsidRPr="00CA1711" w:rsidRDefault="00AE2500" w:rsidP="00AE2500">
      <w:pPr>
        <w:spacing w:before="120"/>
        <w:jc w:val="both"/>
        <w:rPr>
          <w:sz w:val="24"/>
          <w:szCs w:val="24"/>
        </w:rPr>
      </w:pPr>
      <w:r w:rsidRPr="00CA1711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CA1711">
        <w:rPr>
          <w:sz w:val="24"/>
          <w:szCs w:val="24"/>
        </w:rPr>
        <w:t>ohledem</w:t>
      </w:r>
      <w:r>
        <w:rPr>
          <w:sz w:val="24"/>
          <w:szCs w:val="24"/>
        </w:rPr>
        <w:t xml:space="preserve"> na současnou situaci, kdy již </w:t>
      </w:r>
      <w:r w:rsidRPr="00CA1711">
        <w:rPr>
          <w:sz w:val="24"/>
          <w:szCs w:val="24"/>
        </w:rPr>
        <w:t xml:space="preserve">Světová zdravotnická organizace (WHO) prohlásila epidemii </w:t>
      </w:r>
      <w:proofErr w:type="spellStart"/>
      <w:r w:rsidRPr="00CA1711">
        <w:rPr>
          <w:sz w:val="24"/>
          <w:szCs w:val="24"/>
        </w:rPr>
        <w:t>koronaviru</w:t>
      </w:r>
      <w:proofErr w:type="spellEnd"/>
      <w:r w:rsidRPr="00CA1711">
        <w:rPr>
          <w:sz w:val="24"/>
          <w:szCs w:val="24"/>
        </w:rPr>
        <w:t xml:space="preserve"> SARS-CoV-2 za pandemii</w:t>
      </w:r>
      <w:r>
        <w:rPr>
          <w:sz w:val="24"/>
          <w:szCs w:val="24"/>
        </w:rPr>
        <w:t xml:space="preserve">, nelze postupovat podle § 3 odst. 3 zákona č. 309/1999 Sb., o Sbírce zákonů a </w:t>
      </w:r>
      <w:r w:rsidRPr="00CA1711">
        <w:rPr>
          <w:sz w:val="24"/>
          <w:szCs w:val="24"/>
        </w:rPr>
        <w:t>o Sbírce mezinárodních smluv</w:t>
      </w:r>
      <w:r>
        <w:rPr>
          <w:sz w:val="24"/>
          <w:szCs w:val="24"/>
        </w:rPr>
        <w:t>, tj. nelze stanovit účinnost k </w:t>
      </w:r>
      <w:r w:rsidRPr="00CA1711">
        <w:rPr>
          <w:sz w:val="24"/>
          <w:szCs w:val="24"/>
        </w:rPr>
        <w:t>1. lednu nebo k 1. červenci kalendářního roku.</w:t>
      </w:r>
      <w:r>
        <w:rPr>
          <w:sz w:val="24"/>
          <w:szCs w:val="24"/>
        </w:rPr>
        <w:t xml:space="preserve"> Naopak vzhledem k tomu, že nařízení vlády je vydáváno v souvislosti s vyhlášeným nouzovým stavem, je třeba stanovit datum účinnosti co nejdříve, tj. dnem vyhlášení tohoto nařízení vlády ve Sbírce zákonů.</w:t>
      </w:r>
    </w:p>
    <w:p w:rsidR="00AE2500" w:rsidRPr="00CA1711" w:rsidRDefault="00AE2500" w:rsidP="00AE2500">
      <w:pPr>
        <w:spacing w:before="120"/>
        <w:rPr>
          <w:sz w:val="24"/>
          <w:szCs w:val="24"/>
        </w:rPr>
      </w:pPr>
      <w:r w:rsidRPr="00CA17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E2500" w:rsidRPr="000517B1" w:rsidRDefault="00AE2500" w:rsidP="00AE2500">
      <w:pPr>
        <w:spacing w:before="120"/>
        <w:rPr>
          <w:sz w:val="24"/>
          <w:szCs w:val="24"/>
        </w:rPr>
      </w:pPr>
    </w:p>
    <w:p w:rsidR="00AE2500" w:rsidRDefault="00AE2500" w:rsidP="00AE2500"/>
    <w:p w:rsidR="00AE2500" w:rsidRDefault="00AE2500" w:rsidP="00AE2500"/>
    <w:p w:rsidR="00F82157" w:rsidRDefault="00F82157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/>
    <w:p w:rsidR="00420700" w:rsidRDefault="00420700" w:rsidP="00420700">
      <w:pPr>
        <w:jc w:val="right"/>
      </w:pPr>
      <w:r>
        <w:lastRenderedPageBreak/>
        <w:t>V.</w:t>
      </w:r>
    </w:p>
    <w:p w:rsidR="00420700" w:rsidRPr="00420700" w:rsidRDefault="00420700" w:rsidP="00420700">
      <w:pPr>
        <w:jc w:val="center"/>
        <w:rPr>
          <w:b/>
          <w:sz w:val="28"/>
        </w:rPr>
      </w:pPr>
      <w:r w:rsidRPr="00420700">
        <w:rPr>
          <w:b/>
          <w:sz w:val="28"/>
        </w:rPr>
        <w:t>Platné znění s vyznačením navrhovaných změn</w:t>
      </w:r>
    </w:p>
    <w:p w:rsidR="00420700" w:rsidRPr="00420700" w:rsidRDefault="00420700" w:rsidP="00420700">
      <w:pPr>
        <w:jc w:val="right"/>
        <w:rPr>
          <w:sz w:val="28"/>
        </w:rPr>
      </w:pPr>
    </w:p>
    <w:p w:rsidR="00420700" w:rsidRPr="00420700" w:rsidRDefault="00420700" w:rsidP="00420700">
      <w:pPr>
        <w:jc w:val="right"/>
        <w:rPr>
          <w:sz w:val="28"/>
        </w:rPr>
      </w:pPr>
      <w:r w:rsidRPr="00420700">
        <w:rPr>
          <w:sz w:val="28"/>
        </w:rPr>
        <w:t>Příloha 1</w:t>
      </w:r>
    </w:p>
    <w:p w:rsidR="00420700" w:rsidRPr="00420700" w:rsidRDefault="00420700" w:rsidP="00420700">
      <w:pPr>
        <w:rPr>
          <w:sz w:val="28"/>
        </w:rPr>
      </w:pPr>
    </w:p>
    <w:p w:rsidR="00420700" w:rsidRPr="00420700" w:rsidRDefault="00420700" w:rsidP="00420700">
      <w:pPr>
        <w:jc w:val="center"/>
        <w:rPr>
          <w:sz w:val="28"/>
        </w:rPr>
      </w:pPr>
      <w:r w:rsidRPr="00420700">
        <w:rPr>
          <w:sz w:val="28"/>
        </w:rPr>
        <w:t>Nakažlivé lidské nemoci pro účely trestního zákoníku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>AIDS (syndrom získané imunodeficience) včetně nosičství viru HIV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>amébová úplavice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>dávivý kašel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 xml:space="preserve">cholera </w:t>
      </w:r>
    </w:p>
    <w:p w:rsidR="00420700" w:rsidRPr="00420700" w:rsidRDefault="00420700" w:rsidP="00420700">
      <w:pPr>
        <w:rPr>
          <w:sz w:val="28"/>
        </w:rPr>
      </w:pPr>
      <w:proofErr w:type="spellStart"/>
      <w:r w:rsidRPr="00420700">
        <w:rPr>
          <w:sz w:val="28"/>
        </w:rPr>
        <w:t>hemorhagické</w:t>
      </w:r>
      <w:proofErr w:type="spellEnd"/>
      <w:r w:rsidRPr="00420700">
        <w:rPr>
          <w:sz w:val="28"/>
        </w:rPr>
        <w:t xml:space="preserve"> horečky (např. </w:t>
      </w:r>
      <w:proofErr w:type="spellStart"/>
      <w:r w:rsidRPr="00420700">
        <w:rPr>
          <w:sz w:val="28"/>
        </w:rPr>
        <w:t>Ebola</w:t>
      </w:r>
      <w:proofErr w:type="spellEnd"/>
      <w:r w:rsidRPr="00420700">
        <w:rPr>
          <w:sz w:val="28"/>
        </w:rPr>
        <w:t xml:space="preserve">, </w:t>
      </w:r>
      <w:proofErr w:type="spellStart"/>
      <w:r w:rsidRPr="00420700">
        <w:rPr>
          <w:sz w:val="28"/>
        </w:rPr>
        <w:t>Marburg</w:t>
      </w:r>
      <w:proofErr w:type="spellEnd"/>
      <w:r w:rsidRPr="00420700">
        <w:rPr>
          <w:sz w:val="28"/>
        </w:rPr>
        <w:t>)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 xml:space="preserve">mor 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>ornitóza a psit</w:t>
      </w:r>
      <w:bookmarkStart w:id="0" w:name="_GoBack"/>
      <w:bookmarkEnd w:id="0"/>
      <w:r w:rsidRPr="00420700">
        <w:rPr>
          <w:sz w:val="28"/>
        </w:rPr>
        <w:t>akóza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>otravy a nákazy infekčního původu šířené potravinami a vodou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>pohlavní nemoci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 xml:space="preserve">salmonelózy 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 xml:space="preserve">SARS (Severe </w:t>
      </w:r>
      <w:proofErr w:type="spellStart"/>
      <w:r w:rsidRPr="00420700">
        <w:rPr>
          <w:sz w:val="28"/>
        </w:rPr>
        <w:t>acute</w:t>
      </w:r>
      <w:proofErr w:type="spellEnd"/>
      <w:r w:rsidRPr="00420700">
        <w:rPr>
          <w:sz w:val="28"/>
        </w:rPr>
        <w:t xml:space="preserve"> </w:t>
      </w:r>
      <w:proofErr w:type="spellStart"/>
      <w:r w:rsidRPr="00420700">
        <w:rPr>
          <w:sz w:val="28"/>
        </w:rPr>
        <w:t>respiratory</w:t>
      </w:r>
      <w:proofErr w:type="spellEnd"/>
      <w:r w:rsidRPr="00420700">
        <w:rPr>
          <w:sz w:val="28"/>
        </w:rPr>
        <w:t xml:space="preserve"> syndrome - těžký akutní respirační syndrom)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 xml:space="preserve">trachom 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 xml:space="preserve">trichinóza 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 xml:space="preserve">tuberkulóza 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 xml:space="preserve">tyf břišní a </w:t>
      </w:r>
      <w:proofErr w:type="spellStart"/>
      <w:r w:rsidRPr="00420700">
        <w:rPr>
          <w:sz w:val="28"/>
        </w:rPr>
        <w:t>paratyf</w:t>
      </w:r>
      <w:proofErr w:type="spellEnd"/>
      <w:r w:rsidRPr="00420700">
        <w:rPr>
          <w:sz w:val="28"/>
        </w:rPr>
        <w:t xml:space="preserve"> B včetně nosičství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>tyf skvrnitý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>úplavice bacilární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>virové hepatitidy včetně nosičství viru hepatitidy B</w:t>
      </w:r>
    </w:p>
    <w:p w:rsidR="00420700" w:rsidRPr="00420700" w:rsidRDefault="00420700" w:rsidP="00420700">
      <w:pPr>
        <w:rPr>
          <w:sz w:val="28"/>
        </w:rPr>
      </w:pPr>
      <w:r w:rsidRPr="00420700">
        <w:rPr>
          <w:sz w:val="28"/>
        </w:rPr>
        <w:t>záškrt</w:t>
      </w:r>
    </w:p>
    <w:p w:rsidR="00420700" w:rsidRPr="00420700" w:rsidRDefault="00420700" w:rsidP="00420700">
      <w:pPr>
        <w:rPr>
          <w:b/>
          <w:sz w:val="28"/>
        </w:rPr>
      </w:pPr>
      <w:r w:rsidRPr="00420700">
        <w:rPr>
          <w:b/>
          <w:sz w:val="28"/>
        </w:rPr>
        <w:t>COVID-19</w:t>
      </w:r>
    </w:p>
    <w:p w:rsidR="00420700" w:rsidRDefault="00420700"/>
    <w:sectPr w:rsidR="00420700" w:rsidSect="00E306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00" w:rsidRDefault="00AE2500" w:rsidP="00AE2500">
      <w:r>
        <w:separator/>
      </w:r>
    </w:p>
  </w:endnote>
  <w:endnote w:type="continuationSeparator" w:id="0">
    <w:p w:rsidR="00AE2500" w:rsidRDefault="00AE2500" w:rsidP="00AE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631" w:rsidRPr="00F30288" w:rsidRDefault="00AE2500" w:rsidP="00E30631">
    <w:pPr>
      <w:pStyle w:val="Zpat"/>
      <w:tabs>
        <w:tab w:val="left" w:pos="5130"/>
      </w:tabs>
      <w:rPr>
        <w:sz w:val="24"/>
        <w:szCs w:val="24"/>
      </w:rPr>
    </w:pPr>
    <w:r>
      <w:tab/>
    </w:r>
    <w:sdt>
      <w:sdtPr>
        <w:id w:val="-1810616258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Pr="00F30288">
          <w:rPr>
            <w:sz w:val="24"/>
            <w:szCs w:val="24"/>
          </w:rPr>
          <w:fldChar w:fldCharType="begin"/>
        </w:r>
        <w:r w:rsidRPr="00F30288">
          <w:rPr>
            <w:sz w:val="24"/>
            <w:szCs w:val="24"/>
          </w:rPr>
          <w:instrText>PAGE   \* MERGEFORMAT</w:instrText>
        </w:r>
        <w:r w:rsidRPr="00F30288">
          <w:rPr>
            <w:sz w:val="24"/>
            <w:szCs w:val="24"/>
          </w:rPr>
          <w:fldChar w:fldCharType="separate"/>
        </w:r>
        <w:r w:rsidR="00420700">
          <w:rPr>
            <w:noProof/>
            <w:sz w:val="24"/>
            <w:szCs w:val="24"/>
          </w:rPr>
          <w:t>3</w:t>
        </w:r>
        <w:r w:rsidRPr="00F30288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</w:r>
  </w:p>
  <w:p w:rsidR="00E30631" w:rsidRDefault="004207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00" w:rsidRDefault="00AE2500" w:rsidP="00AE2500">
      <w:r>
        <w:separator/>
      </w:r>
    </w:p>
  </w:footnote>
  <w:footnote w:type="continuationSeparator" w:id="0">
    <w:p w:rsidR="00AE2500" w:rsidRDefault="00AE2500" w:rsidP="00AE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75C9"/>
    <w:multiLevelType w:val="hybridMultilevel"/>
    <w:tmpl w:val="D17AB426"/>
    <w:lvl w:ilvl="0" w:tplc="6452F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00"/>
    <w:rsid w:val="00420700"/>
    <w:rsid w:val="005B066A"/>
    <w:rsid w:val="005D56AD"/>
    <w:rsid w:val="00834857"/>
    <w:rsid w:val="00942424"/>
    <w:rsid w:val="009A458F"/>
    <w:rsid w:val="00AE2500"/>
    <w:rsid w:val="00BE2F8C"/>
    <w:rsid w:val="00CC4621"/>
    <w:rsid w:val="00E37905"/>
    <w:rsid w:val="00F8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9297"/>
  <w15:chartTrackingRefBased/>
  <w15:docId w15:val="{724AE2F9-FF5D-42E1-A00A-B0071BCC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500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">
    <w:name w:val="Návrh"/>
    <w:basedOn w:val="Normln"/>
    <w:next w:val="Normln"/>
    <w:rsid w:val="00AE2500"/>
    <w:pPr>
      <w:keepNext/>
      <w:keepLines/>
      <w:spacing w:after="240"/>
      <w:jc w:val="center"/>
      <w:outlineLvl w:val="0"/>
    </w:pPr>
    <w:rPr>
      <w:spacing w:val="40"/>
      <w:sz w:val="24"/>
    </w:rPr>
  </w:style>
  <w:style w:type="paragraph" w:customStyle="1" w:styleId="Default">
    <w:name w:val="Default"/>
    <w:rsid w:val="00AE25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AE2500"/>
    <w:pPr>
      <w:spacing w:after="120"/>
      <w:ind w:left="283"/>
    </w:pPr>
    <w:rPr>
      <w:rFonts w:eastAsia="Times New Roman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2500"/>
    <w:rPr>
      <w:rFonts w:ascii="Times New Roman" w:eastAsia="Times New Roman" w:hAnsi="Times New Roman" w:cs="Times New Roman"/>
      <w:sz w:val="16"/>
      <w:szCs w:val="16"/>
    </w:rPr>
  </w:style>
  <w:style w:type="paragraph" w:customStyle="1" w:styleId="Textdopisu">
    <w:name w:val="Text dopisu"/>
    <w:basedOn w:val="Normln"/>
    <w:rsid w:val="00AE2500"/>
    <w:pPr>
      <w:overflowPunct w:val="0"/>
      <w:autoSpaceDE w:val="0"/>
      <w:autoSpaceDN w:val="0"/>
      <w:adjustRightInd w:val="0"/>
      <w:ind w:firstLine="544"/>
      <w:jc w:val="both"/>
    </w:pPr>
    <w:rPr>
      <w:rFonts w:eastAsia="Times New Roman"/>
      <w:sz w:val="24"/>
    </w:rPr>
  </w:style>
  <w:style w:type="paragraph" w:styleId="Textpoznpodarou">
    <w:name w:val="footnote text"/>
    <w:aliases w:val="Schriftart: 9 pt,Schriftart: 10 pt,Schriftart: 8 pt,Char"/>
    <w:basedOn w:val="Normln"/>
    <w:link w:val="TextpoznpodarouChar"/>
    <w:uiPriority w:val="99"/>
    <w:unhideWhenUsed/>
    <w:rsid w:val="00AE2500"/>
  </w:style>
  <w:style w:type="character" w:customStyle="1" w:styleId="TextpoznpodarouChar">
    <w:name w:val="Text pozn. pod čarou Char"/>
    <w:aliases w:val="Schriftart: 9 pt Char,Schriftart: 10 pt Char,Schriftart: 8 pt Char,Char Char"/>
    <w:basedOn w:val="Standardnpsmoodstavce"/>
    <w:link w:val="Textpoznpodarou"/>
    <w:uiPriority w:val="99"/>
    <w:rsid w:val="00AE2500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E2500"/>
    <w:rPr>
      <w:vertAlign w:val="superscript"/>
    </w:rPr>
  </w:style>
  <w:style w:type="paragraph" w:customStyle="1" w:styleId="Odrkavtextudopisu">
    <w:name w:val="Odrážka v textu dopisu"/>
    <w:basedOn w:val="Textdopisu"/>
    <w:rsid w:val="00AE2500"/>
    <w:pPr>
      <w:overflowPunct/>
      <w:autoSpaceDE/>
      <w:autoSpaceDN/>
      <w:adjustRightInd/>
      <w:spacing w:before="80" w:after="80"/>
      <w:ind w:left="720" w:hanging="360"/>
    </w:pPr>
    <w:rPr>
      <w:szCs w:val="24"/>
    </w:rPr>
  </w:style>
  <w:style w:type="character" w:customStyle="1" w:styleId="A3">
    <w:name w:val="A3"/>
    <w:uiPriority w:val="99"/>
    <w:rsid w:val="00AE2500"/>
    <w:rPr>
      <w:color w:val="00000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AE25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500"/>
    <w:rPr>
      <w:rFonts w:ascii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E2500"/>
    <w:pPr>
      <w:spacing w:after="0" w:line="240" w:lineRule="auto"/>
    </w:pPr>
    <w:rPr>
      <w:rFonts w:ascii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9424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2424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D2C1E4DA</Template>
  <TotalTime>0</TotalTime>
  <Pages>4</Pages>
  <Words>965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Forejt Petr Mgr.</dc:creator>
  <cp:keywords/>
  <dc:description/>
  <cp:lastModifiedBy>Machálková Lucie, Mgr.</cp:lastModifiedBy>
  <cp:revision>3</cp:revision>
  <dcterms:created xsi:type="dcterms:W3CDTF">2020-03-13T13:17:00Z</dcterms:created>
  <dcterms:modified xsi:type="dcterms:W3CDTF">2020-03-13T13:18:00Z</dcterms:modified>
</cp:coreProperties>
</file>