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89" w:rsidRDefault="009F0589" w:rsidP="00A50FCA">
      <w:pPr>
        <w:pStyle w:val="Nadpishlavn"/>
        <w:ind w:firstLine="0"/>
      </w:pPr>
      <w:r>
        <w:t>Informace pro kandidáty na funkci soudce</w:t>
      </w:r>
      <w:r w:rsidR="00A14A7D">
        <w:t xml:space="preserve"> Tribunálu Soudního dvora </w:t>
      </w:r>
      <w:r>
        <w:t>Evropské unie</w:t>
      </w:r>
      <w:r w:rsidR="00A50FCA">
        <w:br/>
      </w:r>
      <w:r>
        <w:t>o zpracování osobních údajů ve výběrovém řízení</w:t>
      </w:r>
    </w:p>
    <w:p w:rsidR="009F0589" w:rsidRPr="009F0589" w:rsidRDefault="009F0589" w:rsidP="00A50FCA">
      <w:pPr>
        <w:pStyle w:val="Nadpishlavn"/>
        <w:ind w:firstLine="0"/>
        <w:rPr>
          <w:sz w:val="24"/>
          <w:szCs w:val="24"/>
        </w:rPr>
      </w:pPr>
      <w:r w:rsidRPr="009F0589">
        <w:rPr>
          <w:sz w:val="24"/>
          <w:szCs w:val="24"/>
        </w:rPr>
        <w:t xml:space="preserve">podle článku 13 nařízení Evropského parlamentu a Rady (EU) </w:t>
      </w:r>
      <w:r>
        <w:rPr>
          <w:sz w:val="24"/>
          <w:szCs w:val="24"/>
        </w:rPr>
        <w:t>č. </w:t>
      </w:r>
      <w:r w:rsidRPr="009F0589">
        <w:rPr>
          <w:sz w:val="24"/>
          <w:szCs w:val="24"/>
        </w:rPr>
        <w:t>2016/679</w:t>
      </w:r>
      <w:r>
        <w:rPr>
          <w:sz w:val="24"/>
          <w:szCs w:val="24"/>
        </w:rPr>
        <w:br/>
      </w:r>
      <w:r w:rsidRPr="009F0589">
        <w:rPr>
          <w:sz w:val="24"/>
          <w:szCs w:val="24"/>
        </w:rPr>
        <w:t>ze dne 27. dubna 2016 o ochraně fyzických osob v souvislosti se zpracováním osobních údajů a o volném pohybu těchto údajů a o zrušení směrnice 95/46/ES</w:t>
      </w:r>
    </w:p>
    <w:p w:rsidR="009F0589" w:rsidRDefault="009F0589" w:rsidP="009F0589">
      <w:pPr>
        <w:pStyle w:val="Nadpisoddlu"/>
      </w:pPr>
      <w:r>
        <w:t xml:space="preserve">Kdo je správce Vašich osobních údajů a jaké jsou jeho kontaktní údaje? </w:t>
      </w:r>
    </w:p>
    <w:p w:rsidR="009F0589" w:rsidRDefault="009F0589" w:rsidP="009F0589">
      <w:pPr>
        <w:pStyle w:val="Textodstavce"/>
      </w:pPr>
      <w:r>
        <w:t xml:space="preserve">Správcem Vašich osobních údajů je Ministerstva spravedlnosti, IČO: 00025429, se sídlem Vyšehradská 424/16, 128 00 Praha 2 – Nové Město, ID datové schránky: kq4aawz. Kontaktní osobou správce je ve výzvě uvedená koordinátorka mezinárodní agendy.  </w:t>
      </w:r>
    </w:p>
    <w:p w:rsidR="009F0589" w:rsidRDefault="009F0589" w:rsidP="009F0589">
      <w:pPr>
        <w:pStyle w:val="Nadpisoddlu"/>
      </w:pPr>
      <w:r>
        <w:t xml:space="preserve">Kdo je pověřencem pro ochranu osobních údajů? </w:t>
      </w:r>
    </w:p>
    <w:p w:rsidR="009F0589" w:rsidRDefault="009F0589" w:rsidP="009F0589">
      <w:pPr>
        <w:pStyle w:val="Textodstavce"/>
      </w:pPr>
      <w:r>
        <w:t xml:space="preserve">Funkci pověřence pro ochranu osobních údajů vykonává Mgr. Jan Panoš, státní zaměstnanec Ministerstva spravedlnosti, tel.: +420 221 997 476, e-mail: poverenec@msp.justice.cz. </w:t>
      </w:r>
    </w:p>
    <w:p w:rsidR="009F0589" w:rsidRDefault="009F0589" w:rsidP="009F0589">
      <w:pPr>
        <w:pStyle w:val="Nadpisoddlu"/>
      </w:pPr>
      <w:r>
        <w:t xml:space="preserve">Jaké osobní údaje shromažďujeme? </w:t>
      </w:r>
    </w:p>
    <w:p w:rsidR="009F0589" w:rsidRDefault="009F0589" w:rsidP="009F0589">
      <w:pPr>
        <w:pStyle w:val="Textodstavce"/>
      </w:pPr>
      <w:r>
        <w:t>Shromažďujeme osobní údaje, které jste nám poskytl/a v rámci přihlášky, životopisu či dalších dokladů zaslaných v rámci vyhlášeného výběrového řízení.</w:t>
      </w:r>
    </w:p>
    <w:p w:rsidR="009F0589" w:rsidRDefault="009F0589" w:rsidP="009F0589">
      <w:pPr>
        <w:pStyle w:val="Nadpisoddlu"/>
      </w:pPr>
      <w:r>
        <w:t xml:space="preserve">K jakému účelu Vaše osobní údaje vyžadujeme? </w:t>
      </w:r>
    </w:p>
    <w:p w:rsidR="009F0589" w:rsidRPr="00A14A7D" w:rsidRDefault="009F0589" w:rsidP="009F0589">
      <w:pPr>
        <w:pStyle w:val="Textodstavce"/>
        <w:rPr>
          <w:rFonts w:asciiTheme="minorHAnsi" w:hAnsiTheme="minorHAnsi" w:cstheme="minorHAnsi"/>
          <w:szCs w:val="22"/>
        </w:rPr>
      </w:pPr>
      <w:r>
        <w:t xml:space="preserve">Osobní údaje, které jste nám poskytl/a v přihlášce, v životopisu a v dalších Vámi předložených dokladech a které se vztahují k průběhu vyhlášeného výběrového řízení, zpracováváme za účelem plnění právních povinností pro zabezpečení výběru vhodných kandidátů na funkci </w:t>
      </w:r>
      <w:r w:rsidRPr="00A14A7D">
        <w:rPr>
          <w:rFonts w:asciiTheme="minorHAnsi" w:hAnsiTheme="minorHAnsi" w:cstheme="minorHAnsi"/>
          <w:szCs w:val="22"/>
        </w:rPr>
        <w:t xml:space="preserve">soudce </w:t>
      </w:r>
      <w:r w:rsidR="00A14A7D" w:rsidRPr="00A14A7D">
        <w:rPr>
          <w:rFonts w:asciiTheme="minorHAnsi" w:hAnsiTheme="minorHAnsi" w:cstheme="minorHAnsi"/>
          <w:szCs w:val="22"/>
        </w:rPr>
        <w:t xml:space="preserve">Tribunálu </w:t>
      </w:r>
      <w:r w:rsidR="00A14A7D" w:rsidRPr="00A14A7D">
        <w:rPr>
          <w:rFonts w:asciiTheme="minorHAnsi" w:hAnsiTheme="minorHAnsi" w:cstheme="minorHAnsi"/>
          <w:szCs w:val="22"/>
        </w:rPr>
        <w:t>Soudního dvora Evropské unie k plnění právní povinnosti stanovené čl. 253 Smlouvy o fungování Evropské unie</w:t>
      </w:r>
      <w:r w:rsidRPr="00A14A7D">
        <w:rPr>
          <w:rFonts w:asciiTheme="minorHAnsi" w:hAnsiTheme="minorHAnsi" w:cstheme="minorHAnsi"/>
          <w:szCs w:val="22"/>
        </w:rPr>
        <w:t>.</w:t>
      </w:r>
    </w:p>
    <w:p w:rsidR="009F0589" w:rsidRDefault="009F0589" w:rsidP="009F0589">
      <w:pPr>
        <w:pStyle w:val="Nadpisoddlu"/>
      </w:pPr>
      <w:r>
        <w:t xml:space="preserve">Jak zpracováváme Vaše osobní údaje? </w:t>
      </w:r>
    </w:p>
    <w:p w:rsidR="009F0589" w:rsidRDefault="009F0589" w:rsidP="009F0589">
      <w:pPr>
        <w:pStyle w:val="Textodstavce"/>
      </w:pPr>
      <w:r>
        <w:t>Vaše osobní údaje jsou zpracovávány v analogové formě ve spisu a v elektronické formě v systému ESSL Ministerstva spravedlnosti.</w:t>
      </w:r>
    </w:p>
    <w:p w:rsidR="009F0589" w:rsidRDefault="009F0589" w:rsidP="009F0589">
      <w:pPr>
        <w:pStyle w:val="Nadpisoddlu"/>
      </w:pPr>
      <w:r>
        <w:t xml:space="preserve"> Komu mohou být Vaše osobní údaje předány? </w:t>
      </w:r>
    </w:p>
    <w:p w:rsidR="009F0589" w:rsidRDefault="009F0589" w:rsidP="009F0589">
      <w:pPr>
        <w:pStyle w:val="Textodstavce"/>
      </w:pPr>
      <w:r>
        <w:t xml:space="preserve">Vaše osobní údaje jsou předávány členům výběrové komise. Osobní údaje </w:t>
      </w:r>
      <w:r w:rsidR="00A14A7D">
        <w:t>nejúspěšnějšího kandidáta a prvního a druhého náhradníka</w:t>
      </w:r>
      <w:r>
        <w:t xml:space="preserve"> jsou v dalším řízení předávány:</w:t>
      </w:r>
    </w:p>
    <w:p w:rsidR="009F0589" w:rsidRDefault="009F0589" w:rsidP="009F0589">
      <w:pPr>
        <w:pStyle w:val="Textpsmena"/>
      </w:pPr>
      <w:r>
        <w:t>–</w:t>
      </w:r>
      <w:r>
        <w:tab/>
        <w:t>ministru/ministryni spravedlnosti,</w:t>
      </w:r>
    </w:p>
    <w:p w:rsidR="00A14A7D" w:rsidRDefault="009F0589" w:rsidP="00A14A7D">
      <w:pPr>
        <w:pStyle w:val="Textpsmena"/>
      </w:pPr>
      <w:r>
        <w:t>–</w:t>
      </w:r>
      <w:r>
        <w:tab/>
      </w:r>
      <w:r w:rsidR="00A14A7D">
        <w:t>Výboru pro evropské záležitosti Poslanecké sněmovny Parlamentu ČR,</w:t>
      </w:r>
    </w:p>
    <w:p w:rsidR="00A14A7D" w:rsidRDefault="00A14A7D" w:rsidP="00A14A7D">
      <w:pPr>
        <w:pStyle w:val="Textpsmena"/>
      </w:pPr>
      <w:r>
        <w:t>–</w:t>
      </w:r>
      <w:r>
        <w:tab/>
        <w:t>Výboru pro záležitosti EU Senátu Parlamentu ČR,</w:t>
      </w:r>
    </w:p>
    <w:p w:rsidR="009F0589" w:rsidRDefault="009F0589" w:rsidP="009F0589">
      <w:pPr>
        <w:pStyle w:val="Textpsmena"/>
      </w:pPr>
      <w:r>
        <w:t>–</w:t>
      </w:r>
      <w:r>
        <w:tab/>
        <w:t xml:space="preserve">vládě </w:t>
      </w:r>
      <w:r w:rsidR="00A14A7D">
        <w:t>ČR</w:t>
      </w:r>
      <w:r>
        <w:t>,</w:t>
      </w:r>
    </w:p>
    <w:p w:rsidR="00A14A7D" w:rsidRDefault="00A14A7D" w:rsidP="009F0589">
      <w:pPr>
        <w:pStyle w:val="Textpsmena"/>
      </w:pPr>
      <w:r>
        <w:t>–</w:t>
      </w:r>
      <w:r>
        <w:tab/>
        <w:t>Generálnímu sekretariátu Rady EU,</w:t>
      </w:r>
    </w:p>
    <w:p w:rsidR="009F0589" w:rsidRDefault="009F0589" w:rsidP="009F0589">
      <w:pPr>
        <w:pStyle w:val="Textpsmena"/>
      </w:pPr>
      <w:r>
        <w:t>–</w:t>
      </w:r>
      <w:r>
        <w:tab/>
      </w:r>
      <w:r w:rsidR="00A14A7D">
        <w:t>Výboru zřízenému v souladu s čl. 255 Smlouvy o fungování Evropské unie</w:t>
      </w:r>
      <w:r>
        <w:t>.</w:t>
      </w:r>
    </w:p>
    <w:p w:rsidR="009F0589" w:rsidRDefault="009F0589" w:rsidP="009F0589">
      <w:pPr>
        <w:pStyle w:val="Nadpisoddlu"/>
      </w:pPr>
      <w:r>
        <w:lastRenderedPageBreak/>
        <w:t xml:space="preserve">Jak dlouho uchováváme Vaše osobní údaje? </w:t>
      </w:r>
    </w:p>
    <w:p w:rsidR="009F0589" w:rsidRPr="00A14A7D" w:rsidRDefault="009F0589" w:rsidP="009F0589">
      <w:pPr>
        <w:pStyle w:val="Textodstavce"/>
        <w:rPr>
          <w:rFonts w:asciiTheme="minorHAnsi" w:hAnsiTheme="minorHAnsi" w:cstheme="minorHAnsi"/>
          <w:szCs w:val="22"/>
        </w:rPr>
      </w:pPr>
      <w:r>
        <w:t xml:space="preserve">Vaše osobní údaje uchováváme po </w:t>
      </w:r>
      <w:r w:rsidRPr="00A14A7D">
        <w:rPr>
          <w:rFonts w:asciiTheme="minorHAnsi" w:hAnsiTheme="minorHAnsi" w:cstheme="minorHAnsi"/>
          <w:szCs w:val="22"/>
        </w:rPr>
        <w:t xml:space="preserve">dobu tří měsíců od </w:t>
      </w:r>
      <w:r w:rsidR="00A14A7D" w:rsidRPr="00A14A7D">
        <w:rPr>
          <w:rFonts w:asciiTheme="minorHAnsi" w:hAnsiTheme="minorHAnsi" w:cstheme="minorHAnsi"/>
          <w:szCs w:val="22"/>
        </w:rPr>
        <w:t>ukončení výběrového řízení</w:t>
      </w:r>
      <w:r w:rsidRPr="00A14A7D">
        <w:rPr>
          <w:rFonts w:asciiTheme="minorHAnsi" w:hAnsiTheme="minorHAnsi" w:cstheme="minorHAnsi"/>
          <w:szCs w:val="22"/>
        </w:rPr>
        <w:t xml:space="preserve"> </w:t>
      </w:r>
      <w:r w:rsidR="00A14A7D" w:rsidRPr="00A14A7D">
        <w:rPr>
          <w:rFonts w:asciiTheme="minorHAnsi" w:hAnsiTheme="minorHAnsi" w:cstheme="minorHAnsi"/>
          <w:szCs w:val="22"/>
        </w:rPr>
        <w:t>a u uchazeče jmenovaného do funkce soudce</w:t>
      </w:r>
      <w:r w:rsidR="00A14A7D">
        <w:rPr>
          <w:rFonts w:asciiTheme="minorHAnsi" w:hAnsiTheme="minorHAnsi" w:cstheme="minorHAnsi"/>
          <w:szCs w:val="22"/>
        </w:rPr>
        <w:t xml:space="preserve"> Tribunálu</w:t>
      </w:r>
      <w:r w:rsidR="00A14A7D" w:rsidRPr="00A14A7D">
        <w:rPr>
          <w:rFonts w:asciiTheme="minorHAnsi" w:hAnsiTheme="minorHAnsi" w:cstheme="minorHAnsi"/>
          <w:szCs w:val="22"/>
        </w:rPr>
        <w:t xml:space="preserve"> Soudního dvora Evropské unie dále po dobu délky jeho funkčního období</w:t>
      </w:r>
      <w:r w:rsidRPr="00A14A7D">
        <w:rPr>
          <w:rFonts w:asciiTheme="minorHAnsi" w:hAnsiTheme="minorHAnsi" w:cstheme="minorHAnsi"/>
          <w:szCs w:val="22"/>
        </w:rPr>
        <w:t xml:space="preserve">.  </w:t>
      </w:r>
    </w:p>
    <w:p w:rsidR="009F0589" w:rsidRDefault="009F0589" w:rsidP="009F0589">
      <w:pPr>
        <w:pStyle w:val="Nadpisoddlu"/>
      </w:pPr>
      <w:r>
        <w:t xml:space="preserve"> Jsou Vaše osobní údaje předávány do zahraničí (státy mimo EU a mezinárodní organizace)? </w:t>
      </w:r>
    </w:p>
    <w:p w:rsidR="009F0589" w:rsidRDefault="009F0589" w:rsidP="009F0589">
      <w:pPr>
        <w:pStyle w:val="Textodstavce"/>
      </w:pPr>
      <w:r>
        <w:t>Vaše osobní údaje nejsou předáván</w:t>
      </w:r>
      <w:r w:rsidR="00A14A7D">
        <w:t>y do států mimo Evropskou unii.</w:t>
      </w:r>
    </w:p>
    <w:p w:rsidR="009F0589" w:rsidRDefault="009F0589" w:rsidP="009F0589">
      <w:pPr>
        <w:pStyle w:val="Nadpisoddlu"/>
      </w:pPr>
      <w:r>
        <w:t xml:space="preserve">Jaká jsou Vaše práva a povinnosti? </w:t>
      </w:r>
    </w:p>
    <w:p w:rsidR="009F0589" w:rsidRDefault="009F0589" w:rsidP="009F0589">
      <w:pPr>
        <w:pStyle w:val="Textodstavce"/>
      </w:pPr>
      <w:r>
        <w:t xml:space="preserve">V souladu se zpracováním osobních údajů Ministerstvem spravedlnosti můžete uplatnit následující práva: </w:t>
      </w:r>
    </w:p>
    <w:p w:rsidR="009F0589" w:rsidRDefault="009F0589" w:rsidP="009F0589">
      <w:pPr>
        <w:pStyle w:val="Textpsmena"/>
      </w:pPr>
      <w:r>
        <w:t>a)</w:t>
      </w:r>
      <w:r>
        <w:tab/>
        <w:t xml:space="preserve">právo na přístup k osobním údajům (článek 15 </w:t>
      </w:r>
      <w:r w:rsidRPr="009F0589">
        <w:t xml:space="preserve">nařízení </w:t>
      </w:r>
      <w:r>
        <w:t>č. </w:t>
      </w:r>
      <w:r w:rsidRPr="009F0589">
        <w:t>2016/679</w:t>
      </w:r>
      <w:r>
        <w:t>),</w:t>
      </w:r>
    </w:p>
    <w:p w:rsidR="009F0589" w:rsidRDefault="009F0589" w:rsidP="009F0589">
      <w:pPr>
        <w:pStyle w:val="Textpsmena"/>
      </w:pPr>
      <w:r>
        <w:t>b)</w:t>
      </w:r>
      <w:r>
        <w:tab/>
        <w:t xml:space="preserve">právo na opravu – doplnění (článek 16 </w:t>
      </w:r>
      <w:r w:rsidRPr="009F0589">
        <w:t xml:space="preserve">nařízení </w:t>
      </w:r>
      <w:r>
        <w:t>č. </w:t>
      </w:r>
      <w:r w:rsidRPr="009F0589">
        <w:t>2016/679</w:t>
      </w:r>
      <w:r>
        <w:t>),</w:t>
      </w:r>
    </w:p>
    <w:p w:rsidR="009F0589" w:rsidRDefault="009F0589" w:rsidP="009F0589">
      <w:pPr>
        <w:pStyle w:val="Textpsmena"/>
      </w:pPr>
      <w:r>
        <w:t>c)</w:t>
      </w:r>
      <w:r>
        <w:tab/>
        <w:t xml:space="preserve">právo na výmaz (článek 17 </w:t>
      </w:r>
      <w:r w:rsidRPr="009F0589">
        <w:t xml:space="preserve">nařízení </w:t>
      </w:r>
      <w:r>
        <w:t>č. </w:t>
      </w:r>
      <w:r w:rsidRPr="009F0589">
        <w:t>2016/679</w:t>
      </w:r>
      <w:r>
        <w:t>),</w:t>
      </w:r>
    </w:p>
    <w:p w:rsidR="009F0589" w:rsidRDefault="009F0589" w:rsidP="009F0589">
      <w:pPr>
        <w:pStyle w:val="Textpsmena"/>
      </w:pPr>
      <w:r>
        <w:t>d)</w:t>
      </w:r>
      <w:r>
        <w:tab/>
        <w:t xml:space="preserve">právo na omezení zpracování (článek 18 </w:t>
      </w:r>
      <w:r w:rsidRPr="009F0589">
        <w:t xml:space="preserve">nařízení </w:t>
      </w:r>
      <w:r>
        <w:t>č. </w:t>
      </w:r>
      <w:r w:rsidRPr="009F0589">
        <w:t>2016/679</w:t>
      </w:r>
      <w:r>
        <w:t>),</w:t>
      </w:r>
    </w:p>
    <w:p w:rsidR="009F0589" w:rsidRDefault="009F0589" w:rsidP="009F0589">
      <w:pPr>
        <w:pStyle w:val="Textpsmena"/>
      </w:pPr>
      <w:r>
        <w:t>e)</w:t>
      </w:r>
      <w:r>
        <w:tab/>
        <w:t xml:space="preserve">právo podat stížnost u dozorového úřadu (článek 77 </w:t>
      </w:r>
      <w:r w:rsidRPr="009F0589">
        <w:t xml:space="preserve">nařízení </w:t>
      </w:r>
      <w:r>
        <w:t>č. </w:t>
      </w:r>
      <w:r w:rsidRPr="009F0589">
        <w:t>2016/679</w:t>
      </w:r>
      <w:r>
        <w:t xml:space="preserve">). </w:t>
      </w:r>
    </w:p>
    <w:p w:rsidR="009F0589" w:rsidRDefault="009F0589" w:rsidP="009F0589">
      <w:pPr>
        <w:pStyle w:val="Textodstavce"/>
      </w:pPr>
      <w:r>
        <w:t xml:space="preserve">Podle čl. 21 odst. 1 </w:t>
      </w:r>
      <w:r w:rsidRPr="009F0589">
        <w:t xml:space="preserve">nařízení </w:t>
      </w:r>
      <w:r>
        <w:t>č. </w:t>
      </w:r>
      <w:r w:rsidRPr="009F0589">
        <w:t>2016/679</w:t>
      </w:r>
      <w:r>
        <w:t xml:space="preserve">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rsidR="009F0589" w:rsidRDefault="009F0589" w:rsidP="009F0589">
      <w:pPr>
        <w:pStyle w:val="Textodstavce"/>
      </w:pPr>
      <w:bookmarkStart w:id="0" w:name="_GoBack"/>
      <w:bookmarkEnd w:id="0"/>
    </w:p>
    <w:p w:rsidR="009F0589" w:rsidRDefault="009F0589" w:rsidP="009F0589">
      <w:pPr>
        <w:pStyle w:val="Textodstavce"/>
      </w:pPr>
      <w:r>
        <w:t xml:space="preserve">Potvrzuji, že jsem se seznámil/a s výše uvedenou informací. </w:t>
      </w:r>
    </w:p>
    <w:p w:rsidR="00425C45" w:rsidRDefault="00425C45" w:rsidP="009F0589">
      <w:pPr>
        <w:pStyle w:val="Textodstavce"/>
      </w:pPr>
    </w:p>
    <w:p w:rsidR="00425C45" w:rsidRDefault="00425C45" w:rsidP="009F0589">
      <w:pPr>
        <w:pStyle w:val="Textodstavce"/>
      </w:pPr>
    </w:p>
    <w:p w:rsidR="00425C45" w:rsidRDefault="00425C45" w:rsidP="009F0589">
      <w:pPr>
        <w:pStyle w:val="Textodstavce"/>
      </w:pPr>
    </w:p>
    <w:p w:rsidR="009F0589" w:rsidRDefault="009F0589" w:rsidP="009F0589">
      <w:pPr>
        <w:pStyle w:val="Textodstavce"/>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5C45" w:rsidTr="00425C45">
        <w:tc>
          <w:tcPr>
            <w:tcW w:w="4531" w:type="dxa"/>
          </w:tcPr>
          <w:p w:rsidR="00425C45" w:rsidRDefault="00425C45" w:rsidP="00425C45">
            <w:pPr>
              <w:pStyle w:val="Textodstavce"/>
              <w:ind w:firstLine="0"/>
              <w:jc w:val="center"/>
            </w:pPr>
            <w:r>
              <w:t>………………………………………………………………</w:t>
            </w:r>
          </w:p>
        </w:tc>
        <w:tc>
          <w:tcPr>
            <w:tcW w:w="4531" w:type="dxa"/>
          </w:tcPr>
          <w:p w:rsidR="00425C45" w:rsidRDefault="00425C45" w:rsidP="00425C45">
            <w:pPr>
              <w:pStyle w:val="Textodstavce"/>
              <w:ind w:firstLine="0"/>
              <w:jc w:val="center"/>
            </w:pPr>
            <w:r>
              <w:t>………………………………………………………………</w:t>
            </w:r>
          </w:p>
        </w:tc>
      </w:tr>
      <w:tr w:rsidR="00425C45" w:rsidTr="00425C45">
        <w:tc>
          <w:tcPr>
            <w:tcW w:w="4531" w:type="dxa"/>
          </w:tcPr>
          <w:p w:rsidR="00425C45" w:rsidRDefault="00425C45" w:rsidP="00425C45">
            <w:pPr>
              <w:pStyle w:val="Textodstavce"/>
              <w:ind w:firstLine="0"/>
              <w:jc w:val="center"/>
            </w:pPr>
            <w:r>
              <w:t>Místo a datum</w:t>
            </w:r>
          </w:p>
        </w:tc>
        <w:tc>
          <w:tcPr>
            <w:tcW w:w="4531" w:type="dxa"/>
          </w:tcPr>
          <w:p w:rsidR="00425C45" w:rsidRDefault="00425C45" w:rsidP="00425C45">
            <w:pPr>
              <w:pStyle w:val="Textodstavce"/>
              <w:ind w:firstLine="0"/>
              <w:jc w:val="center"/>
            </w:pPr>
            <w:r>
              <w:t>Podpis</w:t>
            </w:r>
          </w:p>
        </w:tc>
      </w:tr>
    </w:tbl>
    <w:p w:rsidR="00425C45" w:rsidRDefault="00425C45" w:rsidP="009F0589">
      <w:pPr>
        <w:pStyle w:val="Textodstavce"/>
      </w:pPr>
    </w:p>
    <w:p w:rsidR="009F0589" w:rsidRDefault="009F0589" w:rsidP="009F0589">
      <w:pPr>
        <w:pStyle w:val="Textodstavce"/>
      </w:pPr>
    </w:p>
    <w:sectPr w:rsidR="009F0589" w:rsidSect="00425C45">
      <w:footerReference w:type="even" r:id="rId6"/>
      <w:footerReference w:type="default" r:id="rId7"/>
      <w:pgSz w:w="11906" w:h="16838"/>
      <w:pgMar w:top="1418"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589" w:rsidRDefault="009F0589">
      <w:r>
        <w:separator/>
      </w:r>
    </w:p>
  </w:endnote>
  <w:endnote w:type="continuationSeparator" w:id="0">
    <w:p w:rsidR="009F0589" w:rsidRDefault="009F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2C" w:rsidRDefault="00150C2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50C2C" w:rsidRDefault="00150C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2C" w:rsidRPr="00F720E2" w:rsidRDefault="00150C2C">
    <w:pPr>
      <w:pStyle w:val="Zpat"/>
      <w:jc w:val="center"/>
      <w:rPr>
        <w:rFonts w:ascii="Calibri" w:hAnsi="Calibri"/>
      </w:rPr>
    </w:pPr>
    <w:r w:rsidRPr="00F720E2">
      <w:rPr>
        <w:rFonts w:ascii="Calibri" w:hAnsi="Calibri"/>
      </w:rPr>
      <w:t xml:space="preserve">— </w:t>
    </w:r>
    <w:r w:rsidRPr="00F720E2">
      <w:rPr>
        <w:rStyle w:val="slostrnky"/>
        <w:rFonts w:ascii="Calibri" w:hAnsi="Calibri"/>
      </w:rPr>
      <w:fldChar w:fldCharType="begin"/>
    </w:r>
    <w:r w:rsidRPr="00F720E2">
      <w:rPr>
        <w:rStyle w:val="slostrnky"/>
        <w:rFonts w:ascii="Calibri" w:hAnsi="Calibri"/>
      </w:rPr>
      <w:instrText xml:space="preserve"> PAGE </w:instrText>
    </w:r>
    <w:r w:rsidRPr="00F720E2">
      <w:rPr>
        <w:rStyle w:val="slostrnky"/>
        <w:rFonts w:ascii="Calibri" w:hAnsi="Calibri"/>
      </w:rPr>
      <w:fldChar w:fldCharType="separate"/>
    </w:r>
    <w:r w:rsidR="00A14A7D">
      <w:rPr>
        <w:rStyle w:val="slostrnky"/>
        <w:rFonts w:ascii="Calibri" w:hAnsi="Calibri"/>
        <w:noProof/>
      </w:rPr>
      <w:t>2</w:t>
    </w:r>
    <w:r w:rsidRPr="00F720E2">
      <w:rPr>
        <w:rStyle w:val="slostrnky"/>
        <w:rFonts w:ascii="Calibri" w:hAnsi="Calibri"/>
      </w:rPr>
      <w:fldChar w:fldCharType="end"/>
    </w:r>
    <w:r w:rsidR="00F720E2">
      <w:rPr>
        <w:rStyle w:val="slostrnky"/>
        <w:rFonts w:ascii="Calibri" w:hAnsi="Calibri"/>
      </w:rPr>
      <w:t>/</w:t>
    </w:r>
    <w:r w:rsidR="00582DFC">
      <w:rPr>
        <w:rStyle w:val="slostrnky"/>
        <w:rFonts w:ascii="Calibri" w:hAnsi="Calibri"/>
      </w:rPr>
      <w:fldChar w:fldCharType="begin"/>
    </w:r>
    <w:r w:rsidR="00582DFC">
      <w:rPr>
        <w:rStyle w:val="slostrnky"/>
        <w:rFonts w:ascii="Calibri" w:hAnsi="Calibri"/>
      </w:rPr>
      <w:instrText xml:space="preserve"> INFO  NumPages  \* MERGEFORMAT </w:instrText>
    </w:r>
    <w:r w:rsidR="00582DFC">
      <w:rPr>
        <w:rStyle w:val="slostrnky"/>
        <w:rFonts w:ascii="Calibri" w:hAnsi="Calibri"/>
      </w:rPr>
      <w:fldChar w:fldCharType="separate"/>
    </w:r>
    <w:r w:rsidR="009F0589">
      <w:rPr>
        <w:rStyle w:val="slostrnky"/>
        <w:rFonts w:ascii="Calibri" w:hAnsi="Calibri"/>
      </w:rPr>
      <w:t>2</w:t>
    </w:r>
    <w:r w:rsidR="00582DFC">
      <w:rPr>
        <w:rStyle w:val="slostrnky"/>
        <w:rFonts w:ascii="Calibri" w:hAnsi="Calibri"/>
      </w:rPr>
      <w:fldChar w:fldCharType="end"/>
    </w:r>
    <w:r w:rsidRPr="00F720E2">
      <w:rPr>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589" w:rsidRDefault="009F0589">
      <w:r>
        <w:separator/>
      </w:r>
    </w:p>
  </w:footnote>
  <w:footnote w:type="continuationSeparator" w:id="0">
    <w:p w:rsidR="009F0589" w:rsidRDefault="009F0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89"/>
    <w:rsid w:val="000A5683"/>
    <w:rsid w:val="00150C2C"/>
    <w:rsid w:val="001706F4"/>
    <w:rsid w:val="00221E33"/>
    <w:rsid w:val="0033473B"/>
    <w:rsid w:val="00425C45"/>
    <w:rsid w:val="00464178"/>
    <w:rsid w:val="00537F46"/>
    <w:rsid w:val="00582DFC"/>
    <w:rsid w:val="00787495"/>
    <w:rsid w:val="0084183F"/>
    <w:rsid w:val="00872FA9"/>
    <w:rsid w:val="008E53CF"/>
    <w:rsid w:val="008F718E"/>
    <w:rsid w:val="00982A94"/>
    <w:rsid w:val="009F0589"/>
    <w:rsid w:val="00A14A7D"/>
    <w:rsid w:val="00A50FCA"/>
    <w:rsid w:val="00A63103"/>
    <w:rsid w:val="00D007AE"/>
    <w:rsid w:val="00E3341C"/>
    <w:rsid w:val="00F30EE9"/>
    <w:rsid w:val="00F72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02972"/>
  <w15:chartTrackingRefBased/>
  <w15:docId w15:val="{BD34E1D4-0D39-44C5-BB25-42725A9F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both"/>
      <w:outlineLvl w:val="1"/>
    </w:pPr>
    <w:rPr>
      <w:sz w:val="24"/>
      <w:u w:val="single"/>
    </w:rPr>
  </w:style>
  <w:style w:type="paragraph" w:styleId="Nadpis3">
    <w:name w:val="heading 3"/>
    <w:basedOn w:val="Normln"/>
    <w:next w:val="Normln"/>
    <w:qFormat/>
    <w:pPr>
      <w:keepNext/>
      <w:jc w:val="both"/>
      <w:outlineLvl w:val="2"/>
    </w:pPr>
    <w:rPr>
      <w:b/>
      <w:bCs/>
      <w:i/>
      <w:iCs/>
      <w:sz w:val="24"/>
    </w:rPr>
  </w:style>
  <w:style w:type="paragraph" w:styleId="Nadpis4">
    <w:name w:val="heading 4"/>
    <w:basedOn w:val="Normln"/>
    <w:next w:val="Normln"/>
    <w:qFormat/>
    <w:pPr>
      <w:keepNext/>
      <w:outlineLvl w:val="3"/>
    </w:pPr>
    <w:rPr>
      <w:sz w:val="24"/>
      <w:u w:val="single"/>
    </w:rPr>
  </w:style>
  <w:style w:type="paragraph" w:styleId="Nadpis5">
    <w:name w:val="heading 5"/>
    <w:basedOn w:val="Normln"/>
    <w:next w:val="Normln"/>
    <w:qFormat/>
    <w:pPr>
      <w:keepNext/>
      <w:jc w:val="center"/>
      <w:outlineLvl w:val="4"/>
    </w:pPr>
    <w:rPr>
      <w:sz w:val="24"/>
    </w:rPr>
  </w:style>
  <w:style w:type="paragraph" w:styleId="Nadpis6">
    <w:name w:val="heading 6"/>
    <w:basedOn w:val="Normln"/>
    <w:next w:val="Normln"/>
    <w:qFormat/>
    <w:pPr>
      <w:keepNext/>
      <w:jc w:val="both"/>
      <w:outlineLvl w:val="5"/>
    </w:pPr>
    <w:rPr>
      <w:b/>
      <w:bCs/>
      <w:sz w:val="24"/>
      <w:u w:val="single"/>
    </w:rPr>
  </w:style>
  <w:style w:type="paragraph" w:styleId="Nadpis7">
    <w:name w:val="heading 7"/>
    <w:basedOn w:val="Normln"/>
    <w:next w:val="Normln"/>
    <w:qFormat/>
    <w:pPr>
      <w:keepNext/>
      <w:outlineLvl w:val="6"/>
    </w:pPr>
    <w:rPr>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pPr>
      <w:ind w:left="566" w:hanging="283"/>
    </w:pPr>
  </w:style>
  <w:style w:type="paragraph" w:styleId="Zpat">
    <w:name w:val="footer"/>
    <w:basedOn w:val="Normln"/>
    <w:semiHidden/>
    <w:pPr>
      <w:tabs>
        <w:tab w:val="center" w:pos="4536"/>
        <w:tab w:val="right" w:pos="9072"/>
      </w:tabs>
    </w:pPr>
    <w:rPr>
      <w:sz w:val="24"/>
    </w:r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Zkladntext">
    <w:name w:val="Body Text"/>
    <w:basedOn w:val="Normln"/>
    <w:semiHidden/>
    <w:rPr>
      <w:sz w:val="24"/>
    </w:rPr>
  </w:style>
  <w:style w:type="character" w:styleId="Siln">
    <w:name w:val="Strong"/>
    <w:qFormat/>
    <w:rPr>
      <w:b/>
      <w:bCs/>
    </w:rPr>
  </w:style>
  <w:style w:type="paragraph" w:customStyle="1" w:styleId="Nadpishlavn">
    <w:name w:val="Nadpis hlavní"/>
    <w:basedOn w:val="Textodstavce"/>
    <w:pPr>
      <w:pBdr>
        <w:top w:val="single" w:sz="12" w:space="4" w:color="auto" w:shadow="1"/>
        <w:left w:val="single" w:sz="12" w:space="4" w:color="auto" w:shadow="1"/>
        <w:bottom w:val="single" w:sz="12" w:space="4" w:color="auto" w:shadow="1"/>
        <w:right w:val="single" w:sz="12" w:space="4" w:color="auto" w:shadow="1"/>
      </w:pBdr>
      <w:jc w:val="center"/>
    </w:pPr>
    <w:rPr>
      <w:b/>
      <w:sz w:val="28"/>
    </w:rPr>
  </w:style>
  <w:style w:type="paragraph" w:customStyle="1" w:styleId="Textodstavce">
    <w:name w:val="Text odstavce"/>
    <w:basedOn w:val="Normln"/>
    <w:rsid w:val="00537F46"/>
    <w:pPr>
      <w:spacing w:before="120"/>
      <w:ind w:firstLine="709"/>
      <w:jc w:val="both"/>
    </w:pPr>
    <w:rPr>
      <w:rFonts w:ascii="Calibri" w:hAnsi="Calibri"/>
      <w:sz w:val="22"/>
    </w:rPr>
  </w:style>
  <w:style w:type="paragraph" w:customStyle="1" w:styleId="Nadpissti">
    <w:name w:val="Nadpis části"/>
    <w:basedOn w:val="Textodstavce"/>
    <w:pPr>
      <w:keepNext/>
      <w:keepLines/>
      <w:spacing w:before="640"/>
      <w:ind w:firstLine="0"/>
      <w:jc w:val="center"/>
    </w:pPr>
    <w:rPr>
      <w:b/>
      <w:caps/>
    </w:rPr>
  </w:style>
  <w:style w:type="paragraph" w:customStyle="1" w:styleId="Textpsmena">
    <w:name w:val="Text písmena"/>
    <w:basedOn w:val="Textodstavce"/>
    <w:pPr>
      <w:tabs>
        <w:tab w:val="left" w:pos="284"/>
        <w:tab w:val="left" w:pos="1068"/>
      </w:tabs>
      <w:ind w:left="284" w:hanging="284"/>
    </w:pPr>
  </w:style>
  <w:style w:type="paragraph" w:customStyle="1" w:styleId="Nadpispodsti">
    <w:name w:val="Nadpis podčásti"/>
    <w:basedOn w:val="Nadpissti"/>
    <w:rsid w:val="001706F4"/>
    <w:rPr>
      <w:b w:val="0"/>
      <w:bCs/>
      <w:smallCaps/>
    </w:rPr>
  </w:style>
  <w:style w:type="paragraph" w:customStyle="1" w:styleId="Rubrika">
    <w:name w:val="Rubrika"/>
    <w:basedOn w:val="Normln"/>
    <w:pPr>
      <w:keepNext/>
      <w:spacing w:before="120"/>
      <w:ind w:firstLine="709"/>
      <w:jc w:val="both"/>
    </w:pPr>
    <w:rPr>
      <w:b/>
      <w:bCs/>
      <w:i/>
      <w:sz w:val="24"/>
      <w:u w:val="dash"/>
    </w:rPr>
  </w:style>
  <w:style w:type="paragraph" w:customStyle="1" w:styleId="Nadpisoddlu">
    <w:name w:val="Nadpis oddílu"/>
    <w:basedOn w:val="Textodstavce"/>
    <w:pPr>
      <w:keepNext/>
      <w:spacing w:before="400"/>
      <w:ind w:firstLine="0"/>
      <w:jc w:val="center"/>
    </w:pPr>
    <w:rPr>
      <w:i/>
      <w:smallCaps/>
    </w:rPr>
  </w:style>
  <w:style w:type="paragraph" w:customStyle="1" w:styleId="Nadpispododdlu">
    <w:name w:val="Nadpis pododdílu"/>
    <w:basedOn w:val="Nadpisoddlu"/>
    <w:pPr>
      <w:spacing w:before="320"/>
    </w:pPr>
    <w:rPr>
      <w:smallCaps w:val="0"/>
    </w:rPr>
  </w:style>
  <w:style w:type="paragraph" w:customStyle="1" w:styleId="Nadpisvtextu">
    <w:name w:val="Nadpis v textu"/>
    <w:basedOn w:val="Nadpispododdlu"/>
    <w:rsid w:val="001706F4"/>
    <w:rPr>
      <w:i w:val="0"/>
    </w:rPr>
  </w:style>
  <w:style w:type="character" w:customStyle="1" w:styleId="Siln1">
    <w:name w:val="Silné1"/>
    <w:rPr>
      <w:b/>
    </w:rPr>
  </w:style>
  <w:style w:type="paragraph" w:customStyle="1" w:styleId="Podnadpis1">
    <w:name w:val="Podnadpis1"/>
    <w:basedOn w:val="Normln"/>
    <w:rsid w:val="00537F46"/>
    <w:rPr>
      <w:rFonts w:ascii="Book Antiqua" w:hAnsi="Book Antiqua"/>
      <w:i/>
      <w:szCs w:val="24"/>
    </w:rPr>
  </w:style>
  <w:style w:type="paragraph" w:customStyle="1" w:styleId="Hvzdiky">
    <w:name w:val="Hvězdičky"/>
    <w:basedOn w:val="Normln"/>
    <w:pPr>
      <w:spacing w:before="320" w:after="160"/>
      <w:jc w:val="center"/>
    </w:pPr>
  </w:style>
  <w:style w:type="paragraph" w:customStyle="1" w:styleId="Ministerstvospravedlnosti">
    <w:name w:val="Ministerstvo spravedlnosti"/>
    <w:rsid w:val="00537F46"/>
    <w:pPr>
      <w:spacing w:after="240"/>
    </w:pPr>
    <w:rPr>
      <w:rFonts w:ascii="Book Antiqua" w:hAnsi="Book Antiqua"/>
      <w:b/>
      <w:bCs/>
      <w:caps/>
      <w:sz w:val="24"/>
      <w:szCs w:val="24"/>
      <w14:shadow w14:blurRad="50800" w14:dist="38100" w14:dir="2700000" w14:sx="100000" w14:sy="100000" w14:kx="0" w14:ky="0" w14:algn="tl">
        <w14:srgbClr w14:val="000000">
          <w14:alpha w14:val="60000"/>
        </w14:srgbClr>
      </w14:shadow>
    </w:rPr>
  </w:style>
  <w:style w:type="paragraph" w:customStyle="1" w:styleId="Zvrenklauzule">
    <w:name w:val="Závěrečná klauzule"/>
    <w:basedOn w:val="Textpsmena"/>
    <w:autoRedefine/>
    <w:rsid w:val="00D007AE"/>
    <w:pPr>
      <w:ind w:left="0" w:firstLine="0"/>
    </w:pPr>
  </w:style>
  <w:style w:type="table" w:styleId="Mkatabulky">
    <w:name w:val="Table Grid"/>
    <w:basedOn w:val="Normlntabulka"/>
    <w:uiPriority w:val="59"/>
    <w:rsid w:val="0042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B2794A05</Template>
  <TotalTime>8</TotalTime>
  <Pages>2</Pages>
  <Words>500</Words>
  <Characters>3029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Stanovisko vlády České republiky</vt:lpstr>
    </vt:vector>
  </TitlesOfParts>
  <Company>MSp</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Stanovisko vlády České republiky</dc:title>
  <dc:subject/>
  <dc:creator>KVZ</dc:creator>
  <cp:keywords/>
  <cp:lastModifiedBy>Pelechová Marta</cp:lastModifiedBy>
  <cp:revision>3</cp:revision>
  <cp:lastPrinted>2002-07-09T15:11:00Z</cp:lastPrinted>
  <dcterms:created xsi:type="dcterms:W3CDTF">2020-07-31T09:16:00Z</dcterms:created>
  <dcterms:modified xsi:type="dcterms:W3CDTF">2020-07-31T09:29:00Z</dcterms:modified>
</cp:coreProperties>
</file>