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0B1AD4" w14:textId="77777777" w:rsidR="009C6C1F" w:rsidRPr="00BF00B6" w:rsidRDefault="00890295" w:rsidP="009C6C1F">
      <w:r>
        <w:rPr>
          <w:noProof/>
          <w:lang w:eastAsia="cs-CZ"/>
        </w:rPr>
        <mc:AlternateContent>
          <mc:Choice Requires="wps">
            <w:drawing>
              <wp:anchor distT="0" distB="0" distL="114300" distR="114300" simplePos="0" relativeHeight="251664896" behindDoc="0" locked="0" layoutInCell="1" allowOverlap="1" wp14:anchorId="2445358B" wp14:editId="0E23D484">
                <wp:simplePos x="0" y="0"/>
                <wp:positionH relativeFrom="column">
                  <wp:posOffset>1682750</wp:posOffset>
                </wp:positionH>
                <wp:positionV relativeFrom="paragraph">
                  <wp:posOffset>-193675</wp:posOffset>
                </wp:positionV>
                <wp:extent cx="4652010" cy="9850120"/>
                <wp:effectExtent l="0" t="0" r="0" b="0"/>
                <wp:wrapNone/>
                <wp:docPr id="124" name="Textové pole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52010" cy="9850120"/>
                        </a:xfrm>
                        <a:prstGeom prst="rect">
                          <a:avLst/>
                        </a:prstGeom>
                        <a:solidFill>
                          <a:sysClr val="window" lastClr="FFFFFF"/>
                        </a:solidFill>
                        <a:ln w="6350">
                          <a:noFill/>
                        </a:ln>
                        <a:effectLst/>
                      </wps:spPr>
                      <wps:txbx>
                        <w:txbxContent>
                          <w:p w14:paraId="25DDEA57" w14:textId="77777777" w:rsidR="00F2340E" w:rsidRPr="00751F1F"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4D73C9CC" w14:textId="77777777" w:rsidR="00F2340E"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2018:</w:t>
                            </w:r>
                          </w:p>
                          <w:p w14:paraId="6E1167CE" w14:textId="77777777" w:rsidR="00F2340E" w:rsidRPr="00751F1F"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2CC83BBA" w14:textId="77777777" w:rsidR="00F2340E" w:rsidRDefault="00F2340E" w:rsidP="009C6C1F">
                            <w:pPr>
                              <w:spacing w:line="240" w:lineRule="auto"/>
                              <w:rPr>
                                <w:rFonts w:ascii="DIN Next LT Pro Condensed" w:hAnsi="DIN Next LT Pro Condensed"/>
                                <w:sz w:val="56"/>
                              </w:rPr>
                            </w:pPr>
                          </w:p>
                          <w:p w14:paraId="18A82C02" w14:textId="77777777" w:rsidR="00F2340E" w:rsidRDefault="00F2340E" w:rsidP="009C6C1F">
                            <w:pPr>
                              <w:spacing w:line="240" w:lineRule="auto"/>
                              <w:rPr>
                                <w:rFonts w:ascii="DIN Next LT Pro Condensed" w:hAnsi="DIN Next LT Pro Condensed"/>
                                <w:sz w:val="56"/>
                              </w:rPr>
                            </w:pPr>
                          </w:p>
                          <w:p w14:paraId="06AD0F9D" w14:textId="77777777" w:rsidR="00F2340E" w:rsidRDefault="00F2340E" w:rsidP="009C6C1F">
                            <w:pPr>
                              <w:spacing w:line="240" w:lineRule="auto"/>
                              <w:rPr>
                                <w:rFonts w:ascii="DIN Next LT Pro Condensed" w:hAnsi="DIN Next LT Pro Condensed"/>
                                <w:sz w:val="56"/>
                              </w:rPr>
                            </w:pPr>
                          </w:p>
                          <w:p w14:paraId="383CA711" w14:textId="77777777" w:rsidR="00F2340E" w:rsidRPr="00751F1F" w:rsidRDefault="00F2340E"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9E21763" w14:textId="77777777" w:rsidR="00F2340E" w:rsidRPr="00751F1F" w:rsidRDefault="00F2340E" w:rsidP="009C6C1F">
                            <w:pPr>
                              <w:spacing w:line="240" w:lineRule="auto"/>
                              <w:rPr>
                                <w:rFonts w:ascii="DIN Next LT Pro Condensed" w:hAnsi="DIN Next LT Pro Condensed"/>
                                <w:color w:val="838383"/>
                                <w:sz w:val="66"/>
                                <w:szCs w:val="66"/>
                              </w:rPr>
                            </w:pPr>
                            <w:proofErr w:type="gramStart"/>
                            <w:r w:rsidRPr="00751F1F">
                              <w:rPr>
                                <w:rFonts w:ascii="DIN Next LT Pro Condensed" w:hAnsi="DIN Next LT Pro Condensed"/>
                                <w:color w:val="838383"/>
                                <w:sz w:val="66"/>
                                <w:szCs w:val="66"/>
                              </w:rPr>
                              <w:t>JUSTICE.CZ</w:t>
                            </w:r>
                            <w:proofErr w:type="gram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2445358B" id="_x0000_t202" coordsize="21600,21600" o:spt="202" path="m,l,21600r21600,l21600,xe">
                <v:stroke joinstyle="miter"/>
                <v:path gradientshapeok="t" o:connecttype="rect"/>
              </v:shapetype>
              <v:shape id="Textové pole 71" o:spid="_x0000_s1026" type="#_x0000_t202" style="position:absolute;left:0;text-align:left;margin-left:132.5pt;margin-top:-15.25pt;width:366.3pt;height:775.6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" fillcolor="window" stroked="f" strokeweight=".5pt">
                <v:path arrowok="t"/>
                <v:textbox>
                  <w:txbxContent>
                    <w:p w14:paraId="25DDEA57" w14:textId="77777777" w:rsidR="00F2340E" w:rsidRPr="00751F1F"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České soudnictví</w:t>
                      </w:r>
                    </w:p>
                    <w:p w14:paraId="4D73C9CC" w14:textId="77777777" w:rsidR="00F2340E"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2018:</w:t>
                      </w:r>
                    </w:p>
                    <w:p w14:paraId="6E1167CE" w14:textId="77777777" w:rsidR="00F2340E" w:rsidRPr="00751F1F" w:rsidRDefault="00F2340E" w:rsidP="009C6C1F">
                      <w:pPr>
                        <w:spacing w:line="240" w:lineRule="auto"/>
                        <w:rPr>
                          <w:rFonts w:ascii="DIN Next LT Pro Condensed" w:hAnsi="DIN Next LT Pro Condensed"/>
                          <w:color w:val="838383"/>
                          <w:sz w:val="150"/>
                          <w:szCs w:val="150"/>
                        </w:rPr>
                      </w:pPr>
                      <w:r>
                        <w:rPr>
                          <w:rFonts w:ascii="DIN Next LT Pro Condensed" w:hAnsi="DIN Next LT Pro Condensed"/>
                          <w:color w:val="838383"/>
                          <w:sz w:val="150"/>
                          <w:szCs w:val="150"/>
                        </w:rPr>
                        <w:t>Výroční statistická zpráva</w:t>
                      </w:r>
                    </w:p>
                    <w:p w14:paraId="2CC83BBA" w14:textId="77777777" w:rsidR="00F2340E" w:rsidRDefault="00F2340E" w:rsidP="009C6C1F">
                      <w:pPr>
                        <w:spacing w:line="240" w:lineRule="auto"/>
                        <w:rPr>
                          <w:rFonts w:ascii="DIN Next LT Pro Condensed" w:hAnsi="DIN Next LT Pro Condensed"/>
                          <w:sz w:val="56"/>
                        </w:rPr>
                      </w:pPr>
                    </w:p>
                    <w:p w14:paraId="18A82C02" w14:textId="77777777" w:rsidR="00F2340E" w:rsidRDefault="00F2340E" w:rsidP="009C6C1F">
                      <w:pPr>
                        <w:spacing w:line="240" w:lineRule="auto"/>
                        <w:rPr>
                          <w:rFonts w:ascii="DIN Next LT Pro Condensed" w:hAnsi="DIN Next LT Pro Condensed"/>
                          <w:sz w:val="56"/>
                        </w:rPr>
                      </w:pPr>
                    </w:p>
                    <w:p w14:paraId="06AD0F9D" w14:textId="77777777" w:rsidR="00F2340E" w:rsidRDefault="00F2340E" w:rsidP="009C6C1F">
                      <w:pPr>
                        <w:spacing w:line="240" w:lineRule="auto"/>
                        <w:rPr>
                          <w:rFonts w:ascii="DIN Next LT Pro Condensed" w:hAnsi="DIN Next LT Pro Condensed"/>
                          <w:sz w:val="56"/>
                        </w:rPr>
                      </w:pPr>
                    </w:p>
                    <w:p w14:paraId="383CA711" w14:textId="77777777" w:rsidR="00F2340E" w:rsidRPr="00751F1F" w:rsidRDefault="00F2340E"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Ministerstvo spravedlnosti</w:t>
                      </w:r>
                    </w:p>
                    <w:p w14:paraId="09E21763" w14:textId="77777777" w:rsidR="00F2340E" w:rsidRPr="00751F1F" w:rsidRDefault="00F2340E" w:rsidP="009C6C1F">
                      <w:pPr>
                        <w:spacing w:line="240" w:lineRule="auto"/>
                        <w:rPr>
                          <w:rFonts w:ascii="DIN Next LT Pro Condensed" w:hAnsi="DIN Next LT Pro Condensed"/>
                          <w:color w:val="838383"/>
                          <w:sz w:val="66"/>
                          <w:szCs w:val="66"/>
                        </w:rPr>
                      </w:pPr>
                      <w:r w:rsidRPr="00751F1F">
                        <w:rPr>
                          <w:rFonts w:ascii="DIN Next LT Pro Condensed" w:hAnsi="DIN Next LT Pro Condensed"/>
                          <w:color w:val="838383"/>
                          <w:sz w:val="66"/>
                          <w:szCs w:val="66"/>
                        </w:rPr>
                        <w:t>JUSTICE.CZ</w:t>
                      </w:r>
                    </w:p>
                  </w:txbxContent>
                </v:textbox>
              </v:shape>
            </w:pict>
          </mc:Fallback>
        </mc:AlternateContent>
      </w:r>
      <w:r>
        <w:rPr>
          <w:noProof/>
          <w:lang w:eastAsia="cs-CZ"/>
        </w:rPr>
        <mc:AlternateContent>
          <mc:Choice Requires="wps">
            <w:drawing>
              <wp:anchor distT="0" distB="0" distL="114299" distR="114299" simplePos="0" relativeHeight="251663872" behindDoc="0" locked="0" layoutInCell="1" allowOverlap="1" wp14:anchorId="0F9C7637" wp14:editId="006FE08B">
                <wp:simplePos x="0" y="0"/>
                <wp:positionH relativeFrom="column">
                  <wp:posOffset>1442084</wp:posOffset>
                </wp:positionH>
                <wp:positionV relativeFrom="page">
                  <wp:posOffset>898525</wp:posOffset>
                </wp:positionV>
                <wp:extent cx="0" cy="9064625"/>
                <wp:effectExtent l="19050" t="0" r="19050" b="3175"/>
                <wp:wrapNone/>
                <wp:docPr id="123" name="Přímá spojnic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9064625"/>
                        </a:xfrm>
                        <a:prstGeom prst="line">
                          <a:avLst/>
                        </a:prstGeom>
                        <a:noFill/>
                        <a:ln w="47625" cap="flat" cmpd="sng" algn="ctr">
                          <a:solidFill>
                            <a:srgbClr val="838383"/>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78FC365" id="Přímá spojnice 75" o:spid="_x0000_s1026" style="position:absolute;z-index:25166387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page;mso-width-percent:0;mso-height-percent:0;mso-width-relative:margin;mso-height-relative:margin" from="113.55pt,70.75pt" to="113.55pt,7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" strokecolor="#838383" strokeweight="3.75pt">
                <o:lock v:ext="edit" shapetype="f"/>
                <w10:wrap anchory="page"/>
              </v:line>
            </w:pict>
          </mc:Fallback>
        </mc:AlternateContent>
      </w:r>
      <w:r>
        <w:rPr>
          <w:noProof/>
          <w:lang w:eastAsia="cs-CZ"/>
        </w:rPr>
        <w:drawing>
          <wp:inline distT="0" distB="0" distL="0" distR="0" wp14:anchorId="5F05EFB0" wp14:editId="01C91FD0">
            <wp:extent cx="1214755" cy="1057910"/>
            <wp:effectExtent l="0" t="0" r="0" b="0"/>
            <wp:docPr id="1" name="Obrázek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5"/>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3711089D" w14:textId="77777777" w:rsidR="00A8123F" w:rsidRPr="00DA5E71" w:rsidRDefault="004B6D15" w:rsidP="00A8123F">
      <w:pPr>
        <w:spacing w:line="240" w:lineRule="auto"/>
        <w:jc w:val="left"/>
        <w:rPr>
          <w:noProof/>
          <w:sz w:val="20"/>
          <w:szCs w:val="40"/>
          <w:lang w:eastAsia="cs-CZ"/>
        </w:rPr>
      </w:pPr>
      <w:r w:rsidRPr="00DA5E71">
        <w:rPr>
          <w:noProof/>
          <w:sz w:val="20"/>
          <w:szCs w:val="40"/>
          <w:lang w:eastAsia="cs-CZ"/>
        </w:rPr>
        <w:br w:type="page"/>
      </w:r>
    </w:p>
    <w:p w14:paraId="23844175" w14:textId="77777777" w:rsidR="001B2DD8" w:rsidRDefault="001B2DD8" w:rsidP="00582D25">
      <w:pPr>
        <w:spacing w:line="240" w:lineRule="auto"/>
        <w:jc w:val="left"/>
        <w:rPr>
          <w:noProof/>
          <w:sz w:val="20"/>
          <w:szCs w:val="40"/>
          <w:lang w:eastAsia="cs-CZ"/>
        </w:rPr>
      </w:pPr>
    </w:p>
    <w:p w14:paraId="23CFF7DA" w14:textId="77777777" w:rsidR="001B2DD8" w:rsidRDefault="001B2DD8" w:rsidP="00582D25">
      <w:pPr>
        <w:spacing w:line="240" w:lineRule="auto"/>
        <w:jc w:val="left"/>
        <w:rPr>
          <w:noProof/>
          <w:sz w:val="20"/>
          <w:szCs w:val="40"/>
          <w:lang w:eastAsia="cs-CZ"/>
        </w:rPr>
      </w:pPr>
    </w:p>
    <w:p w14:paraId="7C643192" w14:textId="77777777" w:rsidR="001B2DD8" w:rsidRDefault="001B2DD8" w:rsidP="00582D25">
      <w:pPr>
        <w:spacing w:line="240" w:lineRule="auto"/>
        <w:jc w:val="left"/>
        <w:rPr>
          <w:noProof/>
          <w:sz w:val="20"/>
          <w:szCs w:val="40"/>
          <w:lang w:eastAsia="cs-CZ"/>
        </w:rPr>
      </w:pPr>
    </w:p>
    <w:p w14:paraId="2ACEA3E7" w14:textId="77777777" w:rsidR="001B2DD8" w:rsidRDefault="001B2DD8" w:rsidP="00582D25">
      <w:pPr>
        <w:spacing w:line="240" w:lineRule="auto"/>
        <w:jc w:val="left"/>
        <w:rPr>
          <w:noProof/>
          <w:sz w:val="20"/>
          <w:szCs w:val="40"/>
          <w:lang w:eastAsia="cs-CZ"/>
        </w:rPr>
      </w:pPr>
    </w:p>
    <w:p w14:paraId="5472A41E" w14:textId="77777777" w:rsidR="001B2DD8" w:rsidRDefault="001B2DD8" w:rsidP="00582D25">
      <w:pPr>
        <w:spacing w:line="240" w:lineRule="auto"/>
        <w:jc w:val="left"/>
        <w:rPr>
          <w:noProof/>
          <w:sz w:val="20"/>
          <w:szCs w:val="40"/>
          <w:lang w:eastAsia="cs-CZ"/>
        </w:rPr>
      </w:pPr>
    </w:p>
    <w:p w14:paraId="4D0EEC83" w14:textId="77777777" w:rsidR="001B2DD8" w:rsidRDefault="001B2DD8" w:rsidP="00582D25">
      <w:pPr>
        <w:spacing w:line="240" w:lineRule="auto"/>
        <w:jc w:val="left"/>
        <w:rPr>
          <w:noProof/>
          <w:sz w:val="20"/>
          <w:szCs w:val="40"/>
          <w:lang w:eastAsia="cs-CZ"/>
        </w:rPr>
      </w:pPr>
    </w:p>
    <w:p w14:paraId="509440B8" w14:textId="77777777" w:rsidR="001B2DD8" w:rsidRDefault="001B2DD8" w:rsidP="00582D25">
      <w:pPr>
        <w:spacing w:line="240" w:lineRule="auto"/>
        <w:jc w:val="left"/>
        <w:rPr>
          <w:noProof/>
          <w:sz w:val="20"/>
          <w:szCs w:val="40"/>
          <w:lang w:eastAsia="cs-CZ"/>
        </w:rPr>
      </w:pPr>
    </w:p>
    <w:p w14:paraId="6283B898" w14:textId="77777777" w:rsidR="001B2DD8" w:rsidRDefault="001B2DD8" w:rsidP="00582D25">
      <w:pPr>
        <w:spacing w:line="240" w:lineRule="auto"/>
        <w:jc w:val="left"/>
        <w:rPr>
          <w:noProof/>
          <w:sz w:val="20"/>
          <w:szCs w:val="40"/>
          <w:lang w:eastAsia="cs-CZ"/>
        </w:rPr>
      </w:pPr>
    </w:p>
    <w:p w14:paraId="724D92AE" w14:textId="77777777" w:rsidR="001B2DD8" w:rsidRDefault="001B2DD8" w:rsidP="00582D25">
      <w:pPr>
        <w:spacing w:line="240" w:lineRule="auto"/>
        <w:jc w:val="left"/>
        <w:rPr>
          <w:noProof/>
          <w:sz w:val="20"/>
          <w:szCs w:val="40"/>
          <w:lang w:eastAsia="cs-CZ"/>
        </w:rPr>
      </w:pPr>
    </w:p>
    <w:p w14:paraId="250119E5" w14:textId="77777777" w:rsidR="001B2DD8" w:rsidRDefault="001B2DD8" w:rsidP="00582D25">
      <w:pPr>
        <w:spacing w:line="240" w:lineRule="auto"/>
        <w:jc w:val="left"/>
        <w:rPr>
          <w:noProof/>
          <w:sz w:val="20"/>
          <w:szCs w:val="40"/>
          <w:lang w:eastAsia="cs-CZ"/>
        </w:rPr>
      </w:pPr>
    </w:p>
    <w:p w14:paraId="364B2342" w14:textId="77777777" w:rsidR="001B2DD8" w:rsidRDefault="001B2DD8" w:rsidP="00582D25">
      <w:pPr>
        <w:spacing w:line="240" w:lineRule="auto"/>
        <w:jc w:val="left"/>
        <w:rPr>
          <w:noProof/>
          <w:sz w:val="20"/>
          <w:szCs w:val="40"/>
          <w:lang w:eastAsia="cs-CZ"/>
        </w:rPr>
      </w:pPr>
    </w:p>
    <w:p w14:paraId="7B94763C" w14:textId="77777777" w:rsidR="001B2DD8" w:rsidRDefault="001B2DD8" w:rsidP="00582D25">
      <w:pPr>
        <w:spacing w:line="240" w:lineRule="auto"/>
        <w:jc w:val="left"/>
        <w:rPr>
          <w:noProof/>
          <w:sz w:val="20"/>
          <w:szCs w:val="40"/>
          <w:lang w:eastAsia="cs-CZ"/>
        </w:rPr>
      </w:pPr>
    </w:p>
    <w:p w14:paraId="0988E525" w14:textId="77777777" w:rsidR="001B2DD8" w:rsidRDefault="001B2DD8" w:rsidP="00582D25">
      <w:pPr>
        <w:spacing w:line="240" w:lineRule="auto"/>
        <w:jc w:val="left"/>
        <w:rPr>
          <w:noProof/>
          <w:sz w:val="20"/>
          <w:szCs w:val="40"/>
          <w:lang w:eastAsia="cs-CZ"/>
        </w:rPr>
      </w:pPr>
    </w:p>
    <w:p w14:paraId="63CB6DF8" w14:textId="77777777" w:rsidR="001B2DD8" w:rsidRDefault="001B2DD8" w:rsidP="00582D25">
      <w:pPr>
        <w:spacing w:line="240" w:lineRule="auto"/>
        <w:jc w:val="left"/>
        <w:rPr>
          <w:noProof/>
          <w:sz w:val="20"/>
          <w:szCs w:val="40"/>
          <w:lang w:eastAsia="cs-CZ"/>
        </w:rPr>
      </w:pPr>
    </w:p>
    <w:p w14:paraId="0E469F69" w14:textId="77777777" w:rsidR="001B2DD8" w:rsidRDefault="001B2DD8" w:rsidP="00582D25">
      <w:pPr>
        <w:spacing w:line="240" w:lineRule="auto"/>
        <w:jc w:val="left"/>
        <w:rPr>
          <w:noProof/>
          <w:sz w:val="20"/>
          <w:szCs w:val="40"/>
          <w:lang w:eastAsia="cs-CZ"/>
        </w:rPr>
      </w:pPr>
    </w:p>
    <w:p w14:paraId="465E2A3A" w14:textId="77777777" w:rsidR="001B2DD8" w:rsidRDefault="001B2DD8" w:rsidP="00582D25">
      <w:pPr>
        <w:spacing w:line="240" w:lineRule="auto"/>
        <w:jc w:val="left"/>
        <w:rPr>
          <w:noProof/>
          <w:sz w:val="20"/>
          <w:szCs w:val="40"/>
          <w:lang w:eastAsia="cs-CZ"/>
        </w:rPr>
      </w:pPr>
    </w:p>
    <w:p w14:paraId="2586DDEC" w14:textId="77777777" w:rsidR="001B2DD8" w:rsidRDefault="001B2DD8" w:rsidP="00582D25">
      <w:pPr>
        <w:spacing w:line="240" w:lineRule="auto"/>
        <w:jc w:val="left"/>
        <w:rPr>
          <w:noProof/>
          <w:sz w:val="20"/>
          <w:szCs w:val="40"/>
          <w:lang w:eastAsia="cs-CZ"/>
        </w:rPr>
      </w:pPr>
    </w:p>
    <w:p w14:paraId="41FC5AF6" w14:textId="77777777" w:rsidR="001B2DD8" w:rsidRDefault="001B2DD8" w:rsidP="00582D25">
      <w:pPr>
        <w:spacing w:line="240" w:lineRule="auto"/>
        <w:jc w:val="left"/>
        <w:rPr>
          <w:noProof/>
          <w:sz w:val="20"/>
          <w:szCs w:val="40"/>
          <w:lang w:eastAsia="cs-CZ"/>
        </w:rPr>
      </w:pPr>
    </w:p>
    <w:p w14:paraId="093A5A00" w14:textId="77777777" w:rsidR="001B2DD8" w:rsidRDefault="001B2DD8" w:rsidP="00582D25">
      <w:pPr>
        <w:spacing w:line="240" w:lineRule="auto"/>
        <w:jc w:val="left"/>
        <w:rPr>
          <w:noProof/>
          <w:sz w:val="20"/>
          <w:szCs w:val="40"/>
          <w:lang w:eastAsia="cs-CZ"/>
        </w:rPr>
      </w:pPr>
    </w:p>
    <w:p w14:paraId="1E9B622E" w14:textId="77777777" w:rsidR="001B2DD8" w:rsidRDefault="001B2DD8" w:rsidP="00582D25">
      <w:pPr>
        <w:spacing w:line="240" w:lineRule="auto"/>
        <w:jc w:val="left"/>
        <w:rPr>
          <w:noProof/>
          <w:sz w:val="20"/>
          <w:szCs w:val="40"/>
          <w:lang w:eastAsia="cs-CZ"/>
        </w:rPr>
      </w:pPr>
    </w:p>
    <w:p w14:paraId="4A1250AF" w14:textId="77777777" w:rsidR="001B2DD8" w:rsidRDefault="001B2DD8" w:rsidP="00582D25">
      <w:pPr>
        <w:spacing w:line="240" w:lineRule="auto"/>
        <w:jc w:val="left"/>
        <w:rPr>
          <w:noProof/>
          <w:sz w:val="20"/>
          <w:szCs w:val="40"/>
          <w:lang w:eastAsia="cs-CZ"/>
        </w:rPr>
      </w:pPr>
    </w:p>
    <w:p w14:paraId="3BAE1879" w14:textId="77777777" w:rsidR="001B2DD8" w:rsidRDefault="001B2DD8" w:rsidP="00582D25">
      <w:pPr>
        <w:spacing w:line="240" w:lineRule="auto"/>
        <w:jc w:val="left"/>
        <w:rPr>
          <w:noProof/>
          <w:sz w:val="20"/>
          <w:szCs w:val="40"/>
          <w:lang w:eastAsia="cs-CZ"/>
        </w:rPr>
      </w:pPr>
    </w:p>
    <w:p w14:paraId="20EDBE10" w14:textId="77777777" w:rsidR="001B2DD8" w:rsidRDefault="001B2DD8" w:rsidP="00582D25">
      <w:pPr>
        <w:spacing w:line="240" w:lineRule="auto"/>
        <w:jc w:val="left"/>
        <w:rPr>
          <w:noProof/>
          <w:sz w:val="20"/>
          <w:szCs w:val="40"/>
          <w:lang w:eastAsia="cs-CZ"/>
        </w:rPr>
      </w:pPr>
    </w:p>
    <w:p w14:paraId="5BA13910" w14:textId="77777777" w:rsidR="001B2DD8" w:rsidRDefault="001B2DD8" w:rsidP="00582D25">
      <w:pPr>
        <w:spacing w:line="240" w:lineRule="auto"/>
        <w:jc w:val="left"/>
        <w:rPr>
          <w:noProof/>
          <w:sz w:val="20"/>
          <w:szCs w:val="40"/>
          <w:lang w:eastAsia="cs-CZ"/>
        </w:rPr>
      </w:pPr>
    </w:p>
    <w:p w14:paraId="5316FF11" w14:textId="77777777" w:rsidR="00371280" w:rsidRDefault="00371280" w:rsidP="00582D25">
      <w:pPr>
        <w:spacing w:line="240" w:lineRule="auto"/>
        <w:jc w:val="left"/>
        <w:rPr>
          <w:noProof/>
          <w:sz w:val="20"/>
          <w:szCs w:val="40"/>
          <w:lang w:eastAsia="cs-CZ"/>
        </w:rPr>
      </w:pPr>
    </w:p>
    <w:p w14:paraId="34440A5D" w14:textId="77777777" w:rsidR="00371280" w:rsidRDefault="00371280" w:rsidP="00582D25">
      <w:pPr>
        <w:spacing w:line="240" w:lineRule="auto"/>
        <w:jc w:val="left"/>
        <w:rPr>
          <w:noProof/>
          <w:sz w:val="20"/>
          <w:szCs w:val="40"/>
          <w:lang w:eastAsia="cs-CZ"/>
        </w:rPr>
      </w:pPr>
    </w:p>
    <w:p w14:paraId="314E6DCC" w14:textId="77777777" w:rsidR="00371280" w:rsidRDefault="00371280" w:rsidP="00582D25">
      <w:pPr>
        <w:spacing w:line="240" w:lineRule="auto"/>
        <w:jc w:val="left"/>
        <w:rPr>
          <w:noProof/>
          <w:sz w:val="20"/>
          <w:szCs w:val="40"/>
          <w:lang w:eastAsia="cs-CZ"/>
        </w:rPr>
      </w:pPr>
    </w:p>
    <w:p w14:paraId="28D7070C" w14:textId="77777777" w:rsidR="00371280" w:rsidRDefault="00371280" w:rsidP="00582D25">
      <w:pPr>
        <w:spacing w:line="240" w:lineRule="auto"/>
        <w:jc w:val="left"/>
        <w:rPr>
          <w:noProof/>
          <w:sz w:val="20"/>
          <w:szCs w:val="40"/>
          <w:lang w:eastAsia="cs-CZ"/>
        </w:rPr>
      </w:pPr>
    </w:p>
    <w:p w14:paraId="5C362C54" w14:textId="77777777" w:rsidR="00371280" w:rsidRDefault="00371280" w:rsidP="00582D25">
      <w:pPr>
        <w:spacing w:line="240" w:lineRule="auto"/>
        <w:jc w:val="left"/>
        <w:rPr>
          <w:noProof/>
          <w:sz w:val="20"/>
          <w:szCs w:val="40"/>
          <w:lang w:eastAsia="cs-CZ"/>
        </w:rPr>
      </w:pPr>
    </w:p>
    <w:p w14:paraId="254F6B9B" w14:textId="77777777" w:rsidR="00371280" w:rsidRDefault="00371280" w:rsidP="00582D25">
      <w:pPr>
        <w:spacing w:line="240" w:lineRule="auto"/>
        <w:jc w:val="left"/>
        <w:rPr>
          <w:noProof/>
          <w:sz w:val="20"/>
          <w:szCs w:val="40"/>
          <w:lang w:eastAsia="cs-CZ"/>
        </w:rPr>
      </w:pPr>
    </w:p>
    <w:p w14:paraId="72DFF205" w14:textId="77777777" w:rsidR="00371280" w:rsidRDefault="00371280" w:rsidP="00582D25">
      <w:pPr>
        <w:spacing w:line="240" w:lineRule="auto"/>
        <w:jc w:val="left"/>
        <w:rPr>
          <w:noProof/>
          <w:sz w:val="20"/>
          <w:szCs w:val="40"/>
          <w:lang w:eastAsia="cs-CZ"/>
        </w:rPr>
      </w:pPr>
    </w:p>
    <w:p w14:paraId="1454AC6B" w14:textId="77777777" w:rsidR="00371280" w:rsidRDefault="00371280" w:rsidP="00582D25">
      <w:pPr>
        <w:spacing w:line="240" w:lineRule="auto"/>
        <w:jc w:val="left"/>
        <w:rPr>
          <w:noProof/>
          <w:sz w:val="20"/>
          <w:szCs w:val="40"/>
          <w:lang w:eastAsia="cs-CZ"/>
        </w:rPr>
      </w:pPr>
    </w:p>
    <w:p w14:paraId="0F674F6E" w14:textId="77777777" w:rsidR="00371280" w:rsidRDefault="00371280" w:rsidP="00582D25">
      <w:pPr>
        <w:spacing w:line="240" w:lineRule="auto"/>
        <w:jc w:val="left"/>
        <w:rPr>
          <w:noProof/>
          <w:sz w:val="20"/>
          <w:szCs w:val="40"/>
          <w:lang w:eastAsia="cs-CZ"/>
        </w:rPr>
      </w:pPr>
    </w:p>
    <w:p w14:paraId="095ED82D" w14:textId="77777777" w:rsidR="00371280" w:rsidRDefault="00371280" w:rsidP="00582D25">
      <w:pPr>
        <w:spacing w:line="240" w:lineRule="auto"/>
        <w:jc w:val="left"/>
        <w:rPr>
          <w:noProof/>
          <w:sz w:val="20"/>
          <w:szCs w:val="40"/>
          <w:lang w:eastAsia="cs-CZ"/>
        </w:rPr>
      </w:pPr>
    </w:p>
    <w:p w14:paraId="1697E614" w14:textId="77777777" w:rsidR="00371280" w:rsidRDefault="00371280" w:rsidP="00582D25">
      <w:pPr>
        <w:spacing w:line="240" w:lineRule="auto"/>
        <w:jc w:val="left"/>
        <w:rPr>
          <w:noProof/>
          <w:sz w:val="20"/>
          <w:szCs w:val="40"/>
          <w:lang w:eastAsia="cs-CZ"/>
        </w:rPr>
      </w:pPr>
    </w:p>
    <w:p w14:paraId="5C625BCA" w14:textId="77777777" w:rsidR="00371280" w:rsidRDefault="00371280" w:rsidP="00582D25">
      <w:pPr>
        <w:spacing w:line="240" w:lineRule="auto"/>
        <w:jc w:val="left"/>
        <w:rPr>
          <w:noProof/>
          <w:sz w:val="20"/>
          <w:szCs w:val="40"/>
          <w:lang w:eastAsia="cs-CZ"/>
        </w:rPr>
      </w:pPr>
    </w:p>
    <w:p w14:paraId="44683C02" w14:textId="77777777" w:rsidR="00371280" w:rsidRDefault="00371280" w:rsidP="00582D25">
      <w:pPr>
        <w:spacing w:line="240" w:lineRule="auto"/>
        <w:jc w:val="left"/>
        <w:rPr>
          <w:noProof/>
          <w:sz w:val="20"/>
          <w:szCs w:val="40"/>
          <w:lang w:eastAsia="cs-CZ"/>
        </w:rPr>
      </w:pPr>
    </w:p>
    <w:p w14:paraId="6DD2FA95" w14:textId="77777777" w:rsidR="00371280" w:rsidRDefault="00371280" w:rsidP="00582D25">
      <w:pPr>
        <w:spacing w:line="240" w:lineRule="auto"/>
        <w:jc w:val="left"/>
        <w:rPr>
          <w:noProof/>
          <w:sz w:val="20"/>
          <w:szCs w:val="40"/>
          <w:lang w:eastAsia="cs-CZ"/>
        </w:rPr>
      </w:pPr>
    </w:p>
    <w:p w14:paraId="51E40882" w14:textId="77777777" w:rsidR="00371280" w:rsidRDefault="00371280" w:rsidP="00582D25">
      <w:pPr>
        <w:spacing w:line="240" w:lineRule="auto"/>
        <w:jc w:val="left"/>
        <w:rPr>
          <w:noProof/>
          <w:sz w:val="20"/>
          <w:szCs w:val="40"/>
          <w:lang w:eastAsia="cs-CZ"/>
        </w:rPr>
      </w:pPr>
    </w:p>
    <w:p w14:paraId="34275019" w14:textId="77777777" w:rsidR="00371280" w:rsidRDefault="00371280" w:rsidP="00582D25">
      <w:pPr>
        <w:spacing w:line="240" w:lineRule="auto"/>
        <w:jc w:val="left"/>
        <w:rPr>
          <w:noProof/>
          <w:sz w:val="20"/>
          <w:szCs w:val="40"/>
          <w:lang w:eastAsia="cs-CZ"/>
        </w:rPr>
      </w:pPr>
    </w:p>
    <w:p w14:paraId="6338A5FF" w14:textId="77777777" w:rsidR="00371280" w:rsidRDefault="00371280" w:rsidP="00582D25">
      <w:pPr>
        <w:spacing w:line="240" w:lineRule="auto"/>
        <w:jc w:val="left"/>
        <w:rPr>
          <w:noProof/>
          <w:sz w:val="20"/>
          <w:szCs w:val="40"/>
          <w:lang w:eastAsia="cs-CZ"/>
        </w:rPr>
      </w:pPr>
    </w:p>
    <w:p w14:paraId="0F451C74" w14:textId="77777777" w:rsidR="00371280" w:rsidRDefault="00371280" w:rsidP="00582D25">
      <w:pPr>
        <w:spacing w:line="240" w:lineRule="auto"/>
        <w:jc w:val="left"/>
        <w:rPr>
          <w:noProof/>
          <w:sz w:val="20"/>
          <w:szCs w:val="40"/>
          <w:lang w:eastAsia="cs-CZ"/>
        </w:rPr>
      </w:pPr>
    </w:p>
    <w:p w14:paraId="6961486F" w14:textId="77777777" w:rsidR="00371280" w:rsidRDefault="00371280" w:rsidP="00582D25">
      <w:pPr>
        <w:spacing w:line="240" w:lineRule="auto"/>
        <w:jc w:val="left"/>
        <w:rPr>
          <w:noProof/>
          <w:sz w:val="20"/>
          <w:szCs w:val="40"/>
          <w:lang w:eastAsia="cs-CZ"/>
        </w:rPr>
      </w:pPr>
    </w:p>
    <w:p w14:paraId="5424B04D" w14:textId="77777777" w:rsidR="00371280" w:rsidRDefault="00371280" w:rsidP="00582D25">
      <w:pPr>
        <w:spacing w:line="240" w:lineRule="auto"/>
        <w:jc w:val="left"/>
        <w:rPr>
          <w:noProof/>
          <w:sz w:val="20"/>
          <w:szCs w:val="40"/>
          <w:lang w:eastAsia="cs-CZ"/>
        </w:rPr>
      </w:pPr>
    </w:p>
    <w:p w14:paraId="1E8C5BFB" w14:textId="77777777" w:rsidR="00371280" w:rsidRDefault="00371280" w:rsidP="00582D25">
      <w:pPr>
        <w:spacing w:line="240" w:lineRule="auto"/>
        <w:jc w:val="left"/>
        <w:rPr>
          <w:noProof/>
          <w:sz w:val="20"/>
          <w:szCs w:val="40"/>
          <w:lang w:eastAsia="cs-CZ"/>
        </w:rPr>
      </w:pPr>
    </w:p>
    <w:p w14:paraId="09B17624" w14:textId="77777777" w:rsidR="00371280" w:rsidRDefault="00371280" w:rsidP="00582D25">
      <w:pPr>
        <w:spacing w:line="240" w:lineRule="auto"/>
        <w:jc w:val="left"/>
        <w:rPr>
          <w:noProof/>
          <w:sz w:val="20"/>
          <w:szCs w:val="40"/>
          <w:lang w:eastAsia="cs-CZ"/>
        </w:rPr>
      </w:pPr>
    </w:p>
    <w:p w14:paraId="780E0144" w14:textId="77777777" w:rsidR="00371280" w:rsidRDefault="00371280" w:rsidP="00582D25">
      <w:pPr>
        <w:spacing w:line="240" w:lineRule="auto"/>
        <w:jc w:val="left"/>
        <w:rPr>
          <w:noProof/>
          <w:sz w:val="20"/>
          <w:szCs w:val="40"/>
          <w:lang w:eastAsia="cs-CZ"/>
        </w:rPr>
      </w:pPr>
    </w:p>
    <w:p w14:paraId="4C5384C4" w14:textId="77777777" w:rsidR="00371280" w:rsidRDefault="00371280" w:rsidP="00582D25">
      <w:pPr>
        <w:spacing w:line="240" w:lineRule="auto"/>
        <w:jc w:val="left"/>
        <w:rPr>
          <w:noProof/>
          <w:sz w:val="20"/>
          <w:szCs w:val="40"/>
          <w:lang w:eastAsia="cs-CZ"/>
        </w:rPr>
      </w:pPr>
    </w:p>
    <w:p w14:paraId="3B191ECE" w14:textId="77777777" w:rsidR="00371280" w:rsidRDefault="00371280" w:rsidP="00582D25">
      <w:pPr>
        <w:spacing w:line="240" w:lineRule="auto"/>
        <w:jc w:val="left"/>
        <w:rPr>
          <w:noProof/>
          <w:sz w:val="20"/>
          <w:szCs w:val="40"/>
          <w:lang w:eastAsia="cs-CZ"/>
        </w:rPr>
      </w:pPr>
    </w:p>
    <w:p w14:paraId="4DBFA93D" w14:textId="77777777" w:rsidR="00371280" w:rsidRDefault="00371280" w:rsidP="00582D25">
      <w:pPr>
        <w:spacing w:line="240" w:lineRule="auto"/>
        <w:jc w:val="left"/>
        <w:rPr>
          <w:noProof/>
          <w:sz w:val="20"/>
          <w:szCs w:val="40"/>
          <w:lang w:eastAsia="cs-CZ"/>
        </w:rPr>
      </w:pPr>
    </w:p>
    <w:p w14:paraId="4CCC7249" w14:textId="77777777" w:rsidR="00371280" w:rsidRDefault="00371280" w:rsidP="00582D25">
      <w:pPr>
        <w:spacing w:line="240" w:lineRule="auto"/>
        <w:jc w:val="left"/>
        <w:rPr>
          <w:noProof/>
          <w:sz w:val="20"/>
          <w:szCs w:val="40"/>
          <w:lang w:eastAsia="cs-CZ"/>
        </w:rPr>
      </w:pPr>
    </w:p>
    <w:p w14:paraId="5A492E4A" w14:textId="77777777" w:rsidR="00371280" w:rsidRDefault="00371280" w:rsidP="00582D25">
      <w:pPr>
        <w:spacing w:line="240" w:lineRule="auto"/>
        <w:jc w:val="left"/>
        <w:rPr>
          <w:noProof/>
          <w:sz w:val="20"/>
          <w:szCs w:val="40"/>
          <w:lang w:eastAsia="cs-CZ"/>
        </w:rPr>
      </w:pPr>
    </w:p>
    <w:p w14:paraId="4481A992" w14:textId="77777777" w:rsidR="00371280" w:rsidRDefault="00371280" w:rsidP="00582D25">
      <w:pPr>
        <w:spacing w:line="240" w:lineRule="auto"/>
        <w:jc w:val="left"/>
        <w:rPr>
          <w:noProof/>
          <w:sz w:val="20"/>
          <w:szCs w:val="40"/>
          <w:lang w:eastAsia="cs-CZ"/>
        </w:rPr>
      </w:pPr>
    </w:p>
    <w:p w14:paraId="3D5313F7" w14:textId="77777777" w:rsidR="00371280" w:rsidRDefault="00371280" w:rsidP="00582D25">
      <w:pPr>
        <w:spacing w:line="240" w:lineRule="auto"/>
        <w:jc w:val="left"/>
        <w:rPr>
          <w:noProof/>
          <w:sz w:val="20"/>
          <w:szCs w:val="40"/>
          <w:lang w:eastAsia="cs-CZ"/>
        </w:rPr>
      </w:pPr>
    </w:p>
    <w:p w14:paraId="3731C0F9" w14:textId="77777777" w:rsidR="00371280" w:rsidRDefault="00371280" w:rsidP="00582D25">
      <w:pPr>
        <w:spacing w:line="240" w:lineRule="auto"/>
        <w:jc w:val="left"/>
        <w:rPr>
          <w:noProof/>
          <w:sz w:val="20"/>
          <w:szCs w:val="40"/>
          <w:lang w:eastAsia="cs-CZ"/>
        </w:rPr>
      </w:pPr>
    </w:p>
    <w:p w14:paraId="0AC4ECEC" w14:textId="77777777" w:rsidR="001B2DD8" w:rsidRDefault="001B2DD8" w:rsidP="00582D25">
      <w:pPr>
        <w:spacing w:line="240" w:lineRule="auto"/>
        <w:jc w:val="left"/>
        <w:rPr>
          <w:noProof/>
          <w:sz w:val="20"/>
          <w:szCs w:val="40"/>
          <w:lang w:eastAsia="cs-CZ"/>
        </w:rPr>
      </w:pPr>
    </w:p>
    <w:p w14:paraId="3FC1D2C1" w14:textId="77777777" w:rsidR="002B132D" w:rsidRPr="00F85178" w:rsidRDefault="002B132D" w:rsidP="00582D25">
      <w:pPr>
        <w:spacing w:line="240" w:lineRule="auto"/>
        <w:jc w:val="left"/>
        <w:rPr>
          <w:sz w:val="20"/>
        </w:rPr>
      </w:pPr>
      <w:r w:rsidRPr="00F85178">
        <w:rPr>
          <w:sz w:val="20"/>
        </w:rPr>
        <w:t>© Ministerstvo spravedlnosti</w:t>
      </w:r>
      <w:r w:rsidR="00B07FBC" w:rsidRPr="00F85178">
        <w:rPr>
          <w:sz w:val="20"/>
        </w:rPr>
        <w:t xml:space="preserve">, </w:t>
      </w:r>
      <w:r w:rsidR="00404FE9" w:rsidRPr="00F85178">
        <w:rPr>
          <w:sz w:val="20"/>
        </w:rPr>
        <w:t>2019</w:t>
      </w:r>
    </w:p>
    <w:p w14:paraId="09BF18B9" w14:textId="77777777" w:rsidR="002B132D" w:rsidRPr="00F85178" w:rsidRDefault="002B132D" w:rsidP="00582D25">
      <w:pPr>
        <w:spacing w:line="240" w:lineRule="auto"/>
        <w:jc w:val="left"/>
        <w:rPr>
          <w:sz w:val="20"/>
        </w:rPr>
      </w:pPr>
      <w:r w:rsidRPr="00F85178">
        <w:rPr>
          <w:sz w:val="20"/>
        </w:rPr>
        <w:t>Vyšehradská</w:t>
      </w:r>
      <w:r w:rsidR="009B74F5" w:rsidRPr="00F85178">
        <w:rPr>
          <w:sz w:val="20"/>
        </w:rPr>
        <w:t> </w:t>
      </w:r>
      <w:r w:rsidRPr="00F85178">
        <w:rPr>
          <w:sz w:val="20"/>
        </w:rPr>
        <w:t>16</w:t>
      </w:r>
    </w:p>
    <w:p w14:paraId="0324262F" w14:textId="77777777" w:rsidR="002B132D" w:rsidRPr="00F85178" w:rsidRDefault="00771119" w:rsidP="00582D25">
      <w:pPr>
        <w:spacing w:line="240" w:lineRule="auto"/>
        <w:jc w:val="left"/>
        <w:rPr>
          <w:sz w:val="20"/>
        </w:rPr>
      </w:pPr>
      <w:r w:rsidRPr="00F85178">
        <w:rPr>
          <w:sz w:val="20"/>
        </w:rPr>
        <w:t>128</w:t>
      </w:r>
      <w:r w:rsidR="009B74F5" w:rsidRPr="00F85178">
        <w:rPr>
          <w:sz w:val="20"/>
        </w:rPr>
        <w:t> </w:t>
      </w:r>
      <w:r w:rsidRPr="00F85178">
        <w:rPr>
          <w:sz w:val="20"/>
        </w:rPr>
        <w:t>10</w:t>
      </w:r>
      <w:r w:rsidR="00E51658" w:rsidRPr="00F85178">
        <w:rPr>
          <w:sz w:val="20"/>
        </w:rPr>
        <w:t>  </w:t>
      </w:r>
      <w:r w:rsidR="002B132D" w:rsidRPr="00F85178">
        <w:rPr>
          <w:sz w:val="20"/>
        </w:rPr>
        <w:t>Prah</w:t>
      </w:r>
      <w:r w:rsidR="00B07FBC" w:rsidRPr="00F85178">
        <w:rPr>
          <w:sz w:val="20"/>
        </w:rPr>
        <w:t>a</w:t>
      </w:r>
      <w:r w:rsidR="009B74F5" w:rsidRPr="00F85178">
        <w:rPr>
          <w:sz w:val="20"/>
        </w:rPr>
        <w:t> </w:t>
      </w:r>
      <w:r w:rsidR="00B07FBC" w:rsidRPr="00F85178">
        <w:rPr>
          <w:sz w:val="20"/>
        </w:rPr>
        <w:t>2</w:t>
      </w:r>
    </w:p>
    <w:p w14:paraId="1CD99CA9" w14:textId="77777777" w:rsidR="00B07FBC" w:rsidRPr="00F85178" w:rsidRDefault="00B07FBC" w:rsidP="00582D25">
      <w:pPr>
        <w:spacing w:line="240" w:lineRule="auto"/>
        <w:jc w:val="left"/>
        <w:rPr>
          <w:noProof/>
          <w:sz w:val="20"/>
          <w:szCs w:val="40"/>
          <w:lang w:eastAsia="cs-CZ"/>
        </w:rPr>
      </w:pPr>
      <w:r w:rsidRPr="00F85178">
        <w:rPr>
          <w:noProof/>
          <w:sz w:val="20"/>
          <w:szCs w:val="40"/>
          <w:lang w:eastAsia="cs-CZ"/>
        </w:rPr>
        <w:br w:type="page"/>
      </w:r>
    </w:p>
    <w:p w14:paraId="3224C673" w14:textId="77777777" w:rsidR="006F7FEE" w:rsidRPr="00423DC8" w:rsidRDefault="006F7FEE" w:rsidP="006F7FEE">
      <w:r w:rsidRPr="00423DC8">
        <w:rPr>
          <w:noProof/>
          <w:lang w:eastAsia="cs-CZ"/>
        </w:rPr>
        <w:lastRenderedPageBreak/>
        <w:drawing>
          <wp:anchor distT="144145" distB="144145" distL="144145" distR="144145" simplePos="0" relativeHeight="251668992" behindDoc="0" locked="0" layoutInCell="1" allowOverlap="1" wp14:anchorId="3282B3F6" wp14:editId="5B3EC1A7">
            <wp:simplePos x="0" y="0"/>
            <wp:positionH relativeFrom="margin">
              <wp:align>left</wp:align>
            </wp:positionH>
            <wp:positionV relativeFrom="margin">
              <wp:posOffset>5080</wp:posOffset>
            </wp:positionV>
            <wp:extent cx="2105025" cy="3157220"/>
            <wp:effectExtent l="0" t="0" r="9525" b="5080"/>
            <wp:wrapSquare wrapText="bothSides"/>
            <wp:docPr id="125" name="Obrázek 1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015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105025" cy="3157220"/>
                    </a:xfrm>
                    <a:prstGeom prst="rect">
                      <a:avLst/>
                    </a:prstGeom>
                  </pic:spPr>
                </pic:pic>
              </a:graphicData>
            </a:graphic>
            <wp14:sizeRelH relativeFrom="margin">
              <wp14:pctWidth>0</wp14:pctWidth>
            </wp14:sizeRelH>
            <wp14:sizeRelV relativeFrom="margin">
              <wp14:pctHeight>0</wp14:pctHeight>
            </wp14:sizeRelV>
          </wp:anchor>
        </w:drawing>
      </w:r>
      <w:r w:rsidRPr="00423DC8">
        <w:t>Vážené dámy, vážení pánové,</w:t>
      </w:r>
    </w:p>
    <w:p w14:paraId="3596D95B" w14:textId="77777777" w:rsidR="0032015B" w:rsidRDefault="006F7FEE" w:rsidP="006F7FEE">
      <w:r w:rsidRPr="00423DC8">
        <w:t>v jedné známé pohádkové písni se zpívá, že „statistika nuda je“. A mnoho lidí si to možná myslí. Avšak text této písničky pokračuje slovy „má však cenné údaje“. Přesně tak vnímám statistiku také já a za mnoho let svého profesního života jsem si již několikrát uvědomila, jak jsou tyto údaje potřebné. Díky nim totiž máme mnohem jasnější a</w:t>
      </w:r>
      <w:r>
        <w:t> </w:t>
      </w:r>
      <w:r w:rsidRPr="00423DC8">
        <w:t>ucelenější přehled o dění v našem oboru. Ale aby získané statistické údaje plnily svůj účel, musí se dobře okomentovat a vhodně prezentovat, protože ne všichni jim na první pohled rozumí. A právě bohatá komentářová část je stabilní předností tohoto, již třetího, statistického přehledu o stavu české justice.</w:t>
      </w:r>
    </w:p>
    <w:p w14:paraId="37779D49" w14:textId="77777777" w:rsidR="0032015B" w:rsidRDefault="006F7FEE" w:rsidP="006F7FEE">
      <w:r w:rsidRPr="00423DC8">
        <w:t>Veřejnost často doslova prahne po údajích o délce soudního řízení a o tom, jak si soudy ve vyřizování věcí stojí. Dobrou zprávou je, že ve většině sledovaných agend je situace v posledních letech z tohoto hlediska stabilní nebo se zlepšuje. Zlepšení je nejpatrnější u civilní agendy okresních soudů, protože i ty nejpomalejší soudy se začaly přibližovat průměru a variabilita mezi jednotlivými soudy se snižuje. Toto zlepšení je výsledkem více faktorů, mezi které patří zlepšení efektivity práce nebo posílení přetížených soudů. Důležitý vliv na tyto výsledky má samozřejmě také významný pokles v počtu napadlých věcí. V některých agendách tento nápad klesá dokonce už pět let v řadě.</w:t>
      </w:r>
    </w:p>
    <w:p w14:paraId="7646E7DB" w14:textId="77777777" w:rsidR="0032015B" w:rsidRDefault="006F7FEE" w:rsidP="006F7FEE">
      <w:r w:rsidRPr="00423DC8">
        <w:t xml:space="preserve">Cíl této zprávy rozhodně nespočívá </w:t>
      </w:r>
      <w:r>
        <w:t xml:space="preserve">jen </w:t>
      </w:r>
      <w:r w:rsidRPr="00423DC8">
        <w:t>v</w:t>
      </w:r>
      <w:r>
        <w:t> </w:t>
      </w:r>
      <w:r w:rsidRPr="00423DC8">
        <w:t>p</w:t>
      </w:r>
      <w:r>
        <w:t xml:space="preserve">rezentaci </w:t>
      </w:r>
      <w:r w:rsidRPr="00423DC8">
        <w:t xml:space="preserve">dobrých výsledků, </w:t>
      </w:r>
      <w:r>
        <w:t>získané statistické údaje nám naopak pomáhají</w:t>
      </w:r>
      <w:r w:rsidRPr="00423DC8">
        <w:t xml:space="preserve"> včas </w:t>
      </w:r>
      <w:r>
        <w:t>odhalit slabá a problémová</w:t>
      </w:r>
      <w:r w:rsidRPr="00423DC8">
        <w:t xml:space="preserve"> místa justice</w:t>
      </w:r>
      <w:r>
        <w:t>,</w:t>
      </w:r>
      <w:r w:rsidRPr="00423DC8">
        <w:t xml:space="preserve"> </w:t>
      </w:r>
      <w:r>
        <w:t>a my tak přesně víme,</w:t>
      </w:r>
      <w:r w:rsidRPr="00423DC8">
        <w:t xml:space="preserve"> kam </w:t>
      </w:r>
      <w:r>
        <w:t xml:space="preserve">je potřeba </w:t>
      </w:r>
      <w:r w:rsidRPr="00423DC8">
        <w:t xml:space="preserve">soustředit naši pozornost. Díky </w:t>
      </w:r>
      <w:r>
        <w:t>získaným datům</w:t>
      </w:r>
      <w:r w:rsidRPr="00423DC8">
        <w:t xml:space="preserve"> jsme si například vědomi problémů v oblasti správní agendy, kde celorepublikově výrazně vzrůstá nápad a počet nevyřízených věcí.</w:t>
      </w:r>
    </w:p>
    <w:p w14:paraId="5356D831" w14:textId="77777777" w:rsidR="0032015B" w:rsidRDefault="006F7FEE" w:rsidP="006F7FEE">
      <w:r>
        <w:t xml:space="preserve">Ze statistických údajů zobrazených </w:t>
      </w:r>
      <w:r w:rsidRPr="00423DC8">
        <w:t xml:space="preserve">v tabulkách a přehledných grafech, které znázorňují vývoj od roku 2008, </w:t>
      </w:r>
      <w:r>
        <w:t>lze vyčíst</w:t>
      </w:r>
      <w:r w:rsidRPr="00423DC8">
        <w:t xml:space="preserve"> také řadu zajímavostí. Například srovnání míry odvolání, která v občanskoprávní agendě u okresních soudů dosahuje 7 % až 8 %, zatímco v trestním řízení u</w:t>
      </w:r>
      <w:r>
        <w:t> </w:t>
      </w:r>
      <w:r w:rsidRPr="00423DC8">
        <w:t>krajských soudů je zhruba desetkrát vyšší.</w:t>
      </w:r>
    </w:p>
    <w:p w14:paraId="2690DCEE" w14:textId="77777777" w:rsidR="0032015B" w:rsidRDefault="006F7FEE" w:rsidP="006F7FEE">
      <w:r>
        <w:t xml:space="preserve">Každý rok se snažíme zprávu posunout o kousek dál. Tu letošní </w:t>
      </w:r>
      <w:r w:rsidRPr="00423DC8">
        <w:t xml:space="preserve">jsme obohatili o nové statistky, rozšířili jsme </w:t>
      </w:r>
      <w:r>
        <w:t>kapitoly o </w:t>
      </w:r>
      <w:r w:rsidRPr="00423DC8">
        <w:t>soudním personálu a na některých místech uvádíme procentuální změnu oproti roku předchozímu, což pomůže k lepší představě o tom, jak se údaj za rok změnil.</w:t>
      </w:r>
    </w:p>
    <w:p w14:paraId="0D08F0B1" w14:textId="77777777" w:rsidR="0032015B" w:rsidRDefault="006F7FEE" w:rsidP="006F7FEE">
      <w:r w:rsidRPr="00423DC8">
        <w:t>Doufám, že budete</w:t>
      </w:r>
      <w:r>
        <w:t>,</w:t>
      </w:r>
      <w:r w:rsidRPr="00423DC8">
        <w:t xml:space="preserve"> </w:t>
      </w:r>
      <w:r w:rsidRPr="00D643FA">
        <w:t>stejně jako já</w:t>
      </w:r>
      <w:r>
        <w:t>,</w:t>
      </w:r>
      <w:r w:rsidRPr="00D643FA">
        <w:t xml:space="preserve"> </w:t>
      </w:r>
      <w:r w:rsidRPr="003D080F">
        <w:t xml:space="preserve">i nadále </w:t>
      </w:r>
      <w:r w:rsidRPr="00423DC8">
        <w:t>považovat statistiku za důležitý nástroj pro naši práci a</w:t>
      </w:r>
      <w:r>
        <w:t> </w:t>
      </w:r>
      <w:r w:rsidRPr="00423DC8">
        <w:t xml:space="preserve">její </w:t>
      </w:r>
      <w:r>
        <w:t>soustavné zlepšování.</w:t>
      </w:r>
    </w:p>
    <w:p w14:paraId="1B9DE09E" w14:textId="1E786D61" w:rsidR="006F7FEE" w:rsidRPr="00423DC8" w:rsidRDefault="006F7FEE" w:rsidP="006F7FEE"/>
    <w:p w14:paraId="12BED33C" w14:textId="77777777" w:rsidR="006F7FEE" w:rsidRPr="00423DC8" w:rsidRDefault="006F7FEE" w:rsidP="006F7FEE">
      <w:pPr>
        <w:jc w:val="right"/>
        <w:rPr>
          <w:i/>
        </w:rPr>
      </w:pPr>
      <w:r w:rsidRPr="00423DC8">
        <w:rPr>
          <w:i/>
        </w:rPr>
        <w:t>Mgr. Marie Benešová</w:t>
      </w:r>
    </w:p>
    <w:p w14:paraId="3DBA635D" w14:textId="77777777" w:rsidR="006F7FEE" w:rsidRPr="00423DC8" w:rsidRDefault="006F7FEE" w:rsidP="006F7FEE">
      <w:pPr>
        <w:jc w:val="right"/>
      </w:pPr>
      <w:r w:rsidRPr="00423DC8">
        <w:t>ministryně spravedlnosti</w:t>
      </w:r>
    </w:p>
    <w:p w14:paraId="54BE0613" w14:textId="77777777" w:rsidR="00D3540E" w:rsidRPr="00F85178" w:rsidRDefault="00D3540E" w:rsidP="009E39F3"/>
    <w:p w14:paraId="18FBF640" w14:textId="77777777" w:rsidR="007C654A" w:rsidRPr="00F85178" w:rsidRDefault="00695BE9" w:rsidP="00695BE9">
      <w:pPr>
        <w:pStyle w:val="Nadpis1"/>
        <w:numPr>
          <w:ilvl w:val="0"/>
          <w:numId w:val="0"/>
        </w:numPr>
        <w:ind w:left="432" w:hanging="432"/>
      </w:pPr>
      <w:bookmarkStart w:id="0" w:name="_Toc508873365"/>
      <w:bookmarkStart w:id="1" w:name="_Toc14076863"/>
      <w:r w:rsidRPr="00F85178">
        <w:t>Obsah</w:t>
      </w:r>
      <w:bookmarkEnd w:id="0"/>
      <w:bookmarkEnd w:id="1"/>
    </w:p>
    <w:p w14:paraId="364B679B" w14:textId="77777777" w:rsidR="00E22B78" w:rsidRDefault="000B6D87">
      <w:pPr>
        <w:pStyle w:val="Obsah1"/>
        <w:tabs>
          <w:tab w:val="right" w:leader="dot" w:pos="9060"/>
        </w:tabs>
        <w:rPr>
          <w:rFonts w:asciiTheme="minorHAnsi" w:eastAsiaTheme="minorEastAsia" w:hAnsiTheme="minorHAnsi" w:cstheme="minorBidi"/>
          <w:noProof/>
          <w:sz w:val="22"/>
          <w:lang w:eastAsia="cs-CZ"/>
        </w:rPr>
      </w:pPr>
      <w:r w:rsidRPr="00F85178">
        <w:fldChar w:fldCharType="begin"/>
      </w:r>
      <w:r w:rsidRPr="00F85178">
        <w:instrText xml:space="preserve"> TOC \o "1-3" \h \z \u </w:instrText>
      </w:r>
      <w:r w:rsidRPr="00F85178">
        <w:fldChar w:fldCharType="separate"/>
      </w:r>
      <w:hyperlink w:anchor="_Toc14076863" w:history="1">
        <w:r w:rsidR="00E22B78" w:rsidRPr="007609D9">
          <w:rPr>
            <w:rStyle w:val="Hypertextovodkaz"/>
            <w:noProof/>
          </w:rPr>
          <w:t>Obsah</w:t>
        </w:r>
        <w:r w:rsidR="00E22B78">
          <w:rPr>
            <w:noProof/>
            <w:webHidden/>
          </w:rPr>
          <w:tab/>
        </w:r>
        <w:r w:rsidR="00E22B78">
          <w:rPr>
            <w:noProof/>
            <w:webHidden/>
          </w:rPr>
          <w:fldChar w:fldCharType="begin"/>
        </w:r>
        <w:r w:rsidR="00E22B78">
          <w:rPr>
            <w:noProof/>
            <w:webHidden/>
          </w:rPr>
          <w:instrText xml:space="preserve"> PAGEREF _Toc14076863 \h </w:instrText>
        </w:r>
        <w:r w:rsidR="00E22B78">
          <w:rPr>
            <w:noProof/>
            <w:webHidden/>
          </w:rPr>
        </w:r>
        <w:r w:rsidR="00E22B78">
          <w:rPr>
            <w:noProof/>
            <w:webHidden/>
          </w:rPr>
          <w:fldChar w:fldCharType="separate"/>
        </w:r>
        <w:r w:rsidR="00AD732F">
          <w:rPr>
            <w:noProof/>
            <w:webHidden/>
          </w:rPr>
          <w:t>4</w:t>
        </w:r>
        <w:r w:rsidR="00E22B78">
          <w:rPr>
            <w:noProof/>
            <w:webHidden/>
          </w:rPr>
          <w:fldChar w:fldCharType="end"/>
        </w:r>
      </w:hyperlink>
    </w:p>
    <w:p w14:paraId="05D27F74"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864" w:history="1">
        <w:r w:rsidR="00E22B78" w:rsidRPr="007609D9">
          <w:rPr>
            <w:rStyle w:val="Hypertextovodkaz"/>
            <w:noProof/>
          </w:rPr>
          <w:t>1</w:t>
        </w:r>
        <w:r w:rsidR="00E22B78">
          <w:rPr>
            <w:rFonts w:asciiTheme="minorHAnsi" w:eastAsiaTheme="minorEastAsia" w:hAnsiTheme="minorHAnsi" w:cstheme="minorBidi"/>
            <w:noProof/>
            <w:sz w:val="22"/>
            <w:lang w:eastAsia="cs-CZ"/>
          </w:rPr>
          <w:tab/>
        </w:r>
        <w:r w:rsidR="00E22B78" w:rsidRPr="007609D9">
          <w:rPr>
            <w:rStyle w:val="Hypertextovodkaz"/>
            <w:noProof/>
          </w:rPr>
          <w:t>Úvod</w:t>
        </w:r>
        <w:r w:rsidR="00E22B78">
          <w:rPr>
            <w:noProof/>
            <w:webHidden/>
          </w:rPr>
          <w:tab/>
        </w:r>
        <w:r w:rsidR="00E22B78">
          <w:rPr>
            <w:noProof/>
            <w:webHidden/>
          </w:rPr>
          <w:fldChar w:fldCharType="begin"/>
        </w:r>
        <w:r w:rsidR="00E22B78">
          <w:rPr>
            <w:noProof/>
            <w:webHidden/>
          </w:rPr>
          <w:instrText xml:space="preserve"> PAGEREF _Toc14076864 \h </w:instrText>
        </w:r>
        <w:r w:rsidR="00E22B78">
          <w:rPr>
            <w:noProof/>
            <w:webHidden/>
          </w:rPr>
        </w:r>
        <w:r w:rsidR="00E22B78">
          <w:rPr>
            <w:noProof/>
            <w:webHidden/>
          </w:rPr>
          <w:fldChar w:fldCharType="separate"/>
        </w:r>
        <w:r w:rsidR="00AD732F">
          <w:rPr>
            <w:noProof/>
            <w:webHidden/>
          </w:rPr>
          <w:t>7</w:t>
        </w:r>
        <w:r w:rsidR="00E22B78">
          <w:rPr>
            <w:noProof/>
            <w:webHidden/>
          </w:rPr>
          <w:fldChar w:fldCharType="end"/>
        </w:r>
      </w:hyperlink>
    </w:p>
    <w:p w14:paraId="777025F5" w14:textId="77777777" w:rsidR="00E22B78" w:rsidRDefault="00D818C4">
      <w:pPr>
        <w:pStyle w:val="Obsah2"/>
        <w:rPr>
          <w:rFonts w:asciiTheme="minorHAnsi" w:eastAsiaTheme="minorEastAsia" w:hAnsiTheme="minorHAnsi" w:cstheme="minorBidi"/>
          <w:sz w:val="22"/>
          <w:lang w:eastAsia="cs-CZ"/>
        </w:rPr>
      </w:pPr>
      <w:hyperlink w:anchor="_Toc14076865" w:history="1">
        <w:r w:rsidR="00E22B78" w:rsidRPr="007609D9">
          <w:rPr>
            <w:rStyle w:val="Hypertextovodkaz"/>
          </w:rPr>
          <w:t>1.1</w:t>
        </w:r>
        <w:r w:rsidR="00E22B78">
          <w:rPr>
            <w:rFonts w:asciiTheme="minorHAnsi" w:eastAsiaTheme="minorEastAsia" w:hAnsiTheme="minorHAnsi" w:cstheme="minorBidi"/>
            <w:sz w:val="22"/>
            <w:lang w:eastAsia="cs-CZ"/>
          </w:rPr>
          <w:tab/>
        </w:r>
        <w:r w:rsidR="00E22B78" w:rsidRPr="007609D9">
          <w:rPr>
            <w:rStyle w:val="Hypertextovodkaz"/>
          </w:rPr>
          <w:t>Základní východiska, předpoklady, omezení a upřesňující poznámky</w:t>
        </w:r>
        <w:r w:rsidR="00E22B78">
          <w:rPr>
            <w:webHidden/>
          </w:rPr>
          <w:tab/>
        </w:r>
        <w:r w:rsidR="00E22B78">
          <w:rPr>
            <w:webHidden/>
          </w:rPr>
          <w:fldChar w:fldCharType="begin"/>
        </w:r>
        <w:r w:rsidR="00E22B78">
          <w:rPr>
            <w:webHidden/>
          </w:rPr>
          <w:instrText xml:space="preserve"> PAGEREF _Toc14076865 \h </w:instrText>
        </w:r>
        <w:r w:rsidR="00E22B78">
          <w:rPr>
            <w:webHidden/>
          </w:rPr>
        </w:r>
        <w:r w:rsidR="00E22B78">
          <w:rPr>
            <w:webHidden/>
          </w:rPr>
          <w:fldChar w:fldCharType="separate"/>
        </w:r>
        <w:r w:rsidR="00AD732F">
          <w:rPr>
            <w:webHidden/>
          </w:rPr>
          <w:t>7</w:t>
        </w:r>
        <w:r w:rsidR="00E22B78">
          <w:rPr>
            <w:webHidden/>
          </w:rPr>
          <w:fldChar w:fldCharType="end"/>
        </w:r>
      </w:hyperlink>
    </w:p>
    <w:p w14:paraId="246D1746" w14:textId="77777777" w:rsidR="00E22B78" w:rsidRDefault="00D818C4">
      <w:pPr>
        <w:pStyle w:val="Obsah2"/>
        <w:rPr>
          <w:rFonts w:asciiTheme="minorHAnsi" w:eastAsiaTheme="minorEastAsia" w:hAnsiTheme="minorHAnsi" w:cstheme="minorBidi"/>
          <w:sz w:val="22"/>
          <w:lang w:eastAsia="cs-CZ"/>
        </w:rPr>
      </w:pPr>
      <w:hyperlink w:anchor="_Toc14076866" w:history="1">
        <w:r w:rsidR="00E22B78" w:rsidRPr="007609D9">
          <w:rPr>
            <w:rStyle w:val="Hypertextovodkaz"/>
          </w:rPr>
          <w:t>1.2</w:t>
        </w:r>
        <w:r w:rsidR="00E22B78">
          <w:rPr>
            <w:rFonts w:asciiTheme="minorHAnsi" w:eastAsiaTheme="minorEastAsia" w:hAnsiTheme="minorHAnsi" w:cstheme="minorBidi"/>
            <w:sz w:val="22"/>
            <w:lang w:eastAsia="cs-CZ"/>
          </w:rPr>
          <w:tab/>
        </w:r>
        <w:r w:rsidR="00E22B78" w:rsidRPr="007609D9">
          <w:rPr>
            <w:rStyle w:val="Hypertextovodkaz"/>
          </w:rPr>
          <w:t>Změny oproti verzi z minulého roku</w:t>
        </w:r>
        <w:r w:rsidR="00E22B78">
          <w:rPr>
            <w:webHidden/>
          </w:rPr>
          <w:tab/>
        </w:r>
        <w:r w:rsidR="00E22B78">
          <w:rPr>
            <w:webHidden/>
          </w:rPr>
          <w:fldChar w:fldCharType="begin"/>
        </w:r>
        <w:r w:rsidR="00E22B78">
          <w:rPr>
            <w:webHidden/>
          </w:rPr>
          <w:instrText xml:space="preserve"> PAGEREF _Toc14076866 \h </w:instrText>
        </w:r>
        <w:r w:rsidR="00E22B78">
          <w:rPr>
            <w:webHidden/>
          </w:rPr>
        </w:r>
        <w:r w:rsidR="00E22B78">
          <w:rPr>
            <w:webHidden/>
          </w:rPr>
          <w:fldChar w:fldCharType="separate"/>
        </w:r>
        <w:r w:rsidR="00AD732F">
          <w:rPr>
            <w:webHidden/>
          </w:rPr>
          <w:t>9</w:t>
        </w:r>
        <w:r w:rsidR="00E22B78">
          <w:rPr>
            <w:webHidden/>
          </w:rPr>
          <w:fldChar w:fldCharType="end"/>
        </w:r>
      </w:hyperlink>
    </w:p>
    <w:p w14:paraId="0822A83B"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867" w:history="1">
        <w:r w:rsidR="00E22B78" w:rsidRPr="007609D9">
          <w:rPr>
            <w:rStyle w:val="Hypertextovodkaz"/>
            <w:noProof/>
          </w:rPr>
          <w:t>2</w:t>
        </w:r>
        <w:r w:rsidR="00E22B78">
          <w:rPr>
            <w:rFonts w:asciiTheme="minorHAnsi" w:eastAsiaTheme="minorEastAsia" w:hAnsiTheme="minorHAnsi" w:cstheme="minorBidi"/>
            <w:noProof/>
            <w:sz w:val="22"/>
            <w:lang w:eastAsia="cs-CZ"/>
          </w:rPr>
          <w:tab/>
        </w:r>
        <w:r w:rsidR="00E22B78" w:rsidRPr="007609D9">
          <w:rPr>
            <w:rStyle w:val="Hypertextovodkaz"/>
            <w:noProof/>
          </w:rPr>
          <w:t>Okresní soudy</w:t>
        </w:r>
        <w:r w:rsidR="00E22B78">
          <w:rPr>
            <w:noProof/>
            <w:webHidden/>
          </w:rPr>
          <w:tab/>
        </w:r>
        <w:r w:rsidR="00E22B78">
          <w:rPr>
            <w:noProof/>
            <w:webHidden/>
          </w:rPr>
          <w:fldChar w:fldCharType="begin"/>
        </w:r>
        <w:r w:rsidR="00E22B78">
          <w:rPr>
            <w:noProof/>
            <w:webHidden/>
          </w:rPr>
          <w:instrText xml:space="preserve"> PAGEREF _Toc14076867 \h </w:instrText>
        </w:r>
        <w:r w:rsidR="00E22B78">
          <w:rPr>
            <w:noProof/>
            <w:webHidden/>
          </w:rPr>
        </w:r>
        <w:r w:rsidR="00E22B78">
          <w:rPr>
            <w:noProof/>
            <w:webHidden/>
          </w:rPr>
          <w:fldChar w:fldCharType="separate"/>
        </w:r>
        <w:r w:rsidR="00AD732F">
          <w:rPr>
            <w:noProof/>
            <w:webHidden/>
          </w:rPr>
          <w:t>10</w:t>
        </w:r>
        <w:r w:rsidR="00E22B78">
          <w:rPr>
            <w:noProof/>
            <w:webHidden/>
          </w:rPr>
          <w:fldChar w:fldCharType="end"/>
        </w:r>
      </w:hyperlink>
    </w:p>
    <w:p w14:paraId="349CA412" w14:textId="77777777" w:rsidR="00E22B78" w:rsidRDefault="00D818C4">
      <w:pPr>
        <w:pStyle w:val="Obsah2"/>
        <w:rPr>
          <w:rFonts w:asciiTheme="minorHAnsi" w:eastAsiaTheme="minorEastAsia" w:hAnsiTheme="minorHAnsi" w:cstheme="minorBidi"/>
          <w:sz w:val="22"/>
          <w:lang w:eastAsia="cs-CZ"/>
        </w:rPr>
      </w:pPr>
      <w:hyperlink w:anchor="_Toc14076868" w:history="1">
        <w:r w:rsidR="00E22B78" w:rsidRPr="007609D9">
          <w:rPr>
            <w:rStyle w:val="Hypertextovodkaz"/>
          </w:rPr>
          <w:t>2.1</w:t>
        </w:r>
        <w:r w:rsidR="00E22B78">
          <w:rPr>
            <w:rFonts w:asciiTheme="minorHAnsi" w:eastAsiaTheme="minorEastAsia" w:hAnsiTheme="minorHAnsi" w:cstheme="minorBidi"/>
            <w:sz w:val="22"/>
            <w:lang w:eastAsia="cs-CZ"/>
          </w:rPr>
          <w:tab/>
        </w:r>
        <w:r w:rsidR="00E22B78" w:rsidRPr="007609D9">
          <w:rPr>
            <w:rStyle w:val="Hypertextovodkaz"/>
          </w:rPr>
          <w:t>Personál</w:t>
        </w:r>
        <w:r w:rsidR="00E22B78">
          <w:rPr>
            <w:webHidden/>
          </w:rPr>
          <w:tab/>
        </w:r>
        <w:r w:rsidR="00E22B78">
          <w:rPr>
            <w:webHidden/>
          </w:rPr>
          <w:fldChar w:fldCharType="begin"/>
        </w:r>
        <w:r w:rsidR="00E22B78">
          <w:rPr>
            <w:webHidden/>
          </w:rPr>
          <w:instrText xml:space="preserve"> PAGEREF _Toc14076868 \h </w:instrText>
        </w:r>
        <w:r w:rsidR="00E22B78">
          <w:rPr>
            <w:webHidden/>
          </w:rPr>
        </w:r>
        <w:r w:rsidR="00E22B78">
          <w:rPr>
            <w:webHidden/>
          </w:rPr>
          <w:fldChar w:fldCharType="separate"/>
        </w:r>
        <w:r w:rsidR="00AD732F">
          <w:rPr>
            <w:webHidden/>
          </w:rPr>
          <w:t>10</w:t>
        </w:r>
        <w:r w:rsidR="00E22B78">
          <w:rPr>
            <w:webHidden/>
          </w:rPr>
          <w:fldChar w:fldCharType="end"/>
        </w:r>
      </w:hyperlink>
    </w:p>
    <w:p w14:paraId="784F08B3" w14:textId="77777777" w:rsidR="00E22B78" w:rsidRDefault="00D818C4">
      <w:pPr>
        <w:pStyle w:val="Obsah3"/>
        <w:rPr>
          <w:rFonts w:asciiTheme="minorHAnsi" w:eastAsiaTheme="minorEastAsia" w:hAnsiTheme="minorHAnsi" w:cstheme="minorBidi"/>
          <w:noProof/>
          <w:sz w:val="22"/>
          <w:lang w:eastAsia="cs-CZ"/>
        </w:rPr>
      </w:pPr>
      <w:hyperlink w:anchor="_Toc14076869" w:history="1">
        <w:r w:rsidR="00E22B78" w:rsidRPr="007609D9">
          <w:rPr>
            <w:rStyle w:val="Hypertextovodkaz"/>
            <w:noProof/>
          </w:rPr>
          <w:t>2.1.1</w:t>
        </w:r>
        <w:r w:rsidR="00E22B78">
          <w:rPr>
            <w:rFonts w:asciiTheme="minorHAnsi" w:eastAsiaTheme="minorEastAsia" w:hAnsiTheme="minorHAnsi" w:cstheme="minorBidi"/>
            <w:noProof/>
            <w:sz w:val="22"/>
            <w:lang w:eastAsia="cs-CZ"/>
          </w:rPr>
          <w:tab/>
        </w:r>
        <w:r w:rsidR="00E22B78" w:rsidRPr="007609D9">
          <w:rPr>
            <w:rStyle w:val="Hypertextovodkaz"/>
            <w:noProof/>
          </w:rPr>
          <w:t>Soudci</w:t>
        </w:r>
        <w:r w:rsidR="00E22B78">
          <w:rPr>
            <w:noProof/>
            <w:webHidden/>
          </w:rPr>
          <w:tab/>
        </w:r>
        <w:r w:rsidR="00E22B78">
          <w:rPr>
            <w:noProof/>
            <w:webHidden/>
          </w:rPr>
          <w:fldChar w:fldCharType="begin"/>
        </w:r>
        <w:r w:rsidR="00E22B78">
          <w:rPr>
            <w:noProof/>
            <w:webHidden/>
          </w:rPr>
          <w:instrText xml:space="preserve"> PAGEREF _Toc14076869 \h </w:instrText>
        </w:r>
        <w:r w:rsidR="00E22B78">
          <w:rPr>
            <w:noProof/>
            <w:webHidden/>
          </w:rPr>
        </w:r>
        <w:r w:rsidR="00E22B78">
          <w:rPr>
            <w:noProof/>
            <w:webHidden/>
          </w:rPr>
          <w:fldChar w:fldCharType="separate"/>
        </w:r>
        <w:r w:rsidR="00AD732F">
          <w:rPr>
            <w:noProof/>
            <w:webHidden/>
          </w:rPr>
          <w:t>10</w:t>
        </w:r>
        <w:r w:rsidR="00E22B78">
          <w:rPr>
            <w:noProof/>
            <w:webHidden/>
          </w:rPr>
          <w:fldChar w:fldCharType="end"/>
        </w:r>
      </w:hyperlink>
    </w:p>
    <w:p w14:paraId="0B0DA3C8" w14:textId="77777777" w:rsidR="00E22B78" w:rsidRDefault="00D818C4">
      <w:pPr>
        <w:pStyle w:val="Obsah3"/>
        <w:rPr>
          <w:rFonts w:asciiTheme="minorHAnsi" w:eastAsiaTheme="minorEastAsia" w:hAnsiTheme="minorHAnsi" w:cstheme="minorBidi"/>
          <w:noProof/>
          <w:sz w:val="22"/>
          <w:lang w:eastAsia="cs-CZ"/>
        </w:rPr>
      </w:pPr>
      <w:hyperlink w:anchor="_Toc14076870" w:history="1">
        <w:r w:rsidR="00E22B78" w:rsidRPr="007609D9">
          <w:rPr>
            <w:rStyle w:val="Hypertextovodkaz"/>
            <w:noProof/>
          </w:rPr>
          <w:t>2.1.2</w:t>
        </w:r>
        <w:r w:rsidR="00E22B78">
          <w:rPr>
            <w:rFonts w:asciiTheme="minorHAnsi" w:eastAsiaTheme="minorEastAsia" w:hAnsiTheme="minorHAnsi" w:cstheme="minorBidi"/>
            <w:noProof/>
            <w:sz w:val="22"/>
            <w:lang w:eastAsia="cs-CZ"/>
          </w:rPr>
          <w:tab/>
        </w:r>
        <w:r w:rsidR="00E22B78" w:rsidRPr="007609D9">
          <w:rPr>
            <w:rStyle w:val="Hypertextovodkaz"/>
            <w:noProof/>
          </w:rPr>
          <w:t>Zaměstnanci ve výkonu a ve správě</w:t>
        </w:r>
        <w:r w:rsidR="00E22B78">
          <w:rPr>
            <w:noProof/>
            <w:webHidden/>
          </w:rPr>
          <w:tab/>
        </w:r>
        <w:r w:rsidR="00E22B78">
          <w:rPr>
            <w:noProof/>
            <w:webHidden/>
          </w:rPr>
          <w:fldChar w:fldCharType="begin"/>
        </w:r>
        <w:r w:rsidR="00E22B78">
          <w:rPr>
            <w:noProof/>
            <w:webHidden/>
          </w:rPr>
          <w:instrText xml:space="preserve"> PAGEREF _Toc14076870 \h </w:instrText>
        </w:r>
        <w:r w:rsidR="00E22B78">
          <w:rPr>
            <w:noProof/>
            <w:webHidden/>
          </w:rPr>
        </w:r>
        <w:r w:rsidR="00E22B78">
          <w:rPr>
            <w:noProof/>
            <w:webHidden/>
          </w:rPr>
          <w:fldChar w:fldCharType="separate"/>
        </w:r>
        <w:r w:rsidR="00AD732F">
          <w:rPr>
            <w:noProof/>
            <w:webHidden/>
          </w:rPr>
          <w:t>16</w:t>
        </w:r>
        <w:r w:rsidR="00E22B78">
          <w:rPr>
            <w:noProof/>
            <w:webHidden/>
          </w:rPr>
          <w:fldChar w:fldCharType="end"/>
        </w:r>
      </w:hyperlink>
    </w:p>
    <w:p w14:paraId="2550E0BC" w14:textId="77777777" w:rsidR="00E22B78" w:rsidRDefault="00D818C4">
      <w:pPr>
        <w:pStyle w:val="Obsah3"/>
        <w:rPr>
          <w:rFonts w:asciiTheme="minorHAnsi" w:eastAsiaTheme="minorEastAsia" w:hAnsiTheme="minorHAnsi" w:cstheme="minorBidi"/>
          <w:noProof/>
          <w:sz w:val="22"/>
          <w:lang w:eastAsia="cs-CZ"/>
        </w:rPr>
      </w:pPr>
      <w:hyperlink w:anchor="_Toc14076871" w:history="1">
        <w:r w:rsidR="00E22B78" w:rsidRPr="007609D9">
          <w:rPr>
            <w:rStyle w:val="Hypertextovodkaz"/>
            <w:noProof/>
          </w:rPr>
          <w:t>2.1.3</w:t>
        </w:r>
        <w:r w:rsidR="00E22B78">
          <w:rPr>
            <w:rFonts w:asciiTheme="minorHAnsi" w:eastAsiaTheme="minorEastAsia" w:hAnsiTheme="minorHAnsi" w:cstheme="minorBidi"/>
            <w:noProof/>
            <w:sz w:val="22"/>
            <w:lang w:eastAsia="cs-CZ"/>
          </w:rPr>
          <w:tab/>
        </w:r>
        <w:r w:rsidR="00E22B78" w:rsidRPr="007609D9">
          <w:rPr>
            <w:rStyle w:val="Hypertextovodkaz"/>
            <w:noProof/>
          </w:rPr>
          <w:t>Přísedící soudu</w:t>
        </w:r>
        <w:r w:rsidR="00E22B78">
          <w:rPr>
            <w:noProof/>
            <w:webHidden/>
          </w:rPr>
          <w:tab/>
        </w:r>
        <w:r w:rsidR="00E22B78">
          <w:rPr>
            <w:noProof/>
            <w:webHidden/>
          </w:rPr>
          <w:fldChar w:fldCharType="begin"/>
        </w:r>
        <w:r w:rsidR="00E22B78">
          <w:rPr>
            <w:noProof/>
            <w:webHidden/>
          </w:rPr>
          <w:instrText xml:space="preserve"> PAGEREF _Toc14076871 \h </w:instrText>
        </w:r>
        <w:r w:rsidR="00E22B78">
          <w:rPr>
            <w:noProof/>
            <w:webHidden/>
          </w:rPr>
        </w:r>
        <w:r w:rsidR="00E22B78">
          <w:rPr>
            <w:noProof/>
            <w:webHidden/>
          </w:rPr>
          <w:fldChar w:fldCharType="separate"/>
        </w:r>
        <w:r w:rsidR="00AD732F">
          <w:rPr>
            <w:noProof/>
            <w:webHidden/>
          </w:rPr>
          <w:t>18</w:t>
        </w:r>
        <w:r w:rsidR="00E22B78">
          <w:rPr>
            <w:noProof/>
            <w:webHidden/>
          </w:rPr>
          <w:fldChar w:fldCharType="end"/>
        </w:r>
      </w:hyperlink>
    </w:p>
    <w:p w14:paraId="2ACA652A" w14:textId="77777777" w:rsidR="00E22B78" w:rsidRDefault="00D818C4">
      <w:pPr>
        <w:pStyle w:val="Obsah2"/>
        <w:rPr>
          <w:rFonts w:asciiTheme="minorHAnsi" w:eastAsiaTheme="minorEastAsia" w:hAnsiTheme="minorHAnsi" w:cstheme="minorBidi"/>
          <w:sz w:val="22"/>
          <w:lang w:eastAsia="cs-CZ"/>
        </w:rPr>
      </w:pPr>
      <w:hyperlink w:anchor="_Toc14076872" w:history="1">
        <w:r w:rsidR="00E22B78" w:rsidRPr="007609D9">
          <w:rPr>
            <w:rStyle w:val="Hypertextovodkaz"/>
          </w:rPr>
          <w:t>2.2</w:t>
        </w:r>
        <w:r w:rsidR="00E22B78">
          <w:rPr>
            <w:rFonts w:asciiTheme="minorHAnsi" w:eastAsiaTheme="minorEastAsia" w:hAnsiTheme="minorHAnsi" w:cstheme="minorBidi"/>
            <w:sz w:val="22"/>
            <w:lang w:eastAsia="cs-CZ"/>
          </w:rPr>
          <w:tab/>
        </w:r>
        <w:r w:rsidR="00E22B78" w:rsidRPr="007609D9">
          <w:rPr>
            <w:rStyle w:val="Hypertextovodkaz"/>
          </w:rPr>
          <w:t>Civilní agenda</w:t>
        </w:r>
        <w:r w:rsidR="00E22B78">
          <w:rPr>
            <w:webHidden/>
          </w:rPr>
          <w:tab/>
        </w:r>
        <w:r w:rsidR="00E22B78">
          <w:rPr>
            <w:webHidden/>
          </w:rPr>
          <w:fldChar w:fldCharType="begin"/>
        </w:r>
        <w:r w:rsidR="00E22B78">
          <w:rPr>
            <w:webHidden/>
          </w:rPr>
          <w:instrText xml:space="preserve"> PAGEREF _Toc14076872 \h </w:instrText>
        </w:r>
        <w:r w:rsidR="00E22B78">
          <w:rPr>
            <w:webHidden/>
          </w:rPr>
        </w:r>
        <w:r w:rsidR="00E22B78">
          <w:rPr>
            <w:webHidden/>
          </w:rPr>
          <w:fldChar w:fldCharType="separate"/>
        </w:r>
        <w:r w:rsidR="00AD732F">
          <w:rPr>
            <w:webHidden/>
          </w:rPr>
          <w:t>19</w:t>
        </w:r>
        <w:r w:rsidR="00E22B78">
          <w:rPr>
            <w:webHidden/>
          </w:rPr>
          <w:fldChar w:fldCharType="end"/>
        </w:r>
      </w:hyperlink>
    </w:p>
    <w:p w14:paraId="3197C012" w14:textId="77777777" w:rsidR="00E22B78" w:rsidRDefault="00D818C4">
      <w:pPr>
        <w:pStyle w:val="Obsah3"/>
        <w:rPr>
          <w:rFonts w:asciiTheme="minorHAnsi" w:eastAsiaTheme="minorEastAsia" w:hAnsiTheme="minorHAnsi" w:cstheme="minorBidi"/>
          <w:noProof/>
          <w:sz w:val="22"/>
          <w:lang w:eastAsia="cs-CZ"/>
        </w:rPr>
      </w:pPr>
      <w:hyperlink w:anchor="_Toc14076873" w:history="1">
        <w:r w:rsidR="00E22B78" w:rsidRPr="007609D9">
          <w:rPr>
            <w:rStyle w:val="Hypertextovodkaz"/>
            <w:noProof/>
          </w:rPr>
          <w:t>2.2.1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_Toc14076873 \h </w:instrText>
        </w:r>
        <w:r w:rsidR="00E22B78">
          <w:rPr>
            <w:noProof/>
            <w:webHidden/>
          </w:rPr>
        </w:r>
        <w:r w:rsidR="00E22B78">
          <w:rPr>
            <w:noProof/>
            <w:webHidden/>
          </w:rPr>
          <w:fldChar w:fldCharType="separate"/>
        </w:r>
        <w:r w:rsidR="00AD732F">
          <w:rPr>
            <w:noProof/>
            <w:webHidden/>
          </w:rPr>
          <w:t>19</w:t>
        </w:r>
        <w:r w:rsidR="00E22B78">
          <w:rPr>
            <w:noProof/>
            <w:webHidden/>
          </w:rPr>
          <w:fldChar w:fldCharType="end"/>
        </w:r>
      </w:hyperlink>
    </w:p>
    <w:p w14:paraId="25B034C7" w14:textId="77777777" w:rsidR="00E22B78" w:rsidRDefault="00D818C4">
      <w:pPr>
        <w:pStyle w:val="Obsah3"/>
        <w:rPr>
          <w:rFonts w:asciiTheme="minorHAnsi" w:eastAsiaTheme="minorEastAsia" w:hAnsiTheme="minorHAnsi" w:cstheme="minorBidi"/>
          <w:noProof/>
          <w:sz w:val="22"/>
          <w:lang w:eastAsia="cs-CZ"/>
        </w:rPr>
      </w:pPr>
      <w:hyperlink w:anchor="_Toc14076874" w:history="1">
        <w:r w:rsidR="00E22B78" w:rsidRPr="007609D9">
          <w:rPr>
            <w:rStyle w:val="Hypertextovodkaz"/>
            <w:noProof/>
          </w:rPr>
          <w:t>2.2.2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_Toc14076874 \h </w:instrText>
        </w:r>
        <w:r w:rsidR="00E22B78">
          <w:rPr>
            <w:noProof/>
            <w:webHidden/>
          </w:rPr>
        </w:r>
        <w:r w:rsidR="00E22B78">
          <w:rPr>
            <w:noProof/>
            <w:webHidden/>
          </w:rPr>
          <w:fldChar w:fldCharType="separate"/>
        </w:r>
        <w:r w:rsidR="00AD732F">
          <w:rPr>
            <w:noProof/>
            <w:webHidden/>
          </w:rPr>
          <w:t>23</w:t>
        </w:r>
        <w:r w:rsidR="00E22B78">
          <w:rPr>
            <w:noProof/>
            <w:webHidden/>
          </w:rPr>
          <w:fldChar w:fldCharType="end"/>
        </w:r>
      </w:hyperlink>
    </w:p>
    <w:p w14:paraId="73E57FA5" w14:textId="77777777" w:rsidR="00E22B78" w:rsidRDefault="00D818C4">
      <w:pPr>
        <w:pStyle w:val="Obsah3"/>
        <w:rPr>
          <w:rFonts w:asciiTheme="minorHAnsi" w:eastAsiaTheme="minorEastAsia" w:hAnsiTheme="minorHAnsi" w:cstheme="minorBidi"/>
          <w:noProof/>
          <w:sz w:val="22"/>
          <w:lang w:eastAsia="cs-CZ"/>
        </w:rPr>
      </w:pPr>
      <w:hyperlink w:anchor="_Toc14076875" w:history="1">
        <w:r w:rsidR="00E22B78" w:rsidRPr="007609D9">
          <w:rPr>
            <w:rStyle w:val="Hypertextovodkaz"/>
            <w:noProof/>
          </w:rPr>
          <w:t>2.2.3</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 v přepočtu na soudce</w:t>
        </w:r>
        <w:r w:rsidR="00E22B78">
          <w:rPr>
            <w:noProof/>
            <w:webHidden/>
          </w:rPr>
          <w:tab/>
        </w:r>
        <w:r w:rsidR="00E22B78">
          <w:rPr>
            <w:noProof/>
            <w:webHidden/>
          </w:rPr>
          <w:fldChar w:fldCharType="begin"/>
        </w:r>
        <w:r w:rsidR="00E22B78">
          <w:rPr>
            <w:noProof/>
            <w:webHidden/>
          </w:rPr>
          <w:instrText xml:space="preserve"> PAGEREF _Toc14076875 \h </w:instrText>
        </w:r>
        <w:r w:rsidR="00E22B78">
          <w:rPr>
            <w:noProof/>
            <w:webHidden/>
          </w:rPr>
        </w:r>
        <w:r w:rsidR="00E22B78">
          <w:rPr>
            <w:noProof/>
            <w:webHidden/>
          </w:rPr>
          <w:fldChar w:fldCharType="separate"/>
        </w:r>
        <w:r w:rsidR="00AD732F">
          <w:rPr>
            <w:noProof/>
            <w:webHidden/>
          </w:rPr>
          <w:t>25</w:t>
        </w:r>
        <w:r w:rsidR="00E22B78">
          <w:rPr>
            <w:noProof/>
            <w:webHidden/>
          </w:rPr>
          <w:fldChar w:fldCharType="end"/>
        </w:r>
      </w:hyperlink>
    </w:p>
    <w:p w14:paraId="465ED67A" w14:textId="77777777" w:rsidR="00E22B78" w:rsidRDefault="00D818C4">
      <w:pPr>
        <w:pStyle w:val="Obsah3"/>
        <w:rPr>
          <w:rFonts w:asciiTheme="minorHAnsi" w:eastAsiaTheme="minorEastAsia" w:hAnsiTheme="minorHAnsi" w:cstheme="minorBidi"/>
          <w:noProof/>
          <w:sz w:val="22"/>
          <w:lang w:eastAsia="cs-CZ"/>
        </w:rPr>
      </w:pPr>
      <w:hyperlink w:anchor="_Toc14076876" w:history="1">
        <w:r w:rsidR="00E22B78" w:rsidRPr="007609D9">
          <w:rPr>
            <w:rStyle w:val="Hypertextovodkaz"/>
            <w:noProof/>
          </w:rPr>
          <w:t>2.2.4</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_Toc14076876 \h </w:instrText>
        </w:r>
        <w:r w:rsidR="00E22B78">
          <w:rPr>
            <w:noProof/>
            <w:webHidden/>
          </w:rPr>
        </w:r>
        <w:r w:rsidR="00E22B78">
          <w:rPr>
            <w:noProof/>
            <w:webHidden/>
          </w:rPr>
          <w:fldChar w:fldCharType="separate"/>
        </w:r>
        <w:r w:rsidR="00AD732F">
          <w:rPr>
            <w:noProof/>
            <w:webHidden/>
          </w:rPr>
          <w:t>28</w:t>
        </w:r>
        <w:r w:rsidR="00E22B78">
          <w:rPr>
            <w:noProof/>
            <w:webHidden/>
          </w:rPr>
          <w:fldChar w:fldCharType="end"/>
        </w:r>
      </w:hyperlink>
    </w:p>
    <w:p w14:paraId="3F56D1C6" w14:textId="77777777" w:rsidR="00E22B78" w:rsidRDefault="00D818C4">
      <w:pPr>
        <w:pStyle w:val="Obsah3"/>
        <w:rPr>
          <w:rFonts w:asciiTheme="minorHAnsi" w:eastAsiaTheme="minorEastAsia" w:hAnsiTheme="minorHAnsi" w:cstheme="minorBidi"/>
          <w:noProof/>
          <w:sz w:val="22"/>
          <w:lang w:eastAsia="cs-CZ"/>
        </w:rPr>
      </w:pPr>
      <w:hyperlink w:anchor="_Toc14076877" w:history="1">
        <w:r w:rsidR="00E22B78" w:rsidRPr="007609D9">
          <w:rPr>
            <w:rStyle w:val="Hypertextovodkaz"/>
            <w:noProof/>
          </w:rPr>
          <w:t>2.2.5</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_Toc14076877 \h </w:instrText>
        </w:r>
        <w:r w:rsidR="00E22B78">
          <w:rPr>
            <w:noProof/>
            <w:webHidden/>
          </w:rPr>
        </w:r>
        <w:r w:rsidR="00E22B78">
          <w:rPr>
            <w:noProof/>
            <w:webHidden/>
          </w:rPr>
          <w:fldChar w:fldCharType="separate"/>
        </w:r>
        <w:r w:rsidR="00AD732F">
          <w:rPr>
            <w:noProof/>
            <w:webHidden/>
          </w:rPr>
          <w:t>30</w:t>
        </w:r>
        <w:r w:rsidR="00E22B78">
          <w:rPr>
            <w:noProof/>
            <w:webHidden/>
          </w:rPr>
          <w:fldChar w:fldCharType="end"/>
        </w:r>
      </w:hyperlink>
    </w:p>
    <w:p w14:paraId="00BA6F67" w14:textId="77777777" w:rsidR="00E22B78" w:rsidRDefault="00D818C4">
      <w:pPr>
        <w:pStyle w:val="Obsah2"/>
        <w:rPr>
          <w:rFonts w:asciiTheme="minorHAnsi" w:eastAsiaTheme="minorEastAsia" w:hAnsiTheme="minorHAnsi" w:cstheme="minorBidi"/>
          <w:sz w:val="22"/>
          <w:lang w:eastAsia="cs-CZ"/>
        </w:rPr>
      </w:pPr>
      <w:hyperlink w:anchor="_Toc14076878" w:history="1">
        <w:r w:rsidR="00E22B78" w:rsidRPr="007609D9">
          <w:rPr>
            <w:rStyle w:val="Hypertextovodkaz"/>
          </w:rPr>
          <w:t>2.3</w:t>
        </w:r>
        <w:r w:rsidR="00E22B78">
          <w:rPr>
            <w:rFonts w:asciiTheme="minorHAnsi" w:eastAsiaTheme="minorEastAsia" w:hAnsiTheme="minorHAnsi" w:cstheme="minorBidi"/>
            <w:sz w:val="22"/>
            <w:lang w:eastAsia="cs-CZ"/>
          </w:rPr>
          <w:tab/>
        </w:r>
        <w:r w:rsidR="00E22B78" w:rsidRPr="007609D9">
          <w:rPr>
            <w:rStyle w:val="Hypertextovodkaz"/>
          </w:rPr>
          <w:t>Civilní agenda – elektronické rozkazní řízení</w:t>
        </w:r>
        <w:r w:rsidR="00E22B78">
          <w:rPr>
            <w:webHidden/>
          </w:rPr>
          <w:tab/>
        </w:r>
        <w:r w:rsidR="00E22B78">
          <w:rPr>
            <w:webHidden/>
          </w:rPr>
          <w:fldChar w:fldCharType="begin"/>
        </w:r>
        <w:r w:rsidR="00E22B78">
          <w:rPr>
            <w:webHidden/>
          </w:rPr>
          <w:instrText xml:space="preserve"> PAGEREF _Toc14076878 \h </w:instrText>
        </w:r>
        <w:r w:rsidR="00E22B78">
          <w:rPr>
            <w:webHidden/>
          </w:rPr>
        </w:r>
        <w:r w:rsidR="00E22B78">
          <w:rPr>
            <w:webHidden/>
          </w:rPr>
          <w:fldChar w:fldCharType="separate"/>
        </w:r>
        <w:r w:rsidR="00AD732F">
          <w:rPr>
            <w:webHidden/>
          </w:rPr>
          <w:t>36</w:t>
        </w:r>
        <w:r w:rsidR="00E22B78">
          <w:rPr>
            <w:webHidden/>
          </w:rPr>
          <w:fldChar w:fldCharType="end"/>
        </w:r>
      </w:hyperlink>
    </w:p>
    <w:p w14:paraId="0B506710" w14:textId="77777777" w:rsidR="00E22B78" w:rsidRDefault="00D818C4">
      <w:pPr>
        <w:pStyle w:val="Obsah3"/>
        <w:rPr>
          <w:rFonts w:asciiTheme="minorHAnsi" w:eastAsiaTheme="minorEastAsia" w:hAnsiTheme="minorHAnsi" w:cstheme="minorBidi"/>
          <w:noProof/>
          <w:sz w:val="22"/>
          <w:lang w:eastAsia="cs-CZ"/>
        </w:rPr>
      </w:pPr>
      <w:hyperlink w:anchor="_Toc14076879" w:history="1">
        <w:r w:rsidR="00E22B78" w:rsidRPr="007609D9">
          <w:rPr>
            <w:rStyle w:val="Hypertextovodkaz"/>
            <w:noProof/>
          </w:rPr>
          <w:t>2.3.1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_Toc14076879 \h </w:instrText>
        </w:r>
        <w:r w:rsidR="00E22B78">
          <w:rPr>
            <w:noProof/>
            <w:webHidden/>
          </w:rPr>
        </w:r>
        <w:r w:rsidR="00E22B78">
          <w:rPr>
            <w:noProof/>
            <w:webHidden/>
          </w:rPr>
          <w:fldChar w:fldCharType="separate"/>
        </w:r>
        <w:r w:rsidR="00AD732F">
          <w:rPr>
            <w:noProof/>
            <w:webHidden/>
          </w:rPr>
          <w:t>36</w:t>
        </w:r>
        <w:r w:rsidR="00E22B78">
          <w:rPr>
            <w:noProof/>
            <w:webHidden/>
          </w:rPr>
          <w:fldChar w:fldCharType="end"/>
        </w:r>
      </w:hyperlink>
    </w:p>
    <w:p w14:paraId="268E7D79" w14:textId="77777777" w:rsidR="00E22B78" w:rsidRDefault="00D818C4">
      <w:pPr>
        <w:pStyle w:val="Obsah3"/>
        <w:rPr>
          <w:rFonts w:asciiTheme="minorHAnsi" w:eastAsiaTheme="minorEastAsia" w:hAnsiTheme="minorHAnsi" w:cstheme="minorBidi"/>
          <w:noProof/>
          <w:sz w:val="22"/>
          <w:lang w:eastAsia="cs-CZ"/>
        </w:rPr>
      </w:pPr>
      <w:hyperlink w:anchor="_Toc14076880" w:history="1">
        <w:r w:rsidR="00E22B78" w:rsidRPr="007609D9">
          <w:rPr>
            <w:rStyle w:val="Hypertextovodkaz"/>
            <w:noProof/>
          </w:rPr>
          <w:t>2.3.2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_Toc14076880 \h </w:instrText>
        </w:r>
        <w:r w:rsidR="00E22B78">
          <w:rPr>
            <w:noProof/>
            <w:webHidden/>
          </w:rPr>
        </w:r>
        <w:r w:rsidR="00E22B78">
          <w:rPr>
            <w:noProof/>
            <w:webHidden/>
          </w:rPr>
          <w:fldChar w:fldCharType="separate"/>
        </w:r>
        <w:r w:rsidR="00AD732F">
          <w:rPr>
            <w:noProof/>
            <w:webHidden/>
          </w:rPr>
          <w:t>38</w:t>
        </w:r>
        <w:r w:rsidR="00E22B78">
          <w:rPr>
            <w:noProof/>
            <w:webHidden/>
          </w:rPr>
          <w:fldChar w:fldCharType="end"/>
        </w:r>
      </w:hyperlink>
    </w:p>
    <w:p w14:paraId="437053D3" w14:textId="77777777" w:rsidR="00E22B78" w:rsidRDefault="00D818C4">
      <w:pPr>
        <w:pStyle w:val="Obsah3"/>
        <w:rPr>
          <w:rFonts w:asciiTheme="minorHAnsi" w:eastAsiaTheme="minorEastAsia" w:hAnsiTheme="minorHAnsi" w:cstheme="minorBidi"/>
          <w:noProof/>
          <w:sz w:val="22"/>
          <w:lang w:eastAsia="cs-CZ"/>
        </w:rPr>
      </w:pPr>
      <w:hyperlink w:anchor="_Toc14076881" w:history="1">
        <w:r w:rsidR="00E22B78" w:rsidRPr="007609D9">
          <w:rPr>
            <w:rStyle w:val="Hypertextovodkaz"/>
            <w:noProof/>
          </w:rPr>
          <w:t>2.3.3</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_Toc14076881 \h </w:instrText>
        </w:r>
        <w:r w:rsidR="00E22B78">
          <w:rPr>
            <w:noProof/>
            <w:webHidden/>
          </w:rPr>
        </w:r>
        <w:r w:rsidR="00E22B78">
          <w:rPr>
            <w:noProof/>
            <w:webHidden/>
          </w:rPr>
          <w:fldChar w:fldCharType="separate"/>
        </w:r>
        <w:r w:rsidR="00AD732F">
          <w:rPr>
            <w:noProof/>
            <w:webHidden/>
          </w:rPr>
          <w:t>39</w:t>
        </w:r>
        <w:r w:rsidR="00E22B78">
          <w:rPr>
            <w:noProof/>
            <w:webHidden/>
          </w:rPr>
          <w:fldChar w:fldCharType="end"/>
        </w:r>
      </w:hyperlink>
    </w:p>
    <w:p w14:paraId="474CA513" w14:textId="77777777" w:rsidR="00E22B78" w:rsidRDefault="00D818C4">
      <w:pPr>
        <w:pStyle w:val="Obsah2"/>
        <w:rPr>
          <w:rFonts w:asciiTheme="minorHAnsi" w:eastAsiaTheme="minorEastAsia" w:hAnsiTheme="minorHAnsi" w:cstheme="minorBidi"/>
          <w:sz w:val="22"/>
          <w:lang w:eastAsia="cs-CZ"/>
        </w:rPr>
      </w:pPr>
      <w:hyperlink w:anchor="_Toc14076882" w:history="1">
        <w:r w:rsidR="00E22B78" w:rsidRPr="007609D9">
          <w:rPr>
            <w:rStyle w:val="Hypertextovodkaz"/>
          </w:rPr>
          <w:t>2.4</w:t>
        </w:r>
        <w:r w:rsidR="00E22B78">
          <w:rPr>
            <w:rFonts w:asciiTheme="minorHAnsi" w:eastAsiaTheme="minorEastAsia" w:hAnsiTheme="minorHAnsi" w:cstheme="minorBidi"/>
            <w:sz w:val="22"/>
            <w:lang w:eastAsia="cs-CZ"/>
          </w:rPr>
          <w:tab/>
        </w:r>
        <w:r w:rsidR="00E22B78" w:rsidRPr="007609D9">
          <w:rPr>
            <w:rStyle w:val="Hypertextovodkaz"/>
          </w:rPr>
          <w:t>Trestní agenda</w:t>
        </w:r>
        <w:r w:rsidR="00E22B78">
          <w:rPr>
            <w:webHidden/>
          </w:rPr>
          <w:tab/>
        </w:r>
        <w:r w:rsidR="00E22B78">
          <w:rPr>
            <w:webHidden/>
          </w:rPr>
          <w:fldChar w:fldCharType="begin"/>
        </w:r>
        <w:r w:rsidR="00E22B78">
          <w:rPr>
            <w:webHidden/>
          </w:rPr>
          <w:instrText xml:space="preserve"> PAGEREF _Toc14076882 \h </w:instrText>
        </w:r>
        <w:r w:rsidR="00E22B78">
          <w:rPr>
            <w:webHidden/>
          </w:rPr>
        </w:r>
        <w:r w:rsidR="00E22B78">
          <w:rPr>
            <w:webHidden/>
          </w:rPr>
          <w:fldChar w:fldCharType="separate"/>
        </w:r>
        <w:r w:rsidR="00AD732F">
          <w:rPr>
            <w:webHidden/>
          </w:rPr>
          <w:t>41</w:t>
        </w:r>
        <w:r w:rsidR="00E22B78">
          <w:rPr>
            <w:webHidden/>
          </w:rPr>
          <w:fldChar w:fldCharType="end"/>
        </w:r>
      </w:hyperlink>
    </w:p>
    <w:p w14:paraId="62659CC5" w14:textId="77777777" w:rsidR="00E22B78" w:rsidRDefault="00D818C4">
      <w:pPr>
        <w:pStyle w:val="Obsah3"/>
        <w:rPr>
          <w:rFonts w:asciiTheme="minorHAnsi" w:eastAsiaTheme="minorEastAsia" w:hAnsiTheme="minorHAnsi" w:cstheme="minorBidi"/>
          <w:noProof/>
          <w:sz w:val="22"/>
          <w:lang w:eastAsia="cs-CZ"/>
        </w:rPr>
      </w:pPr>
      <w:hyperlink w:anchor="_Toc14076883" w:history="1">
        <w:r w:rsidR="00E22B78" w:rsidRPr="007609D9">
          <w:rPr>
            <w:rStyle w:val="Hypertextovodkaz"/>
            <w:noProof/>
          </w:rPr>
          <w:t>2.4.1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_Toc14076883 \h </w:instrText>
        </w:r>
        <w:r w:rsidR="00E22B78">
          <w:rPr>
            <w:noProof/>
            <w:webHidden/>
          </w:rPr>
        </w:r>
        <w:r w:rsidR="00E22B78">
          <w:rPr>
            <w:noProof/>
            <w:webHidden/>
          </w:rPr>
          <w:fldChar w:fldCharType="separate"/>
        </w:r>
        <w:r w:rsidR="00AD732F">
          <w:rPr>
            <w:noProof/>
            <w:webHidden/>
          </w:rPr>
          <w:t>41</w:t>
        </w:r>
        <w:r w:rsidR="00E22B78">
          <w:rPr>
            <w:noProof/>
            <w:webHidden/>
          </w:rPr>
          <w:fldChar w:fldCharType="end"/>
        </w:r>
      </w:hyperlink>
    </w:p>
    <w:p w14:paraId="6F3C2DB8" w14:textId="77777777" w:rsidR="00E22B78" w:rsidRDefault="00D818C4">
      <w:pPr>
        <w:pStyle w:val="Obsah3"/>
        <w:rPr>
          <w:rFonts w:asciiTheme="minorHAnsi" w:eastAsiaTheme="minorEastAsia" w:hAnsiTheme="minorHAnsi" w:cstheme="minorBidi"/>
          <w:noProof/>
          <w:sz w:val="22"/>
          <w:lang w:eastAsia="cs-CZ"/>
        </w:rPr>
      </w:pPr>
      <w:hyperlink w:anchor="_Toc14076884" w:history="1">
        <w:r w:rsidR="00E22B78" w:rsidRPr="007609D9">
          <w:rPr>
            <w:rStyle w:val="Hypertextovodkaz"/>
            <w:noProof/>
          </w:rPr>
          <w:t>2.4.2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_Toc14076884 \h </w:instrText>
        </w:r>
        <w:r w:rsidR="00E22B78">
          <w:rPr>
            <w:noProof/>
            <w:webHidden/>
          </w:rPr>
        </w:r>
        <w:r w:rsidR="00E22B78">
          <w:rPr>
            <w:noProof/>
            <w:webHidden/>
          </w:rPr>
          <w:fldChar w:fldCharType="separate"/>
        </w:r>
        <w:r w:rsidR="00AD732F">
          <w:rPr>
            <w:noProof/>
            <w:webHidden/>
          </w:rPr>
          <w:t>45</w:t>
        </w:r>
        <w:r w:rsidR="00E22B78">
          <w:rPr>
            <w:noProof/>
            <w:webHidden/>
          </w:rPr>
          <w:fldChar w:fldCharType="end"/>
        </w:r>
      </w:hyperlink>
    </w:p>
    <w:p w14:paraId="72B2EB38" w14:textId="77777777" w:rsidR="00E22B78" w:rsidRDefault="00D818C4">
      <w:pPr>
        <w:pStyle w:val="Obsah3"/>
        <w:rPr>
          <w:rFonts w:asciiTheme="minorHAnsi" w:eastAsiaTheme="minorEastAsia" w:hAnsiTheme="minorHAnsi" w:cstheme="minorBidi"/>
          <w:noProof/>
          <w:sz w:val="22"/>
          <w:lang w:eastAsia="cs-CZ"/>
        </w:rPr>
      </w:pPr>
      <w:hyperlink w:anchor="_Toc14076885" w:history="1">
        <w:r w:rsidR="00E22B78" w:rsidRPr="007609D9">
          <w:rPr>
            <w:rStyle w:val="Hypertextovodkaz"/>
            <w:noProof/>
          </w:rPr>
          <w:t>2.4.3</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 v přepočtu na soudce</w:t>
        </w:r>
        <w:r w:rsidR="00E22B78">
          <w:rPr>
            <w:noProof/>
            <w:webHidden/>
          </w:rPr>
          <w:tab/>
        </w:r>
        <w:r w:rsidR="00E22B78">
          <w:rPr>
            <w:noProof/>
            <w:webHidden/>
          </w:rPr>
          <w:fldChar w:fldCharType="begin"/>
        </w:r>
        <w:r w:rsidR="00E22B78">
          <w:rPr>
            <w:noProof/>
            <w:webHidden/>
          </w:rPr>
          <w:instrText xml:space="preserve"> PAGEREF _Toc14076885 \h </w:instrText>
        </w:r>
        <w:r w:rsidR="00E22B78">
          <w:rPr>
            <w:noProof/>
            <w:webHidden/>
          </w:rPr>
        </w:r>
        <w:r w:rsidR="00E22B78">
          <w:rPr>
            <w:noProof/>
            <w:webHidden/>
          </w:rPr>
          <w:fldChar w:fldCharType="separate"/>
        </w:r>
        <w:r w:rsidR="00AD732F">
          <w:rPr>
            <w:noProof/>
            <w:webHidden/>
          </w:rPr>
          <w:t>46</w:t>
        </w:r>
        <w:r w:rsidR="00E22B78">
          <w:rPr>
            <w:noProof/>
            <w:webHidden/>
          </w:rPr>
          <w:fldChar w:fldCharType="end"/>
        </w:r>
      </w:hyperlink>
    </w:p>
    <w:p w14:paraId="54F6BB74" w14:textId="77777777" w:rsidR="00E22B78" w:rsidRDefault="00D818C4">
      <w:pPr>
        <w:pStyle w:val="Obsah3"/>
        <w:rPr>
          <w:rFonts w:asciiTheme="minorHAnsi" w:eastAsiaTheme="minorEastAsia" w:hAnsiTheme="minorHAnsi" w:cstheme="minorBidi"/>
          <w:noProof/>
          <w:sz w:val="22"/>
          <w:lang w:eastAsia="cs-CZ"/>
        </w:rPr>
      </w:pPr>
      <w:hyperlink w:anchor="_Toc14076886" w:history="1">
        <w:r w:rsidR="00E22B78" w:rsidRPr="007609D9">
          <w:rPr>
            <w:rStyle w:val="Hypertextovodkaz"/>
            <w:noProof/>
          </w:rPr>
          <w:t>2.4.4</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_Toc14076886 \h </w:instrText>
        </w:r>
        <w:r w:rsidR="00E22B78">
          <w:rPr>
            <w:noProof/>
            <w:webHidden/>
          </w:rPr>
        </w:r>
        <w:r w:rsidR="00E22B78">
          <w:rPr>
            <w:noProof/>
            <w:webHidden/>
          </w:rPr>
          <w:fldChar w:fldCharType="separate"/>
        </w:r>
        <w:r w:rsidR="00AD732F">
          <w:rPr>
            <w:noProof/>
            <w:webHidden/>
          </w:rPr>
          <w:t>49</w:t>
        </w:r>
        <w:r w:rsidR="00E22B78">
          <w:rPr>
            <w:noProof/>
            <w:webHidden/>
          </w:rPr>
          <w:fldChar w:fldCharType="end"/>
        </w:r>
      </w:hyperlink>
    </w:p>
    <w:p w14:paraId="18823193" w14:textId="77777777" w:rsidR="00E22B78" w:rsidRDefault="00D818C4">
      <w:pPr>
        <w:pStyle w:val="Obsah3"/>
        <w:rPr>
          <w:rFonts w:asciiTheme="minorHAnsi" w:eastAsiaTheme="minorEastAsia" w:hAnsiTheme="minorHAnsi" w:cstheme="minorBidi"/>
          <w:noProof/>
          <w:sz w:val="22"/>
          <w:lang w:eastAsia="cs-CZ"/>
        </w:rPr>
      </w:pPr>
      <w:hyperlink w:anchor="_Toc14076887" w:history="1">
        <w:r w:rsidR="00E22B78" w:rsidRPr="007609D9">
          <w:rPr>
            <w:rStyle w:val="Hypertextovodkaz"/>
            <w:noProof/>
          </w:rPr>
          <w:t>2.4.5</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_Toc14076887 \h </w:instrText>
        </w:r>
        <w:r w:rsidR="00E22B78">
          <w:rPr>
            <w:noProof/>
            <w:webHidden/>
          </w:rPr>
        </w:r>
        <w:r w:rsidR="00E22B78">
          <w:rPr>
            <w:noProof/>
            <w:webHidden/>
          </w:rPr>
          <w:fldChar w:fldCharType="separate"/>
        </w:r>
        <w:r w:rsidR="00AD732F">
          <w:rPr>
            <w:noProof/>
            <w:webHidden/>
          </w:rPr>
          <w:t>51</w:t>
        </w:r>
        <w:r w:rsidR="00E22B78">
          <w:rPr>
            <w:noProof/>
            <w:webHidden/>
          </w:rPr>
          <w:fldChar w:fldCharType="end"/>
        </w:r>
      </w:hyperlink>
    </w:p>
    <w:p w14:paraId="55B4A579" w14:textId="77777777" w:rsidR="00E22B78" w:rsidRDefault="00D818C4">
      <w:pPr>
        <w:pStyle w:val="Obsah2"/>
        <w:rPr>
          <w:rFonts w:asciiTheme="minorHAnsi" w:eastAsiaTheme="minorEastAsia" w:hAnsiTheme="minorHAnsi" w:cstheme="minorBidi"/>
          <w:sz w:val="22"/>
          <w:lang w:eastAsia="cs-CZ"/>
        </w:rPr>
      </w:pPr>
      <w:hyperlink w:anchor="_Toc14076888" w:history="1">
        <w:r w:rsidR="00E22B78" w:rsidRPr="007609D9">
          <w:rPr>
            <w:rStyle w:val="Hypertextovodkaz"/>
          </w:rPr>
          <w:t>2.5</w:t>
        </w:r>
        <w:r w:rsidR="00E22B78">
          <w:rPr>
            <w:rFonts w:asciiTheme="minorHAnsi" w:eastAsiaTheme="minorEastAsia" w:hAnsiTheme="minorHAnsi" w:cstheme="minorBidi"/>
            <w:sz w:val="22"/>
            <w:lang w:eastAsia="cs-CZ"/>
          </w:rPr>
          <w:tab/>
        </w:r>
        <w:r w:rsidR="00E22B78" w:rsidRPr="007609D9">
          <w:rPr>
            <w:rStyle w:val="Hypertextovodkaz"/>
          </w:rPr>
          <w:t>Opatrovnická agenda</w:t>
        </w:r>
        <w:r w:rsidR="00E22B78">
          <w:rPr>
            <w:webHidden/>
          </w:rPr>
          <w:tab/>
        </w:r>
        <w:r w:rsidR="00E22B78">
          <w:rPr>
            <w:webHidden/>
          </w:rPr>
          <w:fldChar w:fldCharType="begin"/>
        </w:r>
        <w:r w:rsidR="00E22B78">
          <w:rPr>
            <w:webHidden/>
          </w:rPr>
          <w:instrText xml:space="preserve"> PAGEREF _Toc14076888 \h </w:instrText>
        </w:r>
        <w:r w:rsidR="00E22B78">
          <w:rPr>
            <w:webHidden/>
          </w:rPr>
        </w:r>
        <w:r w:rsidR="00E22B78">
          <w:rPr>
            <w:webHidden/>
          </w:rPr>
          <w:fldChar w:fldCharType="separate"/>
        </w:r>
        <w:r w:rsidR="00AD732F">
          <w:rPr>
            <w:webHidden/>
          </w:rPr>
          <w:t>58</w:t>
        </w:r>
        <w:r w:rsidR="00E22B78">
          <w:rPr>
            <w:webHidden/>
          </w:rPr>
          <w:fldChar w:fldCharType="end"/>
        </w:r>
      </w:hyperlink>
    </w:p>
    <w:p w14:paraId="0E3D0154" w14:textId="77777777" w:rsidR="00E22B78" w:rsidRDefault="00D818C4">
      <w:pPr>
        <w:pStyle w:val="Obsah3"/>
        <w:rPr>
          <w:rFonts w:asciiTheme="minorHAnsi" w:eastAsiaTheme="minorEastAsia" w:hAnsiTheme="minorHAnsi" w:cstheme="minorBidi"/>
          <w:noProof/>
          <w:sz w:val="22"/>
          <w:lang w:eastAsia="cs-CZ"/>
        </w:rPr>
      </w:pPr>
      <w:hyperlink w:anchor="_Toc14076889" w:history="1">
        <w:r w:rsidR="00E22B78" w:rsidRPr="007609D9">
          <w:rPr>
            <w:rStyle w:val="Hypertextovodkaz"/>
            <w:noProof/>
          </w:rPr>
          <w:t>2.5.1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_Toc14076889 \h </w:instrText>
        </w:r>
        <w:r w:rsidR="00E22B78">
          <w:rPr>
            <w:noProof/>
            <w:webHidden/>
          </w:rPr>
        </w:r>
        <w:r w:rsidR="00E22B78">
          <w:rPr>
            <w:noProof/>
            <w:webHidden/>
          </w:rPr>
          <w:fldChar w:fldCharType="separate"/>
        </w:r>
        <w:r w:rsidR="00AD732F">
          <w:rPr>
            <w:noProof/>
            <w:webHidden/>
          </w:rPr>
          <w:t>58</w:t>
        </w:r>
        <w:r w:rsidR="00E22B78">
          <w:rPr>
            <w:noProof/>
            <w:webHidden/>
          </w:rPr>
          <w:fldChar w:fldCharType="end"/>
        </w:r>
      </w:hyperlink>
    </w:p>
    <w:p w14:paraId="5568BC58" w14:textId="77777777" w:rsidR="00E22B78" w:rsidRDefault="00D818C4">
      <w:pPr>
        <w:pStyle w:val="Obsah3"/>
        <w:rPr>
          <w:rFonts w:asciiTheme="minorHAnsi" w:eastAsiaTheme="minorEastAsia" w:hAnsiTheme="minorHAnsi" w:cstheme="minorBidi"/>
          <w:noProof/>
          <w:sz w:val="22"/>
          <w:lang w:eastAsia="cs-CZ"/>
        </w:rPr>
      </w:pPr>
      <w:hyperlink w:anchor="_Toc14076890" w:history="1">
        <w:r w:rsidR="00E22B78" w:rsidRPr="007609D9">
          <w:rPr>
            <w:rStyle w:val="Hypertextovodkaz"/>
            <w:noProof/>
          </w:rPr>
          <w:t>2.5.2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_Toc14076890 \h </w:instrText>
        </w:r>
        <w:r w:rsidR="00E22B78">
          <w:rPr>
            <w:noProof/>
            <w:webHidden/>
          </w:rPr>
        </w:r>
        <w:r w:rsidR="00E22B78">
          <w:rPr>
            <w:noProof/>
            <w:webHidden/>
          </w:rPr>
          <w:fldChar w:fldCharType="separate"/>
        </w:r>
        <w:r w:rsidR="00AD732F">
          <w:rPr>
            <w:noProof/>
            <w:webHidden/>
          </w:rPr>
          <w:t>61</w:t>
        </w:r>
        <w:r w:rsidR="00E22B78">
          <w:rPr>
            <w:noProof/>
            <w:webHidden/>
          </w:rPr>
          <w:fldChar w:fldCharType="end"/>
        </w:r>
      </w:hyperlink>
    </w:p>
    <w:p w14:paraId="2E0E6B17" w14:textId="77777777" w:rsidR="00E22B78" w:rsidRDefault="00D818C4">
      <w:pPr>
        <w:pStyle w:val="Obsah3"/>
        <w:rPr>
          <w:rFonts w:asciiTheme="minorHAnsi" w:eastAsiaTheme="minorEastAsia" w:hAnsiTheme="minorHAnsi" w:cstheme="minorBidi"/>
          <w:noProof/>
          <w:sz w:val="22"/>
          <w:lang w:eastAsia="cs-CZ"/>
        </w:rPr>
      </w:pPr>
      <w:hyperlink w:anchor="_Toc14076891" w:history="1">
        <w:r w:rsidR="00E22B78" w:rsidRPr="007609D9">
          <w:rPr>
            <w:rStyle w:val="Hypertextovodkaz"/>
            <w:noProof/>
          </w:rPr>
          <w:t>2.5.3</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_Toc14076891 \h </w:instrText>
        </w:r>
        <w:r w:rsidR="00E22B78">
          <w:rPr>
            <w:noProof/>
            <w:webHidden/>
          </w:rPr>
        </w:r>
        <w:r w:rsidR="00E22B78">
          <w:rPr>
            <w:noProof/>
            <w:webHidden/>
          </w:rPr>
          <w:fldChar w:fldCharType="separate"/>
        </w:r>
        <w:r w:rsidR="00AD732F">
          <w:rPr>
            <w:noProof/>
            <w:webHidden/>
          </w:rPr>
          <w:t>63</w:t>
        </w:r>
        <w:r w:rsidR="00E22B78">
          <w:rPr>
            <w:noProof/>
            <w:webHidden/>
          </w:rPr>
          <w:fldChar w:fldCharType="end"/>
        </w:r>
      </w:hyperlink>
    </w:p>
    <w:p w14:paraId="7A2F1324" w14:textId="77777777" w:rsidR="00E22B78" w:rsidRDefault="00D818C4">
      <w:pPr>
        <w:pStyle w:val="Obsah3"/>
        <w:rPr>
          <w:rFonts w:asciiTheme="minorHAnsi" w:eastAsiaTheme="minorEastAsia" w:hAnsiTheme="minorHAnsi" w:cstheme="minorBidi"/>
          <w:noProof/>
          <w:sz w:val="22"/>
          <w:lang w:eastAsia="cs-CZ"/>
        </w:rPr>
      </w:pPr>
      <w:hyperlink w:anchor="_Toc14076892" w:history="1">
        <w:r w:rsidR="00E22B78" w:rsidRPr="007609D9">
          <w:rPr>
            <w:rStyle w:val="Hypertextovodkaz"/>
            <w:noProof/>
          </w:rPr>
          <w:t>2.5.4</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_Toc14076892 \h </w:instrText>
        </w:r>
        <w:r w:rsidR="00E22B78">
          <w:rPr>
            <w:noProof/>
            <w:webHidden/>
          </w:rPr>
        </w:r>
        <w:r w:rsidR="00E22B78">
          <w:rPr>
            <w:noProof/>
            <w:webHidden/>
          </w:rPr>
          <w:fldChar w:fldCharType="separate"/>
        </w:r>
        <w:r w:rsidR="00AD732F">
          <w:rPr>
            <w:noProof/>
            <w:webHidden/>
          </w:rPr>
          <w:t>66</w:t>
        </w:r>
        <w:r w:rsidR="00E22B78">
          <w:rPr>
            <w:noProof/>
            <w:webHidden/>
          </w:rPr>
          <w:fldChar w:fldCharType="end"/>
        </w:r>
      </w:hyperlink>
    </w:p>
    <w:p w14:paraId="7AFE3859"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893" w:history="1">
        <w:r w:rsidR="00E22B78" w:rsidRPr="007609D9">
          <w:rPr>
            <w:rStyle w:val="Hypertextovodkaz"/>
            <w:noProof/>
          </w:rPr>
          <w:t>3</w:t>
        </w:r>
        <w:r w:rsidR="00E22B78">
          <w:rPr>
            <w:rFonts w:asciiTheme="minorHAnsi" w:eastAsiaTheme="minorEastAsia" w:hAnsiTheme="minorHAnsi" w:cstheme="minorBidi"/>
            <w:noProof/>
            <w:sz w:val="22"/>
            <w:lang w:eastAsia="cs-CZ"/>
          </w:rPr>
          <w:tab/>
        </w:r>
        <w:r w:rsidR="00E22B78" w:rsidRPr="007609D9">
          <w:rPr>
            <w:rStyle w:val="Hypertextovodkaz"/>
            <w:noProof/>
          </w:rPr>
          <w:t>Krajské soudy</w:t>
        </w:r>
        <w:r w:rsidR="00E22B78">
          <w:rPr>
            <w:noProof/>
            <w:webHidden/>
          </w:rPr>
          <w:tab/>
        </w:r>
        <w:r w:rsidR="00E22B78">
          <w:rPr>
            <w:noProof/>
            <w:webHidden/>
          </w:rPr>
          <w:fldChar w:fldCharType="begin"/>
        </w:r>
        <w:r w:rsidR="00E22B78">
          <w:rPr>
            <w:noProof/>
            <w:webHidden/>
          </w:rPr>
          <w:instrText xml:space="preserve"> PAGEREF _Toc14076893 \h </w:instrText>
        </w:r>
        <w:r w:rsidR="00E22B78">
          <w:rPr>
            <w:noProof/>
            <w:webHidden/>
          </w:rPr>
        </w:r>
        <w:r w:rsidR="00E22B78">
          <w:rPr>
            <w:noProof/>
            <w:webHidden/>
          </w:rPr>
          <w:fldChar w:fldCharType="separate"/>
        </w:r>
        <w:r w:rsidR="00AD732F">
          <w:rPr>
            <w:noProof/>
            <w:webHidden/>
          </w:rPr>
          <w:t>70</w:t>
        </w:r>
        <w:r w:rsidR="00E22B78">
          <w:rPr>
            <w:noProof/>
            <w:webHidden/>
          </w:rPr>
          <w:fldChar w:fldCharType="end"/>
        </w:r>
      </w:hyperlink>
    </w:p>
    <w:p w14:paraId="05C49A4F" w14:textId="77777777" w:rsidR="00E22B78" w:rsidRDefault="00D818C4">
      <w:pPr>
        <w:pStyle w:val="Obsah2"/>
        <w:rPr>
          <w:rFonts w:asciiTheme="minorHAnsi" w:eastAsiaTheme="minorEastAsia" w:hAnsiTheme="minorHAnsi" w:cstheme="minorBidi"/>
          <w:sz w:val="22"/>
          <w:lang w:eastAsia="cs-CZ"/>
        </w:rPr>
      </w:pPr>
      <w:hyperlink w:anchor="_Toc14076894" w:history="1">
        <w:r w:rsidR="00E22B78" w:rsidRPr="007609D9">
          <w:rPr>
            <w:rStyle w:val="Hypertextovodkaz"/>
          </w:rPr>
          <w:t>3.1</w:t>
        </w:r>
        <w:r w:rsidR="00E22B78">
          <w:rPr>
            <w:rFonts w:asciiTheme="minorHAnsi" w:eastAsiaTheme="minorEastAsia" w:hAnsiTheme="minorHAnsi" w:cstheme="minorBidi"/>
            <w:sz w:val="22"/>
            <w:lang w:eastAsia="cs-CZ"/>
          </w:rPr>
          <w:tab/>
        </w:r>
        <w:r w:rsidR="00E22B78" w:rsidRPr="007609D9">
          <w:rPr>
            <w:rStyle w:val="Hypertextovodkaz"/>
          </w:rPr>
          <w:t>Personál</w:t>
        </w:r>
        <w:r w:rsidR="00E22B78">
          <w:rPr>
            <w:webHidden/>
          </w:rPr>
          <w:tab/>
        </w:r>
        <w:r w:rsidR="00E22B78">
          <w:rPr>
            <w:webHidden/>
          </w:rPr>
          <w:fldChar w:fldCharType="begin"/>
        </w:r>
        <w:r w:rsidR="00E22B78">
          <w:rPr>
            <w:webHidden/>
          </w:rPr>
          <w:instrText xml:space="preserve"> PAGEREF _Toc14076894 \h </w:instrText>
        </w:r>
        <w:r w:rsidR="00E22B78">
          <w:rPr>
            <w:webHidden/>
          </w:rPr>
        </w:r>
        <w:r w:rsidR="00E22B78">
          <w:rPr>
            <w:webHidden/>
          </w:rPr>
          <w:fldChar w:fldCharType="separate"/>
        </w:r>
        <w:r w:rsidR="00AD732F">
          <w:rPr>
            <w:webHidden/>
          </w:rPr>
          <w:t>70</w:t>
        </w:r>
        <w:r w:rsidR="00E22B78">
          <w:rPr>
            <w:webHidden/>
          </w:rPr>
          <w:fldChar w:fldCharType="end"/>
        </w:r>
      </w:hyperlink>
    </w:p>
    <w:p w14:paraId="6260726F" w14:textId="77777777" w:rsidR="00E22B78" w:rsidRDefault="00D818C4">
      <w:pPr>
        <w:pStyle w:val="Obsah3"/>
        <w:rPr>
          <w:rFonts w:asciiTheme="minorHAnsi" w:eastAsiaTheme="minorEastAsia" w:hAnsiTheme="minorHAnsi" w:cstheme="minorBidi"/>
          <w:noProof/>
          <w:sz w:val="22"/>
          <w:lang w:eastAsia="cs-CZ"/>
        </w:rPr>
      </w:pPr>
      <w:hyperlink w:anchor="_Toc14076895" w:history="1">
        <w:r w:rsidR="00E22B78" w:rsidRPr="007609D9">
          <w:rPr>
            <w:rStyle w:val="Hypertextovodkaz"/>
            <w:noProof/>
          </w:rPr>
          <w:t>3.1.1</w:t>
        </w:r>
        <w:r w:rsidR="00E22B78">
          <w:rPr>
            <w:rFonts w:asciiTheme="minorHAnsi" w:eastAsiaTheme="minorEastAsia" w:hAnsiTheme="minorHAnsi" w:cstheme="minorBidi"/>
            <w:noProof/>
            <w:sz w:val="22"/>
            <w:lang w:eastAsia="cs-CZ"/>
          </w:rPr>
          <w:tab/>
        </w:r>
        <w:r w:rsidR="00E22B78" w:rsidRPr="007609D9">
          <w:rPr>
            <w:rStyle w:val="Hypertextovodkaz"/>
            <w:noProof/>
          </w:rPr>
          <w:t>Soudci</w:t>
        </w:r>
        <w:r w:rsidR="00E22B78">
          <w:rPr>
            <w:noProof/>
            <w:webHidden/>
          </w:rPr>
          <w:tab/>
        </w:r>
        <w:r w:rsidR="00E22B78">
          <w:rPr>
            <w:noProof/>
            <w:webHidden/>
          </w:rPr>
          <w:fldChar w:fldCharType="begin"/>
        </w:r>
        <w:r w:rsidR="00E22B78">
          <w:rPr>
            <w:noProof/>
            <w:webHidden/>
          </w:rPr>
          <w:instrText xml:space="preserve"> PAGEREF _Toc14076895 \h </w:instrText>
        </w:r>
        <w:r w:rsidR="00E22B78">
          <w:rPr>
            <w:noProof/>
            <w:webHidden/>
          </w:rPr>
        </w:r>
        <w:r w:rsidR="00E22B78">
          <w:rPr>
            <w:noProof/>
            <w:webHidden/>
          </w:rPr>
          <w:fldChar w:fldCharType="separate"/>
        </w:r>
        <w:r w:rsidR="00AD732F">
          <w:rPr>
            <w:noProof/>
            <w:webHidden/>
          </w:rPr>
          <w:t>70</w:t>
        </w:r>
        <w:r w:rsidR="00E22B78">
          <w:rPr>
            <w:noProof/>
            <w:webHidden/>
          </w:rPr>
          <w:fldChar w:fldCharType="end"/>
        </w:r>
      </w:hyperlink>
    </w:p>
    <w:p w14:paraId="2912ECD5" w14:textId="77777777" w:rsidR="00E22B78" w:rsidRDefault="00D818C4">
      <w:pPr>
        <w:pStyle w:val="Obsah3"/>
        <w:rPr>
          <w:rFonts w:asciiTheme="minorHAnsi" w:eastAsiaTheme="minorEastAsia" w:hAnsiTheme="minorHAnsi" w:cstheme="minorBidi"/>
          <w:noProof/>
          <w:sz w:val="22"/>
          <w:lang w:eastAsia="cs-CZ"/>
        </w:rPr>
      </w:pPr>
      <w:hyperlink w:anchor="_Toc14076896" w:history="1">
        <w:r w:rsidR="00E22B78" w:rsidRPr="007609D9">
          <w:rPr>
            <w:rStyle w:val="Hypertextovodkaz"/>
            <w:noProof/>
          </w:rPr>
          <w:t>3.1.2</w:t>
        </w:r>
        <w:r w:rsidR="00E22B78">
          <w:rPr>
            <w:rFonts w:asciiTheme="minorHAnsi" w:eastAsiaTheme="minorEastAsia" w:hAnsiTheme="minorHAnsi" w:cstheme="minorBidi"/>
            <w:noProof/>
            <w:sz w:val="22"/>
            <w:lang w:eastAsia="cs-CZ"/>
          </w:rPr>
          <w:tab/>
        </w:r>
        <w:r w:rsidR="00E22B78" w:rsidRPr="007609D9">
          <w:rPr>
            <w:rStyle w:val="Hypertextovodkaz"/>
            <w:noProof/>
          </w:rPr>
          <w:t>Zaměstnanci ve výkonu</w:t>
        </w:r>
        <w:r w:rsidR="00E22B78">
          <w:rPr>
            <w:noProof/>
            <w:webHidden/>
          </w:rPr>
          <w:tab/>
        </w:r>
        <w:r w:rsidR="00E22B78">
          <w:rPr>
            <w:noProof/>
            <w:webHidden/>
          </w:rPr>
          <w:fldChar w:fldCharType="begin"/>
        </w:r>
        <w:r w:rsidR="00E22B78">
          <w:rPr>
            <w:noProof/>
            <w:webHidden/>
          </w:rPr>
          <w:instrText xml:space="preserve"> PAGEREF _Toc14076896 \h </w:instrText>
        </w:r>
        <w:r w:rsidR="00E22B78">
          <w:rPr>
            <w:noProof/>
            <w:webHidden/>
          </w:rPr>
        </w:r>
        <w:r w:rsidR="00E22B78">
          <w:rPr>
            <w:noProof/>
            <w:webHidden/>
          </w:rPr>
          <w:fldChar w:fldCharType="separate"/>
        </w:r>
        <w:r w:rsidR="00AD732F">
          <w:rPr>
            <w:noProof/>
            <w:webHidden/>
          </w:rPr>
          <w:t>75</w:t>
        </w:r>
        <w:r w:rsidR="00E22B78">
          <w:rPr>
            <w:noProof/>
            <w:webHidden/>
          </w:rPr>
          <w:fldChar w:fldCharType="end"/>
        </w:r>
      </w:hyperlink>
    </w:p>
    <w:p w14:paraId="56147F6B" w14:textId="77777777" w:rsidR="00E22B78" w:rsidRDefault="00D818C4">
      <w:pPr>
        <w:pStyle w:val="Obsah2"/>
        <w:rPr>
          <w:rFonts w:asciiTheme="minorHAnsi" w:eastAsiaTheme="minorEastAsia" w:hAnsiTheme="minorHAnsi" w:cstheme="minorBidi"/>
          <w:sz w:val="22"/>
          <w:lang w:eastAsia="cs-CZ"/>
        </w:rPr>
      </w:pPr>
      <w:hyperlink w:anchor="_Toc14076897" w:history="1">
        <w:r w:rsidR="00E22B78" w:rsidRPr="007609D9">
          <w:rPr>
            <w:rStyle w:val="Hypertextovodkaz"/>
          </w:rPr>
          <w:t>3.2</w:t>
        </w:r>
        <w:r w:rsidR="00E22B78">
          <w:rPr>
            <w:rFonts w:asciiTheme="minorHAnsi" w:eastAsiaTheme="minorEastAsia" w:hAnsiTheme="minorHAnsi" w:cstheme="minorBidi"/>
            <w:sz w:val="22"/>
            <w:lang w:eastAsia="cs-CZ"/>
          </w:rPr>
          <w:tab/>
        </w:r>
        <w:r w:rsidR="00E22B78" w:rsidRPr="007609D9">
          <w:rPr>
            <w:rStyle w:val="Hypertextovodkaz"/>
          </w:rPr>
          <w:t>Prvostupňová civilní a obchodní agenda</w:t>
        </w:r>
        <w:r w:rsidR="00E22B78">
          <w:rPr>
            <w:webHidden/>
          </w:rPr>
          <w:tab/>
        </w:r>
        <w:r w:rsidR="00E22B78">
          <w:rPr>
            <w:webHidden/>
          </w:rPr>
          <w:fldChar w:fldCharType="begin"/>
        </w:r>
        <w:r w:rsidR="00E22B78">
          <w:rPr>
            <w:webHidden/>
          </w:rPr>
          <w:instrText xml:space="preserve"> PAGEREF _Toc14076897 \h </w:instrText>
        </w:r>
        <w:r w:rsidR="00E22B78">
          <w:rPr>
            <w:webHidden/>
          </w:rPr>
        </w:r>
        <w:r w:rsidR="00E22B78">
          <w:rPr>
            <w:webHidden/>
          </w:rPr>
          <w:fldChar w:fldCharType="separate"/>
        </w:r>
        <w:r w:rsidR="00AD732F">
          <w:rPr>
            <w:webHidden/>
          </w:rPr>
          <w:t>76</w:t>
        </w:r>
        <w:r w:rsidR="00E22B78">
          <w:rPr>
            <w:webHidden/>
          </w:rPr>
          <w:fldChar w:fldCharType="end"/>
        </w:r>
      </w:hyperlink>
    </w:p>
    <w:p w14:paraId="6B69161E" w14:textId="77777777" w:rsidR="00E22B78" w:rsidRDefault="00D818C4">
      <w:pPr>
        <w:pStyle w:val="Obsah3"/>
        <w:rPr>
          <w:rFonts w:asciiTheme="minorHAnsi" w:eastAsiaTheme="minorEastAsia" w:hAnsiTheme="minorHAnsi" w:cstheme="minorBidi"/>
          <w:noProof/>
          <w:sz w:val="22"/>
          <w:lang w:eastAsia="cs-CZ"/>
        </w:rPr>
      </w:pPr>
      <w:hyperlink w:anchor="_Toc14076898" w:history="1">
        <w:r w:rsidR="00E22B78" w:rsidRPr="007609D9">
          <w:rPr>
            <w:rStyle w:val="Hypertextovodkaz"/>
            <w:noProof/>
          </w:rPr>
          <w:t>3.2.1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_Toc14076898 \h </w:instrText>
        </w:r>
        <w:r w:rsidR="00E22B78">
          <w:rPr>
            <w:noProof/>
            <w:webHidden/>
          </w:rPr>
        </w:r>
        <w:r w:rsidR="00E22B78">
          <w:rPr>
            <w:noProof/>
            <w:webHidden/>
          </w:rPr>
          <w:fldChar w:fldCharType="separate"/>
        </w:r>
        <w:r w:rsidR="00AD732F">
          <w:rPr>
            <w:noProof/>
            <w:webHidden/>
          </w:rPr>
          <w:t>76</w:t>
        </w:r>
        <w:r w:rsidR="00E22B78">
          <w:rPr>
            <w:noProof/>
            <w:webHidden/>
          </w:rPr>
          <w:fldChar w:fldCharType="end"/>
        </w:r>
      </w:hyperlink>
    </w:p>
    <w:p w14:paraId="39826C78" w14:textId="77777777" w:rsidR="00E22B78" w:rsidRDefault="00D818C4">
      <w:pPr>
        <w:pStyle w:val="Obsah3"/>
        <w:rPr>
          <w:rFonts w:asciiTheme="minorHAnsi" w:eastAsiaTheme="minorEastAsia" w:hAnsiTheme="minorHAnsi" w:cstheme="minorBidi"/>
          <w:noProof/>
          <w:sz w:val="22"/>
          <w:lang w:eastAsia="cs-CZ"/>
        </w:rPr>
      </w:pPr>
      <w:hyperlink w:anchor="_Toc14076899" w:history="1">
        <w:r w:rsidR="00E22B78" w:rsidRPr="007609D9">
          <w:rPr>
            <w:rStyle w:val="Hypertextovodkaz"/>
            <w:noProof/>
          </w:rPr>
          <w:t>3.2.2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_Toc14076899 \h </w:instrText>
        </w:r>
        <w:r w:rsidR="00E22B78">
          <w:rPr>
            <w:noProof/>
            <w:webHidden/>
          </w:rPr>
        </w:r>
        <w:r w:rsidR="00E22B78">
          <w:rPr>
            <w:noProof/>
            <w:webHidden/>
          </w:rPr>
          <w:fldChar w:fldCharType="separate"/>
        </w:r>
        <w:r w:rsidR="00AD732F">
          <w:rPr>
            <w:noProof/>
            <w:webHidden/>
          </w:rPr>
          <w:t>79</w:t>
        </w:r>
        <w:r w:rsidR="00E22B78">
          <w:rPr>
            <w:noProof/>
            <w:webHidden/>
          </w:rPr>
          <w:fldChar w:fldCharType="end"/>
        </w:r>
      </w:hyperlink>
    </w:p>
    <w:p w14:paraId="5B87FCE7" w14:textId="77777777" w:rsidR="00E22B78" w:rsidRDefault="00D818C4">
      <w:pPr>
        <w:pStyle w:val="Obsah3"/>
        <w:rPr>
          <w:rFonts w:asciiTheme="minorHAnsi" w:eastAsiaTheme="minorEastAsia" w:hAnsiTheme="minorHAnsi" w:cstheme="minorBidi"/>
          <w:noProof/>
          <w:sz w:val="22"/>
          <w:lang w:eastAsia="cs-CZ"/>
        </w:rPr>
      </w:pPr>
      <w:hyperlink w:anchor="_Toc14076900" w:history="1">
        <w:r w:rsidR="00E22B78" w:rsidRPr="007609D9">
          <w:rPr>
            <w:rStyle w:val="Hypertextovodkaz"/>
            <w:noProof/>
          </w:rPr>
          <w:t>3.2.3</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_Toc14076900 \h </w:instrText>
        </w:r>
        <w:r w:rsidR="00E22B78">
          <w:rPr>
            <w:noProof/>
            <w:webHidden/>
          </w:rPr>
        </w:r>
        <w:r w:rsidR="00E22B78">
          <w:rPr>
            <w:noProof/>
            <w:webHidden/>
          </w:rPr>
          <w:fldChar w:fldCharType="separate"/>
        </w:r>
        <w:r w:rsidR="00AD732F">
          <w:rPr>
            <w:noProof/>
            <w:webHidden/>
          </w:rPr>
          <w:t>81</w:t>
        </w:r>
        <w:r w:rsidR="00E22B78">
          <w:rPr>
            <w:noProof/>
            <w:webHidden/>
          </w:rPr>
          <w:fldChar w:fldCharType="end"/>
        </w:r>
      </w:hyperlink>
    </w:p>
    <w:p w14:paraId="0AFE046F" w14:textId="77777777" w:rsidR="00E22B78" w:rsidRDefault="00D818C4">
      <w:pPr>
        <w:pStyle w:val="Obsah3"/>
        <w:rPr>
          <w:rFonts w:asciiTheme="minorHAnsi" w:eastAsiaTheme="minorEastAsia" w:hAnsiTheme="minorHAnsi" w:cstheme="minorBidi"/>
          <w:noProof/>
          <w:sz w:val="22"/>
          <w:lang w:eastAsia="cs-CZ"/>
        </w:rPr>
      </w:pPr>
      <w:hyperlink w:anchor="_Toc14076901" w:history="1">
        <w:r w:rsidR="00E22B78" w:rsidRPr="007609D9">
          <w:rPr>
            <w:rStyle w:val="Hypertextovodkaz"/>
            <w:noProof/>
          </w:rPr>
          <w:t>3.2.4</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_Toc14076901 \h </w:instrText>
        </w:r>
        <w:r w:rsidR="00E22B78">
          <w:rPr>
            <w:noProof/>
            <w:webHidden/>
          </w:rPr>
        </w:r>
        <w:r w:rsidR="00E22B78">
          <w:rPr>
            <w:noProof/>
            <w:webHidden/>
          </w:rPr>
          <w:fldChar w:fldCharType="separate"/>
        </w:r>
        <w:r w:rsidR="00AD732F">
          <w:rPr>
            <w:noProof/>
            <w:webHidden/>
          </w:rPr>
          <w:t>82</w:t>
        </w:r>
        <w:r w:rsidR="00E22B78">
          <w:rPr>
            <w:noProof/>
            <w:webHidden/>
          </w:rPr>
          <w:fldChar w:fldCharType="end"/>
        </w:r>
      </w:hyperlink>
    </w:p>
    <w:p w14:paraId="4DFCD9FC" w14:textId="77777777" w:rsidR="00E22B78" w:rsidRDefault="00D818C4">
      <w:pPr>
        <w:pStyle w:val="Obsah2"/>
        <w:rPr>
          <w:rFonts w:asciiTheme="minorHAnsi" w:eastAsiaTheme="minorEastAsia" w:hAnsiTheme="minorHAnsi" w:cstheme="minorBidi"/>
          <w:sz w:val="22"/>
          <w:lang w:eastAsia="cs-CZ"/>
        </w:rPr>
      </w:pPr>
      <w:hyperlink w:anchor="_Toc14076902" w:history="1">
        <w:r w:rsidR="00E22B78" w:rsidRPr="007609D9">
          <w:rPr>
            <w:rStyle w:val="Hypertextovodkaz"/>
          </w:rPr>
          <w:t>3.3</w:t>
        </w:r>
        <w:r w:rsidR="00E22B78">
          <w:rPr>
            <w:rFonts w:asciiTheme="minorHAnsi" w:eastAsiaTheme="minorEastAsia" w:hAnsiTheme="minorHAnsi" w:cstheme="minorBidi"/>
            <w:sz w:val="22"/>
            <w:lang w:eastAsia="cs-CZ"/>
          </w:rPr>
          <w:tab/>
        </w:r>
        <w:r w:rsidR="00E22B78" w:rsidRPr="007609D9">
          <w:rPr>
            <w:rStyle w:val="Hypertextovodkaz"/>
          </w:rPr>
          <w:t>Civilní odvolací agenda</w:t>
        </w:r>
        <w:r w:rsidR="00E22B78">
          <w:rPr>
            <w:webHidden/>
          </w:rPr>
          <w:tab/>
        </w:r>
        <w:r w:rsidR="00E22B78">
          <w:rPr>
            <w:webHidden/>
          </w:rPr>
          <w:fldChar w:fldCharType="begin"/>
        </w:r>
        <w:r w:rsidR="00E22B78">
          <w:rPr>
            <w:webHidden/>
          </w:rPr>
          <w:instrText xml:space="preserve"> PAGEREF _Toc14076902 \h </w:instrText>
        </w:r>
        <w:r w:rsidR="00E22B78">
          <w:rPr>
            <w:webHidden/>
          </w:rPr>
        </w:r>
        <w:r w:rsidR="00E22B78">
          <w:rPr>
            <w:webHidden/>
          </w:rPr>
          <w:fldChar w:fldCharType="separate"/>
        </w:r>
        <w:r w:rsidR="00AD732F">
          <w:rPr>
            <w:webHidden/>
          </w:rPr>
          <w:t>86</w:t>
        </w:r>
        <w:r w:rsidR="00E22B78">
          <w:rPr>
            <w:webHidden/>
          </w:rPr>
          <w:fldChar w:fldCharType="end"/>
        </w:r>
      </w:hyperlink>
    </w:p>
    <w:p w14:paraId="78437335" w14:textId="77777777" w:rsidR="00E22B78" w:rsidRDefault="00D818C4">
      <w:pPr>
        <w:pStyle w:val="Obsah3"/>
        <w:rPr>
          <w:rFonts w:asciiTheme="minorHAnsi" w:eastAsiaTheme="minorEastAsia" w:hAnsiTheme="minorHAnsi" w:cstheme="minorBidi"/>
          <w:noProof/>
          <w:sz w:val="22"/>
          <w:lang w:eastAsia="cs-CZ"/>
        </w:rPr>
      </w:pPr>
      <w:hyperlink w:anchor="_Toc14076903" w:history="1">
        <w:r w:rsidR="00E22B78" w:rsidRPr="007609D9">
          <w:rPr>
            <w:rStyle w:val="Hypertextovodkaz"/>
            <w:noProof/>
          </w:rPr>
          <w:t>3.3.1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_Toc14076903 \h </w:instrText>
        </w:r>
        <w:r w:rsidR="00E22B78">
          <w:rPr>
            <w:noProof/>
            <w:webHidden/>
          </w:rPr>
        </w:r>
        <w:r w:rsidR="00E22B78">
          <w:rPr>
            <w:noProof/>
            <w:webHidden/>
          </w:rPr>
          <w:fldChar w:fldCharType="separate"/>
        </w:r>
        <w:r w:rsidR="00AD732F">
          <w:rPr>
            <w:noProof/>
            <w:webHidden/>
          </w:rPr>
          <w:t>86</w:t>
        </w:r>
        <w:r w:rsidR="00E22B78">
          <w:rPr>
            <w:noProof/>
            <w:webHidden/>
          </w:rPr>
          <w:fldChar w:fldCharType="end"/>
        </w:r>
      </w:hyperlink>
    </w:p>
    <w:p w14:paraId="4EA7B037" w14:textId="77777777" w:rsidR="00E22B78" w:rsidRDefault="00D818C4">
      <w:pPr>
        <w:pStyle w:val="Obsah3"/>
        <w:rPr>
          <w:rFonts w:asciiTheme="minorHAnsi" w:eastAsiaTheme="minorEastAsia" w:hAnsiTheme="minorHAnsi" w:cstheme="minorBidi"/>
          <w:noProof/>
          <w:sz w:val="22"/>
          <w:lang w:eastAsia="cs-CZ"/>
        </w:rPr>
      </w:pPr>
      <w:hyperlink w:anchor="_Toc14076904" w:history="1">
        <w:r w:rsidR="00E22B78" w:rsidRPr="007609D9">
          <w:rPr>
            <w:rStyle w:val="Hypertextovodkaz"/>
            <w:noProof/>
          </w:rPr>
          <w:t>3.3.2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_Toc14076904 \h </w:instrText>
        </w:r>
        <w:r w:rsidR="00E22B78">
          <w:rPr>
            <w:noProof/>
            <w:webHidden/>
          </w:rPr>
        </w:r>
        <w:r w:rsidR="00E22B78">
          <w:rPr>
            <w:noProof/>
            <w:webHidden/>
          </w:rPr>
          <w:fldChar w:fldCharType="separate"/>
        </w:r>
        <w:r w:rsidR="00AD732F">
          <w:rPr>
            <w:noProof/>
            <w:webHidden/>
          </w:rPr>
          <w:t>88</w:t>
        </w:r>
        <w:r w:rsidR="00E22B78">
          <w:rPr>
            <w:noProof/>
            <w:webHidden/>
          </w:rPr>
          <w:fldChar w:fldCharType="end"/>
        </w:r>
      </w:hyperlink>
    </w:p>
    <w:p w14:paraId="1220007B" w14:textId="77777777" w:rsidR="00E22B78" w:rsidRDefault="00D818C4">
      <w:pPr>
        <w:pStyle w:val="Obsah3"/>
        <w:rPr>
          <w:rFonts w:asciiTheme="minorHAnsi" w:eastAsiaTheme="minorEastAsia" w:hAnsiTheme="minorHAnsi" w:cstheme="minorBidi"/>
          <w:noProof/>
          <w:sz w:val="22"/>
          <w:lang w:eastAsia="cs-CZ"/>
        </w:rPr>
      </w:pPr>
      <w:hyperlink w:anchor="_Toc14076905" w:history="1">
        <w:r w:rsidR="00E22B78" w:rsidRPr="007609D9">
          <w:rPr>
            <w:rStyle w:val="Hypertextovodkaz"/>
            <w:noProof/>
          </w:rPr>
          <w:t>3.3.3</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_Toc14076905 \h </w:instrText>
        </w:r>
        <w:r w:rsidR="00E22B78">
          <w:rPr>
            <w:noProof/>
            <w:webHidden/>
          </w:rPr>
        </w:r>
        <w:r w:rsidR="00E22B78">
          <w:rPr>
            <w:noProof/>
            <w:webHidden/>
          </w:rPr>
          <w:fldChar w:fldCharType="separate"/>
        </w:r>
        <w:r w:rsidR="00AD732F">
          <w:rPr>
            <w:noProof/>
            <w:webHidden/>
          </w:rPr>
          <w:t>90</w:t>
        </w:r>
        <w:r w:rsidR="00E22B78">
          <w:rPr>
            <w:noProof/>
            <w:webHidden/>
          </w:rPr>
          <w:fldChar w:fldCharType="end"/>
        </w:r>
      </w:hyperlink>
    </w:p>
    <w:p w14:paraId="70BF21A2" w14:textId="77777777" w:rsidR="00E22B78" w:rsidRDefault="00D818C4">
      <w:pPr>
        <w:pStyle w:val="Obsah2"/>
        <w:rPr>
          <w:rFonts w:asciiTheme="minorHAnsi" w:eastAsiaTheme="minorEastAsia" w:hAnsiTheme="minorHAnsi" w:cstheme="minorBidi"/>
          <w:sz w:val="22"/>
          <w:lang w:eastAsia="cs-CZ"/>
        </w:rPr>
      </w:pPr>
      <w:hyperlink w:anchor="_Toc14076906" w:history="1">
        <w:r w:rsidR="00E22B78" w:rsidRPr="007609D9">
          <w:rPr>
            <w:rStyle w:val="Hypertextovodkaz"/>
          </w:rPr>
          <w:t>3.4</w:t>
        </w:r>
        <w:r w:rsidR="00E22B78">
          <w:rPr>
            <w:rFonts w:asciiTheme="minorHAnsi" w:eastAsiaTheme="minorEastAsia" w:hAnsiTheme="minorHAnsi" w:cstheme="minorBidi"/>
            <w:sz w:val="22"/>
            <w:lang w:eastAsia="cs-CZ"/>
          </w:rPr>
          <w:tab/>
        </w:r>
        <w:r w:rsidR="00E22B78" w:rsidRPr="007609D9">
          <w:rPr>
            <w:rStyle w:val="Hypertextovodkaz"/>
          </w:rPr>
          <w:t>Trestní prvostupňová agenda</w:t>
        </w:r>
        <w:r w:rsidR="00E22B78">
          <w:rPr>
            <w:webHidden/>
          </w:rPr>
          <w:tab/>
        </w:r>
        <w:r w:rsidR="00E22B78">
          <w:rPr>
            <w:webHidden/>
          </w:rPr>
          <w:fldChar w:fldCharType="begin"/>
        </w:r>
        <w:r w:rsidR="00E22B78">
          <w:rPr>
            <w:webHidden/>
          </w:rPr>
          <w:instrText xml:space="preserve"> PAGEREF _Toc14076906 \h </w:instrText>
        </w:r>
        <w:r w:rsidR="00E22B78">
          <w:rPr>
            <w:webHidden/>
          </w:rPr>
        </w:r>
        <w:r w:rsidR="00E22B78">
          <w:rPr>
            <w:webHidden/>
          </w:rPr>
          <w:fldChar w:fldCharType="separate"/>
        </w:r>
        <w:r w:rsidR="00AD732F">
          <w:rPr>
            <w:webHidden/>
          </w:rPr>
          <w:t>92</w:t>
        </w:r>
        <w:r w:rsidR="00E22B78">
          <w:rPr>
            <w:webHidden/>
          </w:rPr>
          <w:fldChar w:fldCharType="end"/>
        </w:r>
      </w:hyperlink>
    </w:p>
    <w:p w14:paraId="6F7A3178" w14:textId="77777777" w:rsidR="00E22B78" w:rsidRDefault="00D818C4">
      <w:pPr>
        <w:pStyle w:val="Obsah3"/>
        <w:rPr>
          <w:rFonts w:asciiTheme="minorHAnsi" w:eastAsiaTheme="minorEastAsia" w:hAnsiTheme="minorHAnsi" w:cstheme="minorBidi"/>
          <w:noProof/>
          <w:sz w:val="22"/>
          <w:lang w:eastAsia="cs-CZ"/>
        </w:rPr>
      </w:pPr>
      <w:hyperlink w:anchor="_Toc14076907" w:history="1">
        <w:r w:rsidR="00E22B78" w:rsidRPr="007609D9">
          <w:rPr>
            <w:rStyle w:val="Hypertextovodkaz"/>
            <w:noProof/>
          </w:rPr>
          <w:t>3.4.1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_Toc14076907 \h </w:instrText>
        </w:r>
        <w:r w:rsidR="00E22B78">
          <w:rPr>
            <w:noProof/>
            <w:webHidden/>
          </w:rPr>
        </w:r>
        <w:r w:rsidR="00E22B78">
          <w:rPr>
            <w:noProof/>
            <w:webHidden/>
          </w:rPr>
          <w:fldChar w:fldCharType="separate"/>
        </w:r>
        <w:r w:rsidR="00AD732F">
          <w:rPr>
            <w:noProof/>
            <w:webHidden/>
          </w:rPr>
          <w:t>92</w:t>
        </w:r>
        <w:r w:rsidR="00E22B78">
          <w:rPr>
            <w:noProof/>
            <w:webHidden/>
          </w:rPr>
          <w:fldChar w:fldCharType="end"/>
        </w:r>
      </w:hyperlink>
    </w:p>
    <w:p w14:paraId="3DC8BEE8" w14:textId="77777777" w:rsidR="00E22B78" w:rsidRDefault="00D818C4">
      <w:pPr>
        <w:pStyle w:val="Obsah3"/>
        <w:rPr>
          <w:rFonts w:asciiTheme="minorHAnsi" w:eastAsiaTheme="minorEastAsia" w:hAnsiTheme="minorHAnsi" w:cstheme="minorBidi"/>
          <w:noProof/>
          <w:sz w:val="22"/>
          <w:lang w:eastAsia="cs-CZ"/>
        </w:rPr>
      </w:pPr>
      <w:hyperlink w:anchor="_Toc14076908" w:history="1">
        <w:r w:rsidR="00E22B78" w:rsidRPr="007609D9">
          <w:rPr>
            <w:rStyle w:val="Hypertextovodkaz"/>
            <w:noProof/>
          </w:rPr>
          <w:t>3.4.2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_Toc14076908 \h </w:instrText>
        </w:r>
        <w:r w:rsidR="00E22B78">
          <w:rPr>
            <w:noProof/>
            <w:webHidden/>
          </w:rPr>
        </w:r>
        <w:r w:rsidR="00E22B78">
          <w:rPr>
            <w:noProof/>
            <w:webHidden/>
          </w:rPr>
          <w:fldChar w:fldCharType="separate"/>
        </w:r>
        <w:r w:rsidR="00AD732F">
          <w:rPr>
            <w:noProof/>
            <w:webHidden/>
          </w:rPr>
          <w:t>95</w:t>
        </w:r>
        <w:r w:rsidR="00E22B78">
          <w:rPr>
            <w:noProof/>
            <w:webHidden/>
          </w:rPr>
          <w:fldChar w:fldCharType="end"/>
        </w:r>
      </w:hyperlink>
    </w:p>
    <w:p w14:paraId="59509CED" w14:textId="77777777" w:rsidR="00E22B78" w:rsidRDefault="00D818C4">
      <w:pPr>
        <w:pStyle w:val="Obsah3"/>
        <w:rPr>
          <w:rFonts w:asciiTheme="minorHAnsi" w:eastAsiaTheme="minorEastAsia" w:hAnsiTheme="minorHAnsi" w:cstheme="minorBidi"/>
          <w:noProof/>
          <w:sz w:val="22"/>
          <w:lang w:eastAsia="cs-CZ"/>
        </w:rPr>
      </w:pPr>
      <w:hyperlink w:anchor="_Toc14076909" w:history="1">
        <w:r w:rsidR="00E22B78" w:rsidRPr="007609D9">
          <w:rPr>
            <w:rStyle w:val="Hypertextovodkaz"/>
            <w:noProof/>
          </w:rPr>
          <w:t>3.4.3</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_Toc14076909 \h </w:instrText>
        </w:r>
        <w:r w:rsidR="00E22B78">
          <w:rPr>
            <w:noProof/>
            <w:webHidden/>
          </w:rPr>
        </w:r>
        <w:r w:rsidR="00E22B78">
          <w:rPr>
            <w:noProof/>
            <w:webHidden/>
          </w:rPr>
          <w:fldChar w:fldCharType="separate"/>
        </w:r>
        <w:r w:rsidR="00AD732F">
          <w:rPr>
            <w:noProof/>
            <w:webHidden/>
          </w:rPr>
          <w:t>96</w:t>
        </w:r>
        <w:r w:rsidR="00E22B78">
          <w:rPr>
            <w:noProof/>
            <w:webHidden/>
          </w:rPr>
          <w:fldChar w:fldCharType="end"/>
        </w:r>
      </w:hyperlink>
    </w:p>
    <w:p w14:paraId="04A1175A" w14:textId="77777777" w:rsidR="00E22B78" w:rsidRDefault="00D818C4">
      <w:pPr>
        <w:pStyle w:val="Obsah3"/>
        <w:rPr>
          <w:rFonts w:asciiTheme="minorHAnsi" w:eastAsiaTheme="minorEastAsia" w:hAnsiTheme="minorHAnsi" w:cstheme="minorBidi"/>
          <w:noProof/>
          <w:sz w:val="22"/>
          <w:lang w:eastAsia="cs-CZ"/>
        </w:rPr>
      </w:pPr>
      <w:hyperlink w:anchor="_Toc14076910" w:history="1">
        <w:r w:rsidR="00E22B78" w:rsidRPr="007609D9">
          <w:rPr>
            <w:rStyle w:val="Hypertextovodkaz"/>
            <w:noProof/>
          </w:rPr>
          <w:t>3.4.4</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_Toc14076910 \h </w:instrText>
        </w:r>
        <w:r w:rsidR="00E22B78">
          <w:rPr>
            <w:noProof/>
            <w:webHidden/>
          </w:rPr>
        </w:r>
        <w:r w:rsidR="00E22B78">
          <w:rPr>
            <w:noProof/>
            <w:webHidden/>
          </w:rPr>
          <w:fldChar w:fldCharType="separate"/>
        </w:r>
        <w:r w:rsidR="00AD732F">
          <w:rPr>
            <w:noProof/>
            <w:webHidden/>
          </w:rPr>
          <w:t>98</w:t>
        </w:r>
        <w:r w:rsidR="00E22B78">
          <w:rPr>
            <w:noProof/>
            <w:webHidden/>
          </w:rPr>
          <w:fldChar w:fldCharType="end"/>
        </w:r>
      </w:hyperlink>
    </w:p>
    <w:p w14:paraId="330996B6" w14:textId="77777777" w:rsidR="00E22B78" w:rsidRDefault="00D818C4">
      <w:pPr>
        <w:pStyle w:val="Obsah2"/>
        <w:rPr>
          <w:rFonts w:asciiTheme="minorHAnsi" w:eastAsiaTheme="minorEastAsia" w:hAnsiTheme="minorHAnsi" w:cstheme="minorBidi"/>
          <w:sz w:val="22"/>
          <w:lang w:eastAsia="cs-CZ"/>
        </w:rPr>
      </w:pPr>
      <w:hyperlink w:anchor="_Toc14076911" w:history="1">
        <w:r w:rsidR="00E22B78" w:rsidRPr="007609D9">
          <w:rPr>
            <w:rStyle w:val="Hypertextovodkaz"/>
          </w:rPr>
          <w:t>3.5</w:t>
        </w:r>
        <w:r w:rsidR="00E22B78">
          <w:rPr>
            <w:rFonts w:asciiTheme="minorHAnsi" w:eastAsiaTheme="minorEastAsia" w:hAnsiTheme="minorHAnsi" w:cstheme="minorBidi"/>
            <w:sz w:val="22"/>
            <w:lang w:eastAsia="cs-CZ"/>
          </w:rPr>
          <w:tab/>
        </w:r>
        <w:r w:rsidR="00E22B78" w:rsidRPr="007609D9">
          <w:rPr>
            <w:rStyle w:val="Hypertextovodkaz"/>
          </w:rPr>
          <w:t>Trestní odvolací agenda</w:t>
        </w:r>
        <w:r w:rsidR="00E22B78">
          <w:rPr>
            <w:webHidden/>
          </w:rPr>
          <w:tab/>
        </w:r>
        <w:r w:rsidR="00E22B78">
          <w:rPr>
            <w:webHidden/>
          </w:rPr>
          <w:fldChar w:fldCharType="begin"/>
        </w:r>
        <w:r w:rsidR="00E22B78">
          <w:rPr>
            <w:webHidden/>
          </w:rPr>
          <w:instrText xml:space="preserve"> PAGEREF _Toc14076911 \h </w:instrText>
        </w:r>
        <w:r w:rsidR="00E22B78">
          <w:rPr>
            <w:webHidden/>
          </w:rPr>
        </w:r>
        <w:r w:rsidR="00E22B78">
          <w:rPr>
            <w:webHidden/>
          </w:rPr>
          <w:fldChar w:fldCharType="separate"/>
        </w:r>
        <w:r w:rsidR="00AD732F">
          <w:rPr>
            <w:webHidden/>
          </w:rPr>
          <w:t>101</w:t>
        </w:r>
        <w:r w:rsidR="00E22B78">
          <w:rPr>
            <w:webHidden/>
          </w:rPr>
          <w:fldChar w:fldCharType="end"/>
        </w:r>
      </w:hyperlink>
    </w:p>
    <w:p w14:paraId="11E794BE" w14:textId="77777777" w:rsidR="00E22B78" w:rsidRDefault="00D818C4">
      <w:pPr>
        <w:pStyle w:val="Obsah3"/>
        <w:rPr>
          <w:rFonts w:asciiTheme="minorHAnsi" w:eastAsiaTheme="minorEastAsia" w:hAnsiTheme="minorHAnsi" w:cstheme="minorBidi"/>
          <w:noProof/>
          <w:sz w:val="22"/>
          <w:lang w:eastAsia="cs-CZ"/>
        </w:rPr>
      </w:pPr>
      <w:hyperlink w:anchor="_Toc14076912" w:history="1">
        <w:r w:rsidR="00E22B78" w:rsidRPr="007609D9">
          <w:rPr>
            <w:rStyle w:val="Hypertextovodkaz"/>
            <w:noProof/>
          </w:rPr>
          <w:t>3.5.1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_Toc14076912 \h </w:instrText>
        </w:r>
        <w:r w:rsidR="00E22B78">
          <w:rPr>
            <w:noProof/>
            <w:webHidden/>
          </w:rPr>
        </w:r>
        <w:r w:rsidR="00E22B78">
          <w:rPr>
            <w:noProof/>
            <w:webHidden/>
          </w:rPr>
          <w:fldChar w:fldCharType="separate"/>
        </w:r>
        <w:r w:rsidR="00AD732F">
          <w:rPr>
            <w:noProof/>
            <w:webHidden/>
          </w:rPr>
          <w:t>101</w:t>
        </w:r>
        <w:r w:rsidR="00E22B78">
          <w:rPr>
            <w:noProof/>
            <w:webHidden/>
          </w:rPr>
          <w:fldChar w:fldCharType="end"/>
        </w:r>
      </w:hyperlink>
    </w:p>
    <w:p w14:paraId="7C420194" w14:textId="77777777" w:rsidR="00E22B78" w:rsidRDefault="00D818C4">
      <w:pPr>
        <w:pStyle w:val="Obsah3"/>
        <w:rPr>
          <w:rFonts w:asciiTheme="minorHAnsi" w:eastAsiaTheme="minorEastAsia" w:hAnsiTheme="minorHAnsi" w:cstheme="minorBidi"/>
          <w:noProof/>
          <w:sz w:val="22"/>
          <w:lang w:eastAsia="cs-CZ"/>
        </w:rPr>
      </w:pPr>
      <w:hyperlink w:anchor="_Toc14076913" w:history="1">
        <w:r w:rsidR="00E22B78" w:rsidRPr="007609D9">
          <w:rPr>
            <w:rStyle w:val="Hypertextovodkaz"/>
            <w:noProof/>
          </w:rPr>
          <w:t>3.5.2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_Toc14076913 \h </w:instrText>
        </w:r>
        <w:r w:rsidR="00E22B78">
          <w:rPr>
            <w:noProof/>
            <w:webHidden/>
          </w:rPr>
        </w:r>
        <w:r w:rsidR="00E22B78">
          <w:rPr>
            <w:noProof/>
            <w:webHidden/>
          </w:rPr>
          <w:fldChar w:fldCharType="separate"/>
        </w:r>
        <w:r w:rsidR="00AD732F">
          <w:rPr>
            <w:noProof/>
            <w:webHidden/>
          </w:rPr>
          <w:t>103</w:t>
        </w:r>
        <w:r w:rsidR="00E22B78">
          <w:rPr>
            <w:noProof/>
            <w:webHidden/>
          </w:rPr>
          <w:fldChar w:fldCharType="end"/>
        </w:r>
      </w:hyperlink>
    </w:p>
    <w:p w14:paraId="0B4392B0" w14:textId="77777777" w:rsidR="00E22B78" w:rsidRDefault="00D818C4">
      <w:pPr>
        <w:pStyle w:val="Obsah3"/>
        <w:rPr>
          <w:rFonts w:asciiTheme="minorHAnsi" w:eastAsiaTheme="minorEastAsia" w:hAnsiTheme="minorHAnsi" w:cstheme="minorBidi"/>
          <w:noProof/>
          <w:sz w:val="22"/>
          <w:lang w:eastAsia="cs-CZ"/>
        </w:rPr>
      </w:pPr>
      <w:hyperlink w:anchor="_Toc14076914" w:history="1">
        <w:r w:rsidR="00E22B78" w:rsidRPr="007609D9">
          <w:rPr>
            <w:rStyle w:val="Hypertextovodkaz"/>
            <w:noProof/>
          </w:rPr>
          <w:t>3.5.3</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_Toc14076914 \h </w:instrText>
        </w:r>
        <w:r w:rsidR="00E22B78">
          <w:rPr>
            <w:noProof/>
            <w:webHidden/>
          </w:rPr>
        </w:r>
        <w:r w:rsidR="00E22B78">
          <w:rPr>
            <w:noProof/>
            <w:webHidden/>
          </w:rPr>
          <w:fldChar w:fldCharType="separate"/>
        </w:r>
        <w:r w:rsidR="00AD732F">
          <w:rPr>
            <w:noProof/>
            <w:webHidden/>
          </w:rPr>
          <w:t>104</w:t>
        </w:r>
        <w:r w:rsidR="00E22B78">
          <w:rPr>
            <w:noProof/>
            <w:webHidden/>
          </w:rPr>
          <w:fldChar w:fldCharType="end"/>
        </w:r>
      </w:hyperlink>
    </w:p>
    <w:p w14:paraId="3A5F3098" w14:textId="77777777" w:rsidR="00E22B78" w:rsidRDefault="00D818C4">
      <w:pPr>
        <w:pStyle w:val="Obsah2"/>
        <w:rPr>
          <w:rFonts w:asciiTheme="minorHAnsi" w:eastAsiaTheme="minorEastAsia" w:hAnsiTheme="minorHAnsi" w:cstheme="minorBidi"/>
          <w:sz w:val="22"/>
          <w:lang w:eastAsia="cs-CZ"/>
        </w:rPr>
      </w:pPr>
      <w:hyperlink w:anchor="_Toc14076915" w:history="1">
        <w:r w:rsidR="00E22B78" w:rsidRPr="007609D9">
          <w:rPr>
            <w:rStyle w:val="Hypertextovodkaz"/>
          </w:rPr>
          <w:t>3.6</w:t>
        </w:r>
        <w:r w:rsidR="00E22B78">
          <w:rPr>
            <w:rFonts w:asciiTheme="minorHAnsi" w:eastAsiaTheme="minorEastAsia" w:hAnsiTheme="minorHAnsi" w:cstheme="minorBidi"/>
            <w:sz w:val="22"/>
            <w:lang w:eastAsia="cs-CZ"/>
          </w:rPr>
          <w:tab/>
        </w:r>
        <w:r w:rsidR="00E22B78" w:rsidRPr="007609D9">
          <w:rPr>
            <w:rStyle w:val="Hypertextovodkaz"/>
          </w:rPr>
          <w:t>Správní agenda</w:t>
        </w:r>
        <w:r w:rsidR="00E22B78">
          <w:rPr>
            <w:webHidden/>
          </w:rPr>
          <w:tab/>
        </w:r>
        <w:r w:rsidR="00E22B78">
          <w:rPr>
            <w:webHidden/>
          </w:rPr>
          <w:fldChar w:fldCharType="begin"/>
        </w:r>
        <w:r w:rsidR="00E22B78">
          <w:rPr>
            <w:webHidden/>
          </w:rPr>
          <w:instrText xml:space="preserve"> PAGEREF _Toc14076915 \h </w:instrText>
        </w:r>
        <w:r w:rsidR="00E22B78">
          <w:rPr>
            <w:webHidden/>
          </w:rPr>
        </w:r>
        <w:r w:rsidR="00E22B78">
          <w:rPr>
            <w:webHidden/>
          </w:rPr>
          <w:fldChar w:fldCharType="separate"/>
        </w:r>
        <w:r w:rsidR="00AD732F">
          <w:rPr>
            <w:webHidden/>
          </w:rPr>
          <w:t>105</w:t>
        </w:r>
        <w:r w:rsidR="00E22B78">
          <w:rPr>
            <w:webHidden/>
          </w:rPr>
          <w:fldChar w:fldCharType="end"/>
        </w:r>
      </w:hyperlink>
    </w:p>
    <w:p w14:paraId="70D81C12" w14:textId="77777777" w:rsidR="00E22B78" w:rsidRDefault="00D818C4">
      <w:pPr>
        <w:pStyle w:val="Obsah3"/>
        <w:rPr>
          <w:rFonts w:asciiTheme="minorHAnsi" w:eastAsiaTheme="minorEastAsia" w:hAnsiTheme="minorHAnsi" w:cstheme="minorBidi"/>
          <w:noProof/>
          <w:sz w:val="22"/>
          <w:lang w:eastAsia="cs-CZ"/>
        </w:rPr>
      </w:pPr>
      <w:hyperlink w:anchor="_Toc14076916" w:history="1">
        <w:r w:rsidR="00E22B78" w:rsidRPr="007609D9">
          <w:rPr>
            <w:rStyle w:val="Hypertextovodkaz"/>
            <w:noProof/>
          </w:rPr>
          <w:t>3.6.1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_Toc14076916 \h </w:instrText>
        </w:r>
        <w:r w:rsidR="00E22B78">
          <w:rPr>
            <w:noProof/>
            <w:webHidden/>
          </w:rPr>
        </w:r>
        <w:r w:rsidR="00E22B78">
          <w:rPr>
            <w:noProof/>
            <w:webHidden/>
          </w:rPr>
          <w:fldChar w:fldCharType="separate"/>
        </w:r>
        <w:r w:rsidR="00AD732F">
          <w:rPr>
            <w:noProof/>
            <w:webHidden/>
          </w:rPr>
          <w:t>105</w:t>
        </w:r>
        <w:r w:rsidR="00E22B78">
          <w:rPr>
            <w:noProof/>
            <w:webHidden/>
          </w:rPr>
          <w:fldChar w:fldCharType="end"/>
        </w:r>
      </w:hyperlink>
    </w:p>
    <w:p w14:paraId="2DB9CB1D" w14:textId="77777777" w:rsidR="00E22B78" w:rsidRDefault="00D818C4">
      <w:pPr>
        <w:pStyle w:val="Obsah3"/>
        <w:rPr>
          <w:rFonts w:asciiTheme="minorHAnsi" w:eastAsiaTheme="minorEastAsia" w:hAnsiTheme="minorHAnsi" w:cstheme="minorBidi"/>
          <w:noProof/>
          <w:sz w:val="22"/>
          <w:lang w:eastAsia="cs-CZ"/>
        </w:rPr>
      </w:pPr>
      <w:hyperlink w:anchor="_Toc14076917" w:history="1">
        <w:r w:rsidR="00E22B78" w:rsidRPr="007609D9">
          <w:rPr>
            <w:rStyle w:val="Hypertextovodkaz"/>
            <w:noProof/>
          </w:rPr>
          <w:t>3.6.2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_Toc14076917 \h </w:instrText>
        </w:r>
        <w:r w:rsidR="00E22B78">
          <w:rPr>
            <w:noProof/>
            <w:webHidden/>
          </w:rPr>
        </w:r>
        <w:r w:rsidR="00E22B78">
          <w:rPr>
            <w:noProof/>
            <w:webHidden/>
          </w:rPr>
          <w:fldChar w:fldCharType="separate"/>
        </w:r>
        <w:r w:rsidR="00AD732F">
          <w:rPr>
            <w:noProof/>
            <w:webHidden/>
          </w:rPr>
          <w:t>107</w:t>
        </w:r>
        <w:r w:rsidR="00E22B78">
          <w:rPr>
            <w:noProof/>
            <w:webHidden/>
          </w:rPr>
          <w:fldChar w:fldCharType="end"/>
        </w:r>
      </w:hyperlink>
    </w:p>
    <w:p w14:paraId="4BB1D2A7" w14:textId="77777777" w:rsidR="00E22B78" w:rsidRDefault="00D818C4">
      <w:pPr>
        <w:pStyle w:val="Obsah3"/>
        <w:rPr>
          <w:rFonts w:asciiTheme="minorHAnsi" w:eastAsiaTheme="minorEastAsia" w:hAnsiTheme="minorHAnsi" w:cstheme="minorBidi"/>
          <w:noProof/>
          <w:sz w:val="22"/>
          <w:lang w:eastAsia="cs-CZ"/>
        </w:rPr>
      </w:pPr>
      <w:hyperlink w:anchor="_Toc14076918" w:history="1">
        <w:r w:rsidR="00E22B78" w:rsidRPr="007609D9">
          <w:rPr>
            <w:rStyle w:val="Hypertextovodkaz"/>
            <w:noProof/>
          </w:rPr>
          <w:t>3.6.3</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 v přepočtu na soudce</w:t>
        </w:r>
        <w:r w:rsidR="00E22B78">
          <w:rPr>
            <w:noProof/>
            <w:webHidden/>
          </w:rPr>
          <w:tab/>
        </w:r>
        <w:r w:rsidR="00E22B78">
          <w:rPr>
            <w:noProof/>
            <w:webHidden/>
          </w:rPr>
          <w:fldChar w:fldCharType="begin"/>
        </w:r>
        <w:r w:rsidR="00E22B78">
          <w:rPr>
            <w:noProof/>
            <w:webHidden/>
          </w:rPr>
          <w:instrText xml:space="preserve"> PAGEREF _Toc14076918 \h </w:instrText>
        </w:r>
        <w:r w:rsidR="00E22B78">
          <w:rPr>
            <w:noProof/>
            <w:webHidden/>
          </w:rPr>
        </w:r>
        <w:r w:rsidR="00E22B78">
          <w:rPr>
            <w:noProof/>
            <w:webHidden/>
          </w:rPr>
          <w:fldChar w:fldCharType="separate"/>
        </w:r>
        <w:r w:rsidR="00AD732F">
          <w:rPr>
            <w:noProof/>
            <w:webHidden/>
          </w:rPr>
          <w:t>109</w:t>
        </w:r>
        <w:r w:rsidR="00E22B78">
          <w:rPr>
            <w:noProof/>
            <w:webHidden/>
          </w:rPr>
          <w:fldChar w:fldCharType="end"/>
        </w:r>
      </w:hyperlink>
    </w:p>
    <w:p w14:paraId="7FEB3691" w14:textId="77777777" w:rsidR="00E22B78" w:rsidRDefault="00D818C4">
      <w:pPr>
        <w:pStyle w:val="Obsah3"/>
        <w:rPr>
          <w:rFonts w:asciiTheme="minorHAnsi" w:eastAsiaTheme="minorEastAsia" w:hAnsiTheme="minorHAnsi" w:cstheme="minorBidi"/>
          <w:noProof/>
          <w:sz w:val="22"/>
          <w:lang w:eastAsia="cs-CZ"/>
        </w:rPr>
      </w:pPr>
      <w:hyperlink w:anchor="_Toc14076919" w:history="1">
        <w:r w:rsidR="00E22B78" w:rsidRPr="007609D9">
          <w:rPr>
            <w:rStyle w:val="Hypertextovodkaz"/>
            <w:noProof/>
          </w:rPr>
          <w:t>3.6.4</w:t>
        </w:r>
        <w:r w:rsidR="00E22B78">
          <w:rPr>
            <w:rFonts w:asciiTheme="minorHAnsi" w:eastAsiaTheme="minorEastAsia" w:hAnsiTheme="minorHAnsi" w:cstheme="minorBidi"/>
            <w:noProof/>
            <w:sz w:val="22"/>
            <w:lang w:eastAsia="cs-CZ"/>
          </w:rPr>
          <w:tab/>
        </w:r>
        <w:r w:rsidR="00E22B78" w:rsidRPr="007609D9">
          <w:rPr>
            <w:rStyle w:val="Hypertextovodkaz"/>
            <w:noProof/>
          </w:rPr>
          <w:t>Disposition time</w:t>
        </w:r>
        <w:r w:rsidR="00E22B78">
          <w:rPr>
            <w:noProof/>
            <w:webHidden/>
          </w:rPr>
          <w:tab/>
        </w:r>
        <w:r w:rsidR="00E22B78">
          <w:rPr>
            <w:noProof/>
            <w:webHidden/>
          </w:rPr>
          <w:fldChar w:fldCharType="begin"/>
        </w:r>
        <w:r w:rsidR="00E22B78">
          <w:rPr>
            <w:noProof/>
            <w:webHidden/>
          </w:rPr>
          <w:instrText xml:space="preserve"> PAGEREF _Toc14076919 \h </w:instrText>
        </w:r>
        <w:r w:rsidR="00E22B78">
          <w:rPr>
            <w:noProof/>
            <w:webHidden/>
          </w:rPr>
        </w:r>
        <w:r w:rsidR="00E22B78">
          <w:rPr>
            <w:noProof/>
            <w:webHidden/>
          </w:rPr>
          <w:fldChar w:fldCharType="separate"/>
        </w:r>
        <w:r w:rsidR="00AD732F">
          <w:rPr>
            <w:noProof/>
            <w:webHidden/>
          </w:rPr>
          <w:t>110</w:t>
        </w:r>
        <w:r w:rsidR="00E22B78">
          <w:rPr>
            <w:noProof/>
            <w:webHidden/>
          </w:rPr>
          <w:fldChar w:fldCharType="end"/>
        </w:r>
      </w:hyperlink>
    </w:p>
    <w:p w14:paraId="7D995A13" w14:textId="77777777" w:rsidR="00E22B78" w:rsidRDefault="00D818C4">
      <w:pPr>
        <w:pStyle w:val="Obsah3"/>
        <w:rPr>
          <w:rFonts w:asciiTheme="minorHAnsi" w:eastAsiaTheme="minorEastAsia" w:hAnsiTheme="minorHAnsi" w:cstheme="minorBidi"/>
          <w:noProof/>
          <w:sz w:val="22"/>
          <w:lang w:eastAsia="cs-CZ"/>
        </w:rPr>
      </w:pPr>
      <w:hyperlink w:anchor="_Toc14076920" w:history="1">
        <w:r w:rsidR="00E22B78" w:rsidRPr="007609D9">
          <w:rPr>
            <w:rStyle w:val="Hypertextovodkaz"/>
            <w:noProof/>
          </w:rPr>
          <w:t>3.6.5</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_Toc14076920 \h </w:instrText>
        </w:r>
        <w:r w:rsidR="00E22B78">
          <w:rPr>
            <w:noProof/>
            <w:webHidden/>
          </w:rPr>
        </w:r>
        <w:r w:rsidR="00E22B78">
          <w:rPr>
            <w:noProof/>
            <w:webHidden/>
          </w:rPr>
          <w:fldChar w:fldCharType="separate"/>
        </w:r>
        <w:r w:rsidR="00AD732F">
          <w:rPr>
            <w:noProof/>
            <w:webHidden/>
          </w:rPr>
          <w:t>111</w:t>
        </w:r>
        <w:r w:rsidR="00E22B78">
          <w:rPr>
            <w:noProof/>
            <w:webHidden/>
          </w:rPr>
          <w:fldChar w:fldCharType="end"/>
        </w:r>
      </w:hyperlink>
    </w:p>
    <w:p w14:paraId="7F217F6A" w14:textId="77777777" w:rsidR="00E22B78" w:rsidRDefault="00D818C4">
      <w:pPr>
        <w:pStyle w:val="Obsah2"/>
        <w:rPr>
          <w:rFonts w:asciiTheme="minorHAnsi" w:eastAsiaTheme="minorEastAsia" w:hAnsiTheme="minorHAnsi" w:cstheme="minorBidi"/>
          <w:sz w:val="22"/>
          <w:lang w:eastAsia="cs-CZ"/>
        </w:rPr>
      </w:pPr>
      <w:hyperlink w:anchor="_Toc14076921" w:history="1">
        <w:r w:rsidR="00E22B78" w:rsidRPr="007609D9">
          <w:rPr>
            <w:rStyle w:val="Hypertextovodkaz"/>
          </w:rPr>
          <w:t>3.7</w:t>
        </w:r>
        <w:r w:rsidR="00E22B78">
          <w:rPr>
            <w:rFonts w:asciiTheme="minorHAnsi" w:eastAsiaTheme="minorEastAsia" w:hAnsiTheme="minorHAnsi" w:cstheme="minorBidi"/>
            <w:sz w:val="22"/>
            <w:lang w:eastAsia="cs-CZ"/>
          </w:rPr>
          <w:tab/>
        </w:r>
        <w:r w:rsidR="00E22B78" w:rsidRPr="007609D9">
          <w:rPr>
            <w:rStyle w:val="Hypertextovodkaz"/>
          </w:rPr>
          <w:t>Insolvenční agenda</w:t>
        </w:r>
        <w:r w:rsidR="00E22B78">
          <w:rPr>
            <w:webHidden/>
          </w:rPr>
          <w:tab/>
        </w:r>
        <w:r w:rsidR="00E22B78">
          <w:rPr>
            <w:webHidden/>
          </w:rPr>
          <w:fldChar w:fldCharType="begin"/>
        </w:r>
        <w:r w:rsidR="00E22B78">
          <w:rPr>
            <w:webHidden/>
          </w:rPr>
          <w:instrText xml:space="preserve"> PAGEREF _Toc14076921 \h </w:instrText>
        </w:r>
        <w:r w:rsidR="00E22B78">
          <w:rPr>
            <w:webHidden/>
          </w:rPr>
        </w:r>
        <w:r w:rsidR="00E22B78">
          <w:rPr>
            <w:webHidden/>
          </w:rPr>
          <w:fldChar w:fldCharType="separate"/>
        </w:r>
        <w:r w:rsidR="00AD732F">
          <w:rPr>
            <w:webHidden/>
          </w:rPr>
          <w:t>112</w:t>
        </w:r>
        <w:r w:rsidR="00E22B78">
          <w:rPr>
            <w:webHidden/>
          </w:rPr>
          <w:fldChar w:fldCharType="end"/>
        </w:r>
      </w:hyperlink>
    </w:p>
    <w:p w14:paraId="4321F0BB" w14:textId="77777777" w:rsidR="00E22B78" w:rsidRDefault="00D818C4">
      <w:pPr>
        <w:pStyle w:val="Obsah3"/>
        <w:rPr>
          <w:rFonts w:asciiTheme="minorHAnsi" w:eastAsiaTheme="minorEastAsia" w:hAnsiTheme="minorHAnsi" w:cstheme="minorBidi"/>
          <w:noProof/>
          <w:sz w:val="22"/>
          <w:lang w:eastAsia="cs-CZ"/>
        </w:rPr>
      </w:pPr>
      <w:hyperlink w:anchor="_Toc14076922" w:history="1">
        <w:r w:rsidR="00E22B78" w:rsidRPr="007609D9">
          <w:rPr>
            <w:rStyle w:val="Hypertextovodkaz"/>
            <w:noProof/>
          </w:rPr>
          <w:t>3.7.1</w:t>
        </w:r>
        <w:r w:rsidR="00E22B78">
          <w:rPr>
            <w:rFonts w:asciiTheme="minorHAnsi" w:eastAsiaTheme="minorEastAsia" w:hAnsiTheme="minorHAnsi" w:cstheme="minorBidi"/>
            <w:noProof/>
            <w:sz w:val="22"/>
            <w:lang w:eastAsia="cs-CZ"/>
          </w:rPr>
          <w:tab/>
        </w:r>
        <w:r w:rsidR="00E22B78" w:rsidRPr="007609D9">
          <w:rPr>
            <w:rStyle w:val="Hypertextovodkaz"/>
            <w:noProof/>
          </w:rPr>
          <w:t>Délka řízení</w:t>
        </w:r>
        <w:r w:rsidR="00E22B78">
          <w:rPr>
            <w:noProof/>
            <w:webHidden/>
          </w:rPr>
          <w:tab/>
        </w:r>
        <w:r w:rsidR="00E22B78">
          <w:rPr>
            <w:noProof/>
            <w:webHidden/>
          </w:rPr>
          <w:fldChar w:fldCharType="begin"/>
        </w:r>
        <w:r w:rsidR="00E22B78">
          <w:rPr>
            <w:noProof/>
            <w:webHidden/>
          </w:rPr>
          <w:instrText xml:space="preserve"> PAGEREF _Toc14076922 \h </w:instrText>
        </w:r>
        <w:r w:rsidR="00E22B78">
          <w:rPr>
            <w:noProof/>
            <w:webHidden/>
          </w:rPr>
        </w:r>
        <w:r w:rsidR="00E22B78">
          <w:rPr>
            <w:noProof/>
            <w:webHidden/>
          </w:rPr>
          <w:fldChar w:fldCharType="separate"/>
        </w:r>
        <w:r w:rsidR="00AD732F">
          <w:rPr>
            <w:noProof/>
            <w:webHidden/>
          </w:rPr>
          <w:t>112</w:t>
        </w:r>
        <w:r w:rsidR="00E22B78">
          <w:rPr>
            <w:noProof/>
            <w:webHidden/>
          </w:rPr>
          <w:fldChar w:fldCharType="end"/>
        </w:r>
      </w:hyperlink>
    </w:p>
    <w:p w14:paraId="081D0D14" w14:textId="77777777" w:rsidR="00E22B78" w:rsidRDefault="00D818C4">
      <w:pPr>
        <w:pStyle w:val="Obsah3"/>
        <w:rPr>
          <w:rFonts w:asciiTheme="minorHAnsi" w:eastAsiaTheme="minorEastAsia" w:hAnsiTheme="minorHAnsi" w:cstheme="minorBidi"/>
          <w:noProof/>
          <w:sz w:val="22"/>
          <w:lang w:eastAsia="cs-CZ"/>
        </w:rPr>
      </w:pPr>
      <w:hyperlink w:anchor="_Toc14076923" w:history="1">
        <w:r w:rsidR="00E22B78" w:rsidRPr="007609D9">
          <w:rPr>
            <w:rStyle w:val="Hypertextovodkaz"/>
            <w:noProof/>
          </w:rPr>
          <w:t>3.7.2</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_Toc14076923 \h </w:instrText>
        </w:r>
        <w:r w:rsidR="00E22B78">
          <w:rPr>
            <w:noProof/>
            <w:webHidden/>
          </w:rPr>
        </w:r>
        <w:r w:rsidR="00E22B78">
          <w:rPr>
            <w:noProof/>
            <w:webHidden/>
          </w:rPr>
          <w:fldChar w:fldCharType="separate"/>
        </w:r>
        <w:r w:rsidR="00AD732F">
          <w:rPr>
            <w:noProof/>
            <w:webHidden/>
          </w:rPr>
          <w:t>117</w:t>
        </w:r>
        <w:r w:rsidR="00E22B78">
          <w:rPr>
            <w:noProof/>
            <w:webHidden/>
          </w:rPr>
          <w:fldChar w:fldCharType="end"/>
        </w:r>
      </w:hyperlink>
    </w:p>
    <w:p w14:paraId="5D8B7541" w14:textId="77777777" w:rsidR="00E22B78" w:rsidRDefault="00D818C4">
      <w:pPr>
        <w:pStyle w:val="Obsah3"/>
        <w:rPr>
          <w:rFonts w:asciiTheme="minorHAnsi" w:eastAsiaTheme="minorEastAsia" w:hAnsiTheme="minorHAnsi" w:cstheme="minorBidi"/>
          <w:noProof/>
          <w:sz w:val="22"/>
          <w:lang w:eastAsia="cs-CZ"/>
        </w:rPr>
      </w:pPr>
      <w:hyperlink w:anchor="_Toc14076924" w:history="1">
        <w:r w:rsidR="00E22B78" w:rsidRPr="007609D9">
          <w:rPr>
            <w:rStyle w:val="Hypertextovodkaz"/>
            <w:noProof/>
          </w:rPr>
          <w:t>3.7.3</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 v přepočtu na soudce</w:t>
        </w:r>
        <w:r w:rsidR="00E22B78">
          <w:rPr>
            <w:noProof/>
            <w:webHidden/>
          </w:rPr>
          <w:tab/>
        </w:r>
        <w:r w:rsidR="00E22B78">
          <w:rPr>
            <w:noProof/>
            <w:webHidden/>
          </w:rPr>
          <w:fldChar w:fldCharType="begin"/>
        </w:r>
        <w:r w:rsidR="00E22B78">
          <w:rPr>
            <w:noProof/>
            <w:webHidden/>
          </w:rPr>
          <w:instrText xml:space="preserve"> PAGEREF _Toc14076924 \h </w:instrText>
        </w:r>
        <w:r w:rsidR="00E22B78">
          <w:rPr>
            <w:noProof/>
            <w:webHidden/>
          </w:rPr>
        </w:r>
        <w:r w:rsidR="00E22B78">
          <w:rPr>
            <w:noProof/>
            <w:webHidden/>
          </w:rPr>
          <w:fldChar w:fldCharType="separate"/>
        </w:r>
        <w:r w:rsidR="00AD732F">
          <w:rPr>
            <w:noProof/>
            <w:webHidden/>
          </w:rPr>
          <w:t>119</w:t>
        </w:r>
        <w:r w:rsidR="00E22B78">
          <w:rPr>
            <w:noProof/>
            <w:webHidden/>
          </w:rPr>
          <w:fldChar w:fldCharType="end"/>
        </w:r>
      </w:hyperlink>
    </w:p>
    <w:p w14:paraId="4A1E3945" w14:textId="77777777" w:rsidR="00E22B78" w:rsidRDefault="00D818C4">
      <w:pPr>
        <w:pStyle w:val="Obsah3"/>
        <w:rPr>
          <w:rFonts w:asciiTheme="minorHAnsi" w:eastAsiaTheme="minorEastAsia" w:hAnsiTheme="minorHAnsi" w:cstheme="minorBidi"/>
          <w:noProof/>
          <w:sz w:val="22"/>
          <w:lang w:eastAsia="cs-CZ"/>
        </w:rPr>
      </w:pPr>
      <w:hyperlink w:anchor="_Toc14076925" w:history="1">
        <w:r w:rsidR="00E22B78" w:rsidRPr="007609D9">
          <w:rPr>
            <w:rStyle w:val="Hypertextovodkaz"/>
            <w:noProof/>
          </w:rPr>
          <w:t>3.7.4</w:t>
        </w:r>
        <w:r w:rsidR="00E22B78">
          <w:rPr>
            <w:rFonts w:asciiTheme="minorHAnsi" w:eastAsiaTheme="minorEastAsia" w:hAnsiTheme="minorHAnsi" w:cstheme="minorBidi"/>
            <w:noProof/>
            <w:sz w:val="22"/>
            <w:lang w:eastAsia="cs-CZ"/>
          </w:rPr>
          <w:tab/>
        </w:r>
        <w:r w:rsidR="00E22B78" w:rsidRPr="007609D9">
          <w:rPr>
            <w:rStyle w:val="Hypertextovodkaz"/>
            <w:noProof/>
          </w:rPr>
          <w:t>Další statistiky</w:t>
        </w:r>
        <w:r w:rsidR="00E22B78">
          <w:rPr>
            <w:noProof/>
            <w:webHidden/>
          </w:rPr>
          <w:tab/>
        </w:r>
        <w:r w:rsidR="00E22B78">
          <w:rPr>
            <w:noProof/>
            <w:webHidden/>
          </w:rPr>
          <w:fldChar w:fldCharType="begin"/>
        </w:r>
        <w:r w:rsidR="00E22B78">
          <w:rPr>
            <w:noProof/>
            <w:webHidden/>
          </w:rPr>
          <w:instrText xml:space="preserve"> PAGEREF _Toc14076925 \h </w:instrText>
        </w:r>
        <w:r w:rsidR="00E22B78">
          <w:rPr>
            <w:noProof/>
            <w:webHidden/>
          </w:rPr>
        </w:r>
        <w:r w:rsidR="00E22B78">
          <w:rPr>
            <w:noProof/>
            <w:webHidden/>
          </w:rPr>
          <w:fldChar w:fldCharType="separate"/>
        </w:r>
        <w:r w:rsidR="00AD732F">
          <w:rPr>
            <w:noProof/>
            <w:webHidden/>
          </w:rPr>
          <w:t>120</w:t>
        </w:r>
        <w:r w:rsidR="00E22B78">
          <w:rPr>
            <w:noProof/>
            <w:webHidden/>
          </w:rPr>
          <w:fldChar w:fldCharType="end"/>
        </w:r>
      </w:hyperlink>
    </w:p>
    <w:p w14:paraId="0487F32C"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926" w:history="1">
        <w:r w:rsidR="00E22B78" w:rsidRPr="007609D9">
          <w:rPr>
            <w:rStyle w:val="Hypertextovodkaz"/>
            <w:noProof/>
            <w:lang w:eastAsia="cs-CZ"/>
          </w:rPr>
          <w:t>4</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Vrchní soudy</w:t>
        </w:r>
        <w:r w:rsidR="00E22B78">
          <w:rPr>
            <w:noProof/>
            <w:webHidden/>
          </w:rPr>
          <w:tab/>
        </w:r>
        <w:r w:rsidR="00E22B78">
          <w:rPr>
            <w:noProof/>
            <w:webHidden/>
          </w:rPr>
          <w:fldChar w:fldCharType="begin"/>
        </w:r>
        <w:r w:rsidR="00E22B78">
          <w:rPr>
            <w:noProof/>
            <w:webHidden/>
          </w:rPr>
          <w:instrText xml:space="preserve"> PAGEREF _Toc14076926 \h </w:instrText>
        </w:r>
        <w:r w:rsidR="00E22B78">
          <w:rPr>
            <w:noProof/>
            <w:webHidden/>
          </w:rPr>
        </w:r>
        <w:r w:rsidR="00E22B78">
          <w:rPr>
            <w:noProof/>
            <w:webHidden/>
          </w:rPr>
          <w:fldChar w:fldCharType="separate"/>
        </w:r>
        <w:r w:rsidR="00AD732F">
          <w:rPr>
            <w:noProof/>
            <w:webHidden/>
          </w:rPr>
          <w:t>121</w:t>
        </w:r>
        <w:r w:rsidR="00E22B78">
          <w:rPr>
            <w:noProof/>
            <w:webHidden/>
          </w:rPr>
          <w:fldChar w:fldCharType="end"/>
        </w:r>
      </w:hyperlink>
    </w:p>
    <w:p w14:paraId="6E88900F" w14:textId="77777777" w:rsidR="00E22B78" w:rsidRDefault="00D818C4">
      <w:pPr>
        <w:pStyle w:val="Obsah2"/>
        <w:rPr>
          <w:rFonts w:asciiTheme="minorHAnsi" w:eastAsiaTheme="minorEastAsia" w:hAnsiTheme="minorHAnsi" w:cstheme="minorBidi"/>
          <w:sz w:val="22"/>
          <w:lang w:eastAsia="cs-CZ"/>
        </w:rPr>
      </w:pPr>
      <w:hyperlink w:anchor="_Toc14076927" w:history="1">
        <w:r w:rsidR="00E22B78" w:rsidRPr="007609D9">
          <w:rPr>
            <w:rStyle w:val="Hypertextovodkaz"/>
            <w:lang w:eastAsia="cs-CZ"/>
          </w:rPr>
          <w:t>4.1</w:t>
        </w:r>
        <w:r w:rsidR="00E22B78">
          <w:rPr>
            <w:rFonts w:asciiTheme="minorHAnsi" w:eastAsiaTheme="minorEastAsia" w:hAnsiTheme="minorHAnsi" w:cstheme="minorBidi"/>
            <w:sz w:val="22"/>
            <w:lang w:eastAsia="cs-CZ"/>
          </w:rPr>
          <w:tab/>
        </w:r>
        <w:r w:rsidR="00E22B78" w:rsidRPr="007609D9">
          <w:rPr>
            <w:rStyle w:val="Hypertextovodkaz"/>
            <w:lang w:eastAsia="cs-CZ"/>
          </w:rPr>
          <w:t>Personál</w:t>
        </w:r>
        <w:r w:rsidR="00E22B78">
          <w:rPr>
            <w:webHidden/>
          </w:rPr>
          <w:tab/>
        </w:r>
        <w:r w:rsidR="00E22B78">
          <w:rPr>
            <w:webHidden/>
          </w:rPr>
          <w:fldChar w:fldCharType="begin"/>
        </w:r>
        <w:r w:rsidR="00E22B78">
          <w:rPr>
            <w:webHidden/>
          </w:rPr>
          <w:instrText xml:space="preserve"> PAGEREF _Toc14076927 \h </w:instrText>
        </w:r>
        <w:r w:rsidR="00E22B78">
          <w:rPr>
            <w:webHidden/>
          </w:rPr>
        </w:r>
        <w:r w:rsidR="00E22B78">
          <w:rPr>
            <w:webHidden/>
          </w:rPr>
          <w:fldChar w:fldCharType="separate"/>
        </w:r>
        <w:r w:rsidR="00AD732F">
          <w:rPr>
            <w:webHidden/>
          </w:rPr>
          <w:t>121</w:t>
        </w:r>
        <w:r w:rsidR="00E22B78">
          <w:rPr>
            <w:webHidden/>
          </w:rPr>
          <w:fldChar w:fldCharType="end"/>
        </w:r>
      </w:hyperlink>
    </w:p>
    <w:p w14:paraId="080B8EAE" w14:textId="77777777" w:rsidR="00E22B78" w:rsidRDefault="00D818C4">
      <w:pPr>
        <w:pStyle w:val="Obsah3"/>
        <w:rPr>
          <w:rFonts w:asciiTheme="minorHAnsi" w:eastAsiaTheme="minorEastAsia" w:hAnsiTheme="minorHAnsi" w:cstheme="minorBidi"/>
          <w:noProof/>
          <w:sz w:val="22"/>
          <w:lang w:eastAsia="cs-CZ"/>
        </w:rPr>
      </w:pPr>
      <w:hyperlink w:anchor="_Toc14076928" w:history="1">
        <w:r w:rsidR="00E22B78" w:rsidRPr="007609D9">
          <w:rPr>
            <w:rStyle w:val="Hypertextovodkaz"/>
            <w:noProof/>
            <w:lang w:eastAsia="cs-CZ"/>
          </w:rPr>
          <w:t>4.1.1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Soudci</w:t>
        </w:r>
        <w:r w:rsidR="00E22B78">
          <w:rPr>
            <w:noProof/>
            <w:webHidden/>
          </w:rPr>
          <w:tab/>
        </w:r>
        <w:r w:rsidR="00E22B78">
          <w:rPr>
            <w:noProof/>
            <w:webHidden/>
          </w:rPr>
          <w:fldChar w:fldCharType="begin"/>
        </w:r>
        <w:r w:rsidR="00E22B78">
          <w:rPr>
            <w:noProof/>
            <w:webHidden/>
          </w:rPr>
          <w:instrText xml:space="preserve"> PAGEREF _Toc14076928 \h </w:instrText>
        </w:r>
        <w:r w:rsidR="00E22B78">
          <w:rPr>
            <w:noProof/>
            <w:webHidden/>
          </w:rPr>
        </w:r>
        <w:r w:rsidR="00E22B78">
          <w:rPr>
            <w:noProof/>
            <w:webHidden/>
          </w:rPr>
          <w:fldChar w:fldCharType="separate"/>
        </w:r>
        <w:r w:rsidR="00AD732F">
          <w:rPr>
            <w:noProof/>
            <w:webHidden/>
          </w:rPr>
          <w:t>121</w:t>
        </w:r>
        <w:r w:rsidR="00E22B78">
          <w:rPr>
            <w:noProof/>
            <w:webHidden/>
          </w:rPr>
          <w:fldChar w:fldCharType="end"/>
        </w:r>
      </w:hyperlink>
    </w:p>
    <w:p w14:paraId="3E6D6D2C" w14:textId="77777777" w:rsidR="00E22B78" w:rsidRDefault="00D818C4">
      <w:pPr>
        <w:pStyle w:val="Obsah3"/>
        <w:rPr>
          <w:rFonts w:asciiTheme="minorHAnsi" w:eastAsiaTheme="minorEastAsia" w:hAnsiTheme="minorHAnsi" w:cstheme="minorBidi"/>
          <w:noProof/>
          <w:sz w:val="22"/>
          <w:lang w:eastAsia="cs-CZ"/>
        </w:rPr>
      </w:pPr>
      <w:hyperlink w:anchor="_Toc14076929" w:history="1">
        <w:r w:rsidR="00E22B78" w:rsidRPr="007609D9">
          <w:rPr>
            <w:rStyle w:val="Hypertextovodkaz"/>
            <w:noProof/>
            <w:lang w:eastAsia="cs-CZ"/>
          </w:rPr>
          <w:t>4.1.2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Zaměstnanci ve výkonu</w:t>
        </w:r>
        <w:r w:rsidR="00E22B78">
          <w:rPr>
            <w:noProof/>
            <w:webHidden/>
          </w:rPr>
          <w:tab/>
        </w:r>
        <w:r w:rsidR="00E22B78">
          <w:rPr>
            <w:noProof/>
            <w:webHidden/>
          </w:rPr>
          <w:fldChar w:fldCharType="begin"/>
        </w:r>
        <w:r w:rsidR="00E22B78">
          <w:rPr>
            <w:noProof/>
            <w:webHidden/>
          </w:rPr>
          <w:instrText xml:space="preserve"> PAGEREF _Toc14076929 \h </w:instrText>
        </w:r>
        <w:r w:rsidR="00E22B78">
          <w:rPr>
            <w:noProof/>
            <w:webHidden/>
          </w:rPr>
        </w:r>
        <w:r w:rsidR="00E22B78">
          <w:rPr>
            <w:noProof/>
            <w:webHidden/>
          </w:rPr>
          <w:fldChar w:fldCharType="separate"/>
        </w:r>
        <w:r w:rsidR="00AD732F">
          <w:rPr>
            <w:noProof/>
            <w:webHidden/>
          </w:rPr>
          <w:t>125</w:t>
        </w:r>
        <w:r w:rsidR="00E22B78">
          <w:rPr>
            <w:noProof/>
            <w:webHidden/>
          </w:rPr>
          <w:fldChar w:fldCharType="end"/>
        </w:r>
      </w:hyperlink>
    </w:p>
    <w:p w14:paraId="07020129" w14:textId="77777777" w:rsidR="00E22B78" w:rsidRDefault="00D818C4">
      <w:pPr>
        <w:pStyle w:val="Obsah2"/>
        <w:rPr>
          <w:rFonts w:asciiTheme="minorHAnsi" w:eastAsiaTheme="minorEastAsia" w:hAnsiTheme="minorHAnsi" w:cstheme="minorBidi"/>
          <w:sz w:val="22"/>
          <w:lang w:eastAsia="cs-CZ"/>
        </w:rPr>
      </w:pPr>
      <w:hyperlink w:anchor="_Toc14076930" w:history="1">
        <w:r w:rsidR="00E22B78" w:rsidRPr="007609D9">
          <w:rPr>
            <w:rStyle w:val="Hypertextovodkaz"/>
          </w:rPr>
          <w:t>4.2</w:t>
        </w:r>
        <w:r w:rsidR="00E22B78">
          <w:rPr>
            <w:rFonts w:asciiTheme="minorHAnsi" w:eastAsiaTheme="minorEastAsia" w:hAnsiTheme="minorHAnsi" w:cstheme="minorBidi"/>
            <w:sz w:val="22"/>
            <w:lang w:eastAsia="cs-CZ"/>
          </w:rPr>
          <w:tab/>
        </w:r>
        <w:r w:rsidR="00E22B78" w:rsidRPr="007609D9">
          <w:rPr>
            <w:rStyle w:val="Hypertextovodkaz"/>
          </w:rPr>
          <w:t>Civilní a obchodní odvolací agenda</w:t>
        </w:r>
        <w:r w:rsidR="00E22B78">
          <w:rPr>
            <w:webHidden/>
          </w:rPr>
          <w:tab/>
        </w:r>
        <w:r w:rsidR="00E22B78">
          <w:rPr>
            <w:webHidden/>
          </w:rPr>
          <w:fldChar w:fldCharType="begin"/>
        </w:r>
        <w:r w:rsidR="00E22B78">
          <w:rPr>
            <w:webHidden/>
          </w:rPr>
          <w:instrText xml:space="preserve"> PAGEREF _Toc14076930 \h </w:instrText>
        </w:r>
        <w:r w:rsidR="00E22B78">
          <w:rPr>
            <w:webHidden/>
          </w:rPr>
        </w:r>
        <w:r w:rsidR="00E22B78">
          <w:rPr>
            <w:webHidden/>
          </w:rPr>
          <w:fldChar w:fldCharType="separate"/>
        </w:r>
        <w:r w:rsidR="00AD732F">
          <w:rPr>
            <w:webHidden/>
          </w:rPr>
          <w:t>126</w:t>
        </w:r>
        <w:r w:rsidR="00E22B78">
          <w:rPr>
            <w:webHidden/>
          </w:rPr>
          <w:fldChar w:fldCharType="end"/>
        </w:r>
      </w:hyperlink>
    </w:p>
    <w:p w14:paraId="72F34301" w14:textId="77777777" w:rsidR="00E22B78" w:rsidRDefault="00D818C4">
      <w:pPr>
        <w:pStyle w:val="Obsah3"/>
        <w:rPr>
          <w:rFonts w:asciiTheme="minorHAnsi" w:eastAsiaTheme="minorEastAsia" w:hAnsiTheme="minorHAnsi" w:cstheme="minorBidi"/>
          <w:noProof/>
          <w:sz w:val="22"/>
          <w:lang w:eastAsia="cs-CZ"/>
        </w:rPr>
      </w:pPr>
      <w:hyperlink w:anchor="_Toc14076931" w:history="1">
        <w:r w:rsidR="00E22B78" w:rsidRPr="007609D9">
          <w:rPr>
            <w:rStyle w:val="Hypertextovodkaz"/>
            <w:noProof/>
            <w:lang w:eastAsia="cs-CZ"/>
          </w:rPr>
          <w:t>4.2.1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Délka řízení</w:t>
        </w:r>
        <w:r w:rsidR="00E22B78">
          <w:rPr>
            <w:noProof/>
            <w:webHidden/>
          </w:rPr>
          <w:tab/>
        </w:r>
        <w:r w:rsidR="00E22B78">
          <w:rPr>
            <w:noProof/>
            <w:webHidden/>
          </w:rPr>
          <w:fldChar w:fldCharType="begin"/>
        </w:r>
        <w:r w:rsidR="00E22B78">
          <w:rPr>
            <w:noProof/>
            <w:webHidden/>
          </w:rPr>
          <w:instrText xml:space="preserve"> PAGEREF _Toc14076931 \h </w:instrText>
        </w:r>
        <w:r w:rsidR="00E22B78">
          <w:rPr>
            <w:noProof/>
            <w:webHidden/>
          </w:rPr>
        </w:r>
        <w:r w:rsidR="00E22B78">
          <w:rPr>
            <w:noProof/>
            <w:webHidden/>
          </w:rPr>
          <w:fldChar w:fldCharType="separate"/>
        </w:r>
        <w:r w:rsidR="00AD732F">
          <w:rPr>
            <w:noProof/>
            <w:webHidden/>
          </w:rPr>
          <w:t>126</w:t>
        </w:r>
        <w:r w:rsidR="00E22B78">
          <w:rPr>
            <w:noProof/>
            <w:webHidden/>
          </w:rPr>
          <w:fldChar w:fldCharType="end"/>
        </w:r>
      </w:hyperlink>
    </w:p>
    <w:p w14:paraId="795E77A5" w14:textId="77777777" w:rsidR="00E22B78" w:rsidRDefault="00D818C4">
      <w:pPr>
        <w:pStyle w:val="Obsah3"/>
        <w:rPr>
          <w:rFonts w:asciiTheme="minorHAnsi" w:eastAsiaTheme="minorEastAsia" w:hAnsiTheme="minorHAnsi" w:cstheme="minorBidi"/>
          <w:noProof/>
          <w:sz w:val="22"/>
          <w:lang w:eastAsia="cs-CZ"/>
        </w:rPr>
      </w:pPr>
      <w:hyperlink w:anchor="_Toc14076932" w:history="1">
        <w:r w:rsidR="00E22B78" w:rsidRPr="007609D9">
          <w:rPr>
            <w:rStyle w:val="Hypertextovodkaz"/>
            <w:noProof/>
            <w:lang w:eastAsia="cs-CZ"/>
          </w:rPr>
          <w:t>4.2.2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_Toc14076932 \h </w:instrText>
        </w:r>
        <w:r w:rsidR="00E22B78">
          <w:rPr>
            <w:noProof/>
            <w:webHidden/>
          </w:rPr>
        </w:r>
        <w:r w:rsidR="00E22B78">
          <w:rPr>
            <w:noProof/>
            <w:webHidden/>
          </w:rPr>
          <w:fldChar w:fldCharType="separate"/>
        </w:r>
        <w:r w:rsidR="00AD732F">
          <w:rPr>
            <w:noProof/>
            <w:webHidden/>
          </w:rPr>
          <w:t>127</w:t>
        </w:r>
        <w:r w:rsidR="00E22B78">
          <w:rPr>
            <w:noProof/>
            <w:webHidden/>
          </w:rPr>
          <w:fldChar w:fldCharType="end"/>
        </w:r>
      </w:hyperlink>
    </w:p>
    <w:p w14:paraId="3820DF91" w14:textId="77777777" w:rsidR="00E22B78" w:rsidRDefault="00D818C4">
      <w:pPr>
        <w:pStyle w:val="Obsah3"/>
        <w:rPr>
          <w:rFonts w:asciiTheme="minorHAnsi" w:eastAsiaTheme="minorEastAsia" w:hAnsiTheme="minorHAnsi" w:cstheme="minorBidi"/>
          <w:noProof/>
          <w:sz w:val="22"/>
          <w:lang w:eastAsia="cs-CZ"/>
        </w:rPr>
      </w:pPr>
      <w:hyperlink w:anchor="_Toc14076933" w:history="1">
        <w:r w:rsidR="00E22B78" w:rsidRPr="007609D9">
          <w:rPr>
            <w:rStyle w:val="Hypertextovodkaz"/>
            <w:noProof/>
            <w:lang w:eastAsia="cs-CZ"/>
          </w:rPr>
          <w:t>4.2.3</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 přepočtu na soudce</w:t>
        </w:r>
        <w:r w:rsidR="00E22B78">
          <w:rPr>
            <w:noProof/>
            <w:webHidden/>
          </w:rPr>
          <w:tab/>
        </w:r>
        <w:r w:rsidR="00E22B78">
          <w:rPr>
            <w:noProof/>
            <w:webHidden/>
          </w:rPr>
          <w:fldChar w:fldCharType="begin"/>
        </w:r>
        <w:r w:rsidR="00E22B78">
          <w:rPr>
            <w:noProof/>
            <w:webHidden/>
          </w:rPr>
          <w:instrText xml:space="preserve"> PAGEREF _Toc14076933 \h </w:instrText>
        </w:r>
        <w:r w:rsidR="00E22B78">
          <w:rPr>
            <w:noProof/>
            <w:webHidden/>
          </w:rPr>
        </w:r>
        <w:r w:rsidR="00E22B78">
          <w:rPr>
            <w:noProof/>
            <w:webHidden/>
          </w:rPr>
          <w:fldChar w:fldCharType="separate"/>
        </w:r>
        <w:r w:rsidR="00AD732F">
          <w:rPr>
            <w:noProof/>
            <w:webHidden/>
          </w:rPr>
          <w:t>128</w:t>
        </w:r>
        <w:r w:rsidR="00E22B78">
          <w:rPr>
            <w:noProof/>
            <w:webHidden/>
          </w:rPr>
          <w:fldChar w:fldCharType="end"/>
        </w:r>
      </w:hyperlink>
    </w:p>
    <w:p w14:paraId="602D836F" w14:textId="77777777" w:rsidR="00E22B78" w:rsidRDefault="00D818C4">
      <w:pPr>
        <w:pStyle w:val="Obsah3"/>
        <w:rPr>
          <w:rFonts w:asciiTheme="minorHAnsi" w:eastAsiaTheme="minorEastAsia" w:hAnsiTheme="minorHAnsi" w:cstheme="minorBidi"/>
          <w:noProof/>
          <w:sz w:val="22"/>
          <w:lang w:eastAsia="cs-CZ"/>
        </w:rPr>
      </w:pPr>
      <w:hyperlink w:anchor="_Toc14076934" w:history="1">
        <w:r w:rsidR="00E22B78" w:rsidRPr="007609D9">
          <w:rPr>
            <w:rStyle w:val="Hypertextovodkaz"/>
            <w:noProof/>
            <w:lang w:eastAsia="cs-CZ"/>
          </w:rPr>
          <w:t>4.2.4</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Disposition time</w:t>
        </w:r>
        <w:r w:rsidR="00E22B78">
          <w:rPr>
            <w:noProof/>
            <w:webHidden/>
          </w:rPr>
          <w:tab/>
        </w:r>
        <w:r w:rsidR="00E22B78">
          <w:rPr>
            <w:noProof/>
            <w:webHidden/>
          </w:rPr>
          <w:fldChar w:fldCharType="begin"/>
        </w:r>
        <w:r w:rsidR="00E22B78">
          <w:rPr>
            <w:noProof/>
            <w:webHidden/>
          </w:rPr>
          <w:instrText xml:space="preserve"> PAGEREF _Toc14076934 \h </w:instrText>
        </w:r>
        <w:r w:rsidR="00E22B78">
          <w:rPr>
            <w:noProof/>
            <w:webHidden/>
          </w:rPr>
        </w:r>
        <w:r w:rsidR="00E22B78">
          <w:rPr>
            <w:noProof/>
            <w:webHidden/>
          </w:rPr>
          <w:fldChar w:fldCharType="separate"/>
        </w:r>
        <w:r w:rsidR="00AD732F">
          <w:rPr>
            <w:noProof/>
            <w:webHidden/>
          </w:rPr>
          <w:t>128</w:t>
        </w:r>
        <w:r w:rsidR="00E22B78">
          <w:rPr>
            <w:noProof/>
            <w:webHidden/>
          </w:rPr>
          <w:fldChar w:fldCharType="end"/>
        </w:r>
      </w:hyperlink>
    </w:p>
    <w:p w14:paraId="4D181749" w14:textId="77777777" w:rsidR="00E22B78" w:rsidRDefault="00D818C4">
      <w:pPr>
        <w:pStyle w:val="Obsah2"/>
        <w:rPr>
          <w:rFonts w:asciiTheme="minorHAnsi" w:eastAsiaTheme="minorEastAsia" w:hAnsiTheme="minorHAnsi" w:cstheme="minorBidi"/>
          <w:sz w:val="22"/>
          <w:lang w:eastAsia="cs-CZ"/>
        </w:rPr>
      </w:pPr>
      <w:hyperlink w:anchor="_Toc14076935" w:history="1">
        <w:r w:rsidR="00E22B78" w:rsidRPr="007609D9">
          <w:rPr>
            <w:rStyle w:val="Hypertextovodkaz"/>
            <w:lang w:eastAsia="cs-CZ"/>
          </w:rPr>
          <w:t>4.3</w:t>
        </w:r>
        <w:r w:rsidR="00E22B78">
          <w:rPr>
            <w:rFonts w:asciiTheme="minorHAnsi" w:eastAsiaTheme="minorEastAsia" w:hAnsiTheme="minorHAnsi" w:cstheme="minorBidi"/>
            <w:sz w:val="22"/>
            <w:lang w:eastAsia="cs-CZ"/>
          </w:rPr>
          <w:tab/>
        </w:r>
        <w:r w:rsidR="00E22B78" w:rsidRPr="007609D9">
          <w:rPr>
            <w:rStyle w:val="Hypertextovodkaz"/>
            <w:lang w:eastAsia="cs-CZ"/>
          </w:rPr>
          <w:t>Trestní odvolací agenda</w:t>
        </w:r>
        <w:r w:rsidR="00E22B78">
          <w:rPr>
            <w:webHidden/>
          </w:rPr>
          <w:tab/>
        </w:r>
        <w:r w:rsidR="00E22B78">
          <w:rPr>
            <w:webHidden/>
          </w:rPr>
          <w:fldChar w:fldCharType="begin"/>
        </w:r>
        <w:r w:rsidR="00E22B78">
          <w:rPr>
            <w:webHidden/>
          </w:rPr>
          <w:instrText xml:space="preserve"> PAGEREF _Toc14076935 \h </w:instrText>
        </w:r>
        <w:r w:rsidR="00E22B78">
          <w:rPr>
            <w:webHidden/>
          </w:rPr>
        </w:r>
        <w:r w:rsidR="00E22B78">
          <w:rPr>
            <w:webHidden/>
          </w:rPr>
          <w:fldChar w:fldCharType="separate"/>
        </w:r>
        <w:r w:rsidR="00AD732F">
          <w:rPr>
            <w:webHidden/>
          </w:rPr>
          <w:t>130</w:t>
        </w:r>
        <w:r w:rsidR="00E22B78">
          <w:rPr>
            <w:webHidden/>
          </w:rPr>
          <w:fldChar w:fldCharType="end"/>
        </w:r>
      </w:hyperlink>
    </w:p>
    <w:p w14:paraId="30421CD1" w14:textId="77777777" w:rsidR="00E22B78" w:rsidRDefault="00D818C4">
      <w:pPr>
        <w:pStyle w:val="Obsah3"/>
        <w:rPr>
          <w:rFonts w:asciiTheme="minorHAnsi" w:eastAsiaTheme="minorEastAsia" w:hAnsiTheme="minorHAnsi" w:cstheme="minorBidi"/>
          <w:noProof/>
          <w:sz w:val="22"/>
          <w:lang w:eastAsia="cs-CZ"/>
        </w:rPr>
      </w:pPr>
      <w:hyperlink w:anchor="_Toc14076936" w:history="1">
        <w:r w:rsidR="00E22B78" w:rsidRPr="007609D9">
          <w:rPr>
            <w:rStyle w:val="Hypertextovodkaz"/>
            <w:noProof/>
            <w:lang w:eastAsia="cs-CZ"/>
          </w:rPr>
          <w:t>4.3.1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Délka řízení</w:t>
        </w:r>
        <w:r w:rsidR="00E22B78">
          <w:rPr>
            <w:noProof/>
            <w:webHidden/>
          </w:rPr>
          <w:tab/>
        </w:r>
        <w:r w:rsidR="00E22B78">
          <w:rPr>
            <w:noProof/>
            <w:webHidden/>
          </w:rPr>
          <w:fldChar w:fldCharType="begin"/>
        </w:r>
        <w:r w:rsidR="00E22B78">
          <w:rPr>
            <w:noProof/>
            <w:webHidden/>
          </w:rPr>
          <w:instrText xml:space="preserve"> PAGEREF _Toc14076936 \h </w:instrText>
        </w:r>
        <w:r w:rsidR="00E22B78">
          <w:rPr>
            <w:noProof/>
            <w:webHidden/>
          </w:rPr>
        </w:r>
        <w:r w:rsidR="00E22B78">
          <w:rPr>
            <w:noProof/>
            <w:webHidden/>
          </w:rPr>
          <w:fldChar w:fldCharType="separate"/>
        </w:r>
        <w:r w:rsidR="00AD732F">
          <w:rPr>
            <w:noProof/>
            <w:webHidden/>
          </w:rPr>
          <w:t>130</w:t>
        </w:r>
        <w:r w:rsidR="00E22B78">
          <w:rPr>
            <w:noProof/>
            <w:webHidden/>
          </w:rPr>
          <w:fldChar w:fldCharType="end"/>
        </w:r>
      </w:hyperlink>
    </w:p>
    <w:p w14:paraId="73585AD6" w14:textId="77777777" w:rsidR="00E22B78" w:rsidRDefault="00D818C4">
      <w:pPr>
        <w:pStyle w:val="Obsah3"/>
        <w:rPr>
          <w:rFonts w:asciiTheme="minorHAnsi" w:eastAsiaTheme="minorEastAsia" w:hAnsiTheme="minorHAnsi" w:cstheme="minorBidi"/>
          <w:noProof/>
          <w:sz w:val="22"/>
          <w:lang w:eastAsia="cs-CZ"/>
        </w:rPr>
      </w:pPr>
      <w:hyperlink w:anchor="_Toc14076937" w:history="1">
        <w:r w:rsidR="00E22B78" w:rsidRPr="007609D9">
          <w:rPr>
            <w:rStyle w:val="Hypertextovodkaz"/>
            <w:noProof/>
            <w:lang w:eastAsia="cs-CZ"/>
          </w:rPr>
          <w:t>4.3.2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_Toc14076937 \h </w:instrText>
        </w:r>
        <w:r w:rsidR="00E22B78">
          <w:rPr>
            <w:noProof/>
            <w:webHidden/>
          </w:rPr>
        </w:r>
        <w:r w:rsidR="00E22B78">
          <w:rPr>
            <w:noProof/>
            <w:webHidden/>
          </w:rPr>
          <w:fldChar w:fldCharType="separate"/>
        </w:r>
        <w:r w:rsidR="00AD732F">
          <w:rPr>
            <w:noProof/>
            <w:webHidden/>
          </w:rPr>
          <w:t>131</w:t>
        </w:r>
        <w:r w:rsidR="00E22B78">
          <w:rPr>
            <w:noProof/>
            <w:webHidden/>
          </w:rPr>
          <w:fldChar w:fldCharType="end"/>
        </w:r>
      </w:hyperlink>
    </w:p>
    <w:p w14:paraId="1FA1A693" w14:textId="77777777" w:rsidR="00E22B78" w:rsidRDefault="00D818C4">
      <w:pPr>
        <w:pStyle w:val="Obsah3"/>
        <w:rPr>
          <w:rFonts w:asciiTheme="minorHAnsi" w:eastAsiaTheme="minorEastAsia" w:hAnsiTheme="minorHAnsi" w:cstheme="minorBidi"/>
          <w:noProof/>
          <w:sz w:val="22"/>
          <w:lang w:eastAsia="cs-CZ"/>
        </w:rPr>
      </w:pPr>
      <w:hyperlink w:anchor="_Toc14076938" w:history="1">
        <w:r w:rsidR="00E22B78" w:rsidRPr="007609D9">
          <w:rPr>
            <w:rStyle w:val="Hypertextovodkaz"/>
            <w:noProof/>
            <w:lang w:eastAsia="cs-CZ"/>
          </w:rPr>
          <w:t>4.3.3</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 v přepočtu na soudce</w:t>
        </w:r>
        <w:r w:rsidR="00E22B78">
          <w:rPr>
            <w:noProof/>
            <w:webHidden/>
          </w:rPr>
          <w:tab/>
        </w:r>
        <w:r w:rsidR="00E22B78">
          <w:rPr>
            <w:noProof/>
            <w:webHidden/>
          </w:rPr>
          <w:fldChar w:fldCharType="begin"/>
        </w:r>
        <w:r w:rsidR="00E22B78">
          <w:rPr>
            <w:noProof/>
            <w:webHidden/>
          </w:rPr>
          <w:instrText xml:space="preserve"> PAGEREF _Toc14076938 \h </w:instrText>
        </w:r>
        <w:r w:rsidR="00E22B78">
          <w:rPr>
            <w:noProof/>
            <w:webHidden/>
          </w:rPr>
        </w:r>
        <w:r w:rsidR="00E22B78">
          <w:rPr>
            <w:noProof/>
            <w:webHidden/>
          </w:rPr>
          <w:fldChar w:fldCharType="separate"/>
        </w:r>
        <w:r w:rsidR="00AD732F">
          <w:rPr>
            <w:noProof/>
            <w:webHidden/>
          </w:rPr>
          <w:t>132</w:t>
        </w:r>
        <w:r w:rsidR="00E22B78">
          <w:rPr>
            <w:noProof/>
            <w:webHidden/>
          </w:rPr>
          <w:fldChar w:fldCharType="end"/>
        </w:r>
      </w:hyperlink>
    </w:p>
    <w:p w14:paraId="17801F5C" w14:textId="77777777" w:rsidR="00E22B78" w:rsidRDefault="00D818C4">
      <w:pPr>
        <w:pStyle w:val="Obsah3"/>
        <w:rPr>
          <w:rFonts w:asciiTheme="minorHAnsi" w:eastAsiaTheme="minorEastAsia" w:hAnsiTheme="minorHAnsi" w:cstheme="minorBidi"/>
          <w:noProof/>
          <w:sz w:val="22"/>
          <w:lang w:eastAsia="cs-CZ"/>
        </w:rPr>
      </w:pPr>
      <w:hyperlink w:anchor="_Toc14076939" w:history="1">
        <w:r w:rsidR="00E22B78" w:rsidRPr="007609D9">
          <w:rPr>
            <w:rStyle w:val="Hypertextovodkaz"/>
            <w:noProof/>
            <w:lang w:eastAsia="cs-CZ"/>
          </w:rPr>
          <w:t>4.3.4</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Disposition time</w:t>
        </w:r>
        <w:r w:rsidR="00E22B78">
          <w:rPr>
            <w:noProof/>
            <w:webHidden/>
          </w:rPr>
          <w:tab/>
        </w:r>
        <w:r w:rsidR="00E22B78">
          <w:rPr>
            <w:noProof/>
            <w:webHidden/>
          </w:rPr>
          <w:fldChar w:fldCharType="begin"/>
        </w:r>
        <w:r w:rsidR="00E22B78">
          <w:rPr>
            <w:noProof/>
            <w:webHidden/>
          </w:rPr>
          <w:instrText xml:space="preserve"> PAGEREF _Toc14076939 \h </w:instrText>
        </w:r>
        <w:r w:rsidR="00E22B78">
          <w:rPr>
            <w:noProof/>
            <w:webHidden/>
          </w:rPr>
        </w:r>
        <w:r w:rsidR="00E22B78">
          <w:rPr>
            <w:noProof/>
            <w:webHidden/>
          </w:rPr>
          <w:fldChar w:fldCharType="separate"/>
        </w:r>
        <w:r w:rsidR="00AD732F">
          <w:rPr>
            <w:noProof/>
            <w:webHidden/>
          </w:rPr>
          <w:t>132</w:t>
        </w:r>
        <w:r w:rsidR="00E22B78">
          <w:rPr>
            <w:noProof/>
            <w:webHidden/>
          </w:rPr>
          <w:fldChar w:fldCharType="end"/>
        </w:r>
      </w:hyperlink>
    </w:p>
    <w:p w14:paraId="293FCA9D" w14:textId="77777777" w:rsidR="00E22B78" w:rsidRDefault="00D818C4">
      <w:pPr>
        <w:pStyle w:val="Obsah2"/>
        <w:rPr>
          <w:rFonts w:asciiTheme="minorHAnsi" w:eastAsiaTheme="minorEastAsia" w:hAnsiTheme="minorHAnsi" w:cstheme="minorBidi"/>
          <w:sz w:val="22"/>
          <w:lang w:eastAsia="cs-CZ"/>
        </w:rPr>
      </w:pPr>
      <w:hyperlink w:anchor="_Toc14076940" w:history="1">
        <w:r w:rsidR="00E22B78" w:rsidRPr="007609D9">
          <w:rPr>
            <w:rStyle w:val="Hypertextovodkaz"/>
          </w:rPr>
          <w:t>4.4</w:t>
        </w:r>
        <w:r w:rsidR="00E22B78">
          <w:rPr>
            <w:rFonts w:asciiTheme="minorHAnsi" w:eastAsiaTheme="minorEastAsia" w:hAnsiTheme="minorHAnsi" w:cstheme="minorBidi"/>
            <w:sz w:val="22"/>
            <w:lang w:eastAsia="cs-CZ"/>
          </w:rPr>
          <w:tab/>
        </w:r>
        <w:r w:rsidR="00E22B78" w:rsidRPr="007609D9">
          <w:rPr>
            <w:rStyle w:val="Hypertextovodkaz"/>
          </w:rPr>
          <w:t>Insolvenční agenda – II. stupeň</w:t>
        </w:r>
        <w:r w:rsidR="00E22B78">
          <w:rPr>
            <w:webHidden/>
          </w:rPr>
          <w:tab/>
        </w:r>
        <w:r w:rsidR="00E22B78">
          <w:rPr>
            <w:webHidden/>
          </w:rPr>
          <w:fldChar w:fldCharType="begin"/>
        </w:r>
        <w:r w:rsidR="00E22B78">
          <w:rPr>
            <w:webHidden/>
          </w:rPr>
          <w:instrText xml:space="preserve"> PAGEREF _Toc14076940 \h </w:instrText>
        </w:r>
        <w:r w:rsidR="00E22B78">
          <w:rPr>
            <w:webHidden/>
          </w:rPr>
        </w:r>
        <w:r w:rsidR="00E22B78">
          <w:rPr>
            <w:webHidden/>
          </w:rPr>
          <w:fldChar w:fldCharType="separate"/>
        </w:r>
        <w:r w:rsidR="00AD732F">
          <w:rPr>
            <w:webHidden/>
          </w:rPr>
          <w:t>134</w:t>
        </w:r>
        <w:r w:rsidR="00E22B78">
          <w:rPr>
            <w:webHidden/>
          </w:rPr>
          <w:fldChar w:fldCharType="end"/>
        </w:r>
      </w:hyperlink>
    </w:p>
    <w:p w14:paraId="0F4CB9BC" w14:textId="77777777" w:rsidR="00E22B78" w:rsidRDefault="00D818C4">
      <w:pPr>
        <w:pStyle w:val="Obsah3"/>
        <w:rPr>
          <w:rFonts w:asciiTheme="minorHAnsi" w:eastAsiaTheme="minorEastAsia" w:hAnsiTheme="minorHAnsi" w:cstheme="minorBidi"/>
          <w:noProof/>
          <w:sz w:val="22"/>
          <w:lang w:eastAsia="cs-CZ"/>
        </w:rPr>
      </w:pPr>
      <w:hyperlink w:anchor="_Toc14076941" w:history="1">
        <w:r w:rsidR="00E22B78" w:rsidRPr="007609D9">
          <w:rPr>
            <w:rStyle w:val="Hypertextovodkaz"/>
            <w:noProof/>
            <w:lang w:eastAsia="cs-CZ"/>
          </w:rPr>
          <w:t>4.4.1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_Toc14076941 \h </w:instrText>
        </w:r>
        <w:r w:rsidR="00E22B78">
          <w:rPr>
            <w:noProof/>
            <w:webHidden/>
          </w:rPr>
        </w:r>
        <w:r w:rsidR="00E22B78">
          <w:rPr>
            <w:noProof/>
            <w:webHidden/>
          </w:rPr>
          <w:fldChar w:fldCharType="separate"/>
        </w:r>
        <w:r w:rsidR="00AD732F">
          <w:rPr>
            <w:noProof/>
            <w:webHidden/>
          </w:rPr>
          <w:t>134</w:t>
        </w:r>
        <w:r w:rsidR="00E22B78">
          <w:rPr>
            <w:noProof/>
            <w:webHidden/>
          </w:rPr>
          <w:fldChar w:fldCharType="end"/>
        </w:r>
      </w:hyperlink>
    </w:p>
    <w:p w14:paraId="0D7E2CD4" w14:textId="77777777" w:rsidR="00E22B78" w:rsidRDefault="00D818C4">
      <w:pPr>
        <w:pStyle w:val="Obsah3"/>
        <w:rPr>
          <w:rFonts w:asciiTheme="minorHAnsi" w:eastAsiaTheme="minorEastAsia" w:hAnsiTheme="minorHAnsi" w:cstheme="minorBidi"/>
          <w:noProof/>
          <w:sz w:val="22"/>
          <w:lang w:eastAsia="cs-CZ"/>
        </w:rPr>
      </w:pPr>
      <w:hyperlink w:anchor="_Toc14076942" w:history="1">
        <w:r w:rsidR="00E22B78" w:rsidRPr="007609D9">
          <w:rPr>
            <w:rStyle w:val="Hypertextovodkaz"/>
            <w:noProof/>
            <w:lang w:eastAsia="cs-CZ"/>
          </w:rPr>
          <w:t>4.4.2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Disposition time</w:t>
        </w:r>
        <w:r w:rsidR="00E22B78">
          <w:rPr>
            <w:noProof/>
            <w:webHidden/>
          </w:rPr>
          <w:tab/>
        </w:r>
        <w:r w:rsidR="00E22B78">
          <w:rPr>
            <w:noProof/>
            <w:webHidden/>
          </w:rPr>
          <w:fldChar w:fldCharType="begin"/>
        </w:r>
        <w:r w:rsidR="00E22B78">
          <w:rPr>
            <w:noProof/>
            <w:webHidden/>
          </w:rPr>
          <w:instrText xml:space="preserve"> PAGEREF _Toc14076942 \h </w:instrText>
        </w:r>
        <w:r w:rsidR="00E22B78">
          <w:rPr>
            <w:noProof/>
            <w:webHidden/>
          </w:rPr>
        </w:r>
        <w:r w:rsidR="00E22B78">
          <w:rPr>
            <w:noProof/>
            <w:webHidden/>
          </w:rPr>
          <w:fldChar w:fldCharType="separate"/>
        </w:r>
        <w:r w:rsidR="00AD732F">
          <w:rPr>
            <w:noProof/>
            <w:webHidden/>
          </w:rPr>
          <w:t>135</w:t>
        </w:r>
        <w:r w:rsidR="00E22B78">
          <w:rPr>
            <w:noProof/>
            <w:webHidden/>
          </w:rPr>
          <w:fldChar w:fldCharType="end"/>
        </w:r>
      </w:hyperlink>
    </w:p>
    <w:p w14:paraId="3C8A7817"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943" w:history="1">
        <w:r w:rsidR="00E22B78" w:rsidRPr="007609D9">
          <w:rPr>
            <w:rStyle w:val="Hypertextovodkaz"/>
            <w:noProof/>
            <w:lang w:eastAsia="cs-CZ"/>
          </w:rPr>
          <w:t>5</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Nejvyšší soud</w:t>
        </w:r>
        <w:r w:rsidR="00E22B78">
          <w:rPr>
            <w:noProof/>
            <w:webHidden/>
          </w:rPr>
          <w:tab/>
        </w:r>
        <w:r w:rsidR="00E22B78">
          <w:rPr>
            <w:noProof/>
            <w:webHidden/>
          </w:rPr>
          <w:fldChar w:fldCharType="begin"/>
        </w:r>
        <w:r w:rsidR="00E22B78">
          <w:rPr>
            <w:noProof/>
            <w:webHidden/>
          </w:rPr>
          <w:instrText xml:space="preserve"> PAGEREF _Toc14076943 \h </w:instrText>
        </w:r>
        <w:r w:rsidR="00E22B78">
          <w:rPr>
            <w:noProof/>
            <w:webHidden/>
          </w:rPr>
        </w:r>
        <w:r w:rsidR="00E22B78">
          <w:rPr>
            <w:noProof/>
            <w:webHidden/>
          </w:rPr>
          <w:fldChar w:fldCharType="separate"/>
        </w:r>
        <w:r w:rsidR="00AD732F">
          <w:rPr>
            <w:noProof/>
            <w:webHidden/>
          </w:rPr>
          <w:t>136</w:t>
        </w:r>
        <w:r w:rsidR="00E22B78">
          <w:rPr>
            <w:noProof/>
            <w:webHidden/>
          </w:rPr>
          <w:fldChar w:fldCharType="end"/>
        </w:r>
      </w:hyperlink>
    </w:p>
    <w:p w14:paraId="272DD13D" w14:textId="77777777" w:rsidR="00E22B78" w:rsidRDefault="00D818C4">
      <w:pPr>
        <w:pStyle w:val="Obsah2"/>
        <w:rPr>
          <w:rFonts w:asciiTheme="minorHAnsi" w:eastAsiaTheme="minorEastAsia" w:hAnsiTheme="minorHAnsi" w:cstheme="minorBidi"/>
          <w:sz w:val="22"/>
          <w:lang w:eastAsia="cs-CZ"/>
        </w:rPr>
      </w:pPr>
      <w:hyperlink w:anchor="_Toc14076944" w:history="1">
        <w:r w:rsidR="00E22B78" w:rsidRPr="007609D9">
          <w:rPr>
            <w:rStyle w:val="Hypertextovodkaz"/>
            <w:lang w:eastAsia="cs-CZ"/>
          </w:rPr>
          <w:t>5.1</w:t>
        </w:r>
        <w:r w:rsidR="00E22B78">
          <w:rPr>
            <w:rFonts w:asciiTheme="minorHAnsi" w:eastAsiaTheme="minorEastAsia" w:hAnsiTheme="minorHAnsi" w:cstheme="minorBidi"/>
            <w:sz w:val="22"/>
            <w:lang w:eastAsia="cs-CZ"/>
          </w:rPr>
          <w:tab/>
        </w:r>
        <w:r w:rsidR="00E22B78" w:rsidRPr="007609D9">
          <w:rPr>
            <w:rStyle w:val="Hypertextovodkaz"/>
            <w:lang w:eastAsia="cs-CZ"/>
          </w:rPr>
          <w:t>Personál</w:t>
        </w:r>
        <w:r w:rsidR="00E22B78">
          <w:rPr>
            <w:webHidden/>
          </w:rPr>
          <w:tab/>
        </w:r>
        <w:r w:rsidR="00E22B78">
          <w:rPr>
            <w:webHidden/>
          </w:rPr>
          <w:fldChar w:fldCharType="begin"/>
        </w:r>
        <w:r w:rsidR="00E22B78">
          <w:rPr>
            <w:webHidden/>
          </w:rPr>
          <w:instrText xml:space="preserve"> PAGEREF _Toc14076944 \h </w:instrText>
        </w:r>
        <w:r w:rsidR="00E22B78">
          <w:rPr>
            <w:webHidden/>
          </w:rPr>
        </w:r>
        <w:r w:rsidR="00E22B78">
          <w:rPr>
            <w:webHidden/>
          </w:rPr>
          <w:fldChar w:fldCharType="separate"/>
        </w:r>
        <w:r w:rsidR="00AD732F">
          <w:rPr>
            <w:webHidden/>
          </w:rPr>
          <w:t>136</w:t>
        </w:r>
        <w:r w:rsidR="00E22B78">
          <w:rPr>
            <w:webHidden/>
          </w:rPr>
          <w:fldChar w:fldCharType="end"/>
        </w:r>
      </w:hyperlink>
    </w:p>
    <w:p w14:paraId="23C0E48F" w14:textId="77777777" w:rsidR="00E22B78" w:rsidRDefault="00D818C4">
      <w:pPr>
        <w:pStyle w:val="Obsah3"/>
        <w:rPr>
          <w:rFonts w:asciiTheme="minorHAnsi" w:eastAsiaTheme="minorEastAsia" w:hAnsiTheme="minorHAnsi" w:cstheme="minorBidi"/>
          <w:noProof/>
          <w:sz w:val="22"/>
          <w:lang w:eastAsia="cs-CZ"/>
        </w:rPr>
      </w:pPr>
      <w:hyperlink w:anchor="_Toc14076945" w:history="1">
        <w:r w:rsidR="00E22B78" w:rsidRPr="007609D9">
          <w:rPr>
            <w:rStyle w:val="Hypertextovodkaz"/>
            <w:noProof/>
            <w:lang w:eastAsia="cs-CZ"/>
          </w:rPr>
          <w:t>5.1.1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Soudci</w:t>
        </w:r>
        <w:r w:rsidR="00E22B78">
          <w:rPr>
            <w:noProof/>
            <w:webHidden/>
          </w:rPr>
          <w:tab/>
        </w:r>
        <w:r w:rsidR="00E22B78">
          <w:rPr>
            <w:noProof/>
            <w:webHidden/>
          </w:rPr>
          <w:fldChar w:fldCharType="begin"/>
        </w:r>
        <w:r w:rsidR="00E22B78">
          <w:rPr>
            <w:noProof/>
            <w:webHidden/>
          </w:rPr>
          <w:instrText xml:space="preserve"> PAGEREF _Toc14076945 \h </w:instrText>
        </w:r>
        <w:r w:rsidR="00E22B78">
          <w:rPr>
            <w:noProof/>
            <w:webHidden/>
          </w:rPr>
        </w:r>
        <w:r w:rsidR="00E22B78">
          <w:rPr>
            <w:noProof/>
            <w:webHidden/>
          </w:rPr>
          <w:fldChar w:fldCharType="separate"/>
        </w:r>
        <w:r w:rsidR="00AD732F">
          <w:rPr>
            <w:noProof/>
            <w:webHidden/>
          </w:rPr>
          <w:t>136</w:t>
        </w:r>
        <w:r w:rsidR="00E22B78">
          <w:rPr>
            <w:noProof/>
            <w:webHidden/>
          </w:rPr>
          <w:fldChar w:fldCharType="end"/>
        </w:r>
      </w:hyperlink>
    </w:p>
    <w:p w14:paraId="3A0CFBCB" w14:textId="77777777" w:rsidR="00E22B78" w:rsidRDefault="00D818C4">
      <w:pPr>
        <w:pStyle w:val="Obsah3"/>
        <w:rPr>
          <w:rFonts w:asciiTheme="minorHAnsi" w:eastAsiaTheme="minorEastAsia" w:hAnsiTheme="minorHAnsi" w:cstheme="minorBidi"/>
          <w:noProof/>
          <w:sz w:val="22"/>
          <w:lang w:eastAsia="cs-CZ"/>
        </w:rPr>
      </w:pPr>
      <w:hyperlink w:anchor="_Toc14076946" w:history="1">
        <w:r w:rsidR="00E22B78" w:rsidRPr="007609D9">
          <w:rPr>
            <w:rStyle w:val="Hypertextovodkaz"/>
            <w:noProof/>
            <w:lang w:eastAsia="cs-CZ"/>
          </w:rPr>
          <w:t>5.1.2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Zaměstnanci ve výkonu</w:t>
        </w:r>
        <w:r w:rsidR="00E22B78">
          <w:rPr>
            <w:noProof/>
            <w:webHidden/>
          </w:rPr>
          <w:tab/>
        </w:r>
        <w:r w:rsidR="00E22B78">
          <w:rPr>
            <w:noProof/>
            <w:webHidden/>
          </w:rPr>
          <w:fldChar w:fldCharType="begin"/>
        </w:r>
        <w:r w:rsidR="00E22B78">
          <w:rPr>
            <w:noProof/>
            <w:webHidden/>
          </w:rPr>
          <w:instrText xml:space="preserve"> PAGEREF _Toc14076946 \h </w:instrText>
        </w:r>
        <w:r w:rsidR="00E22B78">
          <w:rPr>
            <w:noProof/>
            <w:webHidden/>
          </w:rPr>
        </w:r>
        <w:r w:rsidR="00E22B78">
          <w:rPr>
            <w:noProof/>
            <w:webHidden/>
          </w:rPr>
          <w:fldChar w:fldCharType="separate"/>
        </w:r>
        <w:r w:rsidR="00AD732F">
          <w:rPr>
            <w:noProof/>
            <w:webHidden/>
          </w:rPr>
          <w:t>139</w:t>
        </w:r>
        <w:r w:rsidR="00E22B78">
          <w:rPr>
            <w:noProof/>
            <w:webHidden/>
          </w:rPr>
          <w:fldChar w:fldCharType="end"/>
        </w:r>
      </w:hyperlink>
    </w:p>
    <w:p w14:paraId="1F247D47" w14:textId="77777777" w:rsidR="00E22B78" w:rsidRDefault="00D818C4">
      <w:pPr>
        <w:pStyle w:val="Obsah2"/>
        <w:rPr>
          <w:rFonts w:asciiTheme="minorHAnsi" w:eastAsiaTheme="minorEastAsia" w:hAnsiTheme="minorHAnsi" w:cstheme="minorBidi"/>
          <w:sz w:val="22"/>
          <w:lang w:eastAsia="cs-CZ"/>
        </w:rPr>
      </w:pPr>
      <w:hyperlink w:anchor="_Toc14076947" w:history="1">
        <w:r w:rsidR="00E22B78" w:rsidRPr="007609D9">
          <w:rPr>
            <w:rStyle w:val="Hypertextovodkaz"/>
            <w:lang w:eastAsia="cs-CZ"/>
          </w:rPr>
          <w:t>5.2</w:t>
        </w:r>
        <w:r w:rsidR="00E22B78">
          <w:rPr>
            <w:rFonts w:asciiTheme="minorHAnsi" w:eastAsiaTheme="minorEastAsia" w:hAnsiTheme="minorHAnsi" w:cstheme="minorBidi"/>
            <w:sz w:val="22"/>
            <w:lang w:eastAsia="cs-CZ"/>
          </w:rPr>
          <w:tab/>
        </w:r>
        <w:r w:rsidR="00E22B78" w:rsidRPr="007609D9">
          <w:rPr>
            <w:rStyle w:val="Hypertextovodkaz"/>
            <w:lang w:eastAsia="cs-CZ"/>
          </w:rPr>
          <w:t>Civilní dovolací agenda</w:t>
        </w:r>
        <w:r w:rsidR="00E22B78">
          <w:rPr>
            <w:webHidden/>
          </w:rPr>
          <w:tab/>
        </w:r>
        <w:r w:rsidR="00E22B78">
          <w:rPr>
            <w:webHidden/>
          </w:rPr>
          <w:fldChar w:fldCharType="begin"/>
        </w:r>
        <w:r w:rsidR="00E22B78">
          <w:rPr>
            <w:webHidden/>
          </w:rPr>
          <w:instrText xml:space="preserve"> PAGEREF _Toc14076947 \h </w:instrText>
        </w:r>
        <w:r w:rsidR="00E22B78">
          <w:rPr>
            <w:webHidden/>
          </w:rPr>
        </w:r>
        <w:r w:rsidR="00E22B78">
          <w:rPr>
            <w:webHidden/>
          </w:rPr>
          <w:fldChar w:fldCharType="separate"/>
        </w:r>
        <w:r w:rsidR="00AD732F">
          <w:rPr>
            <w:webHidden/>
          </w:rPr>
          <w:t>140</w:t>
        </w:r>
        <w:r w:rsidR="00E22B78">
          <w:rPr>
            <w:webHidden/>
          </w:rPr>
          <w:fldChar w:fldCharType="end"/>
        </w:r>
      </w:hyperlink>
    </w:p>
    <w:p w14:paraId="55E6E129" w14:textId="77777777" w:rsidR="00E22B78" w:rsidRDefault="00D818C4">
      <w:pPr>
        <w:pStyle w:val="Obsah3"/>
        <w:rPr>
          <w:rFonts w:asciiTheme="minorHAnsi" w:eastAsiaTheme="minorEastAsia" w:hAnsiTheme="minorHAnsi" w:cstheme="minorBidi"/>
          <w:noProof/>
          <w:sz w:val="22"/>
          <w:lang w:eastAsia="cs-CZ"/>
        </w:rPr>
      </w:pPr>
      <w:hyperlink w:anchor="_Toc14076948" w:history="1">
        <w:r w:rsidR="00E22B78" w:rsidRPr="007609D9">
          <w:rPr>
            <w:rStyle w:val="Hypertextovodkaz"/>
            <w:noProof/>
            <w:lang w:eastAsia="cs-CZ"/>
          </w:rPr>
          <w:t>5.2.1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_Toc14076948 \h </w:instrText>
        </w:r>
        <w:r w:rsidR="00E22B78">
          <w:rPr>
            <w:noProof/>
            <w:webHidden/>
          </w:rPr>
        </w:r>
        <w:r w:rsidR="00E22B78">
          <w:rPr>
            <w:noProof/>
            <w:webHidden/>
          </w:rPr>
          <w:fldChar w:fldCharType="separate"/>
        </w:r>
        <w:r w:rsidR="00AD732F">
          <w:rPr>
            <w:noProof/>
            <w:webHidden/>
          </w:rPr>
          <w:t>140</w:t>
        </w:r>
        <w:r w:rsidR="00E22B78">
          <w:rPr>
            <w:noProof/>
            <w:webHidden/>
          </w:rPr>
          <w:fldChar w:fldCharType="end"/>
        </w:r>
      </w:hyperlink>
    </w:p>
    <w:p w14:paraId="1558CFF8" w14:textId="77777777" w:rsidR="00E22B78" w:rsidRDefault="00D818C4">
      <w:pPr>
        <w:pStyle w:val="Obsah2"/>
        <w:rPr>
          <w:rFonts w:asciiTheme="minorHAnsi" w:eastAsiaTheme="minorEastAsia" w:hAnsiTheme="minorHAnsi" w:cstheme="minorBidi"/>
          <w:sz w:val="22"/>
          <w:lang w:eastAsia="cs-CZ"/>
        </w:rPr>
      </w:pPr>
      <w:hyperlink w:anchor="_Toc14076949" w:history="1">
        <w:r w:rsidR="00E22B78" w:rsidRPr="007609D9">
          <w:rPr>
            <w:rStyle w:val="Hypertextovodkaz"/>
          </w:rPr>
          <w:t>5.3</w:t>
        </w:r>
        <w:r w:rsidR="00E22B78">
          <w:rPr>
            <w:rFonts w:asciiTheme="minorHAnsi" w:eastAsiaTheme="minorEastAsia" w:hAnsiTheme="minorHAnsi" w:cstheme="minorBidi"/>
            <w:sz w:val="22"/>
            <w:lang w:eastAsia="cs-CZ"/>
          </w:rPr>
          <w:tab/>
        </w:r>
        <w:r w:rsidR="00E22B78" w:rsidRPr="007609D9">
          <w:rPr>
            <w:rStyle w:val="Hypertextovodkaz"/>
          </w:rPr>
          <w:t>Trestní dovolací agenda</w:t>
        </w:r>
        <w:r w:rsidR="00E22B78">
          <w:rPr>
            <w:webHidden/>
          </w:rPr>
          <w:tab/>
        </w:r>
        <w:r w:rsidR="00E22B78">
          <w:rPr>
            <w:webHidden/>
          </w:rPr>
          <w:fldChar w:fldCharType="begin"/>
        </w:r>
        <w:r w:rsidR="00E22B78">
          <w:rPr>
            <w:webHidden/>
          </w:rPr>
          <w:instrText xml:space="preserve"> PAGEREF _Toc14076949 \h </w:instrText>
        </w:r>
        <w:r w:rsidR="00E22B78">
          <w:rPr>
            <w:webHidden/>
          </w:rPr>
        </w:r>
        <w:r w:rsidR="00E22B78">
          <w:rPr>
            <w:webHidden/>
          </w:rPr>
          <w:fldChar w:fldCharType="separate"/>
        </w:r>
        <w:r w:rsidR="00AD732F">
          <w:rPr>
            <w:webHidden/>
          </w:rPr>
          <w:t>141</w:t>
        </w:r>
        <w:r w:rsidR="00E22B78">
          <w:rPr>
            <w:webHidden/>
          </w:rPr>
          <w:fldChar w:fldCharType="end"/>
        </w:r>
      </w:hyperlink>
    </w:p>
    <w:p w14:paraId="0B2F0A0E" w14:textId="77777777" w:rsidR="00E22B78" w:rsidRDefault="00D818C4">
      <w:pPr>
        <w:pStyle w:val="Obsah3"/>
        <w:rPr>
          <w:rFonts w:asciiTheme="minorHAnsi" w:eastAsiaTheme="minorEastAsia" w:hAnsiTheme="minorHAnsi" w:cstheme="minorBidi"/>
          <w:noProof/>
          <w:sz w:val="22"/>
          <w:lang w:eastAsia="cs-CZ"/>
        </w:rPr>
      </w:pPr>
      <w:hyperlink w:anchor="_Toc14076950" w:history="1">
        <w:r w:rsidR="00E22B78" w:rsidRPr="007609D9">
          <w:rPr>
            <w:rStyle w:val="Hypertextovodkaz"/>
            <w:noProof/>
            <w:lang w:eastAsia="cs-CZ"/>
          </w:rPr>
          <w:t>5.3.1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_Toc14076950 \h </w:instrText>
        </w:r>
        <w:r w:rsidR="00E22B78">
          <w:rPr>
            <w:noProof/>
            <w:webHidden/>
          </w:rPr>
        </w:r>
        <w:r w:rsidR="00E22B78">
          <w:rPr>
            <w:noProof/>
            <w:webHidden/>
          </w:rPr>
          <w:fldChar w:fldCharType="separate"/>
        </w:r>
        <w:r w:rsidR="00AD732F">
          <w:rPr>
            <w:noProof/>
            <w:webHidden/>
          </w:rPr>
          <w:t>141</w:t>
        </w:r>
        <w:r w:rsidR="00E22B78">
          <w:rPr>
            <w:noProof/>
            <w:webHidden/>
          </w:rPr>
          <w:fldChar w:fldCharType="end"/>
        </w:r>
      </w:hyperlink>
    </w:p>
    <w:p w14:paraId="26A16DF7" w14:textId="77777777" w:rsidR="00E22B78" w:rsidRDefault="00D818C4">
      <w:pPr>
        <w:pStyle w:val="Obsah2"/>
        <w:rPr>
          <w:rFonts w:asciiTheme="minorHAnsi" w:eastAsiaTheme="minorEastAsia" w:hAnsiTheme="minorHAnsi" w:cstheme="minorBidi"/>
          <w:sz w:val="22"/>
          <w:lang w:eastAsia="cs-CZ"/>
        </w:rPr>
      </w:pPr>
      <w:hyperlink w:anchor="_Toc14076951" w:history="1">
        <w:r w:rsidR="00E22B78" w:rsidRPr="007609D9">
          <w:rPr>
            <w:rStyle w:val="Hypertextovodkaz"/>
          </w:rPr>
          <w:t>5.4</w:t>
        </w:r>
        <w:r w:rsidR="00E22B78">
          <w:rPr>
            <w:rFonts w:asciiTheme="minorHAnsi" w:eastAsiaTheme="minorEastAsia" w:hAnsiTheme="minorHAnsi" w:cstheme="minorBidi"/>
            <w:sz w:val="22"/>
            <w:lang w:eastAsia="cs-CZ"/>
          </w:rPr>
          <w:tab/>
        </w:r>
        <w:r w:rsidR="00E22B78" w:rsidRPr="007609D9">
          <w:rPr>
            <w:rStyle w:val="Hypertextovodkaz"/>
          </w:rPr>
          <w:t>Stížnosti pro porušení zákona</w:t>
        </w:r>
        <w:r w:rsidR="00E22B78">
          <w:rPr>
            <w:webHidden/>
          </w:rPr>
          <w:tab/>
        </w:r>
        <w:r w:rsidR="00E22B78">
          <w:rPr>
            <w:webHidden/>
          </w:rPr>
          <w:fldChar w:fldCharType="begin"/>
        </w:r>
        <w:r w:rsidR="00E22B78">
          <w:rPr>
            <w:webHidden/>
          </w:rPr>
          <w:instrText xml:space="preserve"> PAGEREF _Toc14076951 \h </w:instrText>
        </w:r>
        <w:r w:rsidR="00E22B78">
          <w:rPr>
            <w:webHidden/>
          </w:rPr>
        </w:r>
        <w:r w:rsidR="00E22B78">
          <w:rPr>
            <w:webHidden/>
          </w:rPr>
          <w:fldChar w:fldCharType="separate"/>
        </w:r>
        <w:r w:rsidR="00AD732F">
          <w:rPr>
            <w:webHidden/>
          </w:rPr>
          <w:t>142</w:t>
        </w:r>
        <w:r w:rsidR="00E22B78">
          <w:rPr>
            <w:webHidden/>
          </w:rPr>
          <w:fldChar w:fldCharType="end"/>
        </w:r>
      </w:hyperlink>
    </w:p>
    <w:p w14:paraId="1A045D06" w14:textId="77777777" w:rsidR="00E22B78" w:rsidRDefault="00D818C4">
      <w:pPr>
        <w:pStyle w:val="Obsah3"/>
        <w:rPr>
          <w:rFonts w:asciiTheme="minorHAnsi" w:eastAsiaTheme="minorEastAsia" w:hAnsiTheme="minorHAnsi" w:cstheme="minorBidi"/>
          <w:noProof/>
          <w:sz w:val="22"/>
          <w:lang w:eastAsia="cs-CZ"/>
        </w:rPr>
      </w:pPr>
      <w:hyperlink w:anchor="_Toc14076952" w:history="1">
        <w:r w:rsidR="00E22B78" w:rsidRPr="007609D9">
          <w:rPr>
            <w:rStyle w:val="Hypertextovodkaz"/>
            <w:noProof/>
            <w:lang w:eastAsia="cs-CZ"/>
          </w:rPr>
          <w:t>5.4.1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_Toc14076952 \h </w:instrText>
        </w:r>
        <w:r w:rsidR="00E22B78">
          <w:rPr>
            <w:noProof/>
            <w:webHidden/>
          </w:rPr>
        </w:r>
        <w:r w:rsidR="00E22B78">
          <w:rPr>
            <w:noProof/>
            <w:webHidden/>
          </w:rPr>
          <w:fldChar w:fldCharType="separate"/>
        </w:r>
        <w:r w:rsidR="00AD732F">
          <w:rPr>
            <w:noProof/>
            <w:webHidden/>
          </w:rPr>
          <w:t>142</w:t>
        </w:r>
        <w:r w:rsidR="00E22B78">
          <w:rPr>
            <w:noProof/>
            <w:webHidden/>
          </w:rPr>
          <w:fldChar w:fldCharType="end"/>
        </w:r>
      </w:hyperlink>
    </w:p>
    <w:p w14:paraId="34715CD0" w14:textId="77777777" w:rsidR="00E22B78" w:rsidRDefault="00D818C4">
      <w:pPr>
        <w:pStyle w:val="Obsah2"/>
        <w:rPr>
          <w:rFonts w:asciiTheme="minorHAnsi" w:eastAsiaTheme="minorEastAsia" w:hAnsiTheme="minorHAnsi" w:cstheme="minorBidi"/>
          <w:sz w:val="22"/>
          <w:lang w:eastAsia="cs-CZ"/>
        </w:rPr>
      </w:pPr>
      <w:hyperlink w:anchor="_Toc14076953" w:history="1">
        <w:r w:rsidR="00E22B78" w:rsidRPr="007609D9">
          <w:rPr>
            <w:rStyle w:val="Hypertextovodkaz"/>
          </w:rPr>
          <w:t>5.5</w:t>
        </w:r>
        <w:r w:rsidR="00E22B78">
          <w:rPr>
            <w:rFonts w:asciiTheme="minorHAnsi" w:eastAsiaTheme="minorEastAsia" w:hAnsiTheme="minorHAnsi" w:cstheme="minorBidi"/>
            <w:sz w:val="22"/>
            <w:lang w:eastAsia="cs-CZ"/>
          </w:rPr>
          <w:tab/>
        </w:r>
        <w:r w:rsidR="00E22B78" w:rsidRPr="007609D9">
          <w:rPr>
            <w:rStyle w:val="Hypertextovodkaz"/>
          </w:rPr>
          <w:t>Insolvenční agenda</w:t>
        </w:r>
        <w:r w:rsidR="00E22B78">
          <w:rPr>
            <w:webHidden/>
          </w:rPr>
          <w:tab/>
        </w:r>
        <w:r w:rsidR="00E22B78">
          <w:rPr>
            <w:webHidden/>
          </w:rPr>
          <w:fldChar w:fldCharType="begin"/>
        </w:r>
        <w:r w:rsidR="00E22B78">
          <w:rPr>
            <w:webHidden/>
          </w:rPr>
          <w:instrText xml:space="preserve"> PAGEREF _Toc14076953 \h </w:instrText>
        </w:r>
        <w:r w:rsidR="00E22B78">
          <w:rPr>
            <w:webHidden/>
          </w:rPr>
        </w:r>
        <w:r w:rsidR="00E22B78">
          <w:rPr>
            <w:webHidden/>
          </w:rPr>
          <w:fldChar w:fldCharType="separate"/>
        </w:r>
        <w:r w:rsidR="00AD732F">
          <w:rPr>
            <w:webHidden/>
          </w:rPr>
          <w:t>143</w:t>
        </w:r>
        <w:r w:rsidR="00E22B78">
          <w:rPr>
            <w:webHidden/>
          </w:rPr>
          <w:fldChar w:fldCharType="end"/>
        </w:r>
      </w:hyperlink>
    </w:p>
    <w:p w14:paraId="7C0262CA" w14:textId="77777777" w:rsidR="00E22B78" w:rsidRDefault="00D818C4">
      <w:pPr>
        <w:pStyle w:val="Obsah3"/>
        <w:rPr>
          <w:rFonts w:asciiTheme="minorHAnsi" w:eastAsiaTheme="minorEastAsia" w:hAnsiTheme="minorHAnsi" w:cstheme="minorBidi"/>
          <w:noProof/>
          <w:sz w:val="22"/>
          <w:lang w:eastAsia="cs-CZ"/>
        </w:rPr>
      </w:pPr>
      <w:hyperlink w:anchor="_Toc14076954" w:history="1">
        <w:r w:rsidR="00E22B78" w:rsidRPr="007609D9">
          <w:rPr>
            <w:rStyle w:val="Hypertextovodkaz"/>
            <w:noProof/>
          </w:rPr>
          <w:t>5.5.1</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_Toc14076954 \h </w:instrText>
        </w:r>
        <w:r w:rsidR="00E22B78">
          <w:rPr>
            <w:noProof/>
            <w:webHidden/>
          </w:rPr>
        </w:r>
        <w:r w:rsidR="00E22B78">
          <w:rPr>
            <w:noProof/>
            <w:webHidden/>
          </w:rPr>
          <w:fldChar w:fldCharType="separate"/>
        </w:r>
        <w:r w:rsidR="00AD732F">
          <w:rPr>
            <w:noProof/>
            <w:webHidden/>
          </w:rPr>
          <w:t>143</w:t>
        </w:r>
        <w:r w:rsidR="00E22B78">
          <w:rPr>
            <w:noProof/>
            <w:webHidden/>
          </w:rPr>
          <w:fldChar w:fldCharType="end"/>
        </w:r>
      </w:hyperlink>
    </w:p>
    <w:p w14:paraId="0294C750" w14:textId="77777777" w:rsidR="00E22B78" w:rsidRDefault="00D818C4">
      <w:pPr>
        <w:pStyle w:val="Obsah1"/>
        <w:tabs>
          <w:tab w:val="left" w:pos="482"/>
          <w:tab w:val="right" w:leader="dot" w:pos="9060"/>
        </w:tabs>
        <w:rPr>
          <w:rFonts w:asciiTheme="minorHAnsi" w:eastAsiaTheme="minorEastAsia" w:hAnsiTheme="minorHAnsi" w:cstheme="minorBidi"/>
          <w:noProof/>
          <w:sz w:val="22"/>
          <w:lang w:eastAsia="cs-CZ"/>
        </w:rPr>
      </w:pPr>
      <w:hyperlink w:anchor="_Toc14076955" w:history="1">
        <w:r w:rsidR="00E22B78" w:rsidRPr="007609D9">
          <w:rPr>
            <w:rStyle w:val="Hypertextovodkaz"/>
            <w:noProof/>
            <w:lang w:eastAsia="cs-CZ"/>
          </w:rPr>
          <w:t>6</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Nejvyšší správní soud</w:t>
        </w:r>
        <w:r w:rsidR="00E22B78">
          <w:rPr>
            <w:noProof/>
            <w:webHidden/>
          </w:rPr>
          <w:tab/>
        </w:r>
        <w:r w:rsidR="00E22B78">
          <w:rPr>
            <w:noProof/>
            <w:webHidden/>
          </w:rPr>
          <w:fldChar w:fldCharType="begin"/>
        </w:r>
        <w:r w:rsidR="00E22B78">
          <w:rPr>
            <w:noProof/>
            <w:webHidden/>
          </w:rPr>
          <w:instrText xml:space="preserve"> PAGEREF _Toc14076955 \h </w:instrText>
        </w:r>
        <w:r w:rsidR="00E22B78">
          <w:rPr>
            <w:noProof/>
            <w:webHidden/>
          </w:rPr>
        </w:r>
        <w:r w:rsidR="00E22B78">
          <w:rPr>
            <w:noProof/>
            <w:webHidden/>
          </w:rPr>
          <w:fldChar w:fldCharType="separate"/>
        </w:r>
        <w:r w:rsidR="00AD732F">
          <w:rPr>
            <w:noProof/>
            <w:webHidden/>
          </w:rPr>
          <w:t>144</w:t>
        </w:r>
        <w:r w:rsidR="00E22B78">
          <w:rPr>
            <w:noProof/>
            <w:webHidden/>
          </w:rPr>
          <w:fldChar w:fldCharType="end"/>
        </w:r>
      </w:hyperlink>
    </w:p>
    <w:p w14:paraId="20AEF925" w14:textId="77777777" w:rsidR="00E22B78" w:rsidRDefault="00D818C4">
      <w:pPr>
        <w:pStyle w:val="Obsah2"/>
        <w:rPr>
          <w:rFonts w:asciiTheme="minorHAnsi" w:eastAsiaTheme="minorEastAsia" w:hAnsiTheme="minorHAnsi" w:cstheme="minorBidi"/>
          <w:sz w:val="22"/>
          <w:lang w:eastAsia="cs-CZ"/>
        </w:rPr>
      </w:pPr>
      <w:hyperlink w:anchor="_Toc14076956" w:history="1">
        <w:r w:rsidR="00E22B78" w:rsidRPr="007609D9">
          <w:rPr>
            <w:rStyle w:val="Hypertextovodkaz"/>
            <w:lang w:eastAsia="cs-CZ"/>
          </w:rPr>
          <w:t>6.1</w:t>
        </w:r>
        <w:r w:rsidR="00E22B78">
          <w:rPr>
            <w:rFonts w:asciiTheme="minorHAnsi" w:eastAsiaTheme="minorEastAsia" w:hAnsiTheme="minorHAnsi" w:cstheme="minorBidi"/>
            <w:sz w:val="22"/>
            <w:lang w:eastAsia="cs-CZ"/>
          </w:rPr>
          <w:tab/>
        </w:r>
        <w:r w:rsidR="00E22B78" w:rsidRPr="007609D9">
          <w:rPr>
            <w:rStyle w:val="Hypertextovodkaz"/>
            <w:lang w:eastAsia="cs-CZ"/>
          </w:rPr>
          <w:t>Personál</w:t>
        </w:r>
        <w:r w:rsidR="00E22B78">
          <w:rPr>
            <w:webHidden/>
          </w:rPr>
          <w:tab/>
        </w:r>
        <w:r w:rsidR="00E22B78">
          <w:rPr>
            <w:webHidden/>
          </w:rPr>
          <w:fldChar w:fldCharType="begin"/>
        </w:r>
        <w:r w:rsidR="00E22B78">
          <w:rPr>
            <w:webHidden/>
          </w:rPr>
          <w:instrText xml:space="preserve"> PAGEREF _Toc14076956 \h </w:instrText>
        </w:r>
        <w:r w:rsidR="00E22B78">
          <w:rPr>
            <w:webHidden/>
          </w:rPr>
        </w:r>
        <w:r w:rsidR="00E22B78">
          <w:rPr>
            <w:webHidden/>
          </w:rPr>
          <w:fldChar w:fldCharType="separate"/>
        </w:r>
        <w:r w:rsidR="00AD732F">
          <w:rPr>
            <w:webHidden/>
          </w:rPr>
          <w:t>144</w:t>
        </w:r>
        <w:r w:rsidR="00E22B78">
          <w:rPr>
            <w:webHidden/>
          </w:rPr>
          <w:fldChar w:fldCharType="end"/>
        </w:r>
      </w:hyperlink>
    </w:p>
    <w:p w14:paraId="7398B2F1" w14:textId="77777777" w:rsidR="00E22B78" w:rsidRDefault="00D818C4">
      <w:pPr>
        <w:pStyle w:val="Obsah3"/>
        <w:rPr>
          <w:rFonts w:asciiTheme="minorHAnsi" w:eastAsiaTheme="minorEastAsia" w:hAnsiTheme="minorHAnsi" w:cstheme="minorBidi"/>
          <w:noProof/>
          <w:sz w:val="22"/>
          <w:lang w:eastAsia="cs-CZ"/>
        </w:rPr>
      </w:pPr>
      <w:hyperlink w:anchor="_Toc14076957" w:history="1">
        <w:r w:rsidR="00E22B78" w:rsidRPr="007609D9">
          <w:rPr>
            <w:rStyle w:val="Hypertextovodkaz"/>
            <w:noProof/>
            <w:lang w:eastAsia="cs-CZ"/>
          </w:rPr>
          <w:t>6.1.1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Soudci</w:t>
        </w:r>
        <w:r w:rsidR="00E22B78">
          <w:rPr>
            <w:noProof/>
            <w:webHidden/>
          </w:rPr>
          <w:tab/>
        </w:r>
        <w:r w:rsidR="00E22B78">
          <w:rPr>
            <w:noProof/>
            <w:webHidden/>
          </w:rPr>
          <w:fldChar w:fldCharType="begin"/>
        </w:r>
        <w:r w:rsidR="00E22B78">
          <w:rPr>
            <w:noProof/>
            <w:webHidden/>
          </w:rPr>
          <w:instrText xml:space="preserve"> PAGEREF _Toc14076957 \h </w:instrText>
        </w:r>
        <w:r w:rsidR="00E22B78">
          <w:rPr>
            <w:noProof/>
            <w:webHidden/>
          </w:rPr>
        </w:r>
        <w:r w:rsidR="00E22B78">
          <w:rPr>
            <w:noProof/>
            <w:webHidden/>
          </w:rPr>
          <w:fldChar w:fldCharType="separate"/>
        </w:r>
        <w:r w:rsidR="00AD732F">
          <w:rPr>
            <w:noProof/>
            <w:webHidden/>
          </w:rPr>
          <w:t>144</w:t>
        </w:r>
        <w:r w:rsidR="00E22B78">
          <w:rPr>
            <w:noProof/>
            <w:webHidden/>
          </w:rPr>
          <w:fldChar w:fldCharType="end"/>
        </w:r>
      </w:hyperlink>
    </w:p>
    <w:p w14:paraId="4415C8BA" w14:textId="77777777" w:rsidR="00E22B78" w:rsidRDefault="00D818C4">
      <w:pPr>
        <w:pStyle w:val="Obsah3"/>
        <w:rPr>
          <w:rFonts w:asciiTheme="minorHAnsi" w:eastAsiaTheme="minorEastAsia" w:hAnsiTheme="minorHAnsi" w:cstheme="minorBidi"/>
          <w:noProof/>
          <w:sz w:val="22"/>
          <w:lang w:eastAsia="cs-CZ"/>
        </w:rPr>
      </w:pPr>
      <w:hyperlink w:anchor="_Toc14076958" w:history="1">
        <w:r w:rsidR="00E22B78" w:rsidRPr="007609D9">
          <w:rPr>
            <w:rStyle w:val="Hypertextovodkaz"/>
            <w:noProof/>
            <w:lang w:eastAsia="cs-CZ"/>
          </w:rPr>
          <w:t>6.1.2</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Zaměstnanci ve výkonu</w:t>
        </w:r>
        <w:r w:rsidR="00E22B78">
          <w:rPr>
            <w:noProof/>
            <w:webHidden/>
          </w:rPr>
          <w:tab/>
        </w:r>
        <w:r w:rsidR="00E22B78">
          <w:rPr>
            <w:noProof/>
            <w:webHidden/>
          </w:rPr>
          <w:fldChar w:fldCharType="begin"/>
        </w:r>
        <w:r w:rsidR="00E22B78">
          <w:rPr>
            <w:noProof/>
            <w:webHidden/>
          </w:rPr>
          <w:instrText xml:space="preserve"> PAGEREF _Toc14076958 \h </w:instrText>
        </w:r>
        <w:r w:rsidR="00E22B78">
          <w:rPr>
            <w:noProof/>
            <w:webHidden/>
          </w:rPr>
        </w:r>
        <w:r w:rsidR="00E22B78">
          <w:rPr>
            <w:noProof/>
            <w:webHidden/>
          </w:rPr>
          <w:fldChar w:fldCharType="separate"/>
        </w:r>
        <w:r w:rsidR="00AD732F">
          <w:rPr>
            <w:noProof/>
            <w:webHidden/>
          </w:rPr>
          <w:t>146</w:t>
        </w:r>
        <w:r w:rsidR="00E22B78">
          <w:rPr>
            <w:noProof/>
            <w:webHidden/>
          </w:rPr>
          <w:fldChar w:fldCharType="end"/>
        </w:r>
      </w:hyperlink>
    </w:p>
    <w:p w14:paraId="12C2671B" w14:textId="77777777" w:rsidR="00E22B78" w:rsidRDefault="00D818C4">
      <w:pPr>
        <w:pStyle w:val="Obsah2"/>
        <w:rPr>
          <w:rFonts w:asciiTheme="minorHAnsi" w:eastAsiaTheme="minorEastAsia" w:hAnsiTheme="minorHAnsi" w:cstheme="minorBidi"/>
          <w:sz w:val="22"/>
          <w:lang w:eastAsia="cs-CZ"/>
        </w:rPr>
      </w:pPr>
      <w:hyperlink w:anchor="_Toc14076959" w:history="1">
        <w:r w:rsidR="00E22B78" w:rsidRPr="007609D9">
          <w:rPr>
            <w:rStyle w:val="Hypertextovodkaz"/>
          </w:rPr>
          <w:t>6.2</w:t>
        </w:r>
        <w:r w:rsidR="00E22B78">
          <w:rPr>
            <w:rFonts w:asciiTheme="minorHAnsi" w:eastAsiaTheme="minorEastAsia" w:hAnsiTheme="minorHAnsi" w:cstheme="minorBidi"/>
            <w:sz w:val="22"/>
            <w:lang w:eastAsia="cs-CZ"/>
          </w:rPr>
          <w:tab/>
        </w:r>
        <w:r w:rsidR="00E22B78" w:rsidRPr="007609D9">
          <w:rPr>
            <w:rStyle w:val="Hypertextovodkaz"/>
          </w:rPr>
          <w:t>Řízení o kasačních stížnostech</w:t>
        </w:r>
        <w:r w:rsidR="00E22B78">
          <w:rPr>
            <w:webHidden/>
          </w:rPr>
          <w:tab/>
        </w:r>
        <w:r w:rsidR="00E22B78">
          <w:rPr>
            <w:webHidden/>
          </w:rPr>
          <w:fldChar w:fldCharType="begin"/>
        </w:r>
        <w:r w:rsidR="00E22B78">
          <w:rPr>
            <w:webHidden/>
          </w:rPr>
          <w:instrText xml:space="preserve"> PAGEREF _Toc14076959 \h </w:instrText>
        </w:r>
        <w:r w:rsidR="00E22B78">
          <w:rPr>
            <w:webHidden/>
          </w:rPr>
        </w:r>
        <w:r w:rsidR="00E22B78">
          <w:rPr>
            <w:webHidden/>
          </w:rPr>
          <w:fldChar w:fldCharType="separate"/>
        </w:r>
        <w:r w:rsidR="00AD732F">
          <w:rPr>
            <w:webHidden/>
          </w:rPr>
          <w:t>147</w:t>
        </w:r>
        <w:r w:rsidR="00E22B78">
          <w:rPr>
            <w:webHidden/>
          </w:rPr>
          <w:fldChar w:fldCharType="end"/>
        </w:r>
      </w:hyperlink>
    </w:p>
    <w:p w14:paraId="46FA40FD" w14:textId="77777777" w:rsidR="00E22B78" w:rsidRDefault="00D818C4">
      <w:pPr>
        <w:pStyle w:val="Obsah3"/>
        <w:rPr>
          <w:rFonts w:asciiTheme="minorHAnsi" w:eastAsiaTheme="minorEastAsia" w:hAnsiTheme="minorHAnsi" w:cstheme="minorBidi"/>
          <w:noProof/>
          <w:sz w:val="22"/>
          <w:lang w:eastAsia="cs-CZ"/>
        </w:rPr>
      </w:pPr>
      <w:hyperlink w:anchor="_Toc14076960" w:history="1">
        <w:r w:rsidR="00E22B78" w:rsidRPr="007609D9">
          <w:rPr>
            <w:rStyle w:val="Hypertextovodkaz"/>
            <w:noProof/>
          </w:rPr>
          <w:t>6.2.1</w:t>
        </w:r>
        <w:r w:rsidR="00E22B78">
          <w:rPr>
            <w:rFonts w:asciiTheme="minorHAnsi" w:eastAsiaTheme="minorEastAsia" w:hAnsiTheme="minorHAnsi" w:cstheme="minorBidi"/>
            <w:noProof/>
            <w:sz w:val="22"/>
            <w:lang w:eastAsia="cs-CZ"/>
          </w:rPr>
          <w:tab/>
        </w:r>
        <w:r w:rsidR="00E22B78" w:rsidRPr="007609D9">
          <w:rPr>
            <w:rStyle w:val="Hypertextovodkaz"/>
            <w:noProof/>
          </w:rPr>
          <w:t>Vyřizování věcí</w:t>
        </w:r>
        <w:r w:rsidR="00E22B78">
          <w:rPr>
            <w:noProof/>
            <w:webHidden/>
          </w:rPr>
          <w:tab/>
        </w:r>
        <w:r w:rsidR="00E22B78">
          <w:rPr>
            <w:noProof/>
            <w:webHidden/>
          </w:rPr>
          <w:fldChar w:fldCharType="begin"/>
        </w:r>
        <w:r w:rsidR="00E22B78">
          <w:rPr>
            <w:noProof/>
            <w:webHidden/>
          </w:rPr>
          <w:instrText xml:space="preserve"> PAGEREF _Toc14076960 \h </w:instrText>
        </w:r>
        <w:r w:rsidR="00E22B78">
          <w:rPr>
            <w:noProof/>
            <w:webHidden/>
          </w:rPr>
        </w:r>
        <w:r w:rsidR="00E22B78">
          <w:rPr>
            <w:noProof/>
            <w:webHidden/>
          </w:rPr>
          <w:fldChar w:fldCharType="separate"/>
        </w:r>
        <w:r w:rsidR="00AD732F">
          <w:rPr>
            <w:noProof/>
            <w:webHidden/>
          </w:rPr>
          <w:t>147</w:t>
        </w:r>
        <w:r w:rsidR="00E22B78">
          <w:rPr>
            <w:noProof/>
            <w:webHidden/>
          </w:rPr>
          <w:fldChar w:fldCharType="end"/>
        </w:r>
      </w:hyperlink>
    </w:p>
    <w:p w14:paraId="099BFD02" w14:textId="77777777" w:rsidR="00E22B78" w:rsidRDefault="00D818C4">
      <w:pPr>
        <w:pStyle w:val="Obsah2"/>
        <w:rPr>
          <w:rFonts w:asciiTheme="minorHAnsi" w:eastAsiaTheme="minorEastAsia" w:hAnsiTheme="minorHAnsi" w:cstheme="minorBidi"/>
          <w:sz w:val="22"/>
          <w:lang w:eastAsia="cs-CZ"/>
        </w:rPr>
      </w:pPr>
      <w:hyperlink w:anchor="_Toc14076961" w:history="1">
        <w:r w:rsidR="00E22B78" w:rsidRPr="007609D9">
          <w:rPr>
            <w:rStyle w:val="Hypertextovodkaz"/>
            <w:lang w:eastAsia="cs-CZ"/>
          </w:rPr>
          <w:t>6.3</w:t>
        </w:r>
        <w:r w:rsidR="00E22B78">
          <w:rPr>
            <w:rFonts w:asciiTheme="minorHAnsi" w:eastAsiaTheme="minorEastAsia" w:hAnsiTheme="minorHAnsi" w:cstheme="minorBidi"/>
            <w:sz w:val="22"/>
            <w:lang w:eastAsia="cs-CZ"/>
          </w:rPr>
          <w:tab/>
        </w:r>
        <w:r w:rsidR="00E22B78" w:rsidRPr="007609D9">
          <w:rPr>
            <w:rStyle w:val="Hypertextovodkaz"/>
            <w:lang w:eastAsia="cs-CZ"/>
          </w:rPr>
          <w:t>Řízení ve věcech soudců</w:t>
        </w:r>
        <w:r w:rsidR="00E22B78">
          <w:rPr>
            <w:webHidden/>
          </w:rPr>
          <w:tab/>
        </w:r>
        <w:r w:rsidR="00E22B78">
          <w:rPr>
            <w:webHidden/>
          </w:rPr>
          <w:fldChar w:fldCharType="begin"/>
        </w:r>
        <w:r w:rsidR="00E22B78">
          <w:rPr>
            <w:webHidden/>
          </w:rPr>
          <w:instrText xml:space="preserve"> PAGEREF _Toc14076961 \h </w:instrText>
        </w:r>
        <w:r w:rsidR="00E22B78">
          <w:rPr>
            <w:webHidden/>
          </w:rPr>
        </w:r>
        <w:r w:rsidR="00E22B78">
          <w:rPr>
            <w:webHidden/>
          </w:rPr>
          <w:fldChar w:fldCharType="separate"/>
        </w:r>
        <w:r w:rsidR="00AD732F">
          <w:rPr>
            <w:webHidden/>
          </w:rPr>
          <w:t>147</w:t>
        </w:r>
        <w:r w:rsidR="00E22B78">
          <w:rPr>
            <w:webHidden/>
          </w:rPr>
          <w:fldChar w:fldCharType="end"/>
        </w:r>
      </w:hyperlink>
    </w:p>
    <w:p w14:paraId="4045FA10" w14:textId="77777777" w:rsidR="00E22B78" w:rsidRDefault="00D818C4">
      <w:pPr>
        <w:pStyle w:val="Obsah3"/>
        <w:rPr>
          <w:rFonts w:asciiTheme="minorHAnsi" w:eastAsiaTheme="minorEastAsia" w:hAnsiTheme="minorHAnsi" w:cstheme="minorBidi"/>
          <w:noProof/>
          <w:sz w:val="22"/>
          <w:lang w:eastAsia="cs-CZ"/>
        </w:rPr>
      </w:pPr>
      <w:hyperlink w:anchor="_Toc14076962" w:history="1">
        <w:r w:rsidR="00E22B78" w:rsidRPr="007609D9">
          <w:rPr>
            <w:rStyle w:val="Hypertextovodkaz"/>
            <w:noProof/>
            <w:lang w:eastAsia="cs-CZ"/>
          </w:rPr>
          <w:t>6.3.1</w:t>
        </w:r>
        <w:r w:rsidR="00E22B78">
          <w:rPr>
            <w:rFonts w:asciiTheme="minorHAnsi" w:eastAsiaTheme="minorEastAsia" w:hAnsiTheme="minorHAnsi" w:cstheme="minorBidi"/>
            <w:noProof/>
            <w:sz w:val="22"/>
            <w:lang w:eastAsia="cs-CZ"/>
          </w:rPr>
          <w:tab/>
        </w:r>
        <w:r w:rsidR="00E22B78" w:rsidRPr="007609D9">
          <w:rPr>
            <w:rStyle w:val="Hypertextovodkaz"/>
            <w:noProof/>
            <w:lang w:eastAsia="cs-CZ"/>
          </w:rPr>
          <w:t>Vyřizování věcí</w:t>
        </w:r>
        <w:r w:rsidR="00E22B78">
          <w:rPr>
            <w:noProof/>
            <w:webHidden/>
          </w:rPr>
          <w:tab/>
        </w:r>
        <w:r w:rsidR="00E22B78">
          <w:rPr>
            <w:noProof/>
            <w:webHidden/>
          </w:rPr>
          <w:fldChar w:fldCharType="begin"/>
        </w:r>
        <w:r w:rsidR="00E22B78">
          <w:rPr>
            <w:noProof/>
            <w:webHidden/>
          </w:rPr>
          <w:instrText xml:space="preserve"> PAGEREF _Toc14076962 \h </w:instrText>
        </w:r>
        <w:r w:rsidR="00E22B78">
          <w:rPr>
            <w:noProof/>
            <w:webHidden/>
          </w:rPr>
        </w:r>
        <w:r w:rsidR="00E22B78">
          <w:rPr>
            <w:noProof/>
            <w:webHidden/>
          </w:rPr>
          <w:fldChar w:fldCharType="separate"/>
        </w:r>
        <w:r w:rsidR="00AD732F">
          <w:rPr>
            <w:noProof/>
            <w:webHidden/>
          </w:rPr>
          <w:t>148</w:t>
        </w:r>
        <w:r w:rsidR="00E22B78">
          <w:rPr>
            <w:noProof/>
            <w:webHidden/>
          </w:rPr>
          <w:fldChar w:fldCharType="end"/>
        </w:r>
      </w:hyperlink>
    </w:p>
    <w:p w14:paraId="57970477" w14:textId="77777777" w:rsidR="00E22B78" w:rsidRDefault="00D818C4">
      <w:pPr>
        <w:pStyle w:val="Obsah1"/>
        <w:tabs>
          <w:tab w:val="right" w:leader="dot" w:pos="9060"/>
        </w:tabs>
        <w:rPr>
          <w:rFonts w:asciiTheme="minorHAnsi" w:eastAsiaTheme="minorEastAsia" w:hAnsiTheme="minorHAnsi" w:cstheme="minorBidi"/>
          <w:noProof/>
          <w:sz w:val="22"/>
          <w:lang w:eastAsia="cs-CZ"/>
        </w:rPr>
      </w:pPr>
      <w:hyperlink w:anchor="_Toc14076963" w:history="1">
        <w:r w:rsidR="00E22B78" w:rsidRPr="007609D9">
          <w:rPr>
            <w:rStyle w:val="Hypertextovodkaz"/>
            <w:noProof/>
          </w:rPr>
          <w:t>Seznam grafů</w:t>
        </w:r>
        <w:r w:rsidR="00E22B78">
          <w:rPr>
            <w:noProof/>
            <w:webHidden/>
          </w:rPr>
          <w:tab/>
        </w:r>
        <w:r w:rsidR="00E22B78">
          <w:rPr>
            <w:noProof/>
            <w:webHidden/>
          </w:rPr>
          <w:fldChar w:fldCharType="begin"/>
        </w:r>
        <w:r w:rsidR="00E22B78">
          <w:rPr>
            <w:noProof/>
            <w:webHidden/>
          </w:rPr>
          <w:instrText xml:space="preserve"> PAGEREF _Toc14076963 \h </w:instrText>
        </w:r>
        <w:r w:rsidR="00E22B78">
          <w:rPr>
            <w:noProof/>
            <w:webHidden/>
          </w:rPr>
        </w:r>
        <w:r w:rsidR="00E22B78">
          <w:rPr>
            <w:noProof/>
            <w:webHidden/>
          </w:rPr>
          <w:fldChar w:fldCharType="separate"/>
        </w:r>
        <w:r w:rsidR="00AD732F">
          <w:rPr>
            <w:noProof/>
            <w:webHidden/>
          </w:rPr>
          <w:t>149</w:t>
        </w:r>
        <w:r w:rsidR="00E22B78">
          <w:rPr>
            <w:noProof/>
            <w:webHidden/>
          </w:rPr>
          <w:fldChar w:fldCharType="end"/>
        </w:r>
      </w:hyperlink>
    </w:p>
    <w:p w14:paraId="57931C1A" w14:textId="77777777" w:rsidR="00E22B78" w:rsidRDefault="00D818C4">
      <w:pPr>
        <w:pStyle w:val="Obsah1"/>
        <w:tabs>
          <w:tab w:val="right" w:leader="dot" w:pos="9060"/>
        </w:tabs>
        <w:rPr>
          <w:rFonts w:asciiTheme="minorHAnsi" w:eastAsiaTheme="minorEastAsia" w:hAnsiTheme="minorHAnsi" w:cstheme="minorBidi"/>
          <w:noProof/>
          <w:sz w:val="22"/>
          <w:lang w:eastAsia="cs-CZ"/>
        </w:rPr>
      </w:pPr>
      <w:hyperlink w:anchor="_Toc14076964" w:history="1">
        <w:r w:rsidR="00E22B78" w:rsidRPr="007609D9">
          <w:rPr>
            <w:rStyle w:val="Hypertextovodkaz"/>
            <w:noProof/>
          </w:rPr>
          <w:t>Seznam tabulek</w:t>
        </w:r>
        <w:r w:rsidR="00E22B78">
          <w:rPr>
            <w:noProof/>
            <w:webHidden/>
          </w:rPr>
          <w:tab/>
        </w:r>
        <w:r w:rsidR="00E22B78">
          <w:rPr>
            <w:noProof/>
            <w:webHidden/>
          </w:rPr>
          <w:fldChar w:fldCharType="begin"/>
        </w:r>
        <w:r w:rsidR="00E22B78">
          <w:rPr>
            <w:noProof/>
            <w:webHidden/>
          </w:rPr>
          <w:instrText xml:space="preserve"> PAGEREF _Toc14076964 \h </w:instrText>
        </w:r>
        <w:r w:rsidR="00E22B78">
          <w:rPr>
            <w:noProof/>
            <w:webHidden/>
          </w:rPr>
        </w:r>
        <w:r w:rsidR="00E22B78">
          <w:rPr>
            <w:noProof/>
            <w:webHidden/>
          </w:rPr>
          <w:fldChar w:fldCharType="separate"/>
        </w:r>
        <w:r w:rsidR="00AD732F">
          <w:rPr>
            <w:noProof/>
            <w:webHidden/>
          </w:rPr>
          <w:t>152</w:t>
        </w:r>
        <w:r w:rsidR="00E22B78">
          <w:rPr>
            <w:noProof/>
            <w:webHidden/>
          </w:rPr>
          <w:fldChar w:fldCharType="end"/>
        </w:r>
      </w:hyperlink>
    </w:p>
    <w:p w14:paraId="41A9E73D" w14:textId="77777777" w:rsidR="00E22B78" w:rsidRDefault="00D818C4">
      <w:pPr>
        <w:pStyle w:val="Obsah1"/>
        <w:tabs>
          <w:tab w:val="right" w:leader="dot" w:pos="9060"/>
        </w:tabs>
        <w:rPr>
          <w:rFonts w:asciiTheme="minorHAnsi" w:eastAsiaTheme="minorEastAsia" w:hAnsiTheme="minorHAnsi" w:cstheme="minorBidi"/>
          <w:noProof/>
          <w:sz w:val="22"/>
          <w:lang w:eastAsia="cs-CZ"/>
        </w:rPr>
      </w:pPr>
      <w:hyperlink w:anchor="_Toc14076965" w:history="1">
        <w:r w:rsidR="00E22B78" w:rsidRPr="007609D9">
          <w:rPr>
            <w:rStyle w:val="Hypertextovodkaz"/>
            <w:noProof/>
          </w:rPr>
          <w:t>Přílohy</w:t>
        </w:r>
        <w:r w:rsidR="00E22B78">
          <w:rPr>
            <w:noProof/>
            <w:webHidden/>
          </w:rPr>
          <w:tab/>
        </w:r>
        <w:r w:rsidR="00E22B78">
          <w:rPr>
            <w:noProof/>
            <w:webHidden/>
          </w:rPr>
          <w:fldChar w:fldCharType="begin"/>
        </w:r>
        <w:r w:rsidR="00E22B78">
          <w:rPr>
            <w:noProof/>
            <w:webHidden/>
          </w:rPr>
          <w:instrText xml:space="preserve"> PAGEREF _Toc14076965 \h </w:instrText>
        </w:r>
        <w:r w:rsidR="00E22B78">
          <w:rPr>
            <w:noProof/>
            <w:webHidden/>
          </w:rPr>
        </w:r>
        <w:r w:rsidR="00E22B78">
          <w:rPr>
            <w:noProof/>
            <w:webHidden/>
          </w:rPr>
          <w:fldChar w:fldCharType="separate"/>
        </w:r>
        <w:r w:rsidR="00AD732F">
          <w:rPr>
            <w:noProof/>
            <w:webHidden/>
          </w:rPr>
          <w:t>154</w:t>
        </w:r>
        <w:r w:rsidR="00E22B78">
          <w:rPr>
            <w:noProof/>
            <w:webHidden/>
          </w:rPr>
          <w:fldChar w:fldCharType="end"/>
        </w:r>
      </w:hyperlink>
    </w:p>
    <w:p w14:paraId="2E18E82D" w14:textId="77777777" w:rsidR="00E22B78" w:rsidRDefault="00D818C4">
      <w:pPr>
        <w:pStyle w:val="Obsah2"/>
        <w:rPr>
          <w:rFonts w:asciiTheme="minorHAnsi" w:eastAsiaTheme="minorEastAsia" w:hAnsiTheme="minorHAnsi" w:cstheme="minorBidi"/>
          <w:sz w:val="22"/>
          <w:lang w:eastAsia="cs-CZ"/>
        </w:rPr>
      </w:pPr>
      <w:hyperlink w:anchor="_Toc14076966" w:history="1">
        <w:r w:rsidR="00E22B78" w:rsidRPr="007609D9">
          <w:rPr>
            <w:rStyle w:val="Hypertextovodkaz"/>
          </w:rPr>
          <w:t>Příloha A – seznam použitých pojmů</w:t>
        </w:r>
        <w:r w:rsidR="00E22B78">
          <w:rPr>
            <w:webHidden/>
          </w:rPr>
          <w:tab/>
        </w:r>
        <w:r w:rsidR="00E22B78">
          <w:rPr>
            <w:webHidden/>
          </w:rPr>
          <w:fldChar w:fldCharType="begin"/>
        </w:r>
        <w:r w:rsidR="00E22B78">
          <w:rPr>
            <w:webHidden/>
          </w:rPr>
          <w:instrText xml:space="preserve"> PAGEREF _Toc14076966 \h </w:instrText>
        </w:r>
        <w:r w:rsidR="00E22B78">
          <w:rPr>
            <w:webHidden/>
          </w:rPr>
        </w:r>
        <w:r w:rsidR="00E22B78">
          <w:rPr>
            <w:webHidden/>
          </w:rPr>
          <w:fldChar w:fldCharType="separate"/>
        </w:r>
        <w:r w:rsidR="00AD732F">
          <w:rPr>
            <w:webHidden/>
          </w:rPr>
          <w:t>154</w:t>
        </w:r>
        <w:r w:rsidR="00E22B78">
          <w:rPr>
            <w:webHidden/>
          </w:rPr>
          <w:fldChar w:fldCharType="end"/>
        </w:r>
      </w:hyperlink>
    </w:p>
    <w:p w14:paraId="0C8FD819" w14:textId="77777777" w:rsidR="00E22B78" w:rsidRDefault="00D818C4">
      <w:pPr>
        <w:pStyle w:val="Obsah3"/>
        <w:rPr>
          <w:rFonts w:asciiTheme="minorHAnsi" w:eastAsiaTheme="minorEastAsia" w:hAnsiTheme="minorHAnsi" w:cstheme="minorBidi"/>
          <w:noProof/>
          <w:sz w:val="22"/>
          <w:lang w:eastAsia="cs-CZ"/>
        </w:rPr>
      </w:pPr>
      <w:hyperlink w:anchor="_Toc14076967" w:history="1">
        <w:r w:rsidR="00E22B78" w:rsidRPr="007609D9">
          <w:rPr>
            <w:rStyle w:val="Hypertextovodkaz"/>
            <w:noProof/>
          </w:rPr>
          <w:t>Statistické pojmy a použité statistické ukazatele</w:t>
        </w:r>
        <w:r w:rsidR="00E22B78">
          <w:rPr>
            <w:noProof/>
            <w:webHidden/>
          </w:rPr>
          <w:tab/>
        </w:r>
        <w:r w:rsidR="00E22B78">
          <w:rPr>
            <w:noProof/>
            <w:webHidden/>
          </w:rPr>
          <w:fldChar w:fldCharType="begin"/>
        </w:r>
        <w:r w:rsidR="00E22B78">
          <w:rPr>
            <w:noProof/>
            <w:webHidden/>
          </w:rPr>
          <w:instrText xml:space="preserve"> PAGEREF _Toc14076967 \h </w:instrText>
        </w:r>
        <w:r w:rsidR="00E22B78">
          <w:rPr>
            <w:noProof/>
            <w:webHidden/>
          </w:rPr>
        </w:r>
        <w:r w:rsidR="00E22B78">
          <w:rPr>
            <w:noProof/>
            <w:webHidden/>
          </w:rPr>
          <w:fldChar w:fldCharType="separate"/>
        </w:r>
        <w:r w:rsidR="00AD732F">
          <w:rPr>
            <w:noProof/>
            <w:webHidden/>
          </w:rPr>
          <w:t>154</w:t>
        </w:r>
        <w:r w:rsidR="00E22B78">
          <w:rPr>
            <w:noProof/>
            <w:webHidden/>
          </w:rPr>
          <w:fldChar w:fldCharType="end"/>
        </w:r>
      </w:hyperlink>
    </w:p>
    <w:p w14:paraId="0561F115" w14:textId="77777777" w:rsidR="00E22B78" w:rsidRDefault="00D818C4">
      <w:pPr>
        <w:pStyle w:val="Obsah3"/>
        <w:rPr>
          <w:rFonts w:asciiTheme="minorHAnsi" w:eastAsiaTheme="minorEastAsia" w:hAnsiTheme="minorHAnsi" w:cstheme="minorBidi"/>
          <w:noProof/>
          <w:sz w:val="22"/>
          <w:lang w:eastAsia="cs-CZ"/>
        </w:rPr>
      </w:pPr>
      <w:hyperlink w:anchor="_Toc14076968" w:history="1">
        <w:r w:rsidR="00E22B78" w:rsidRPr="007609D9">
          <w:rPr>
            <w:rStyle w:val="Hypertextovodkaz"/>
            <w:noProof/>
          </w:rPr>
          <w:t>Právní a ostatní pojmy</w:t>
        </w:r>
        <w:r w:rsidR="00E22B78">
          <w:rPr>
            <w:noProof/>
            <w:webHidden/>
          </w:rPr>
          <w:tab/>
        </w:r>
        <w:r w:rsidR="00E22B78">
          <w:rPr>
            <w:noProof/>
            <w:webHidden/>
          </w:rPr>
          <w:fldChar w:fldCharType="begin"/>
        </w:r>
        <w:r w:rsidR="00E22B78">
          <w:rPr>
            <w:noProof/>
            <w:webHidden/>
          </w:rPr>
          <w:instrText xml:space="preserve"> PAGEREF _Toc14076968 \h </w:instrText>
        </w:r>
        <w:r w:rsidR="00E22B78">
          <w:rPr>
            <w:noProof/>
            <w:webHidden/>
          </w:rPr>
        </w:r>
        <w:r w:rsidR="00E22B78">
          <w:rPr>
            <w:noProof/>
            <w:webHidden/>
          </w:rPr>
          <w:fldChar w:fldCharType="separate"/>
        </w:r>
        <w:r w:rsidR="00AD732F">
          <w:rPr>
            <w:noProof/>
            <w:webHidden/>
          </w:rPr>
          <w:t>158</w:t>
        </w:r>
        <w:r w:rsidR="00E22B78">
          <w:rPr>
            <w:noProof/>
            <w:webHidden/>
          </w:rPr>
          <w:fldChar w:fldCharType="end"/>
        </w:r>
      </w:hyperlink>
    </w:p>
    <w:p w14:paraId="196A565F" w14:textId="77777777" w:rsidR="00E22B78" w:rsidRDefault="00D818C4">
      <w:pPr>
        <w:pStyle w:val="Obsah2"/>
        <w:rPr>
          <w:rFonts w:asciiTheme="minorHAnsi" w:eastAsiaTheme="minorEastAsia" w:hAnsiTheme="minorHAnsi" w:cstheme="minorBidi"/>
          <w:sz w:val="22"/>
          <w:lang w:eastAsia="cs-CZ"/>
        </w:rPr>
      </w:pPr>
      <w:hyperlink w:anchor="_Toc14076969" w:history="1">
        <w:r w:rsidR="00E22B78" w:rsidRPr="007609D9">
          <w:rPr>
            <w:rStyle w:val="Hypertextovodkaz"/>
          </w:rPr>
          <w:t>Příloha B – seznam zkr. soudních okresů a soudních obvodů hl. m. Prahy</w:t>
        </w:r>
        <w:r w:rsidR="00E22B78">
          <w:rPr>
            <w:webHidden/>
          </w:rPr>
          <w:tab/>
        </w:r>
        <w:r w:rsidR="00E22B78">
          <w:rPr>
            <w:webHidden/>
          </w:rPr>
          <w:fldChar w:fldCharType="begin"/>
        </w:r>
        <w:r w:rsidR="00E22B78">
          <w:rPr>
            <w:webHidden/>
          </w:rPr>
          <w:instrText xml:space="preserve"> PAGEREF _Toc14076969 \h </w:instrText>
        </w:r>
        <w:r w:rsidR="00E22B78">
          <w:rPr>
            <w:webHidden/>
          </w:rPr>
        </w:r>
        <w:r w:rsidR="00E22B78">
          <w:rPr>
            <w:webHidden/>
          </w:rPr>
          <w:fldChar w:fldCharType="separate"/>
        </w:r>
        <w:r w:rsidR="00AD732F">
          <w:rPr>
            <w:webHidden/>
          </w:rPr>
          <w:t>163</w:t>
        </w:r>
        <w:r w:rsidR="00E22B78">
          <w:rPr>
            <w:webHidden/>
          </w:rPr>
          <w:fldChar w:fldCharType="end"/>
        </w:r>
      </w:hyperlink>
    </w:p>
    <w:p w14:paraId="1F8046A4" w14:textId="77777777" w:rsidR="00E22B78" w:rsidRDefault="00D818C4">
      <w:pPr>
        <w:pStyle w:val="Obsah2"/>
        <w:rPr>
          <w:rFonts w:asciiTheme="minorHAnsi" w:eastAsiaTheme="minorEastAsia" w:hAnsiTheme="minorHAnsi" w:cstheme="minorBidi"/>
          <w:sz w:val="22"/>
          <w:lang w:eastAsia="cs-CZ"/>
        </w:rPr>
      </w:pPr>
      <w:hyperlink w:anchor="_Toc14076970" w:history="1">
        <w:r w:rsidR="00E22B78" w:rsidRPr="007609D9">
          <w:rPr>
            <w:rStyle w:val="Hypertextovodkaz"/>
          </w:rPr>
          <w:t>Příloha C – seznam vybraných rejstříků soudů</w:t>
        </w:r>
        <w:r w:rsidR="00E22B78">
          <w:rPr>
            <w:webHidden/>
          </w:rPr>
          <w:tab/>
        </w:r>
        <w:r w:rsidR="00E22B78">
          <w:rPr>
            <w:webHidden/>
          </w:rPr>
          <w:fldChar w:fldCharType="begin"/>
        </w:r>
        <w:r w:rsidR="00E22B78">
          <w:rPr>
            <w:webHidden/>
          </w:rPr>
          <w:instrText xml:space="preserve"> PAGEREF _Toc14076970 \h </w:instrText>
        </w:r>
        <w:r w:rsidR="00E22B78">
          <w:rPr>
            <w:webHidden/>
          </w:rPr>
        </w:r>
        <w:r w:rsidR="00E22B78">
          <w:rPr>
            <w:webHidden/>
          </w:rPr>
          <w:fldChar w:fldCharType="separate"/>
        </w:r>
        <w:r w:rsidR="00AD732F">
          <w:rPr>
            <w:webHidden/>
          </w:rPr>
          <w:t>164</w:t>
        </w:r>
        <w:r w:rsidR="00E22B78">
          <w:rPr>
            <w:webHidden/>
          </w:rPr>
          <w:fldChar w:fldCharType="end"/>
        </w:r>
      </w:hyperlink>
    </w:p>
    <w:p w14:paraId="1722CA09" w14:textId="77777777" w:rsidR="00E22B78" w:rsidRDefault="00D818C4">
      <w:pPr>
        <w:pStyle w:val="Obsah2"/>
        <w:rPr>
          <w:rFonts w:asciiTheme="minorHAnsi" w:eastAsiaTheme="minorEastAsia" w:hAnsiTheme="minorHAnsi" w:cstheme="minorBidi"/>
          <w:sz w:val="22"/>
          <w:lang w:eastAsia="cs-CZ"/>
        </w:rPr>
      </w:pPr>
      <w:hyperlink w:anchor="_Toc14076971" w:history="1">
        <w:r w:rsidR="00E22B78" w:rsidRPr="007609D9">
          <w:rPr>
            <w:rStyle w:val="Hypertextovodkaz"/>
          </w:rPr>
          <w:t>Příloha D – přehledové listy s daty soudů</w:t>
        </w:r>
        <w:r w:rsidR="00E22B78">
          <w:rPr>
            <w:webHidden/>
          </w:rPr>
          <w:tab/>
        </w:r>
        <w:r w:rsidR="00E22B78">
          <w:rPr>
            <w:webHidden/>
          </w:rPr>
          <w:fldChar w:fldCharType="begin"/>
        </w:r>
        <w:r w:rsidR="00E22B78">
          <w:rPr>
            <w:webHidden/>
          </w:rPr>
          <w:instrText xml:space="preserve"> PAGEREF _Toc14076971 \h </w:instrText>
        </w:r>
        <w:r w:rsidR="00E22B78">
          <w:rPr>
            <w:webHidden/>
          </w:rPr>
        </w:r>
        <w:r w:rsidR="00E22B78">
          <w:rPr>
            <w:webHidden/>
          </w:rPr>
          <w:fldChar w:fldCharType="separate"/>
        </w:r>
        <w:r w:rsidR="00AD732F">
          <w:rPr>
            <w:webHidden/>
          </w:rPr>
          <w:t>166</w:t>
        </w:r>
        <w:r w:rsidR="00E22B78">
          <w:rPr>
            <w:webHidden/>
          </w:rPr>
          <w:fldChar w:fldCharType="end"/>
        </w:r>
      </w:hyperlink>
    </w:p>
    <w:p w14:paraId="294726BD" w14:textId="77777777" w:rsidR="000B6D87" w:rsidRPr="00F85178" w:rsidRDefault="000B6D87" w:rsidP="000B6D87">
      <w:r w:rsidRPr="00F85178">
        <w:fldChar w:fldCharType="end"/>
      </w:r>
    </w:p>
    <w:p w14:paraId="29A5F149" w14:textId="77777777" w:rsidR="00C63D20" w:rsidRPr="00F85178" w:rsidRDefault="00C63D20" w:rsidP="00C63D20">
      <w:pPr>
        <w:pStyle w:val="Nadpis1"/>
      </w:pPr>
      <w:bookmarkStart w:id="2" w:name="_Toc487791222"/>
      <w:bookmarkStart w:id="3" w:name="_Toc14076864"/>
      <w:r w:rsidRPr="00F85178">
        <w:t>Úvod</w:t>
      </w:r>
      <w:bookmarkEnd w:id="2"/>
      <w:bookmarkEnd w:id="3"/>
    </w:p>
    <w:p w14:paraId="5E264214" w14:textId="77777777" w:rsidR="006C5D41" w:rsidRPr="00F85178" w:rsidRDefault="006C5D41" w:rsidP="006C5D41">
      <w:pPr>
        <w:pStyle w:val="OdstavecASR"/>
      </w:pPr>
      <w:r w:rsidRPr="00F85178">
        <w:t>Cílem této výroční zprávy je seznámit odbornou i laickou veřejnost s činností české justice z pohledu statistik. Zpráva obsahuje vybraná statistická data za okresní, krajské a vrchní soudy, Nejvyšší soud a Nejvyšší správní soud. Každému článku soudní soustavy se věnuje jedna část, která se následně dělí na kapitoly a podkapitoly. Každá kapitola se zabývá buď vybranou agendou soudu, nebo obsahuje údaje o personálu. Dílčí podkapitoly se pak zaměřují na určitý statistický ukazatel (délka řízení, vyřizování věcí apod.).</w:t>
      </w:r>
    </w:p>
    <w:p w14:paraId="7CC1DAD2" w14:textId="77777777" w:rsidR="006C5D41" w:rsidRPr="00F85178" w:rsidRDefault="006C5D41" w:rsidP="006C5D41">
      <w:pPr>
        <w:pStyle w:val="OdstavecASR"/>
      </w:pPr>
      <w:r w:rsidRPr="00F85178">
        <w:t>Kapitola </w:t>
      </w:r>
      <w:r w:rsidR="005C706B" w:rsidRPr="00F85178">
        <w:t>1.1</w:t>
      </w:r>
      <w:r w:rsidRPr="00F85178">
        <w:t xml:space="preserve"> podrobněji vysvětluje účel této zprávy, seznamuje čtenáře s jejími základními východisky, předpoklady a určitými omezeními a přidává další poznámky, které je třeba mít při čtení dokumentu na mysli.</w:t>
      </w:r>
    </w:p>
    <w:p w14:paraId="33F49729" w14:textId="3E88F60D" w:rsidR="006C5D41" w:rsidRPr="00F85178" w:rsidRDefault="006C5D41" w:rsidP="006C5D41">
      <w:pPr>
        <w:pStyle w:val="OdstavecASR"/>
      </w:pPr>
      <w:r w:rsidRPr="00F85178">
        <w:t>Statistická výroční zpráva za rok 2018 je v mnoha ohledech (obsažená data, metodologie komentáře, grafická úprava apod.) velmi podobná zprávám předchozím. Avšak určitých změn doznala</w:t>
      </w:r>
      <w:r w:rsidR="00BC3D5F">
        <w:t>. B</w:t>
      </w:r>
      <w:r w:rsidRPr="00F85178">
        <w:t>yly doplněny nové ukazatele, upřesněna metodika některých výpočtů apod. Kapitola </w:t>
      </w:r>
      <w:r w:rsidR="005C706B" w:rsidRPr="00F85178">
        <w:t>1.2</w:t>
      </w:r>
      <w:r w:rsidRPr="00F85178">
        <w:t xml:space="preserve"> vyjmenovává a stručně popisuje nejvýznamnější z těchto změn.</w:t>
      </w:r>
    </w:p>
    <w:p w14:paraId="4957D6E3" w14:textId="77777777" w:rsidR="00717713" w:rsidRPr="00F85178" w:rsidRDefault="00717713" w:rsidP="00717713">
      <w:pPr>
        <w:pStyle w:val="Nadpis2"/>
      </w:pPr>
      <w:bookmarkStart w:id="4" w:name="_Ref482901858"/>
      <w:bookmarkStart w:id="5" w:name="_Ref482901954"/>
      <w:bookmarkStart w:id="6" w:name="_Toc487791223"/>
      <w:bookmarkStart w:id="7" w:name="_Toc517118504"/>
      <w:bookmarkStart w:id="8" w:name="_Toc14076865"/>
      <w:r w:rsidRPr="00F85178">
        <w:t>Základní východiska, předpoklady, omezení a upřesňující poznámky</w:t>
      </w:r>
      <w:bookmarkEnd w:id="4"/>
      <w:bookmarkEnd w:id="5"/>
      <w:bookmarkEnd w:id="6"/>
      <w:bookmarkEnd w:id="7"/>
      <w:bookmarkEnd w:id="8"/>
    </w:p>
    <w:p w14:paraId="49DB97E2" w14:textId="77777777" w:rsidR="00717713" w:rsidRPr="00F85178" w:rsidRDefault="00717713" w:rsidP="00717713">
      <w:pPr>
        <w:pStyle w:val="OdstavecASR"/>
      </w:pPr>
      <w:r w:rsidRPr="00F85178">
        <w:t>Při čtení této zprávy je třeba pamatovat zejména na následující skutečnosti:</w:t>
      </w:r>
    </w:p>
    <w:p w14:paraId="085E95A4" w14:textId="77777777" w:rsidR="00717713" w:rsidRPr="00F85178" w:rsidRDefault="00717713" w:rsidP="00717713">
      <w:pPr>
        <w:pStyle w:val="Odstavecseseznamem"/>
        <w:numPr>
          <w:ilvl w:val="0"/>
          <w:numId w:val="2"/>
        </w:numPr>
      </w:pPr>
      <w:r w:rsidRPr="00F85178">
        <w:t>Cílem zprávy je poskytnout čtenáři přístupný, ale poměrně detailní náhled na fungování české justice prostřednictvím statistik. Oproti ostatním veřejně dostupným zdrojům justičních statistik (Justiční statistické ročenky</w:t>
      </w:r>
      <w:r w:rsidRPr="00F85178">
        <w:rPr>
          <w:rStyle w:val="Znakapoznpodarou"/>
        </w:rPr>
        <w:footnoteReference w:id="2"/>
      </w:r>
      <w:r w:rsidRPr="00F85178">
        <w:t xml:space="preserve">, </w:t>
      </w:r>
      <w:hyperlink r:id="rId11" w:history="1">
        <w:r w:rsidRPr="00957D55">
          <w:rPr>
            <w:rStyle w:val="Hypertextovodkaz"/>
          </w:rPr>
          <w:t>internetové stránky InfoData</w:t>
        </w:r>
      </w:hyperlink>
      <w:r w:rsidRPr="00F85178">
        <w:t>, data publikovaná Českým statistickým úřadem) má tato zpráva mnoho výhod:</w:t>
      </w:r>
    </w:p>
    <w:p w14:paraId="2F9F7491" w14:textId="77777777" w:rsidR="00717713" w:rsidRPr="00F85178" w:rsidRDefault="00717713" w:rsidP="00717713">
      <w:pPr>
        <w:pStyle w:val="Odstavecseseznamem"/>
        <w:numPr>
          <w:ilvl w:val="1"/>
          <w:numId w:val="2"/>
        </w:numPr>
      </w:pPr>
      <w:r w:rsidRPr="00F85178">
        <w:t>Obsahuje množství dat, která nejsou jinak dostupná, například nejen průměrné, ale i mediánové délky řízení.</w:t>
      </w:r>
    </w:p>
    <w:p w14:paraId="1347BD2A" w14:textId="77777777" w:rsidR="00717713" w:rsidRPr="00F85178" w:rsidRDefault="00717713" w:rsidP="00717713">
      <w:pPr>
        <w:pStyle w:val="Odstavecseseznamem"/>
        <w:numPr>
          <w:ilvl w:val="1"/>
          <w:numId w:val="2"/>
        </w:numPr>
      </w:pPr>
      <w:r w:rsidRPr="00F85178">
        <w:t>V průběhu let docházelo ke změnám v legislativě a způsobu vedení statistik a některé zdroje (například InfoData) vždy detailně nerozlišují rejstříky. Ostatní zdroje dat rovněž obsahují jisté, byť velmi malé, množství chybných pozorování. Data v této zprávě jsou vždy, když je to možné, očištěna, výše zmíněnými nedostatky tak netrpí.</w:t>
      </w:r>
    </w:p>
    <w:p w14:paraId="4230A99B" w14:textId="77777777" w:rsidR="00717713" w:rsidRPr="00F85178" w:rsidRDefault="00717713" w:rsidP="00717713">
      <w:pPr>
        <w:pStyle w:val="Odstavecseseznamem"/>
        <w:numPr>
          <w:ilvl w:val="1"/>
          <w:numId w:val="2"/>
        </w:numPr>
      </w:pPr>
      <w:r w:rsidRPr="00F85178">
        <w:t>Data jsou zobrazena v přehledné podobě v různých typech grafů, případně tabulkách. Především sledování vývoje ukazatelů v čase nebo rozdílů mezi jednotlivými soudy je takto výrazně snadnější.</w:t>
      </w:r>
    </w:p>
    <w:p w14:paraId="5FE785BC" w14:textId="77777777" w:rsidR="00717713" w:rsidRPr="00F85178" w:rsidRDefault="00717713" w:rsidP="00717713">
      <w:pPr>
        <w:pStyle w:val="Odstavecseseznamem"/>
        <w:numPr>
          <w:ilvl w:val="1"/>
          <w:numId w:val="2"/>
        </w:numPr>
      </w:pPr>
      <w:r w:rsidRPr="00F85178">
        <w:t>Data jsou doplněna komentářem a vysvětlivkami.</w:t>
      </w:r>
    </w:p>
    <w:p w14:paraId="500262C0" w14:textId="77777777" w:rsidR="00717713" w:rsidRPr="00F85178" w:rsidRDefault="00717713" w:rsidP="00717713">
      <w:pPr>
        <w:pStyle w:val="Odstavecseseznamem"/>
        <w:numPr>
          <w:ilvl w:val="0"/>
          <w:numId w:val="2"/>
        </w:numPr>
      </w:pPr>
      <w:r w:rsidRPr="00F85178">
        <w:t>Zpráva sice poskytuje detailní náhled, nejedná se však o podrobnou analýzu dané problematiky. K takové analýze by byla třeba hlubší práce s daty a využití pokročilejších statistických a ekonometrických metod, které ale přesahují účel tohoto materiálu. Ve zprávě jsou téměř výhradně využita statistická data dostupná Ministerstvu spravedlnosti, velmi zřídka pak další „nestatistické“ informace z jiných zdrojů.</w:t>
      </w:r>
    </w:p>
    <w:p w14:paraId="06933758" w14:textId="77777777" w:rsidR="00717713" w:rsidRPr="00F85178" w:rsidRDefault="00717713" w:rsidP="00717713">
      <w:pPr>
        <w:pStyle w:val="Odstavecseseznamem"/>
        <w:numPr>
          <w:ilvl w:val="0"/>
          <w:numId w:val="2"/>
        </w:numPr>
      </w:pPr>
      <w:r w:rsidRPr="00F85178">
        <w:t>Definitivní závěry nemohou být vyvozovány pouze na základě jednoho statistického ukazatele. Například vysoké délky řízení nemusí znamenat (a často také neznamenají), že soud pracuje špatně. Mohou ve skutečnosti ukazovat to, že soud z nějakého důvodu (malý počet personálu, špatná organizace práce apod.) přestal zvládat vyřizovat svou agendu před několika lety, a ačkoliv již nyní pracuje dobře, potýká se s problémy, které vznikly dříve.</w:t>
      </w:r>
    </w:p>
    <w:p w14:paraId="58BEEB68" w14:textId="77777777" w:rsidR="00717713" w:rsidRPr="00F85178" w:rsidRDefault="00717713" w:rsidP="00717713">
      <w:pPr>
        <w:pStyle w:val="Odstavecseseznamem"/>
        <w:numPr>
          <w:ilvl w:val="0"/>
          <w:numId w:val="2"/>
        </w:numPr>
      </w:pPr>
      <w:r w:rsidRPr="00F85178">
        <w:t>Zpráva se zabývá pouze hlavními agendami soudů. Soudy ale vyřizují i množství vedlejších agend. Základní údaje o nich lze najít v jiných informačních zdrojích (InfoData, Statistická ročenka). Další rozcestník lze najít na internetových stránkách Ministerstva spravedlnosti, v části věnující se justiční statistice</w:t>
      </w:r>
      <w:r w:rsidRPr="00F85178">
        <w:rPr>
          <w:rStyle w:val="Znakapoznpodarou"/>
        </w:rPr>
        <w:footnoteReference w:id="3"/>
      </w:r>
      <w:r w:rsidRPr="00F85178">
        <w:t>.</w:t>
      </w:r>
    </w:p>
    <w:p w14:paraId="2F59D6B7" w14:textId="77777777" w:rsidR="00717713" w:rsidRPr="00F85178" w:rsidRDefault="00717713" w:rsidP="00717713">
      <w:pPr>
        <w:pStyle w:val="Odstavecseseznamem"/>
        <w:numPr>
          <w:ilvl w:val="0"/>
          <w:numId w:val="2"/>
        </w:numPr>
      </w:pPr>
      <w:r w:rsidRPr="00F85178">
        <w:t xml:space="preserve">Soudní obvody neodpovídají novému samosprávnímu členění státu a vycházejí v základu ze správního členění z roku 1960. Na úrovni okresů se hranice často liší pouze mírně. Větší odlišnosti můžeme najít u okresů Brno-venkov, Břeclav, Žďár nad Sázavou, Praha-východ, Kolín, Ostrava-město, Frýdek-Místek, Nový Jičín, Plzeň-jih nebo Plzeň-město. Výrazně větší rozdíly jsou patrné na úrovni krajů, když existuje 14 samosprávných krajů, ale jen 8 krajů soudních. Tato zpráva se zaměřuje na justici a vychází tedy pouze ze soudního členění. Například pojmem </w:t>
      </w:r>
      <w:r w:rsidRPr="00F85178">
        <w:rPr>
          <w:i/>
        </w:rPr>
        <w:t>kraj</w:t>
      </w:r>
      <w:r w:rsidRPr="00F85178">
        <w:t xml:space="preserve"> se tedy myslí kraj podle soudního členění. Hlavní město Praha má podle soudního členění 10 obvodů.</w:t>
      </w:r>
    </w:p>
    <w:p w14:paraId="248EED78" w14:textId="77777777" w:rsidR="00717713" w:rsidRPr="00F85178" w:rsidRDefault="00717713" w:rsidP="00717713">
      <w:pPr>
        <w:pStyle w:val="Odstavecseseznamem"/>
        <w:numPr>
          <w:ilvl w:val="0"/>
          <w:numId w:val="2"/>
        </w:numPr>
      </w:pPr>
      <w:r w:rsidRPr="00F85178">
        <w:t>Ačkoliv je to na první pohled nelogické, ve statistikách týkajících se vyřizování věcí nutně neplatí, že (nevyřízené věci)</w:t>
      </w:r>
      <w:r w:rsidRPr="00F85178">
        <w:rPr>
          <w:vertAlign w:val="subscript"/>
        </w:rPr>
        <w:t>t-1</w:t>
      </w:r>
      <w:r w:rsidRPr="00F85178">
        <w:t xml:space="preserve"> + (příchozí věci)</w:t>
      </w:r>
      <w:r w:rsidRPr="00F85178">
        <w:rPr>
          <w:vertAlign w:val="subscript"/>
        </w:rPr>
        <w:t>t</w:t>
      </w:r>
      <w:r w:rsidRPr="00F85178">
        <w:t xml:space="preserve"> – (vyřízené věci)</w:t>
      </w:r>
      <w:r w:rsidRPr="00F85178">
        <w:rPr>
          <w:vertAlign w:val="subscript"/>
        </w:rPr>
        <w:t xml:space="preserve">t </w:t>
      </w:r>
      <w:r w:rsidRPr="00F85178">
        <w:t>= (nevyřízené věci)</w:t>
      </w:r>
      <w:r w:rsidRPr="00F85178">
        <w:rPr>
          <w:vertAlign w:val="subscript"/>
        </w:rPr>
        <w:t>t</w:t>
      </w:r>
      <w:r w:rsidRPr="00F85178">
        <w:t>. Tedy například, že počet nevyřízených věcí na konci roku 2008 + počet příchozích věcí v roce 2009 – počet vyřízených věcí v roce 2009 se rovná počtu nevyřízených věcí na konci roku 2009. Příčinou je oprava chybně vyznačených dat, která se projeví v novějších výkazech. Odchylky se nicméně pohybují v řádu jednotek a nemají žádný relevantní vliv.</w:t>
      </w:r>
    </w:p>
    <w:p w14:paraId="1A38D6E8" w14:textId="77777777" w:rsidR="00717713" w:rsidRPr="00F85178" w:rsidRDefault="00717713" w:rsidP="00717713">
      <w:pPr>
        <w:pStyle w:val="Odstavecseseznamem"/>
        <w:numPr>
          <w:ilvl w:val="0"/>
          <w:numId w:val="2"/>
        </w:numPr>
      </w:pPr>
      <w:r w:rsidRPr="00F85178">
        <w:t>U grafů je třeba věnovat pozornost měřítku na ose </w:t>
      </w:r>
      <w:r w:rsidRPr="00F85178">
        <w:rPr>
          <w:i/>
        </w:rPr>
        <w:t xml:space="preserve">y </w:t>
      </w:r>
      <w:r w:rsidRPr="00F85178">
        <w:t>(svislá osa), měřítka se totiž liší. Stejně důležitý je rozsah osy. Ta totiž velmi často nezačíná na hodnotě 0, ale na hodnotě vyšší. Na první pohled se tak mohou rozdíly zdát větší, než pak ve skutečnosti jsou. U kartogramů musíme sledovat velikost intervalů.</w:t>
      </w:r>
    </w:p>
    <w:p w14:paraId="1199529C" w14:textId="77777777" w:rsidR="00717713" w:rsidRPr="00F85178" w:rsidRDefault="00717713" w:rsidP="00717713">
      <w:pPr>
        <w:pStyle w:val="Odstavecseseznamem"/>
        <w:numPr>
          <w:ilvl w:val="0"/>
          <w:numId w:val="2"/>
        </w:numPr>
      </w:pPr>
      <w:r w:rsidRPr="00F85178">
        <w:t>U trestních agend je potřeba rozlišovat mezi počtem věcí a počtem osob. Z podstaty trestního řízení totiž vyplývá, že směřuje proti osobě, vůči které je vedeno. Jedna trestní věc může zahrnovat i více osob, počet osob tak může být výrazně vyšší než počet věcí. To platí především u krajských a vrchních soudů. Tato zpráva se zabývá pouze počtem věcí. Za zmínku stojí fakt, že počet stíhaných osob lze považovat za aproximaci složitosti věci. Více osob znamená zpravidla složitější věc.</w:t>
      </w:r>
    </w:p>
    <w:p w14:paraId="4202D35C" w14:textId="77777777" w:rsidR="00717713" w:rsidRPr="00F85178" w:rsidRDefault="00717713" w:rsidP="00717713">
      <w:pPr>
        <w:pStyle w:val="Odstavecseseznamem"/>
        <w:numPr>
          <w:ilvl w:val="0"/>
          <w:numId w:val="2"/>
        </w:numPr>
      </w:pPr>
      <w:r w:rsidRPr="00F85178">
        <w:t>Mediánová délka řízení má z trojice medián, průměr a percentil 90 nejlepší vypovídající hodnotu. Proto v kartogramech využíváme mediánovou délku řízení a ne průměrnou délku řízení nebo devadesátý percentil.</w:t>
      </w:r>
    </w:p>
    <w:p w14:paraId="01733C1B" w14:textId="77777777" w:rsidR="00717713" w:rsidRPr="00F85178" w:rsidRDefault="00717713" w:rsidP="00717713">
      <w:pPr>
        <w:pStyle w:val="Odstavecseseznamem"/>
        <w:numPr>
          <w:ilvl w:val="0"/>
          <w:numId w:val="2"/>
        </w:numPr>
      </w:pPr>
      <w:r w:rsidRPr="00F85178">
        <w:t>Seznam použitých pojmů, seznam zkratek soudních okresů a soudních obvodů hlavního města Prahy využitých v kartogramech a seznam vybraných rejstříků soudů naleznete v příloze této zprávy.</w:t>
      </w:r>
    </w:p>
    <w:p w14:paraId="3CD57674" w14:textId="763AFF0A" w:rsidR="00717713" w:rsidRPr="00E729D7" w:rsidRDefault="00484BE6" w:rsidP="00E729D7">
      <w:pPr>
        <w:pStyle w:val="Odstavecseseznamem"/>
        <w:numPr>
          <w:ilvl w:val="0"/>
          <w:numId w:val="2"/>
        </w:numPr>
      </w:pPr>
      <w:r w:rsidRPr="00F85178">
        <w:t xml:space="preserve">Přesné číselné údaje o jednotlivých okresních soudech </w:t>
      </w:r>
      <w:r w:rsidR="00E729D7">
        <w:t>jsou v Příloze D</w:t>
      </w:r>
      <w:r w:rsidRPr="00F85178">
        <w:t xml:space="preserve">. Lze je </w:t>
      </w:r>
      <w:r w:rsidR="00E729D7">
        <w:t xml:space="preserve">také </w:t>
      </w:r>
      <w:r w:rsidRPr="00F85178">
        <w:t>dohledat na internetových stránkách Ministerstva spravedlnosti, v části věnující se justiční statistice.</w:t>
      </w:r>
      <w:r w:rsidR="00717713" w:rsidRPr="00F85178">
        <w:br w:type="page"/>
      </w:r>
    </w:p>
    <w:p w14:paraId="642E2525" w14:textId="77777777" w:rsidR="00B80F4C" w:rsidRPr="00F85178" w:rsidRDefault="00B80F4C" w:rsidP="00B80F4C">
      <w:pPr>
        <w:pStyle w:val="Nadpis2"/>
      </w:pPr>
      <w:bookmarkStart w:id="9" w:name="_Ref508884198"/>
      <w:bookmarkStart w:id="10" w:name="_Toc517118505"/>
      <w:bookmarkStart w:id="11" w:name="_Toc14076866"/>
      <w:r w:rsidRPr="00F85178">
        <w:t>Změny oproti verzi z minulého roku</w:t>
      </w:r>
      <w:bookmarkEnd w:id="9"/>
      <w:bookmarkEnd w:id="10"/>
      <w:bookmarkEnd w:id="11"/>
    </w:p>
    <w:p w14:paraId="5953DC0C" w14:textId="77777777" w:rsidR="00B80F4C" w:rsidRPr="00F85178" w:rsidRDefault="00B80F4C" w:rsidP="00B80F4C">
      <w:pPr>
        <w:pStyle w:val="OdstavecASR"/>
      </w:pPr>
      <w:r w:rsidRPr="00F85178">
        <w:t>Statistická výroční zpráva za rok 2018 je v mnoha ohledech (obsažená data, metodologie komentáře, grafická úprava apod.) velmi podobná zprávě za rok 2017. Avšak určitých změn doznala. Změny jsou následující:</w:t>
      </w:r>
    </w:p>
    <w:p w14:paraId="012DAFE0" w14:textId="77777777" w:rsidR="00B80F4C" w:rsidRPr="00F85178" w:rsidRDefault="00B80F4C" w:rsidP="00B80F4C">
      <w:pPr>
        <w:pStyle w:val="Odstavecseseznamem"/>
        <w:numPr>
          <w:ilvl w:val="0"/>
          <w:numId w:val="3"/>
        </w:numPr>
      </w:pPr>
      <w:r w:rsidRPr="00F85178">
        <w:t xml:space="preserve">U některých agend uvádíme jiné </w:t>
      </w:r>
      <w:r w:rsidRPr="00F85178">
        <w:rPr>
          <w:i/>
        </w:rPr>
        <w:t>další statistiky</w:t>
      </w:r>
      <w:r w:rsidRPr="00F85178">
        <w:t xml:space="preserve"> než v roce 2017.</w:t>
      </w:r>
    </w:p>
    <w:p w14:paraId="311A5D33" w14:textId="77777777" w:rsidR="0032015B" w:rsidRDefault="00B80F4C" w:rsidP="00B80F4C">
      <w:pPr>
        <w:pStyle w:val="Odstavecseseznamem"/>
        <w:numPr>
          <w:ilvl w:val="0"/>
          <w:numId w:val="3"/>
        </w:numPr>
      </w:pPr>
      <w:r w:rsidRPr="00F85178">
        <w:t xml:space="preserve">U některých tabulek s průřezovými daty </w:t>
      </w:r>
      <w:r w:rsidR="0028733C" w:rsidRPr="00F85178">
        <w:t xml:space="preserve">uvádíme </w:t>
      </w:r>
      <w:r w:rsidRPr="00F85178">
        <w:t xml:space="preserve">procentuální změnu oproti roku 2017. Lze tak vidět, jak se vybraný ukazatel oproti předchozímu roku </w:t>
      </w:r>
      <w:r w:rsidR="0028733C" w:rsidRPr="00F85178">
        <w:t>změnil.</w:t>
      </w:r>
    </w:p>
    <w:p w14:paraId="0F84CAA0" w14:textId="2B067099" w:rsidR="004C3883" w:rsidRPr="00F85178" w:rsidRDefault="00F52209" w:rsidP="00B80F4C">
      <w:pPr>
        <w:pStyle w:val="Odstavecseseznamem"/>
        <w:numPr>
          <w:ilvl w:val="0"/>
          <w:numId w:val="3"/>
        </w:numPr>
      </w:pPr>
      <w:r w:rsidRPr="00F85178">
        <w:t>Mírně jsme r</w:t>
      </w:r>
      <w:r w:rsidR="004C3883" w:rsidRPr="00F85178">
        <w:t xml:space="preserve">ozšířili </w:t>
      </w:r>
      <w:r w:rsidRPr="00F85178">
        <w:t xml:space="preserve">kapitoly </w:t>
      </w:r>
      <w:r w:rsidR="004C3883" w:rsidRPr="00F85178">
        <w:t>o soud</w:t>
      </w:r>
      <w:r w:rsidRPr="00F85178">
        <w:t>n</w:t>
      </w:r>
      <w:r w:rsidR="004C3883" w:rsidRPr="00F85178">
        <w:t>ím personálu</w:t>
      </w:r>
      <w:r w:rsidR="0028733C" w:rsidRPr="00F85178">
        <w:t>.</w:t>
      </w:r>
    </w:p>
    <w:p w14:paraId="745E0A5A" w14:textId="77777777" w:rsidR="00B80F4C" w:rsidRPr="00F85178" w:rsidRDefault="00B80F4C" w:rsidP="00B80F4C">
      <w:pPr>
        <w:pStyle w:val="OdstavecASR"/>
      </w:pPr>
      <w:r w:rsidRPr="00F85178">
        <w:t>Avšak zejména jsme doplnili data za rok 2018, upravili jsme grafy a textovou část jsme rozšířili a výrazně upravili.</w:t>
      </w:r>
    </w:p>
    <w:p w14:paraId="56C021AB" w14:textId="77777777" w:rsidR="00B80F4C" w:rsidRPr="00F85178" w:rsidRDefault="00B80F4C" w:rsidP="00B80F4C">
      <w:pPr>
        <w:pStyle w:val="Nadpis1"/>
      </w:pPr>
      <w:bookmarkStart w:id="12" w:name="_Toc517118506"/>
      <w:bookmarkStart w:id="13" w:name="_Toc14076867"/>
      <w:r w:rsidRPr="00F85178">
        <w:t>Okresní soudy</w:t>
      </w:r>
      <w:bookmarkEnd w:id="12"/>
      <w:bookmarkEnd w:id="13"/>
    </w:p>
    <w:p w14:paraId="23D88A72" w14:textId="77777777" w:rsidR="00B80F4C" w:rsidRPr="00F85178" w:rsidRDefault="00B80F4C" w:rsidP="00B80F4C">
      <w:pPr>
        <w:pStyle w:val="OdstavecASR"/>
      </w:pPr>
      <w:r w:rsidRPr="00F85178">
        <w:t>Tato část výroční zprávy obsahuje data, která se týkají všech okresních soudů (OS) v ČR. Jedná se tedy o 75 okresních soudů, Městský soud v Brně a 10 obvodních soudů v Praze.</w:t>
      </w:r>
    </w:p>
    <w:p w14:paraId="4543EB6A" w14:textId="77777777" w:rsidR="00B80F4C" w:rsidRPr="00F85178" w:rsidRDefault="00B80F4C" w:rsidP="00B80F4C">
      <w:pPr>
        <w:pStyle w:val="OdstavecASR"/>
      </w:pPr>
      <w:r w:rsidRPr="00F85178">
        <w:t>V první podkapitole uvádíme statistiky týkající se počtu soudců a počtu zaměstnanců ve výkonu. Další podkapitoly se věnují jednotlivým soudním agendám. Okresní soudy jsou soudy prvoinstanční a vyřizují v zásadě tři hlavní typy agend – civilní, trestní a opatrovnickou.</w:t>
      </w:r>
    </w:p>
    <w:p w14:paraId="59AB1D98" w14:textId="2D362E66" w:rsidR="00B80F4C" w:rsidRPr="00F85178" w:rsidRDefault="00B80F4C" w:rsidP="00B80F4C">
      <w:pPr>
        <w:pStyle w:val="OdstavecASR"/>
      </w:pPr>
      <w:r w:rsidRPr="00F85178">
        <w:t>Pro většinu agend (tedy ve většině podkapitol) uvádíme délky řízení ode dne nápadu do dne vyřízení soudem I. stupně (průměr, medián a percentil 90). Dále následují data týkající se vyřizování věcí: nápad + obživlé věci, vyřízené věci, nevyřízené věci a míra vyřizování (vyřízené věci/příchozí věci × 100 %). V závěru uvádíme i další zajímavé statistiky (např. míru odvolání). Údaje jsou většinou řazeny v časových řadách pro celou ČR, následují data za kraje v roce 2018 a kartogramy pro jednotlivé okresní soudy.</w:t>
      </w:r>
      <w:r w:rsidR="0028768C" w:rsidRPr="00F85178">
        <w:t xml:space="preserve"> V tabulkách s průřezovými daty po krajích je také menším </w:t>
      </w:r>
      <w:r w:rsidR="004C15FF" w:rsidRPr="00F85178">
        <w:t>písme</w:t>
      </w:r>
      <w:r w:rsidR="004C15FF">
        <w:t>m</w:t>
      </w:r>
      <w:r w:rsidR="004C15FF" w:rsidRPr="00F85178">
        <w:t xml:space="preserve"> </w:t>
      </w:r>
      <w:r w:rsidR="0028768C" w:rsidRPr="00F85178">
        <w:t xml:space="preserve">uvedena změna oproti roku 2017. </w:t>
      </w:r>
      <w:r w:rsidRPr="00F85178">
        <w:t>U délky řízení je pomocí histogramu rovněž zobrazeno její rozdělení v roce 2018.</w:t>
      </w:r>
    </w:p>
    <w:p w14:paraId="149B3321" w14:textId="77777777" w:rsidR="00B80F4C" w:rsidRPr="00F85178" w:rsidRDefault="00B80F4C" w:rsidP="00B80F4C">
      <w:pPr>
        <w:pStyle w:val="Nadpis2"/>
      </w:pPr>
      <w:bookmarkStart w:id="14" w:name="_Toc487791225"/>
      <w:bookmarkStart w:id="15" w:name="_Toc517118507"/>
      <w:bookmarkStart w:id="16" w:name="_Toc14076868"/>
      <w:r w:rsidRPr="00F85178">
        <w:t>Personál</w:t>
      </w:r>
      <w:bookmarkEnd w:id="14"/>
      <w:bookmarkEnd w:id="15"/>
      <w:bookmarkEnd w:id="16"/>
    </w:p>
    <w:p w14:paraId="2105237A" w14:textId="77777777" w:rsidR="00B80F4C" w:rsidRPr="00F85178" w:rsidRDefault="00B80F4C" w:rsidP="00B80F4C">
      <w:pPr>
        <w:pStyle w:val="OdstavecASR"/>
      </w:pPr>
      <w:r w:rsidRPr="00F85178">
        <w:t xml:space="preserve">Podkapitolu dělíme na </w:t>
      </w:r>
      <w:r w:rsidR="00F52209" w:rsidRPr="00F85178">
        <w:t>tři</w:t>
      </w:r>
      <w:r w:rsidRPr="00F85178">
        <w:t xml:space="preserve"> části. V první části se věnujeme soudcům, druhá se zaměřuje na </w:t>
      </w:r>
      <w:r w:rsidR="003B0282" w:rsidRPr="00F85178">
        <w:t>další zaměstnance soudu</w:t>
      </w:r>
      <w:r w:rsidR="00F52209" w:rsidRPr="00F85178">
        <w:t xml:space="preserve"> a třetí pojednává o přísedících soudu</w:t>
      </w:r>
      <w:r w:rsidRPr="00F85178">
        <w:t>. Všechny uvedené údaje jsou v osobách a data vyjadřují vždy stav k 1. 1. daného roku.</w:t>
      </w:r>
    </w:p>
    <w:p w14:paraId="5D2EB26C" w14:textId="77777777" w:rsidR="00B80F4C" w:rsidRPr="00F85178" w:rsidRDefault="00B80F4C" w:rsidP="00B80F4C">
      <w:pPr>
        <w:pStyle w:val="Nadpis3"/>
        <w:spacing w:before="0"/>
        <w:rPr>
          <w:color w:val="auto"/>
        </w:rPr>
      </w:pPr>
      <w:bookmarkStart w:id="17" w:name="_Ref486090162"/>
      <w:bookmarkStart w:id="18" w:name="_Toc487791226"/>
      <w:bookmarkStart w:id="19" w:name="_Toc517118508"/>
      <w:bookmarkStart w:id="20" w:name="_Toc14076869"/>
      <w:r w:rsidRPr="00F85178">
        <w:rPr>
          <w:color w:val="auto"/>
        </w:rPr>
        <w:t>Soudci</w:t>
      </w:r>
      <w:bookmarkEnd w:id="17"/>
      <w:bookmarkEnd w:id="18"/>
      <w:bookmarkEnd w:id="19"/>
      <w:bookmarkEnd w:id="20"/>
    </w:p>
    <w:p w14:paraId="637FAE6D" w14:textId="77777777" w:rsidR="00B80F4C" w:rsidRPr="00F85178" w:rsidRDefault="00B80F4C" w:rsidP="00B80F4C">
      <w:pPr>
        <w:pStyle w:val="Podtitul"/>
        <w:rPr>
          <w:color w:val="auto"/>
        </w:rPr>
      </w:pPr>
      <w:bookmarkStart w:id="21" w:name="_Ref509212911"/>
      <w:bookmarkStart w:id="22" w:name="_Toc515871326"/>
      <w:bookmarkStart w:id="23" w:name="_Toc11135062"/>
      <w:bookmarkStart w:id="24" w:name="_Toc13837494"/>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w:t>
      </w:r>
      <w:r w:rsidR="00EE0C8A" w:rsidRPr="00F85178">
        <w:rPr>
          <w:color w:val="auto"/>
        </w:rPr>
        <w:fldChar w:fldCharType="end"/>
      </w:r>
      <w:bookmarkEnd w:id="21"/>
      <w:r w:rsidRPr="00F85178">
        <w:rPr>
          <w:color w:val="auto"/>
        </w:rPr>
        <w:t>: OS – počet soudců v letech 2008–201</w:t>
      </w:r>
      <w:bookmarkEnd w:id="22"/>
      <w:r w:rsidRPr="00F85178">
        <w:rPr>
          <w:color w:val="auto"/>
        </w:rPr>
        <w:t>8</w:t>
      </w:r>
      <w:bookmarkEnd w:id="23"/>
      <w:bookmarkEnd w:id="24"/>
    </w:p>
    <w:p w14:paraId="34537998" w14:textId="77777777" w:rsidR="006C5D41" w:rsidRPr="00F85178" w:rsidRDefault="00890295" w:rsidP="006C5D41">
      <w:pPr>
        <w:pStyle w:val="OdstavecASR"/>
      </w:pPr>
      <w:r>
        <w:rPr>
          <w:noProof/>
          <w:lang w:eastAsia="cs-CZ"/>
        </w:rPr>
        <w:drawing>
          <wp:inline distT="0" distB="0" distL="0" distR="0" wp14:anchorId="1BD62A95" wp14:editId="022C5C91">
            <wp:extent cx="5118100" cy="3746500"/>
            <wp:effectExtent l="0" t="0" r="0" b="0"/>
            <wp:docPr id="2"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F1646F0" w14:textId="77777777" w:rsidR="0032015B" w:rsidRDefault="003B0282" w:rsidP="003B0282">
      <w:pPr>
        <w:pStyle w:val="OdstavecASR"/>
      </w:pPr>
      <w:r w:rsidRPr="00F85178">
        <w:t xml:space="preserve">Z grafu je patrné, že počet soudců u OS je v ČR velmi stabilní. Od roku 2010 činí plánovaný počet všech soudců 3 063 nebo 3 062 soudců. Tento počet je pak rozdělen mezi všechny články soudní soustavy (OS, KS, VS, NS, NSS). Mírné změny v plánovaném počtu soudců u OS jsou tak způsobeny pouze přesouváním plánovaného počtu soudců mezi jednotlivými články soudní soustavy a vyplývají z výpočtu potřeby soudců a systemizace soudů, která se odvíjí od nápadu jednotlivých soudů (viz seznam použitých pojmů v příloze). V roce 2018 došlo k určitým změnám systemizaci – došlo k přehodnocení náročnosti vybraných rejstříků, protože </w:t>
      </w:r>
      <w:r w:rsidRPr="00F85178">
        <w:rPr>
          <w:lang w:eastAsia="cs-CZ"/>
        </w:rPr>
        <w:t>náročnost agendy v průměru rostla.</w:t>
      </w:r>
      <w:r w:rsidRPr="00F85178">
        <w:t xml:space="preserve"> Na druhou stranu ale stabilně a celkem rychle klesal nápad. Tento trend se zastavil až v roce 2018.</w:t>
      </w:r>
    </w:p>
    <w:p w14:paraId="3BC02666" w14:textId="5B76292B" w:rsidR="003B0282" w:rsidRPr="00F85178" w:rsidRDefault="003B0282" w:rsidP="003B0282">
      <w:pPr>
        <w:pStyle w:val="OdstavecASR"/>
      </w:pPr>
      <w:r w:rsidRPr="00F85178">
        <w:t>Změna v systemizaci ale neměla vliv na celkový plánovaný počet soudců, protože ten je omezen rozpočtem. Aby s</w:t>
      </w:r>
      <w:r w:rsidR="00E77409" w:rsidRPr="00F85178">
        <w:t>e</w:t>
      </w:r>
      <w:r w:rsidRPr="00F85178">
        <w:t xml:space="preserve"> změny začaly projevovat v celkovém plánovaném počtu soudců, musel by tento počet vycházet nižší než je rozpočtové omezení (3</w:t>
      </w:r>
      <w:r w:rsidR="00E77409" w:rsidRPr="00F85178">
        <w:t xml:space="preserve"> </w:t>
      </w:r>
      <w:r w:rsidRPr="00F85178">
        <w:t>063 soudců). Proto došlo pouze k </w:t>
      </w:r>
      <w:r w:rsidR="00E77409" w:rsidRPr="00F85178">
        <w:t xml:space="preserve">mírné </w:t>
      </w:r>
      <w:r w:rsidRPr="00F85178">
        <w:t>změně v plánovaném rozložení soudců mezi jednotlivé soudy.</w:t>
      </w:r>
    </w:p>
    <w:p w14:paraId="558DFD55" w14:textId="77777777" w:rsidR="003B0282" w:rsidRPr="00F85178" w:rsidRDefault="003B0282" w:rsidP="003B0282">
      <w:pPr>
        <w:pStyle w:val="OdstavecASR"/>
        <w:rPr>
          <w:lang w:eastAsia="cs-CZ"/>
        </w:rPr>
      </w:pPr>
      <w:r w:rsidRPr="00F85178">
        <w:t>Evidenční počet soudců je také velmi stabilní a o několik desítek přesahuje plánovaný počet soudců. Změny v evidenčním počtu soudců jsou dány především načasováním jednotlivých jmenovacích etap.</w:t>
      </w:r>
    </w:p>
    <w:p w14:paraId="433C88DC" w14:textId="77777777" w:rsidR="003B0282" w:rsidRPr="00F85178" w:rsidRDefault="003B0282" w:rsidP="003B0282">
      <w:pPr>
        <w:pStyle w:val="OdstavecASR"/>
      </w:pPr>
      <w:r w:rsidRPr="00F85178">
        <w:t>Za povšimnutí stojí výrazný pokles v počtu soudkyň (soudců) na MD/RD mezi roky 2009 a 2017. Od roku 2009 se zmenšil více než o polovinu. V datech níže ve zprávě vidíme, že soudci u OS v průměru stárnou (snižuje se podíl soudců a soudkyň ve věku 30 až 40 let). To pak logicky vedlo také ke snižování počtu soudkyň na MD/RD. Z toho také plyne, že počet soudců, kteří u soudů v daném období skutečně působili, velmi mírně vzrostl.</w:t>
      </w:r>
    </w:p>
    <w:p w14:paraId="045B37BE" w14:textId="77777777" w:rsidR="006C5D41" w:rsidRPr="00F85178" w:rsidRDefault="003B0282" w:rsidP="006C5D41">
      <w:r w:rsidRPr="00F85178">
        <w:t>Výše uvedený trend se změnil až v roce 2018, kdy počet soudkyň na MD/RD oproti roku 2017 vzrostl a vrátil se na úroveň z let 2015 a 2016.</w:t>
      </w:r>
    </w:p>
    <w:p w14:paraId="3A762301" w14:textId="77777777" w:rsidR="00305A10" w:rsidRPr="00F85178" w:rsidRDefault="00DA5D59" w:rsidP="00D44C08">
      <w:pPr>
        <w:pStyle w:val="Podtitul"/>
        <w:rPr>
          <w:color w:val="auto"/>
        </w:rPr>
      </w:pPr>
      <w:bookmarkStart w:id="25" w:name="_Toc515871327"/>
      <w:bookmarkStart w:id="26" w:name="_Toc11135063"/>
      <w:bookmarkStart w:id="27" w:name="_Toc13837495"/>
      <w:r w:rsidRPr="00F85178">
        <w:rPr>
          <w:color w:val="auto"/>
        </w:rPr>
        <w:t xml:space="preserve">Graf </w:t>
      </w:r>
      <w:r w:rsidR="0067217C" w:rsidRPr="00F85178">
        <w:rPr>
          <w:noProof/>
          <w:color w:val="auto"/>
        </w:rPr>
        <w:fldChar w:fldCharType="begin"/>
      </w:r>
      <w:r w:rsidR="0067217C" w:rsidRPr="00F85178">
        <w:rPr>
          <w:noProof/>
          <w:color w:val="auto"/>
        </w:rPr>
        <w:instrText xml:space="preserve"> SEQ Graf \* ARABIC </w:instrText>
      </w:r>
      <w:r w:rsidR="0067217C" w:rsidRPr="00F85178">
        <w:rPr>
          <w:noProof/>
          <w:color w:val="auto"/>
        </w:rPr>
        <w:fldChar w:fldCharType="separate"/>
      </w:r>
      <w:r w:rsidR="00306940">
        <w:rPr>
          <w:noProof/>
          <w:color w:val="auto"/>
        </w:rPr>
        <w:t>2</w:t>
      </w:r>
      <w:r w:rsidR="0067217C" w:rsidRPr="00F85178">
        <w:rPr>
          <w:noProof/>
          <w:color w:val="auto"/>
        </w:rPr>
        <w:fldChar w:fldCharType="end"/>
      </w:r>
      <w:r w:rsidRPr="00F85178">
        <w:rPr>
          <w:color w:val="auto"/>
        </w:rPr>
        <w:t>: OS – evidenční počet soudců dle soudních úseků v letech 2008–201</w:t>
      </w:r>
      <w:bookmarkEnd w:id="25"/>
      <w:r w:rsidR="00FE6BFF" w:rsidRPr="00F85178">
        <w:rPr>
          <w:color w:val="auto"/>
        </w:rPr>
        <w:t>8</w:t>
      </w:r>
      <w:bookmarkEnd w:id="26"/>
      <w:bookmarkEnd w:id="27"/>
    </w:p>
    <w:p w14:paraId="6129B2EE" w14:textId="77777777" w:rsidR="00DA5D59" w:rsidRPr="00F85178" w:rsidRDefault="00890295">
      <w:pPr>
        <w:spacing w:line="240" w:lineRule="auto"/>
        <w:jc w:val="left"/>
        <w:rPr>
          <w:rStyle w:val="OdstavecASRChar"/>
          <w:rFonts w:ascii="Garamond" w:hAnsi="Garamond"/>
        </w:rPr>
      </w:pPr>
      <w:r>
        <w:rPr>
          <w:noProof/>
          <w:lang w:eastAsia="cs-CZ"/>
        </w:rPr>
        <w:drawing>
          <wp:inline distT="0" distB="0" distL="0" distR="0" wp14:anchorId="7AE7E743" wp14:editId="2D9FE536">
            <wp:extent cx="5118100" cy="3746500"/>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7C23EF0" w14:textId="77777777" w:rsidR="00DA5D59" w:rsidRPr="00F85178" w:rsidRDefault="00DA5D59" w:rsidP="00DA5D59">
      <w:pPr>
        <w:pStyle w:val="OdstavecASR"/>
      </w:pPr>
      <w:r w:rsidRPr="00F85178">
        <w:t>V grafu výše vidíme, že poměr velikosti soudních úseků je velmi stabilní – počet soudců na civilním úseku je asi třikrát větší než počet soudců na úseku trestním. Ještě je třeba upozornit, že do civilního úseku v tomto kontextu spadají i soudci, kteří vyřizují opatrovnickou agendu.</w:t>
      </w:r>
    </w:p>
    <w:p w14:paraId="11F534F0" w14:textId="77777777" w:rsidR="00DA5D59" w:rsidRPr="00F85178" w:rsidRDefault="00DA5D59" w:rsidP="00DA5D59">
      <w:pPr>
        <w:pStyle w:val="OdstavecASR"/>
      </w:pPr>
      <w:r w:rsidRPr="00F85178">
        <w:t>Z tabulky níže je patrné, že největší počet soudců okresních soudů působí v Severomoravském kraji, nejmenší počet pak v kraji Jihočeském. Jak již bylo řečeno, plánovaný počet soudců se odvíjí od nápadu. Nápad se pak odvíjí od velkého množství faktorů, jako je počet obyvatel, zločinnost, nezaměstnanost a další. U okresních soudů je evidenční počet soudců dlouhodobě vyšší než počet plánovaný.</w:t>
      </w:r>
    </w:p>
    <w:p w14:paraId="06FC9410" w14:textId="77777777" w:rsidR="00CA6415" w:rsidRPr="00F85178" w:rsidRDefault="00CA6415" w:rsidP="00CA6415">
      <w:pPr>
        <w:pStyle w:val="Podtitul"/>
        <w:rPr>
          <w:color w:val="auto"/>
        </w:rPr>
      </w:pPr>
      <w:bookmarkStart w:id="28" w:name="_Toc11133203"/>
      <w:bookmarkStart w:id="29" w:name="_Toc13837424"/>
      <w:r w:rsidRPr="00F85178">
        <w:rPr>
          <w:color w:val="auto"/>
        </w:rPr>
        <w:t xml:space="preserve">Tabulka </w:t>
      </w:r>
      <w:r w:rsidR="006770B5" w:rsidRPr="00F85178">
        <w:rPr>
          <w:noProof/>
          <w:color w:val="auto"/>
        </w:rPr>
        <w:fldChar w:fldCharType="begin"/>
      </w:r>
      <w:r w:rsidR="006770B5" w:rsidRPr="00F85178">
        <w:rPr>
          <w:noProof/>
          <w:color w:val="auto"/>
        </w:rPr>
        <w:instrText xml:space="preserve"> SEQ Tabulka \* ARABIC </w:instrText>
      </w:r>
      <w:r w:rsidR="006770B5" w:rsidRPr="00F85178">
        <w:rPr>
          <w:noProof/>
          <w:color w:val="auto"/>
        </w:rPr>
        <w:fldChar w:fldCharType="separate"/>
      </w:r>
      <w:r w:rsidR="00306940">
        <w:rPr>
          <w:noProof/>
          <w:color w:val="auto"/>
        </w:rPr>
        <w:t>1</w:t>
      </w:r>
      <w:r w:rsidR="006770B5" w:rsidRPr="00F85178">
        <w:rPr>
          <w:noProof/>
          <w:color w:val="auto"/>
        </w:rPr>
        <w:fldChar w:fldCharType="end"/>
      </w:r>
      <w:r w:rsidRPr="00F85178">
        <w:rPr>
          <w:color w:val="auto"/>
        </w:rPr>
        <w:t>: OS – počet soudců dle krajů</w:t>
      </w:r>
      <w:bookmarkEnd w:id="28"/>
      <w:bookmarkEnd w:id="29"/>
    </w:p>
    <w:tbl>
      <w:tblPr>
        <w:tblW w:w="8160" w:type="dxa"/>
        <w:tblCellMar>
          <w:left w:w="0" w:type="dxa"/>
          <w:right w:w="0" w:type="dxa"/>
        </w:tblCellMar>
        <w:tblLook w:val="04A0" w:firstRow="1" w:lastRow="0" w:firstColumn="1" w:lastColumn="0" w:noHBand="0" w:noVBand="1"/>
      </w:tblPr>
      <w:tblGrid>
        <w:gridCol w:w="2480"/>
        <w:gridCol w:w="1600"/>
        <w:gridCol w:w="1506"/>
        <w:gridCol w:w="1585"/>
        <w:gridCol w:w="989"/>
      </w:tblGrid>
      <w:tr w:rsidR="00F85178" w:rsidRPr="00F85178" w14:paraId="6967C00D" w14:textId="77777777" w:rsidTr="000B7D8A">
        <w:trPr>
          <w:trHeight w:val="330"/>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22C8D81F" w14:textId="77777777" w:rsidR="00CA6415" w:rsidRPr="00F85178" w:rsidRDefault="00CA6415">
            <w:pPr>
              <w:spacing w:line="240" w:lineRule="auto"/>
              <w:jc w:val="center"/>
              <w:rPr>
                <w:b/>
                <w:bCs/>
                <w:szCs w:val="24"/>
                <w:lang w:eastAsia="cs-CZ"/>
              </w:rPr>
            </w:pPr>
            <w:r w:rsidRPr="00F85178">
              <w:rPr>
                <w:b/>
                <w:bCs/>
              </w:rPr>
              <w:t>Nadřízený soud</w:t>
            </w:r>
          </w:p>
        </w:tc>
        <w:tc>
          <w:tcPr>
            <w:tcW w:w="1600" w:type="dxa"/>
            <w:vMerge w:val="restart"/>
            <w:tcBorders>
              <w:top w:val="double" w:sz="6" w:space="0" w:color="auto"/>
              <w:left w:val="nil"/>
              <w:bottom w:val="double" w:sz="6" w:space="0" w:color="000000"/>
              <w:right w:val="nil"/>
            </w:tcBorders>
            <w:shd w:val="clear" w:color="auto" w:fill="auto"/>
            <w:tcMar>
              <w:top w:w="15" w:type="dxa"/>
              <w:left w:w="15" w:type="dxa"/>
              <w:bottom w:w="0" w:type="dxa"/>
              <w:right w:w="15" w:type="dxa"/>
            </w:tcMar>
            <w:vAlign w:val="center"/>
            <w:hideMark/>
          </w:tcPr>
          <w:p w14:paraId="0E17DA7B" w14:textId="77777777" w:rsidR="00CA6415" w:rsidRPr="00F85178" w:rsidRDefault="00CA6415">
            <w:pPr>
              <w:jc w:val="center"/>
              <w:rPr>
                <w:b/>
                <w:bCs/>
              </w:rPr>
            </w:pPr>
            <w:r w:rsidRPr="00F85178">
              <w:rPr>
                <w:b/>
                <w:bCs/>
              </w:rPr>
              <w:t>Plánovaný počet soudců</w:t>
            </w:r>
          </w:p>
        </w:tc>
        <w:tc>
          <w:tcPr>
            <w:tcW w:w="4080" w:type="dxa"/>
            <w:gridSpan w:val="3"/>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44256385" w14:textId="77777777" w:rsidR="00CA6415" w:rsidRPr="00F85178" w:rsidRDefault="00CA6415">
            <w:pPr>
              <w:jc w:val="center"/>
              <w:rPr>
                <w:b/>
                <w:bCs/>
              </w:rPr>
            </w:pPr>
            <w:r w:rsidRPr="00F85178">
              <w:rPr>
                <w:b/>
                <w:bCs/>
              </w:rPr>
              <w:t>Evidenční počet soudců</w:t>
            </w:r>
          </w:p>
        </w:tc>
      </w:tr>
      <w:tr w:rsidR="00957D55" w:rsidRPr="00F85178" w14:paraId="37063528" w14:textId="77777777" w:rsidTr="00CA6415">
        <w:trPr>
          <w:trHeight w:val="330"/>
        </w:trPr>
        <w:tc>
          <w:tcPr>
            <w:tcW w:w="0" w:type="auto"/>
            <w:vMerge/>
            <w:tcBorders>
              <w:top w:val="double" w:sz="6" w:space="0" w:color="auto"/>
              <w:left w:val="nil"/>
              <w:bottom w:val="double" w:sz="6" w:space="0" w:color="000000"/>
              <w:right w:val="nil"/>
            </w:tcBorders>
            <w:vAlign w:val="center"/>
            <w:hideMark/>
          </w:tcPr>
          <w:p w14:paraId="4C3FB1A7" w14:textId="77777777" w:rsidR="00CA6415" w:rsidRPr="00F85178" w:rsidRDefault="00CA6415">
            <w:pPr>
              <w:rPr>
                <w:b/>
                <w:bCs/>
                <w:szCs w:val="24"/>
              </w:rPr>
            </w:pPr>
          </w:p>
        </w:tc>
        <w:tc>
          <w:tcPr>
            <w:tcW w:w="0" w:type="auto"/>
            <w:vMerge/>
            <w:tcBorders>
              <w:top w:val="double" w:sz="6" w:space="0" w:color="auto"/>
              <w:left w:val="nil"/>
              <w:bottom w:val="double" w:sz="6" w:space="0" w:color="000000"/>
              <w:right w:val="nil"/>
            </w:tcBorders>
            <w:vAlign w:val="center"/>
            <w:hideMark/>
          </w:tcPr>
          <w:p w14:paraId="428F21F8" w14:textId="77777777" w:rsidR="00CA6415" w:rsidRPr="00F85178" w:rsidRDefault="00CA6415">
            <w:pPr>
              <w:rPr>
                <w:b/>
                <w:bCs/>
                <w:szCs w:val="24"/>
              </w:rPr>
            </w:pP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0816F9D1" w14:textId="77777777" w:rsidR="00CA6415" w:rsidRPr="00F85178" w:rsidRDefault="00CA6415">
            <w:pPr>
              <w:jc w:val="center"/>
              <w:rPr>
                <w:b/>
                <w:bCs/>
              </w:rPr>
            </w:pPr>
            <w:r w:rsidRPr="00F85178">
              <w:rPr>
                <w:b/>
                <w:bCs/>
              </w:rPr>
              <w:t>Civilní úsek</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747A8EC7" w14:textId="77777777" w:rsidR="00CA6415" w:rsidRPr="00F85178" w:rsidRDefault="00CA6415">
            <w:pPr>
              <w:jc w:val="center"/>
              <w:rPr>
                <w:b/>
                <w:bCs/>
              </w:rPr>
            </w:pPr>
            <w:r w:rsidRPr="00F85178">
              <w:rPr>
                <w:b/>
                <w:bCs/>
              </w:rPr>
              <w:t>Trestní úsek</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1CC46FEA" w14:textId="77777777" w:rsidR="00CA6415" w:rsidRPr="00F85178" w:rsidRDefault="00CA6415">
            <w:pPr>
              <w:jc w:val="center"/>
              <w:rPr>
                <w:b/>
                <w:bCs/>
              </w:rPr>
            </w:pPr>
            <w:r w:rsidRPr="00F85178">
              <w:rPr>
                <w:b/>
                <w:bCs/>
              </w:rPr>
              <w:t>Celkem</w:t>
            </w:r>
          </w:p>
        </w:tc>
      </w:tr>
      <w:tr w:rsidR="00F85178" w:rsidRPr="00F85178" w14:paraId="66083063" w14:textId="77777777" w:rsidTr="000B7D8A">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4320E82" w14:textId="77777777" w:rsidR="00CA6415" w:rsidRPr="00F85178" w:rsidRDefault="00CA6415">
            <w:pPr>
              <w:jc w:val="left"/>
            </w:pPr>
            <w:r w:rsidRPr="00F85178">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F6355F0" w14:textId="77777777" w:rsidR="00CA6415" w:rsidRPr="00F85178" w:rsidRDefault="00CA6415">
            <w:pPr>
              <w:jc w:val="center"/>
            </w:pPr>
            <w:r w:rsidRPr="00F85178">
              <w:t>272</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0E4A151" w14:textId="77777777" w:rsidR="00CA6415" w:rsidRPr="00F85178" w:rsidRDefault="00CA6415">
            <w:pPr>
              <w:jc w:val="center"/>
            </w:pPr>
            <w:r w:rsidRPr="00F85178">
              <w:t>243</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E0D850F" w14:textId="77777777" w:rsidR="00CA6415" w:rsidRPr="00F85178" w:rsidRDefault="00CA6415">
            <w:pPr>
              <w:jc w:val="center"/>
            </w:pPr>
            <w:r w:rsidRPr="00F85178">
              <w:t>66</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7B641D4" w14:textId="77777777" w:rsidR="00CA6415" w:rsidRPr="00F85178" w:rsidRDefault="00CA6415">
            <w:pPr>
              <w:jc w:val="center"/>
            </w:pPr>
            <w:r w:rsidRPr="00F85178">
              <w:t>309</w:t>
            </w:r>
          </w:p>
        </w:tc>
      </w:tr>
      <w:tr w:rsidR="00F85178" w:rsidRPr="00F85178" w14:paraId="60A2F900"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354604" w14:textId="77777777" w:rsidR="00CA6415" w:rsidRPr="00F85178" w:rsidRDefault="00CA6415">
            <w:pPr>
              <w:jc w:val="left"/>
            </w:pPr>
            <w:r w:rsidRPr="00F85178">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DCBF18E" w14:textId="77777777" w:rsidR="00CA6415" w:rsidRPr="00F85178" w:rsidRDefault="00CA6415">
            <w:pPr>
              <w:jc w:val="center"/>
            </w:pPr>
            <w:r w:rsidRPr="00F85178">
              <w:t>205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FE8FDA" w14:textId="77777777" w:rsidR="00CA6415" w:rsidRPr="00F85178" w:rsidRDefault="00CA6415">
            <w:pPr>
              <w:jc w:val="center"/>
            </w:pPr>
            <w:r w:rsidRPr="00F85178">
              <w:t>155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E19209" w14:textId="77777777" w:rsidR="00CA6415" w:rsidRPr="00F85178" w:rsidRDefault="00CA6415">
            <w:pPr>
              <w:jc w:val="center"/>
            </w:pPr>
            <w:r w:rsidRPr="00F85178">
              <w:t>42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3AC3610" w14:textId="77777777" w:rsidR="00CA6415" w:rsidRPr="00F85178" w:rsidRDefault="00CA6415">
            <w:pPr>
              <w:jc w:val="center"/>
            </w:pPr>
            <w:r w:rsidRPr="00F85178">
              <w:t>197</w:t>
            </w:r>
          </w:p>
        </w:tc>
      </w:tr>
      <w:tr w:rsidR="00F85178" w:rsidRPr="00F85178" w14:paraId="282B55EF"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7375222" w14:textId="77777777" w:rsidR="00CA6415" w:rsidRPr="00F85178" w:rsidRDefault="00CA6415">
            <w:pPr>
              <w:jc w:val="left"/>
            </w:pPr>
            <w:r w:rsidRPr="00F85178">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056DA16" w14:textId="77777777" w:rsidR="00CA6415" w:rsidRPr="00F85178" w:rsidRDefault="00CA6415">
            <w:pPr>
              <w:jc w:val="center"/>
            </w:pPr>
            <w:r w:rsidRPr="00F85178">
              <w:t>101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EF961DF" w14:textId="77777777" w:rsidR="00CA6415" w:rsidRPr="00F85178" w:rsidRDefault="00CA6415">
            <w:pPr>
              <w:jc w:val="center"/>
            </w:pPr>
            <w:r w:rsidRPr="00F85178">
              <w:t>71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02C86B9" w14:textId="77777777" w:rsidR="00CA6415" w:rsidRPr="00F85178" w:rsidRDefault="00CA6415">
            <w:pPr>
              <w:jc w:val="center"/>
            </w:pPr>
            <w:r w:rsidRPr="00F85178">
              <w:t>33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393176" w14:textId="77777777" w:rsidR="00CA6415" w:rsidRPr="00F85178" w:rsidRDefault="00CA6415">
            <w:pPr>
              <w:jc w:val="center"/>
            </w:pPr>
            <w:r w:rsidRPr="00F85178">
              <w:t>104</w:t>
            </w:r>
          </w:p>
        </w:tc>
      </w:tr>
      <w:tr w:rsidR="00F85178" w:rsidRPr="00F85178" w14:paraId="01F8B777"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18C720A" w14:textId="77777777" w:rsidR="00CA6415" w:rsidRPr="00F85178" w:rsidRDefault="00CA6415">
            <w:pPr>
              <w:jc w:val="left"/>
            </w:pPr>
            <w:r w:rsidRPr="00F85178">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FFB6A9" w14:textId="77777777" w:rsidR="00CA6415" w:rsidRPr="00F85178" w:rsidRDefault="00CA6415">
            <w:pPr>
              <w:jc w:val="center"/>
            </w:pPr>
            <w:r w:rsidRPr="00F85178">
              <w:t>161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40F40BF" w14:textId="77777777" w:rsidR="00CA6415" w:rsidRPr="00F85178" w:rsidRDefault="00CA6415">
            <w:pPr>
              <w:jc w:val="center"/>
            </w:pPr>
            <w:r w:rsidRPr="00F85178">
              <w:t>114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833A092" w14:textId="77777777" w:rsidR="00CA6415" w:rsidRPr="00F85178" w:rsidRDefault="00CA6415">
            <w:pPr>
              <w:jc w:val="center"/>
            </w:pPr>
            <w:r w:rsidRPr="00F85178">
              <w:t>46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FA4024A" w14:textId="77777777" w:rsidR="00CA6415" w:rsidRPr="00F85178" w:rsidRDefault="00CA6415">
            <w:pPr>
              <w:jc w:val="center"/>
            </w:pPr>
            <w:r w:rsidRPr="00F85178">
              <w:t>160</w:t>
            </w:r>
          </w:p>
        </w:tc>
      </w:tr>
      <w:tr w:rsidR="00F85178" w:rsidRPr="00F85178" w14:paraId="7EA10FB9"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DA2F6F8" w14:textId="77777777" w:rsidR="00CA6415" w:rsidRPr="00F85178" w:rsidRDefault="00CA6415">
            <w:pPr>
              <w:jc w:val="left"/>
            </w:pPr>
            <w:r w:rsidRPr="00F85178">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FE95E6A" w14:textId="77777777" w:rsidR="00CA6415" w:rsidRPr="00F85178" w:rsidRDefault="00CA6415">
            <w:pPr>
              <w:jc w:val="center"/>
            </w:pPr>
            <w:r w:rsidRPr="00F85178">
              <w:t>266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6D7DC94" w14:textId="77777777" w:rsidR="00CA6415" w:rsidRPr="00F85178" w:rsidRDefault="00CA6415">
            <w:pPr>
              <w:jc w:val="center"/>
            </w:pPr>
            <w:r w:rsidRPr="00F85178">
              <w:t>191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235EBF6" w14:textId="77777777" w:rsidR="00CA6415" w:rsidRPr="00F85178" w:rsidRDefault="00CA6415">
            <w:pPr>
              <w:jc w:val="center"/>
            </w:pPr>
            <w:r w:rsidRPr="00F85178">
              <w:t>88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9AA202C" w14:textId="77777777" w:rsidR="00CA6415" w:rsidRPr="00F85178" w:rsidRDefault="00CA6415">
            <w:pPr>
              <w:jc w:val="center"/>
            </w:pPr>
            <w:r w:rsidRPr="00F85178">
              <w:t>279</w:t>
            </w:r>
          </w:p>
        </w:tc>
      </w:tr>
      <w:tr w:rsidR="00F85178" w:rsidRPr="00F85178" w14:paraId="65A4E043"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E520F3" w14:textId="77777777" w:rsidR="00CA6415" w:rsidRPr="00F85178" w:rsidRDefault="00CA6415">
            <w:pPr>
              <w:jc w:val="left"/>
            </w:pPr>
            <w:r w:rsidRPr="00F85178">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82DBDC2" w14:textId="77777777" w:rsidR="00CA6415" w:rsidRPr="00F85178" w:rsidRDefault="00CA6415">
            <w:pPr>
              <w:jc w:val="center"/>
            </w:pPr>
            <w:r w:rsidRPr="00F85178">
              <w:t>165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DD566C9" w14:textId="77777777" w:rsidR="00CA6415" w:rsidRPr="00F85178" w:rsidRDefault="00CA6415">
            <w:pPr>
              <w:jc w:val="center"/>
            </w:pPr>
            <w:r w:rsidRPr="00F85178">
              <w:t>128</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ED50668" w14:textId="77777777" w:rsidR="00CA6415" w:rsidRPr="00F85178" w:rsidRDefault="00CA6415">
            <w:pPr>
              <w:jc w:val="center"/>
            </w:pPr>
            <w:r w:rsidRPr="00F85178">
              <w:t>40</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D63B85F" w14:textId="77777777" w:rsidR="00CA6415" w:rsidRPr="00F85178" w:rsidRDefault="00CA6415">
            <w:pPr>
              <w:jc w:val="center"/>
            </w:pPr>
            <w:r w:rsidRPr="00F85178">
              <w:t>168</w:t>
            </w:r>
          </w:p>
        </w:tc>
      </w:tr>
      <w:tr w:rsidR="00F85178" w:rsidRPr="00F85178" w14:paraId="5C742F6D" w14:textId="77777777" w:rsidTr="000B7D8A">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13C5CAF" w14:textId="77777777" w:rsidR="00CA6415" w:rsidRPr="00F85178" w:rsidRDefault="00CA6415">
            <w:pPr>
              <w:jc w:val="left"/>
            </w:pPr>
            <w:r w:rsidRPr="00F85178">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3BC6019" w14:textId="77777777" w:rsidR="00CA6415" w:rsidRPr="00F85178" w:rsidRDefault="00CA6415">
            <w:pPr>
              <w:jc w:val="center"/>
            </w:pPr>
            <w:r w:rsidRPr="00F85178">
              <w:t>282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BF4D3D" w14:textId="77777777" w:rsidR="00CA6415" w:rsidRPr="00F85178" w:rsidRDefault="00CA6415">
            <w:pPr>
              <w:jc w:val="center"/>
            </w:pPr>
            <w:r w:rsidRPr="00F85178">
              <w:t>226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202FE4E" w14:textId="77777777" w:rsidR="00CA6415" w:rsidRPr="00F85178" w:rsidRDefault="00CA6415">
            <w:pPr>
              <w:jc w:val="center"/>
            </w:pPr>
            <w:r w:rsidRPr="00F85178">
              <w:t>61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7E2A22B" w14:textId="77777777" w:rsidR="00CA6415" w:rsidRPr="00F85178" w:rsidRDefault="00CA6415">
            <w:pPr>
              <w:jc w:val="center"/>
            </w:pPr>
            <w:r w:rsidRPr="00F85178">
              <w:t>287</w:t>
            </w:r>
          </w:p>
        </w:tc>
      </w:tr>
      <w:tr w:rsidR="00F85178" w:rsidRPr="00F85178" w14:paraId="579EF1CA" w14:textId="77777777" w:rsidTr="000B7D8A">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04C5757" w14:textId="77777777" w:rsidR="00CA6415" w:rsidRPr="00F85178" w:rsidRDefault="00CA6415">
            <w:pPr>
              <w:jc w:val="left"/>
            </w:pPr>
            <w:r w:rsidRPr="00F85178">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BBF9047" w14:textId="77777777" w:rsidR="00CA6415" w:rsidRPr="00F85178" w:rsidRDefault="00CA6415">
            <w:pPr>
              <w:jc w:val="center"/>
            </w:pPr>
            <w:r w:rsidRPr="00F85178">
              <w:t>309</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F0ECE62" w14:textId="77777777" w:rsidR="00CA6415" w:rsidRPr="00F85178" w:rsidRDefault="00CA6415">
            <w:pPr>
              <w:jc w:val="center"/>
            </w:pPr>
            <w:r w:rsidRPr="00F85178">
              <w:t>245</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610503B" w14:textId="77777777" w:rsidR="00CA6415" w:rsidRPr="00F85178" w:rsidRDefault="00CA6415">
            <w:pPr>
              <w:jc w:val="center"/>
            </w:pPr>
            <w:r w:rsidRPr="00F85178">
              <w:t>77</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2AE2BDFA" w14:textId="77777777" w:rsidR="00CA6415" w:rsidRPr="00F85178" w:rsidRDefault="00CA6415">
            <w:pPr>
              <w:jc w:val="center"/>
            </w:pPr>
            <w:r w:rsidRPr="00F85178">
              <w:t>322</w:t>
            </w:r>
          </w:p>
        </w:tc>
      </w:tr>
      <w:tr w:rsidR="00F85178" w:rsidRPr="00F85178" w14:paraId="4A7CE988" w14:textId="77777777" w:rsidTr="00D44C08">
        <w:trPr>
          <w:trHeight w:val="345"/>
        </w:trPr>
        <w:tc>
          <w:tcPr>
            <w:tcW w:w="0" w:type="auto"/>
            <w:tcBorders>
              <w:top w:val="double" w:sz="6" w:space="0" w:color="auto"/>
              <w:left w:val="nil"/>
              <w:bottom w:val="double" w:sz="4" w:space="0" w:color="auto"/>
              <w:right w:val="nil"/>
            </w:tcBorders>
            <w:shd w:val="clear" w:color="auto" w:fill="auto"/>
            <w:noWrap/>
            <w:tcMar>
              <w:top w:w="15" w:type="dxa"/>
              <w:left w:w="15" w:type="dxa"/>
              <w:bottom w:w="0" w:type="dxa"/>
              <w:right w:w="15" w:type="dxa"/>
            </w:tcMar>
            <w:vAlign w:val="bottom"/>
            <w:hideMark/>
          </w:tcPr>
          <w:p w14:paraId="07AEC7A6" w14:textId="77777777" w:rsidR="00CA6415" w:rsidRPr="00F85178" w:rsidRDefault="00CA6415">
            <w:pPr>
              <w:jc w:val="left"/>
              <w:rPr>
                <w:b/>
                <w:bCs/>
              </w:rPr>
            </w:pPr>
            <w:r w:rsidRPr="00F85178">
              <w:rPr>
                <w:b/>
                <w:bCs/>
              </w:rPr>
              <w:t>Celkem ČR</w:t>
            </w:r>
          </w:p>
        </w:tc>
        <w:tc>
          <w:tcPr>
            <w:tcW w:w="0" w:type="auto"/>
            <w:tcBorders>
              <w:top w:val="double" w:sz="6" w:space="0" w:color="auto"/>
              <w:left w:val="nil"/>
              <w:bottom w:val="double" w:sz="4" w:space="0" w:color="auto"/>
              <w:right w:val="nil"/>
            </w:tcBorders>
            <w:shd w:val="clear" w:color="auto" w:fill="auto"/>
            <w:noWrap/>
            <w:tcMar>
              <w:top w:w="15" w:type="dxa"/>
              <w:left w:w="15" w:type="dxa"/>
              <w:bottom w:w="0" w:type="dxa"/>
              <w:right w:w="15" w:type="dxa"/>
            </w:tcMar>
            <w:vAlign w:val="bottom"/>
            <w:hideMark/>
          </w:tcPr>
          <w:p w14:paraId="572DE90B" w14:textId="77777777" w:rsidR="00CA6415" w:rsidRPr="00F85178" w:rsidRDefault="00CA6415">
            <w:pPr>
              <w:jc w:val="center"/>
              <w:rPr>
                <w:b/>
                <w:bCs/>
              </w:rPr>
            </w:pPr>
            <w:r w:rsidRPr="00F85178">
              <w:rPr>
                <w:b/>
                <w:bCs/>
              </w:rPr>
              <w:t>1</w:t>
            </w:r>
            <w:r w:rsidR="007B6EF7" w:rsidRPr="00F85178">
              <w:rPr>
                <w:b/>
                <w:bCs/>
              </w:rPr>
              <w:t xml:space="preserve"> </w:t>
            </w:r>
            <w:r w:rsidRPr="00F85178">
              <w:rPr>
                <w:b/>
                <w:bCs/>
              </w:rPr>
              <w:t>761</w:t>
            </w:r>
          </w:p>
        </w:tc>
        <w:tc>
          <w:tcPr>
            <w:tcW w:w="0" w:type="auto"/>
            <w:tcBorders>
              <w:top w:val="double" w:sz="6" w:space="0" w:color="auto"/>
              <w:left w:val="nil"/>
              <w:bottom w:val="double" w:sz="4" w:space="0" w:color="auto"/>
              <w:right w:val="nil"/>
            </w:tcBorders>
            <w:shd w:val="clear" w:color="auto" w:fill="auto"/>
            <w:noWrap/>
            <w:tcMar>
              <w:top w:w="15" w:type="dxa"/>
              <w:left w:w="15" w:type="dxa"/>
              <w:bottom w:w="0" w:type="dxa"/>
              <w:right w:w="15" w:type="dxa"/>
            </w:tcMar>
            <w:vAlign w:val="bottom"/>
            <w:hideMark/>
          </w:tcPr>
          <w:p w14:paraId="17523E9D" w14:textId="77777777" w:rsidR="00CA6415" w:rsidRPr="00F85178" w:rsidRDefault="00CA6415">
            <w:pPr>
              <w:jc w:val="center"/>
              <w:rPr>
                <w:b/>
                <w:bCs/>
              </w:rPr>
            </w:pPr>
            <w:r w:rsidRPr="00F85178">
              <w:rPr>
                <w:b/>
                <w:bCs/>
              </w:rPr>
              <w:t>1</w:t>
            </w:r>
            <w:r w:rsidR="007B6EF7" w:rsidRPr="00F85178">
              <w:rPr>
                <w:b/>
                <w:bCs/>
              </w:rPr>
              <w:t xml:space="preserve"> </w:t>
            </w:r>
            <w:r w:rsidRPr="00F85178">
              <w:rPr>
                <w:b/>
                <w:bCs/>
              </w:rPr>
              <w:t>373</w:t>
            </w:r>
          </w:p>
        </w:tc>
        <w:tc>
          <w:tcPr>
            <w:tcW w:w="0" w:type="auto"/>
            <w:tcBorders>
              <w:top w:val="double" w:sz="6" w:space="0" w:color="auto"/>
              <w:left w:val="nil"/>
              <w:bottom w:val="double" w:sz="4" w:space="0" w:color="auto"/>
              <w:right w:val="nil"/>
            </w:tcBorders>
            <w:shd w:val="clear" w:color="auto" w:fill="auto"/>
            <w:noWrap/>
            <w:tcMar>
              <w:top w:w="15" w:type="dxa"/>
              <w:left w:w="15" w:type="dxa"/>
              <w:bottom w:w="0" w:type="dxa"/>
              <w:right w:w="15" w:type="dxa"/>
            </w:tcMar>
            <w:vAlign w:val="bottom"/>
            <w:hideMark/>
          </w:tcPr>
          <w:p w14:paraId="4938CAED" w14:textId="77777777" w:rsidR="00CA6415" w:rsidRPr="00F85178" w:rsidRDefault="00CA6415">
            <w:pPr>
              <w:jc w:val="center"/>
              <w:rPr>
                <w:b/>
                <w:bCs/>
              </w:rPr>
            </w:pPr>
            <w:r w:rsidRPr="00F85178">
              <w:rPr>
                <w:b/>
                <w:bCs/>
              </w:rPr>
              <w:t>453</w:t>
            </w:r>
          </w:p>
        </w:tc>
        <w:tc>
          <w:tcPr>
            <w:tcW w:w="0" w:type="auto"/>
            <w:tcBorders>
              <w:top w:val="double" w:sz="6" w:space="0" w:color="auto"/>
              <w:left w:val="nil"/>
              <w:bottom w:val="double" w:sz="4" w:space="0" w:color="auto"/>
              <w:right w:val="nil"/>
            </w:tcBorders>
            <w:shd w:val="clear" w:color="auto" w:fill="auto"/>
            <w:noWrap/>
            <w:tcMar>
              <w:top w:w="15" w:type="dxa"/>
              <w:left w:w="15" w:type="dxa"/>
              <w:bottom w:w="0" w:type="dxa"/>
              <w:right w:w="15" w:type="dxa"/>
            </w:tcMar>
            <w:vAlign w:val="bottom"/>
            <w:hideMark/>
          </w:tcPr>
          <w:p w14:paraId="22CDC14A" w14:textId="77777777" w:rsidR="00CA6415" w:rsidRPr="00F85178" w:rsidRDefault="00CA6415">
            <w:pPr>
              <w:jc w:val="center"/>
              <w:rPr>
                <w:b/>
                <w:bCs/>
              </w:rPr>
            </w:pPr>
            <w:r w:rsidRPr="00F85178">
              <w:rPr>
                <w:b/>
                <w:bCs/>
              </w:rPr>
              <w:t>1</w:t>
            </w:r>
            <w:r w:rsidR="007B6EF7" w:rsidRPr="00F85178">
              <w:rPr>
                <w:b/>
                <w:bCs/>
              </w:rPr>
              <w:t xml:space="preserve"> </w:t>
            </w:r>
            <w:r w:rsidRPr="00F85178">
              <w:rPr>
                <w:b/>
                <w:bCs/>
              </w:rPr>
              <w:t>826</w:t>
            </w:r>
          </w:p>
        </w:tc>
      </w:tr>
      <w:tr w:rsidR="00F85178" w:rsidRPr="00F85178" w14:paraId="506C8E99" w14:textId="77777777" w:rsidTr="000B7D8A">
        <w:trPr>
          <w:trHeight w:val="345"/>
        </w:trPr>
        <w:tc>
          <w:tcPr>
            <w:tcW w:w="0" w:type="auto"/>
            <w:tcBorders>
              <w:top w:val="double" w:sz="4" w:space="0" w:color="auto"/>
              <w:left w:val="nil"/>
              <w:right w:val="nil"/>
            </w:tcBorders>
            <w:shd w:val="clear" w:color="auto" w:fill="auto"/>
            <w:noWrap/>
            <w:tcMar>
              <w:top w:w="15" w:type="dxa"/>
              <w:left w:w="15" w:type="dxa"/>
              <w:bottom w:w="0" w:type="dxa"/>
              <w:right w:w="15" w:type="dxa"/>
            </w:tcMar>
            <w:vAlign w:val="bottom"/>
          </w:tcPr>
          <w:p w14:paraId="3517E258" w14:textId="77777777" w:rsidR="00D44C08" w:rsidRPr="00F85178" w:rsidRDefault="00D44C08">
            <w:pPr>
              <w:jc w:val="left"/>
              <w:rPr>
                <w:bCs/>
              </w:rPr>
            </w:pPr>
          </w:p>
        </w:tc>
        <w:tc>
          <w:tcPr>
            <w:tcW w:w="0" w:type="auto"/>
            <w:tcBorders>
              <w:top w:val="double" w:sz="4" w:space="0" w:color="auto"/>
              <w:left w:val="nil"/>
              <w:right w:val="nil"/>
            </w:tcBorders>
            <w:shd w:val="clear" w:color="auto" w:fill="auto"/>
            <w:noWrap/>
            <w:tcMar>
              <w:top w:w="15" w:type="dxa"/>
              <w:left w:w="15" w:type="dxa"/>
              <w:bottom w:w="0" w:type="dxa"/>
              <w:right w:w="15" w:type="dxa"/>
            </w:tcMar>
            <w:vAlign w:val="bottom"/>
          </w:tcPr>
          <w:p w14:paraId="70531EEF" w14:textId="77777777" w:rsidR="00D44C08" w:rsidRPr="00F85178" w:rsidRDefault="00D44C08">
            <w:pPr>
              <w:jc w:val="center"/>
              <w:rPr>
                <w:bCs/>
              </w:rPr>
            </w:pPr>
          </w:p>
        </w:tc>
        <w:tc>
          <w:tcPr>
            <w:tcW w:w="0" w:type="auto"/>
            <w:tcBorders>
              <w:top w:val="double" w:sz="4" w:space="0" w:color="auto"/>
              <w:left w:val="nil"/>
              <w:right w:val="nil"/>
            </w:tcBorders>
            <w:shd w:val="clear" w:color="auto" w:fill="auto"/>
            <w:noWrap/>
            <w:tcMar>
              <w:top w:w="15" w:type="dxa"/>
              <w:left w:w="15" w:type="dxa"/>
              <w:bottom w:w="0" w:type="dxa"/>
              <w:right w:w="15" w:type="dxa"/>
            </w:tcMar>
            <w:vAlign w:val="bottom"/>
          </w:tcPr>
          <w:p w14:paraId="3FD6B647" w14:textId="77777777" w:rsidR="00D44C08" w:rsidRPr="00F85178" w:rsidRDefault="00D44C08">
            <w:pPr>
              <w:jc w:val="center"/>
              <w:rPr>
                <w:bCs/>
              </w:rPr>
            </w:pPr>
          </w:p>
        </w:tc>
        <w:tc>
          <w:tcPr>
            <w:tcW w:w="0" w:type="auto"/>
            <w:tcBorders>
              <w:top w:val="double" w:sz="4" w:space="0" w:color="auto"/>
              <w:left w:val="nil"/>
              <w:right w:val="nil"/>
            </w:tcBorders>
            <w:shd w:val="clear" w:color="auto" w:fill="auto"/>
            <w:noWrap/>
            <w:tcMar>
              <w:top w:w="15" w:type="dxa"/>
              <w:left w:w="15" w:type="dxa"/>
              <w:bottom w:w="0" w:type="dxa"/>
              <w:right w:w="15" w:type="dxa"/>
            </w:tcMar>
            <w:vAlign w:val="bottom"/>
          </w:tcPr>
          <w:p w14:paraId="2B1B9A96" w14:textId="77777777" w:rsidR="00D44C08" w:rsidRPr="00F85178" w:rsidRDefault="00D44C08">
            <w:pPr>
              <w:jc w:val="center"/>
              <w:rPr>
                <w:bCs/>
              </w:rPr>
            </w:pPr>
          </w:p>
        </w:tc>
        <w:tc>
          <w:tcPr>
            <w:tcW w:w="0" w:type="auto"/>
            <w:tcBorders>
              <w:top w:val="double" w:sz="4" w:space="0" w:color="auto"/>
              <w:left w:val="nil"/>
              <w:right w:val="nil"/>
            </w:tcBorders>
            <w:shd w:val="clear" w:color="auto" w:fill="auto"/>
            <w:noWrap/>
            <w:tcMar>
              <w:top w:w="15" w:type="dxa"/>
              <w:left w:w="15" w:type="dxa"/>
              <w:bottom w:w="0" w:type="dxa"/>
              <w:right w:w="15" w:type="dxa"/>
            </w:tcMar>
            <w:vAlign w:val="bottom"/>
          </w:tcPr>
          <w:p w14:paraId="5D062955" w14:textId="77777777" w:rsidR="00D44C08" w:rsidRPr="00F85178" w:rsidRDefault="00D44C08">
            <w:pPr>
              <w:jc w:val="center"/>
              <w:rPr>
                <w:bCs/>
              </w:rPr>
            </w:pPr>
          </w:p>
        </w:tc>
      </w:tr>
    </w:tbl>
    <w:p w14:paraId="6FA772EC" w14:textId="77777777" w:rsidR="00277937" w:rsidRPr="00F85178" w:rsidRDefault="00277937" w:rsidP="00B839ED">
      <w:pPr>
        <w:pStyle w:val="OdstavecASR"/>
      </w:pPr>
      <w:r w:rsidRPr="00F85178">
        <w:t xml:space="preserve">Po snížení </w:t>
      </w:r>
      <w:r w:rsidR="008D60F8" w:rsidRPr="00F85178">
        <w:t xml:space="preserve">evidenčního </w:t>
      </w:r>
      <w:r w:rsidRPr="00F85178">
        <w:t xml:space="preserve">počtu soudců na </w:t>
      </w:r>
      <w:r w:rsidR="00430D2C" w:rsidRPr="00F85178">
        <w:t>okresních</w:t>
      </w:r>
      <w:r w:rsidRPr="00F85178">
        <w:t xml:space="preserve"> soudech v roce 2017</w:t>
      </w:r>
      <w:r w:rsidR="008D60F8" w:rsidRPr="00F85178">
        <w:t xml:space="preserve"> </w:t>
      </w:r>
      <w:r w:rsidR="00FB1DDF" w:rsidRPr="00F85178">
        <w:t>(z 1</w:t>
      </w:r>
      <w:r w:rsidR="00E77409" w:rsidRPr="00F85178">
        <w:t xml:space="preserve"> </w:t>
      </w:r>
      <w:r w:rsidR="00FB1DDF" w:rsidRPr="00F85178">
        <w:t>838 soudců v roce 2016 na 1</w:t>
      </w:r>
      <w:r w:rsidR="00E77409" w:rsidRPr="00F85178">
        <w:t xml:space="preserve"> </w:t>
      </w:r>
      <w:r w:rsidR="00FB1DDF" w:rsidRPr="00F85178">
        <w:t>820 soudců v roce 2017)</w:t>
      </w:r>
      <w:r w:rsidRPr="00F85178">
        <w:t xml:space="preserve"> se jejich </w:t>
      </w:r>
      <w:r w:rsidR="008D60F8" w:rsidRPr="00F85178">
        <w:t xml:space="preserve">celkový </w:t>
      </w:r>
      <w:r w:rsidRPr="00F85178">
        <w:t xml:space="preserve">počet v roce 2018 </w:t>
      </w:r>
      <w:r w:rsidR="008D60F8" w:rsidRPr="00F85178">
        <w:t>zpět navýšil o</w:t>
      </w:r>
      <w:r w:rsidR="00FB1DDF" w:rsidRPr="00F85178">
        <w:t xml:space="preserve"> 6 soudců). </w:t>
      </w:r>
      <w:r w:rsidR="00C22AA1" w:rsidRPr="00F85178">
        <w:t>K</w:t>
      </w:r>
      <w:r w:rsidR="00430D2C" w:rsidRPr="00F85178">
        <w:t> navýšení došlo pouze u civilního úseku, a to o 11 soudců, zatímco počet soudců na trestních úsecích se dále snižoval, a to o 5 soudců.</w:t>
      </w:r>
    </w:p>
    <w:p w14:paraId="05F0C4CB" w14:textId="77777777" w:rsidR="00430D2C" w:rsidRPr="00F85178" w:rsidRDefault="00430D2C" w:rsidP="00B839ED">
      <w:pPr>
        <w:pStyle w:val="OdstavecASR"/>
      </w:pPr>
      <w:r w:rsidRPr="00F85178">
        <w:t xml:space="preserve">Nejvíce si „polepšily“ OS v soudních krajích </w:t>
      </w:r>
      <w:r w:rsidR="00FC4A3B" w:rsidRPr="00F85178">
        <w:t xml:space="preserve">KS Praha a KS Ostrava, což </w:t>
      </w:r>
      <w:r w:rsidR="00C22AA1" w:rsidRPr="00F85178">
        <w:t xml:space="preserve">jim </w:t>
      </w:r>
      <w:r w:rsidR="00FC4A3B" w:rsidRPr="00F85178">
        <w:t>však nestačilo k dorovnání na stav v roce 2016. Již třetím rokem se naopak snižuje evidenční počet soudců v pražských obvodních soudech (soudní kraj MS Praha)</w:t>
      </w:r>
      <w:r w:rsidR="00C220E9" w:rsidRPr="00F85178">
        <w:t>, přičemž se také trvale snižuje evidenční počet soudců na samotném MS Praha (viz tabulka</w:t>
      </w:r>
      <w:r w:rsidR="00741B41" w:rsidRPr="00F85178">
        <w:t xml:space="preserve"> 29</w:t>
      </w:r>
      <w:r w:rsidR="00C220E9" w:rsidRPr="00F85178">
        <w:t>)</w:t>
      </w:r>
      <w:r w:rsidR="00FC4A3B" w:rsidRPr="00F85178">
        <w:t>.</w:t>
      </w:r>
      <w:r w:rsidR="0023033B" w:rsidRPr="00F85178">
        <w:t xml:space="preserve"> Jedná se ale o velmi malé změny, které v zásadě nemají žádný reálný dopad.</w:t>
      </w:r>
    </w:p>
    <w:p w14:paraId="00BA595F" w14:textId="77777777" w:rsidR="00B839ED" w:rsidRPr="00F85178" w:rsidRDefault="00B839ED" w:rsidP="00B839ED">
      <w:pPr>
        <w:pStyle w:val="OdstavecASR"/>
      </w:pPr>
      <w:r w:rsidRPr="00F85178">
        <w:t xml:space="preserve">Největšími okresními soudy </w:t>
      </w:r>
      <w:r w:rsidR="00173235" w:rsidRPr="00F85178">
        <w:t xml:space="preserve">zůstávají </w:t>
      </w:r>
      <w:r w:rsidR="002B5AE4" w:rsidRPr="00F85178">
        <w:t>MS Brno (80</w:t>
      </w:r>
      <w:r w:rsidRPr="00F85178">
        <w:t> soudců), OS </w:t>
      </w:r>
      <w:r w:rsidR="002B5AE4" w:rsidRPr="00F85178">
        <w:t>Ostrava (80</w:t>
      </w:r>
      <w:r w:rsidRPr="00F85178">
        <w:t> soudců) a OS pro Prahu 4 (5</w:t>
      </w:r>
      <w:r w:rsidR="002B5AE4" w:rsidRPr="00F85178">
        <w:t>0 soudců</w:t>
      </w:r>
      <w:r w:rsidRPr="00F85178">
        <w:t>). Naopak nejmenší jsou okresní soudy v Prachaticích (6 soudců), Pelhřimově, Jeseníku a Rokycanech (po 7 soudcích). Velikost jednotlivých soudů lze přibližně vyčíst z kartogramu.</w:t>
      </w:r>
    </w:p>
    <w:p w14:paraId="080338C7" w14:textId="77777777" w:rsidR="00FE6BFF" w:rsidRPr="00F85178" w:rsidRDefault="00FE6BFF" w:rsidP="00FE6BFF">
      <w:pPr>
        <w:pStyle w:val="Podtitul"/>
        <w:rPr>
          <w:color w:val="auto"/>
        </w:rPr>
      </w:pPr>
      <w:bookmarkStart w:id="30" w:name="_Toc515871328"/>
      <w:bookmarkStart w:id="31" w:name="_Toc11135064"/>
      <w:bookmarkStart w:id="32" w:name="_Toc13837496"/>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3</w:t>
      </w:r>
      <w:r w:rsidR="00EE0C8A" w:rsidRPr="00F85178">
        <w:rPr>
          <w:color w:val="auto"/>
        </w:rPr>
        <w:fldChar w:fldCharType="end"/>
      </w:r>
      <w:r w:rsidRPr="00F85178">
        <w:rPr>
          <w:color w:val="auto"/>
        </w:rPr>
        <w:t>: OS – evidenční počet soudců u jednotlivých soudů</w:t>
      </w:r>
      <w:bookmarkEnd w:id="30"/>
      <w:bookmarkEnd w:id="31"/>
      <w:bookmarkEnd w:id="32"/>
    </w:p>
    <w:p w14:paraId="7EA5E4A9" w14:textId="77777777" w:rsidR="00FE6BFF" w:rsidRPr="00F85178" w:rsidRDefault="00890295" w:rsidP="00B839ED">
      <w:pPr>
        <w:pStyle w:val="OdstavecASR"/>
      </w:pPr>
      <w:r>
        <w:rPr>
          <w:noProof/>
          <w:lang w:eastAsia="cs-CZ"/>
        </w:rPr>
        <w:drawing>
          <wp:anchor distT="0" distB="0" distL="114300" distR="114300" simplePos="0" relativeHeight="251650560" behindDoc="0" locked="0" layoutInCell="1" allowOverlap="1" wp14:anchorId="6A291A5D" wp14:editId="3B8BA528">
            <wp:simplePos x="0" y="0"/>
            <wp:positionH relativeFrom="margin">
              <wp:posOffset>4489506</wp:posOffset>
            </wp:positionH>
            <wp:positionV relativeFrom="paragraph">
              <wp:posOffset>84455</wp:posOffset>
            </wp:positionV>
            <wp:extent cx="1224280" cy="896620"/>
            <wp:effectExtent l="0" t="0" r="0" b="0"/>
            <wp:wrapNone/>
            <wp:docPr id="122" name="Obráze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224280" cy="8966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07274F8D" wp14:editId="0A2379FD">
            <wp:extent cx="5759450" cy="3329940"/>
            <wp:effectExtent l="0" t="0" r="0" b="0"/>
            <wp:docPr id="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3D421FD8" w14:textId="77777777" w:rsidR="002B5AE4" w:rsidRPr="00F85178" w:rsidRDefault="002B5AE4" w:rsidP="002B5AE4">
      <w:pPr>
        <w:pStyle w:val="OdstavecASR"/>
      </w:pPr>
      <w:r w:rsidRPr="00F85178">
        <w:t>V kartogramu vidíme, že největší soudy jsou především ve větších městech. Relativně velké soudy se nachází v Severočeském a Severomoravském kraji. Velké jsou také některé obvodní soudy v Praze (již zmíněný OS pro Prahu 4, dále OS pro Prahu 1 a OS pro Prahu 5).</w:t>
      </w:r>
    </w:p>
    <w:p w14:paraId="2CCC67AE" w14:textId="77777777" w:rsidR="002B5AE4" w:rsidRPr="00F85178" w:rsidRDefault="002B5AE4" w:rsidP="002B5AE4">
      <w:pPr>
        <w:pStyle w:val="OdstavecASR"/>
      </w:pPr>
      <w:r w:rsidRPr="00F85178">
        <w:t xml:space="preserve">Zajímavý je také údaj o podílu žen mezi soudci. Jak ukazuje graf níže, stejně jako ostatní ukazatele je i podíl soudkyň </w:t>
      </w:r>
      <w:r w:rsidR="0023033B" w:rsidRPr="00F85178">
        <w:t xml:space="preserve">celkem </w:t>
      </w:r>
      <w:r w:rsidRPr="00F85178">
        <w:t xml:space="preserve">stabilní, a to </w:t>
      </w:r>
      <w:r w:rsidR="002C28C2" w:rsidRPr="00F85178">
        <w:t xml:space="preserve">přibližně </w:t>
      </w:r>
      <w:r w:rsidRPr="00F85178">
        <w:t>65 až 67 %</w:t>
      </w:r>
      <w:r w:rsidR="0023033B" w:rsidRPr="00F85178">
        <w:t>. Lze nicméně vidět velmi mírný rostoucí trend, protože</w:t>
      </w:r>
      <w:r w:rsidR="002A69FB" w:rsidRPr="00F85178">
        <w:t xml:space="preserve"> počty mužů klesají od roku 2011</w:t>
      </w:r>
      <w:r w:rsidRPr="00F85178">
        <w:t>.</w:t>
      </w:r>
      <w:r w:rsidR="002C28C2" w:rsidRPr="00F85178">
        <w:t xml:space="preserve"> </w:t>
      </w:r>
      <w:r w:rsidR="005C706B" w:rsidRPr="00F85178">
        <w:t xml:space="preserve">Tabulka </w:t>
      </w:r>
      <w:r w:rsidR="005C706B" w:rsidRPr="00F85178">
        <w:rPr>
          <w:noProof/>
        </w:rPr>
        <w:t>2</w:t>
      </w:r>
      <w:r w:rsidRPr="00F85178">
        <w:t xml:space="preserve"> uvádí evidenční počty soudců a soudkyň podle soudních krajů. Podíl žen u soudů spadajících pod MS Praha a KS Praha je vyšší než ve zbytku ČR</w:t>
      </w:r>
      <w:r w:rsidR="002C28C2" w:rsidRPr="00F85178">
        <w:t>.</w:t>
      </w:r>
    </w:p>
    <w:p w14:paraId="38B23941" w14:textId="77777777" w:rsidR="002C28C2" w:rsidRPr="00F85178" w:rsidRDefault="002C28C2" w:rsidP="00D44C08">
      <w:pPr>
        <w:pStyle w:val="Podtitul"/>
        <w:rPr>
          <w:color w:val="auto"/>
        </w:rPr>
      </w:pPr>
      <w:bookmarkStart w:id="33" w:name="_Toc515871329"/>
      <w:bookmarkStart w:id="34" w:name="_Toc11135065"/>
      <w:bookmarkStart w:id="35" w:name="_Toc13837497"/>
      <w:r w:rsidRPr="00F85178">
        <w:rPr>
          <w:color w:val="auto"/>
        </w:rPr>
        <w:t xml:space="preserve">Graf </w:t>
      </w:r>
      <w:r w:rsidR="0067217C" w:rsidRPr="00F85178">
        <w:rPr>
          <w:noProof/>
          <w:color w:val="auto"/>
        </w:rPr>
        <w:fldChar w:fldCharType="begin"/>
      </w:r>
      <w:r w:rsidR="0067217C" w:rsidRPr="00F85178">
        <w:rPr>
          <w:noProof/>
          <w:color w:val="auto"/>
        </w:rPr>
        <w:instrText xml:space="preserve"> SEQ Graf \* ARABIC </w:instrText>
      </w:r>
      <w:r w:rsidR="0067217C" w:rsidRPr="00F85178">
        <w:rPr>
          <w:noProof/>
          <w:color w:val="auto"/>
        </w:rPr>
        <w:fldChar w:fldCharType="separate"/>
      </w:r>
      <w:r w:rsidR="00306940">
        <w:rPr>
          <w:noProof/>
          <w:color w:val="auto"/>
        </w:rPr>
        <w:t>4</w:t>
      </w:r>
      <w:r w:rsidR="0067217C" w:rsidRPr="00F85178">
        <w:rPr>
          <w:noProof/>
          <w:color w:val="auto"/>
        </w:rPr>
        <w:fldChar w:fldCharType="end"/>
      </w:r>
      <w:r w:rsidRPr="00F85178">
        <w:rPr>
          <w:color w:val="auto"/>
        </w:rPr>
        <w:t xml:space="preserve">: </w:t>
      </w:r>
      <w:bookmarkStart w:id="36" w:name="_Toc485734466"/>
      <w:bookmarkStart w:id="37" w:name="_Toc487792737"/>
      <w:r w:rsidRPr="00F85178">
        <w:rPr>
          <w:color w:val="auto"/>
        </w:rPr>
        <w:t>OS – evidenční počet soudců dle pohlaví v letech 2008–201</w:t>
      </w:r>
      <w:bookmarkEnd w:id="33"/>
      <w:bookmarkEnd w:id="36"/>
      <w:bookmarkEnd w:id="37"/>
      <w:r w:rsidRPr="00F85178">
        <w:rPr>
          <w:color w:val="auto"/>
        </w:rPr>
        <w:t>8</w:t>
      </w:r>
      <w:bookmarkEnd w:id="34"/>
      <w:bookmarkEnd w:id="35"/>
    </w:p>
    <w:p w14:paraId="284B518D" w14:textId="77777777" w:rsidR="002C28C2" w:rsidRPr="00F85178" w:rsidRDefault="00890295" w:rsidP="002B5AE4">
      <w:pPr>
        <w:pStyle w:val="OdstavecASR"/>
      </w:pPr>
      <w:r>
        <w:rPr>
          <w:noProof/>
          <w:lang w:eastAsia="cs-CZ"/>
        </w:rPr>
        <w:drawing>
          <wp:inline distT="0" distB="0" distL="0" distR="0" wp14:anchorId="0E0BA75F" wp14:editId="70208D6C">
            <wp:extent cx="5118100" cy="3746500"/>
            <wp:effectExtent l="0" t="0" r="0" b="0"/>
            <wp:docPr id="5" name="Obráze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C844704" w14:textId="77777777" w:rsidR="00646A54" w:rsidRPr="00F85178" w:rsidRDefault="00646A54" w:rsidP="00646A54">
      <w:pPr>
        <w:pStyle w:val="Podtitul"/>
        <w:rPr>
          <w:color w:val="auto"/>
        </w:rPr>
      </w:pPr>
      <w:bookmarkStart w:id="38" w:name="_Ref511985934"/>
      <w:bookmarkStart w:id="39" w:name="_Toc515871437"/>
      <w:bookmarkStart w:id="40" w:name="_Toc11133204"/>
      <w:bookmarkStart w:id="41" w:name="_Toc1383742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w:t>
      </w:r>
      <w:r w:rsidRPr="00F85178">
        <w:rPr>
          <w:noProof/>
          <w:color w:val="auto"/>
        </w:rPr>
        <w:fldChar w:fldCharType="end"/>
      </w:r>
      <w:bookmarkEnd w:id="38"/>
      <w:r w:rsidRPr="00F85178">
        <w:rPr>
          <w:color w:val="auto"/>
        </w:rPr>
        <w:t>: OS – evidenční počet soudců dle pohlaví a krajů</w:t>
      </w:r>
      <w:bookmarkEnd w:id="39"/>
      <w:bookmarkEnd w:id="40"/>
      <w:bookmarkEnd w:id="41"/>
    </w:p>
    <w:tbl>
      <w:tblPr>
        <w:tblW w:w="6800" w:type="dxa"/>
        <w:tblCellMar>
          <w:left w:w="70" w:type="dxa"/>
          <w:right w:w="70" w:type="dxa"/>
        </w:tblCellMar>
        <w:tblLook w:val="04A0" w:firstRow="1" w:lastRow="0" w:firstColumn="1" w:lastColumn="0" w:noHBand="0" w:noVBand="1"/>
      </w:tblPr>
      <w:tblGrid>
        <w:gridCol w:w="2480"/>
        <w:gridCol w:w="1154"/>
        <w:gridCol w:w="1566"/>
        <w:gridCol w:w="1600"/>
      </w:tblGrid>
      <w:tr w:rsidR="00F85178" w:rsidRPr="00F85178" w14:paraId="0B7F1BED" w14:textId="77777777" w:rsidTr="00646A5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9A55885"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2720" w:type="dxa"/>
            <w:gridSpan w:val="2"/>
            <w:tcBorders>
              <w:top w:val="double" w:sz="6" w:space="0" w:color="auto"/>
              <w:left w:val="nil"/>
              <w:bottom w:val="nil"/>
              <w:right w:val="nil"/>
            </w:tcBorders>
            <w:shd w:val="clear" w:color="auto" w:fill="auto"/>
            <w:noWrap/>
            <w:vAlign w:val="center"/>
            <w:hideMark/>
          </w:tcPr>
          <w:p w14:paraId="4741A7BB"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3CCC7A5D"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Podíl žen v %</w:t>
            </w:r>
          </w:p>
        </w:tc>
      </w:tr>
      <w:tr w:rsidR="00F85178" w:rsidRPr="00F85178" w14:paraId="62AB13C1" w14:textId="77777777" w:rsidTr="00646A54">
        <w:trPr>
          <w:trHeight w:val="330"/>
        </w:trPr>
        <w:tc>
          <w:tcPr>
            <w:tcW w:w="2480" w:type="dxa"/>
            <w:vMerge/>
            <w:tcBorders>
              <w:top w:val="double" w:sz="6" w:space="0" w:color="auto"/>
              <w:left w:val="nil"/>
              <w:bottom w:val="double" w:sz="6" w:space="0" w:color="000000"/>
              <w:right w:val="nil"/>
            </w:tcBorders>
            <w:vAlign w:val="center"/>
            <w:hideMark/>
          </w:tcPr>
          <w:p w14:paraId="265F1A48" w14:textId="77777777" w:rsidR="00646A54" w:rsidRPr="00F85178" w:rsidRDefault="00646A54" w:rsidP="00646A54">
            <w:pPr>
              <w:spacing w:line="240" w:lineRule="auto"/>
              <w:jc w:val="left"/>
              <w:rPr>
                <w:rFonts w:eastAsia="Times New Roman"/>
                <w:b/>
                <w:bCs/>
                <w:szCs w:val="24"/>
                <w:lang w:eastAsia="cs-CZ"/>
              </w:rPr>
            </w:pPr>
          </w:p>
        </w:tc>
        <w:tc>
          <w:tcPr>
            <w:tcW w:w="1154" w:type="dxa"/>
            <w:tcBorders>
              <w:top w:val="nil"/>
              <w:left w:val="nil"/>
              <w:bottom w:val="double" w:sz="6" w:space="0" w:color="auto"/>
              <w:right w:val="nil"/>
            </w:tcBorders>
            <w:shd w:val="clear" w:color="auto" w:fill="auto"/>
            <w:noWrap/>
            <w:vAlign w:val="center"/>
            <w:hideMark/>
          </w:tcPr>
          <w:p w14:paraId="29800510"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Žen</w:t>
            </w:r>
          </w:p>
        </w:tc>
        <w:tc>
          <w:tcPr>
            <w:tcW w:w="1566" w:type="dxa"/>
            <w:tcBorders>
              <w:top w:val="nil"/>
              <w:left w:val="nil"/>
              <w:bottom w:val="double" w:sz="6" w:space="0" w:color="auto"/>
              <w:right w:val="nil"/>
            </w:tcBorders>
            <w:shd w:val="clear" w:color="auto" w:fill="auto"/>
            <w:noWrap/>
            <w:vAlign w:val="center"/>
            <w:hideMark/>
          </w:tcPr>
          <w:p w14:paraId="2F4F068A"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05BA99CD" w14:textId="77777777" w:rsidR="00646A54" w:rsidRPr="00F85178" w:rsidRDefault="00646A54" w:rsidP="00646A54">
            <w:pPr>
              <w:spacing w:line="240" w:lineRule="auto"/>
              <w:jc w:val="left"/>
              <w:rPr>
                <w:rFonts w:eastAsia="Times New Roman"/>
                <w:b/>
                <w:bCs/>
                <w:szCs w:val="24"/>
                <w:lang w:eastAsia="cs-CZ"/>
              </w:rPr>
            </w:pPr>
          </w:p>
        </w:tc>
      </w:tr>
      <w:tr w:rsidR="00F85178" w:rsidRPr="00F85178" w14:paraId="1ECBE37D" w14:textId="77777777" w:rsidTr="00646A5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5821BB7D"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MS Praha</w:t>
            </w:r>
          </w:p>
        </w:tc>
        <w:tc>
          <w:tcPr>
            <w:tcW w:w="1154" w:type="dxa"/>
            <w:tcBorders>
              <w:top w:val="single" w:sz="4" w:space="0" w:color="auto"/>
              <w:left w:val="nil"/>
              <w:bottom w:val="single" w:sz="4" w:space="0" w:color="auto"/>
              <w:right w:val="nil"/>
            </w:tcBorders>
            <w:shd w:val="clear" w:color="auto" w:fill="auto"/>
            <w:noWrap/>
            <w:vAlign w:val="bottom"/>
            <w:hideMark/>
          </w:tcPr>
          <w:p w14:paraId="2122853A"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236</w:t>
            </w:r>
          </w:p>
        </w:tc>
        <w:tc>
          <w:tcPr>
            <w:tcW w:w="1566" w:type="dxa"/>
            <w:tcBorders>
              <w:top w:val="single" w:sz="4" w:space="0" w:color="auto"/>
              <w:left w:val="nil"/>
              <w:bottom w:val="single" w:sz="4" w:space="0" w:color="auto"/>
              <w:right w:val="nil"/>
            </w:tcBorders>
            <w:shd w:val="clear" w:color="auto" w:fill="auto"/>
            <w:noWrap/>
            <w:vAlign w:val="bottom"/>
            <w:hideMark/>
          </w:tcPr>
          <w:p w14:paraId="445DBB3E"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73</w:t>
            </w:r>
          </w:p>
        </w:tc>
        <w:tc>
          <w:tcPr>
            <w:tcW w:w="1600" w:type="dxa"/>
            <w:tcBorders>
              <w:top w:val="single" w:sz="4" w:space="0" w:color="auto"/>
              <w:left w:val="nil"/>
              <w:bottom w:val="single" w:sz="4" w:space="0" w:color="auto"/>
              <w:right w:val="nil"/>
            </w:tcBorders>
            <w:shd w:val="clear" w:color="auto" w:fill="auto"/>
            <w:noWrap/>
            <w:vAlign w:val="bottom"/>
            <w:hideMark/>
          </w:tcPr>
          <w:p w14:paraId="5AE503B3"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76,38</w:t>
            </w:r>
          </w:p>
        </w:tc>
      </w:tr>
      <w:tr w:rsidR="00F85178" w:rsidRPr="00F85178" w14:paraId="5B4D9C0B"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0EE2F6C0"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Praha</w:t>
            </w:r>
          </w:p>
        </w:tc>
        <w:tc>
          <w:tcPr>
            <w:tcW w:w="1154" w:type="dxa"/>
            <w:tcBorders>
              <w:top w:val="nil"/>
              <w:left w:val="nil"/>
              <w:bottom w:val="single" w:sz="4" w:space="0" w:color="auto"/>
              <w:right w:val="nil"/>
            </w:tcBorders>
            <w:shd w:val="clear" w:color="auto" w:fill="auto"/>
            <w:noWrap/>
            <w:vAlign w:val="bottom"/>
            <w:hideMark/>
          </w:tcPr>
          <w:p w14:paraId="3420CA0A"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144</w:t>
            </w:r>
          </w:p>
        </w:tc>
        <w:tc>
          <w:tcPr>
            <w:tcW w:w="1566" w:type="dxa"/>
            <w:tcBorders>
              <w:top w:val="nil"/>
              <w:left w:val="nil"/>
              <w:bottom w:val="single" w:sz="4" w:space="0" w:color="auto"/>
              <w:right w:val="nil"/>
            </w:tcBorders>
            <w:shd w:val="clear" w:color="auto" w:fill="auto"/>
            <w:noWrap/>
            <w:vAlign w:val="bottom"/>
            <w:hideMark/>
          </w:tcPr>
          <w:p w14:paraId="68F3B480"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53</w:t>
            </w:r>
          </w:p>
        </w:tc>
        <w:tc>
          <w:tcPr>
            <w:tcW w:w="1600" w:type="dxa"/>
            <w:tcBorders>
              <w:top w:val="nil"/>
              <w:left w:val="nil"/>
              <w:bottom w:val="single" w:sz="4" w:space="0" w:color="auto"/>
              <w:right w:val="nil"/>
            </w:tcBorders>
            <w:shd w:val="clear" w:color="auto" w:fill="auto"/>
            <w:noWrap/>
            <w:vAlign w:val="bottom"/>
            <w:hideMark/>
          </w:tcPr>
          <w:p w14:paraId="68608EA7"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73,10</w:t>
            </w:r>
          </w:p>
        </w:tc>
      </w:tr>
      <w:tr w:rsidR="00F85178" w:rsidRPr="00F85178" w14:paraId="0599F35C"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4B684A1B"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Č. Budějovice</w:t>
            </w:r>
          </w:p>
        </w:tc>
        <w:tc>
          <w:tcPr>
            <w:tcW w:w="1154" w:type="dxa"/>
            <w:tcBorders>
              <w:top w:val="nil"/>
              <w:left w:val="nil"/>
              <w:bottom w:val="single" w:sz="4" w:space="0" w:color="auto"/>
              <w:right w:val="nil"/>
            </w:tcBorders>
            <w:shd w:val="clear" w:color="auto" w:fill="auto"/>
            <w:noWrap/>
            <w:vAlign w:val="bottom"/>
            <w:hideMark/>
          </w:tcPr>
          <w:p w14:paraId="7AEFCE2A"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64</w:t>
            </w:r>
          </w:p>
        </w:tc>
        <w:tc>
          <w:tcPr>
            <w:tcW w:w="1566" w:type="dxa"/>
            <w:tcBorders>
              <w:top w:val="nil"/>
              <w:left w:val="nil"/>
              <w:bottom w:val="single" w:sz="4" w:space="0" w:color="auto"/>
              <w:right w:val="nil"/>
            </w:tcBorders>
            <w:shd w:val="clear" w:color="auto" w:fill="auto"/>
            <w:noWrap/>
            <w:vAlign w:val="bottom"/>
            <w:hideMark/>
          </w:tcPr>
          <w:p w14:paraId="5CC511B9"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40</w:t>
            </w:r>
          </w:p>
        </w:tc>
        <w:tc>
          <w:tcPr>
            <w:tcW w:w="1600" w:type="dxa"/>
            <w:tcBorders>
              <w:top w:val="nil"/>
              <w:left w:val="nil"/>
              <w:bottom w:val="single" w:sz="4" w:space="0" w:color="auto"/>
              <w:right w:val="nil"/>
            </w:tcBorders>
            <w:shd w:val="clear" w:color="auto" w:fill="auto"/>
            <w:noWrap/>
            <w:vAlign w:val="bottom"/>
            <w:hideMark/>
          </w:tcPr>
          <w:p w14:paraId="0F45D8C7"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61,54</w:t>
            </w:r>
          </w:p>
        </w:tc>
      </w:tr>
      <w:tr w:rsidR="00F85178" w:rsidRPr="00F85178" w14:paraId="3135102C"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7E19B236"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Plzeň</w:t>
            </w:r>
          </w:p>
        </w:tc>
        <w:tc>
          <w:tcPr>
            <w:tcW w:w="1154" w:type="dxa"/>
            <w:tcBorders>
              <w:top w:val="nil"/>
              <w:left w:val="nil"/>
              <w:bottom w:val="single" w:sz="4" w:space="0" w:color="auto"/>
              <w:right w:val="nil"/>
            </w:tcBorders>
            <w:shd w:val="clear" w:color="auto" w:fill="auto"/>
            <w:noWrap/>
            <w:vAlign w:val="bottom"/>
            <w:hideMark/>
          </w:tcPr>
          <w:p w14:paraId="3AD6BEC0"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96</w:t>
            </w:r>
          </w:p>
        </w:tc>
        <w:tc>
          <w:tcPr>
            <w:tcW w:w="1566" w:type="dxa"/>
            <w:tcBorders>
              <w:top w:val="nil"/>
              <w:left w:val="nil"/>
              <w:bottom w:val="single" w:sz="4" w:space="0" w:color="auto"/>
              <w:right w:val="nil"/>
            </w:tcBorders>
            <w:shd w:val="clear" w:color="auto" w:fill="auto"/>
            <w:noWrap/>
            <w:vAlign w:val="bottom"/>
            <w:hideMark/>
          </w:tcPr>
          <w:p w14:paraId="5B608C69"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64</w:t>
            </w:r>
          </w:p>
        </w:tc>
        <w:tc>
          <w:tcPr>
            <w:tcW w:w="1600" w:type="dxa"/>
            <w:tcBorders>
              <w:top w:val="nil"/>
              <w:left w:val="nil"/>
              <w:bottom w:val="single" w:sz="4" w:space="0" w:color="auto"/>
              <w:right w:val="nil"/>
            </w:tcBorders>
            <w:shd w:val="clear" w:color="auto" w:fill="auto"/>
            <w:noWrap/>
            <w:vAlign w:val="bottom"/>
            <w:hideMark/>
          </w:tcPr>
          <w:p w14:paraId="21F78EFC"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60,00</w:t>
            </w:r>
          </w:p>
        </w:tc>
      </w:tr>
      <w:tr w:rsidR="00F85178" w:rsidRPr="00F85178" w14:paraId="21E465A2"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5BBA2B6B"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Ústí n. Labem</w:t>
            </w:r>
          </w:p>
        </w:tc>
        <w:tc>
          <w:tcPr>
            <w:tcW w:w="1154" w:type="dxa"/>
            <w:tcBorders>
              <w:top w:val="nil"/>
              <w:left w:val="nil"/>
              <w:bottom w:val="single" w:sz="4" w:space="0" w:color="auto"/>
              <w:right w:val="nil"/>
            </w:tcBorders>
            <w:shd w:val="clear" w:color="auto" w:fill="auto"/>
            <w:noWrap/>
            <w:vAlign w:val="bottom"/>
            <w:hideMark/>
          </w:tcPr>
          <w:p w14:paraId="102093FF"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177</w:t>
            </w:r>
          </w:p>
        </w:tc>
        <w:tc>
          <w:tcPr>
            <w:tcW w:w="1566" w:type="dxa"/>
            <w:tcBorders>
              <w:top w:val="nil"/>
              <w:left w:val="nil"/>
              <w:bottom w:val="single" w:sz="4" w:space="0" w:color="auto"/>
              <w:right w:val="nil"/>
            </w:tcBorders>
            <w:shd w:val="clear" w:color="auto" w:fill="auto"/>
            <w:noWrap/>
            <w:vAlign w:val="bottom"/>
            <w:hideMark/>
          </w:tcPr>
          <w:p w14:paraId="4CDA553C"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102</w:t>
            </w:r>
          </w:p>
        </w:tc>
        <w:tc>
          <w:tcPr>
            <w:tcW w:w="1600" w:type="dxa"/>
            <w:tcBorders>
              <w:top w:val="nil"/>
              <w:left w:val="nil"/>
              <w:bottom w:val="single" w:sz="4" w:space="0" w:color="auto"/>
              <w:right w:val="nil"/>
            </w:tcBorders>
            <w:shd w:val="clear" w:color="auto" w:fill="auto"/>
            <w:noWrap/>
            <w:vAlign w:val="bottom"/>
            <w:hideMark/>
          </w:tcPr>
          <w:p w14:paraId="6F04B017"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63,44</w:t>
            </w:r>
          </w:p>
        </w:tc>
      </w:tr>
      <w:tr w:rsidR="00F85178" w:rsidRPr="00F85178" w14:paraId="5ABEEE8E"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521BB451"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Hr. Králové</w:t>
            </w:r>
          </w:p>
        </w:tc>
        <w:tc>
          <w:tcPr>
            <w:tcW w:w="1154" w:type="dxa"/>
            <w:tcBorders>
              <w:top w:val="nil"/>
              <w:left w:val="nil"/>
              <w:bottom w:val="single" w:sz="4" w:space="0" w:color="auto"/>
              <w:right w:val="nil"/>
            </w:tcBorders>
            <w:shd w:val="clear" w:color="auto" w:fill="auto"/>
            <w:noWrap/>
            <w:vAlign w:val="bottom"/>
            <w:hideMark/>
          </w:tcPr>
          <w:p w14:paraId="0BE177AC"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111</w:t>
            </w:r>
          </w:p>
        </w:tc>
        <w:tc>
          <w:tcPr>
            <w:tcW w:w="1566" w:type="dxa"/>
            <w:tcBorders>
              <w:top w:val="nil"/>
              <w:left w:val="nil"/>
              <w:bottom w:val="single" w:sz="4" w:space="0" w:color="auto"/>
              <w:right w:val="nil"/>
            </w:tcBorders>
            <w:shd w:val="clear" w:color="auto" w:fill="auto"/>
            <w:noWrap/>
            <w:vAlign w:val="bottom"/>
            <w:hideMark/>
          </w:tcPr>
          <w:p w14:paraId="63B8B8B4" w14:textId="77777777" w:rsidR="004A2090" w:rsidRPr="00F85178" w:rsidRDefault="00646A54" w:rsidP="004A2090">
            <w:pPr>
              <w:spacing w:line="240" w:lineRule="auto"/>
              <w:jc w:val="center"/>
              <w:rPr>
                <w:rFonts w:eastAsia="Times New Roman"/>
                <w:szCs w:val="24"/>
                <w:lang w:eastAsia="cs-CZ"/>
              </w:rPr>
            </w:pPr>
            <w:r w:rsidRPr="00F85178">
              <w:rPr>
                <w:rFonts w:eastAsia="Times New Roman"/>
                <w:szCs w:val="24"/>
                <w:lang w:eastAsia="cs-CZ"/>
              </w:rPr>
              <w:t>57</w:t>
            </w:r>
          </w:p>
        </w:tc>
        <w:tc>
          <w:tcPr>
            <w:tcW w:w="1600" w:type="dxa"/>
            <w:tcBorders>
              <w:top w:val="nil"/>
              <w:left w:val="nil"/>
              <w:bottom w:val="single" w:sz="4" w:space="0" w:color="auto"/>
              <w:right w:val="nil"/>
            </w:tcBorders>
            <w:shd w:val="clear" w:color="auto" w:fill="auto"/>
            <w:noWrap/>
            <w:vAlign w:val="bottom"/>
            <w:hideMark/>
          </w:tcPr>
          <w:p w14:paraId="4092CC93" w14:textId="77777777" w:rsidR="00641773" w:rsidRPr="00F85178" w:rsidRDefault="00646A54" w:rsidP="00641773">
            <w:pPr>
              <w:spacing w:line="240" w:lineRule="auto"/>
              <w:jc w:val="center"/>
              <w:rPr>
                <w:rFonts w:eastAsia="Times New Roman"/>
                <w:szCs w:val="24"/>
                <w:lang w:eastAsia="cs-CZ"/>
              </w:rPr>
            </w:pPr>
            <w:r w:rsidRPr="00F85178">
              <w:rPr>
                <w:rFonts w:eastAsia="Times New Roman"/>
                <w:szCs w:val="24"/>
                <w:lang w:eastAsia="cs-CZ"/>
              </w:rPr>
              <w:t>66,07</w:t>
            </w:r>
          </w:p>
        </w:tc>
      </w:tr>
      <w:tr w:rsidR="00F85178" w:rsidRPr="00F85178" w14:paraId="11FEB5D2" w14:textId="77777777" w:rsidTr="00646A54">
        <w:trPr>
          <w:trHeight w:val="315"/>
        </w:trPr>
        <w:tc>
          <w:tcPr>
            <w:tcW w:w="2480" w:type="dxa"/>
            <w:tcBorders>
              <w:top w:val="nil"/>
              <w:left w:val="nil"/>
              <w:bottom w:val="single" w:sz="4" w:space="0" w:color="auto"/>
              <w:right w:val="nil"/>
            </w:tcBorders>
            <w:shd w:val="clear" w:color="auto" w:fill="auto"/>
            <w:noWrap/>
            <w:vAlign w:val="bottom"/>
            <w:hideMark/>
          </w:tcPr>
          <w:p w14:paraId="69D29E8A"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Brno</w:t>
            </w:r>
          </w:p>
        </w:tc>
        <w:tc>
          <w:tcPr>
            <w:tcW w:w="1154" w:type="dxa"/>
            <w:tcBorders>
              <w:top w:val="nil"/>
              <w:left w:val="nil"/>
              <w:bottom w:val="single" w:sz="4" w:space="0" w:color="auto"/>
              <w:right w:val="nil"/>
            </w:tcBorders>
            <w:shd w:val="clear" w:color="auto" w:fill="auto"/>
            <w:noWrap/>
            <w:vAlign w:val="bottom"/>
            <w:hideMark/>
          </w:tcPr>
          <w:p w14:paraId="501915FC"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183</w:t>
            </w:r>
          </w:p>
        </w:tc>
        <w:tc>
          <w:tcPr>
            <w:tcW w:w="1566" w:type="dxa"/>
            <w:tcBorders>
              <w:top w:val="nil"/>
              <w:left w:val="nil"/>
              <w:bottom w:val="single" w:sz="4" w:space="0" w:color="auto"/>
              <w:right w:val="nil"/>
            </w:tcBorders>
            <w:shd w:val="clear" w:color="auto" w:fill="auto"/>
            <w:noWrap/>
            <w:vAlign w:val="bottom"/>
            <w:hideMark/>
          </w:tcPr>
          <w:p w14:paraId="6D6D3611"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104</w:t>
            </w:r>
          </w:p>
        </w:tc>
        <w:tc>
          <w:tcPr>
            <w:tcW w:w="1600" w:type="dxa"/>
            <w:tcBorders>
              <w:top w:val="nil"/>
              <w:left w:val="nil"/>
              <w:bottom w:val="single" w:sz="4" w:space="0" w:color="auto"/>
              <w:right w:val="nil"/>
            </w:tcBorders>
            <w:shd w:val="clear" w:color="auto" w:fill="auto"/>
            <w:noWrap/>
            <w:vAlign w:val="bottom"/>
            <w:hideMark/>
          </w:tcPr>
          <w:p w14:paraId="11C01BFF"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63,76</w:t>
            </w:r>
          </w:p>
        </w:tc>
      </w:tr>
      <w:tr w:rsidR="00F85178" w:rsidRPr="00F85178" w14:paraId="41878ADC" w14:textId="77777777" w:rsidTr="00646A54">
        <w:trPr>
          <w:trHeight w:val="330"/>
        </w:trPr>
        <w:tc>
          <w:tcPr>
            <w:tcW w:w="2480" w:type="dxa"/>
            <w:tcBorders>
              <w:top w:val="nil"/>
              <w:left w:val="nil"/>
              <w:bottom w:val="double" w:sz="6" w:space="0" w:color="auto"/>
              <w:right w:val="nil"/>
            </w:tcBorders>
            <w:shd w:val="clear" w:color="auto" w:fill="auto"/>
            <w:noWrap/>
            <w:vAlign w:val="bottom"/>
            <w:hideMark/>
          </w:tcPr>
          <w:p w14:paraId="7391E4E5" w14:textId="77777777" w:rsidR="00646A54" w:rsidRPr="00F85178" w:rsidRDefault="00646A54" w:rsidP="00646A54">
            <w:pPr>
              <w:spacing w:line="240" w:lineRule="auto"/>
              <w:jc w:val="left"/>
              <w:rPr>
                <w:rFonts w:eastAsia="Times New Roman"/>
                <w:szCs w:val="24"/>
                <w:lang w:eastAsia="cs-CZ"/>
              </w:rPr>
            </w:pPr>
            <w:r w:rsidRPr="00F85178">
              <w:rPr>
                <w:rFonts w:eastAsia="Times New Roman"/>
                <w:szCs w:val="24"/>
                <w:lang w:eastAsia="cs-CZ"/>
              </w:rPr>
              <w:t>KS Ostrava</w:t>
            </w:r>
          </w:p>
        </w:tc>
        <w:tc>
          <w:tcPr>
            <w:tcW w:w="1154" w:type="dxa"/>
            <w:tcBorders>
              <w:top w:val="nil"/>
              <w:left w:val="nil"/>
              <w:bottom w:val="double" w:sz="6" w:space="0" w:color="auto"/>
              <w:right w:val="nil"/>
            </w:tcBorders>
            <w:shd w:val="clear" w:color="auto" w:fill="auto"/>
            <w:noWrap/>
            <w:vAlign w:val="bottom"/>
            <w:hideMark/>
          </w:tcPr>
          <w:p w14:paraId="3F071A74"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217</w:t>
            </w:r>
          </w:p>
        </w:tc>
        <w:tc>
          <w:tcPr>
            <w:tcW w:w="1566" w:type="dxa"/>
            <w:tcBorders>
              <w:top w:val="nil"/>
              <w:left w:val="nil"/>
              <w:bottom w:val="double" w:sz="6" w:space="0" w:color="auto"/>
              <w:right w:val="nil"/>
            </w:tcBorders>
            <w:shd w:val="clear" w:color="auto" w:fill="auto"/>
            <w:noWrap/>
            <w:vAlign w:val="bottom"/>
            <w:hideMark/>
          </w:tcPr>
          <w:p w14:paraId="0E8EB853"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105</w:t>
            </w:r>
          </w:p>
        </w:tc>
        <w:tc>
          <w:tcPr>
            <w:tcW w:w="1600" w:type="dxa"/>
            <w:tcBorders>
              <w:top w:val="nil"/>
              <w:left w:val="nil"/>
              <w:bottom w:val="double" w:sz="6" w:space="0" w:color="auto"/>
              <w:right w:val="nil"/>
            </w:tcBorders>
            <w:shd w:val="clear" w:color="auto" w:fill="auto"/>
            <w:noWrap/>
            <w:vAlign w:val="bottom"/>
            <w:hideMark/>
          </w:tcPr>
          <w:p w14:paraId="1441F603" w14:textId="77777777" w:rsidR="00646A54" w:rsidRPr="00F85178" w:rsidRDefault="00646A54" w:rsidP="00646A54">
            <w:pPr>
              <w:spacing w:line="240" w:lineRule="auto"/>
              <w:jc w:val="center"/>
              <w:rPr>
                <w:rFonts w:eastAsia="Times New Roman"/>
                <w:szCs w:val="24"/>
                <w:lang w:eastAsia="cs-CZ"/>
              </w:rPr>
            </w:pPr>
            <w:r w:rsidRPr="00F85178">
              <w:rPr>
                <w:rFonts w:eastAsia="Times New Roman"/>
                <w:szCs w:val="24"/>
                <w:lang w:eastAsia="cs-CZ"/>
              </w:rPr>
              <w:t>67,39</w:t>
            </w:r>
          </w:p>
        </w:tc>
      </w:tr>
      <w:tr w:rsidR="00F85178" w:rsidRPr="00F85178" w14:paraId="3A481F62" w14:textId="77777777" w:rsidTr="00646A54">
        <w:trPr>
          <w:trHeight w:val="345"/>
        </w:trPr>
        <w:tc>
          <w:tcPr>
            <w:tcW w:w="2480" w:type="dxa"/>
            <w:tcBorders>
              <w:top w:val="nil"/>
              <w:left w:val="nil"/>
              <w:bottom w:val="double" w:sz="6" w:space="0" w:color="auto"/>
              <w:right w:val="nil"/>
            </w:tcBorders>
            <w:shd w:val="clear" w:color="auto" w:fill="auto"/>
            <w:noWrap/>
            <w:vAlign w:val="bottom"/>
            <w:hideMark/>
          </w:tcPr>
          <w:p w14:paraId="07E6F57D" w14:textId="77777777" w:rsidR="00646A54" w:rsidRPr="00F85178" w:rsidRDefault="00646A54" w:rsidP="00646A5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154" w:type="dxa"/>
            <w:tcBorders>
              <w:top w:val="nil"/>
              <w:left w:val="nil"/>
              <w:bottom w:val="double" w:sz="6" w:space="0" w:color="auto"/>
              <w:right w:val="nil"/>
            </w:tcBorders>
            <w:shd w:val="clear" w:color="auto" w:fill="auto"/>
            <w:noWrap/>
            <w:vAlign w:val="bottom"/>
            <w:hideMark/>
          </w:tcPr>
          <w:p w14:paraId="42646E8A"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1</w:t>
            </w:r>
            <w:r w:rsidR="007B6EF7" w:rsidRPr="00F85178">
              <w:rPr>
                <w:rFonts w:eastAsia="Times New Roman"/>
                <w:b/>
                <w:bCs/>
                <w:szCs w:val="24"/>
                <w:lang w:eastAsia="cs-CZ"/>
              </w:rPr>
              <w:t xml:space="preserve"> </w:t>
            </w:r>
            <w:r w:rsidRPr="00F85178">
              <w:rPr>
                <w:rFonts w:eastAsia="Times New Roman"/>
                <w:b/>
                <w:bCs/>
                <w:szCs w:val="24"/>
                <w:lang w:eastAsia="cs-CZ"/>
              </w:rPr>
              <w:t>228</w:t>
            </w:r>
          </w:p>
        </w:tc>
        <w:tc>
          <w:tcPr>
            <w:tcW w:w="1566" w:type="dxa"/>
            <w:tcBorders>
              <w:top w:val="nil"/>
              <w:left w:val="nil"/>
              <w:bottom w:val="double" w:sz="6" w:space="0" w:color="auto"/>
              <w:right w:val="nil"/>
            </w:tcBorders>
            <w:shd w:val="clear" w:color="auto" w:fill="auto"/>
            <w:noWrap/>
            <w:vAlign w:val="bottom"/>
            <w:hideMark/>
          </w:tcPr>
          <w:p w14:paraId="21F16B77" w14:textId="77777777" w:rsidR="00646A54" w:rsidRPr="00F85178" w:rsidRDefault="00646A54" w:rsidP="007F6DA1">
            <w:pPr>
              <w:spacing w:line="240" w:lineRule="auto"/>
              <w:jc w:val="center"/>
              <w:rPr>
                <w:rFonts w:eastAsia="Times New Roman"/>
                <w:b/>
                <w:bCs/>
                <w:szCs w:val="24"/>
                <w:lang w:eastAsia="cs-CZ"/>
              </w:rPr>
            </w:pPr>
            <w:r w:rsidRPr="00F85178">
              <w:rPr>
                <w:rFonts w:eastAsia="Times New Roman"/>
                <w:b/>
                <w:bCs/>
                <w:szCs w:val="24"/>
                <w:lang w:eastAsia="cs-CZ"/>
              </w:rPr>
              <w:t>598</w:t>
            </w:r>
          </w:p>
        </w:tc>
        <w:tc>
          <w:tcPr>
            <w:tcW w:w="1600" w:type="dxa"/>
            <w:tcBorders>
              <w:top w:val="nil"/>
              <w:left w:val="nil"/>
              <w:bottom w:val="double" w:sz="6" w:space="0" w:color="auto"/>
              <w:right w:val="nil"/>
            </w:tcBorders>
            <w:shd w:val="clear" w:color="auto" w:fill="auto"/>
            <w:noWrap/>
            <w:vAlign w:val="bottom"/>
            <w:hideMark/>
          </w:tcPr>
          <w:p w14:paraId="45B48B13" w14:textId="77777777" w:rsidR="00646A54" w:rsidRPr="00F85178" w:rsidRDefault="00646A54" w:rsidP="00646A54">
            <w:pPr>
              <w:spacing w:line="240" w:lineRule="auto"/>
              <w:jc w:val="center"/>
              <w:rPr>
                <w:rFonts w:eastAsia="Times New Roman"/>
                <w:b/>
                <w:bCs/>
                <w:szCs w:val="24"/>
                <w:lang w:eastAsia="cs-CZ"/>
              </w:rPr>
            </w:pPr>
            <w:r w:rsidRPr="00F85178">
              <w:rPr>
                <w:rFonts w:eastAsia="Times New Roman"/>
                <w:b/>
                <w:bCs/>
                <w:szCs w:val="24"/>
                <w:lang w:eastAsia="cs-CZ"/>
              </w:rPr>
              <w:t>67,25</w:t>
            </w:r>
          </w:p>
        </w:tc>
      </w:tr>
      <w:tr w:rsidR="00F85178" w:rsidRPr="00F85178" w14:paraId="19FF81D4" w14:textId="77777777" w:rsidTr="00646A54">
        <w:trPr>
          <w:trHeight w:val="330"/>
        </w:trPr>
        <w:tc>
          <w:tcPr>
            <w:tcW w:w="2480" w:type="dxa"/>
            <w:tcBorders>
              <w:top w:val="nil"/>
              <w:left w:val="nil"/>
              <w:bottom w:val="nil"/>
              <w:right w:val="nil"/>
            </w:tcBorders>
            <w:shd w:val="clear" w:color="auto" w:fill="auto"/>
            <w:noWrap/>
            <w:vAlign w:val="bottom"/>
            <w:hideMark/>
          </w:tcPr>
          <w:p w14:paraId="7BE8D760" w14:textId="77777777" w:rsidR="00646A54" w:rsidRPr="00F85178" w:rsidRDefault="00646A54" w:rsidP="005A4FCD">
            <w:pPr>
              <w:spacing w:line="240" w:lineRule="auto"/>
              <w:rPr>
                <w:rFonts w:eastAsia="Times New Roman"/>
                <w:bCs/>
                <w:szCs w:val="24"/>
                <w:lang w:eastAsia="cs-CZ"/>
              </w:rPr>
            </w:pPr>
          </w:p>
        </w:tc>
        <w:tc>
          <w:tcPr>
            <w:tcW w:w="1154" w:type="dxa"/>
            <w:tcBorders>
              <w:top w:val="nil"/>
              <w:left w:val="nil"/>
              <w:bottom w:val="nil"/>
              <w:right w:val="nil"/>
            </w:tcBorders>
            <w:shd w:val="clear" w:color="auto" w:fill="auto"/>
            <w:noWrap/>
            <w:vAlign w:val="bottom"/>
            <w:hideMark/>
          </w:tcPr>
          <w:p w14:paraId="2E9B89D8" w14:textId="77777777" w:rsidR="00646A54" w:rsidRPr="00F85178" w:rsidRDefault="00646A54" w:rsidP="005A4FCD">
            <w:pPr>
              <w:spacing w:line="240" w:lineRule="auto"/>
              <w:rPr>
                <w:rFonts w:ascii="Times New Roman" w:eastAsia="Times New Roman" w:hAnsi="Times New Roman"/>
                <w:szCs w:val="24"/>
                <w:lang w:eastAsia="cs-CZ"/>
              </w:rPr>
            </w:pPr>
          </w:p>
        </w:tc>
        <w:tc>
          <w:tcPr>
            <w:tcW w:w="1566" w:type="dxa"/>
            <w:tcBorders>
              <w:top w:val="nil"/>
              <w:left w:val="nil"/>
              <w:bottom w:val="nil"/>
              <w:right w:val="nil"/>
            </w:tcBorders>
            <w:shd w:val="clear" w:color="auto" w:fill="auto"/>
            <w:noWrap/>
            <w:vAlign w:val="bottom"/>
            <w:hideMark/>
          </w:tcPr>
          <w:p w14:paraId="2003E2A3" w14:textId="77777777" w:rsidR="00646A54" w:rsidRPr="00F85178" w:rsidRDefault="00646A54" w:rsidP="005A4FCD">
            <w:pPr>
              <w:spacing w:line="240" w:lineRule="auto"/>
              <w:rPr>
                <w:rFonts w:ascii="Times New Roman" w:eastAsia="Times New Roman" w:hAnsi="Times New Roman"/>
                <w:szCs w:val="24"/>
                <w:lang w:eastAsia="cs-CZ"/>
              </w:rPr>
            </w:pPr>
          </w:p>
        </w:tc>
        <w:tc>
          <w:tcPr>
            <w:tcW w:w="1600" w:type="dxa"/>
            <w:tcBorders>
              <w:top w:val="nil"/>
              <w:left w:val="nil"/>
              <w:bottom w:val="nil"/>
              <w:right w:val="nil"/>
            </w:tcBorders>
            <w:shd w:val="clear" w:color="auto" w:fill="auto"/>
            <w:noWrap/>
            <w:vAlign w:val="bottom"/>
            <w:hideMark/>
          </w:tcPr>
          <w:p w14:paraId="501A3F69" w14:textId="77777777" w:rsidR="00646A54" w:rsidRPr="00F85178" w:rsidRDefault="00646A54" w:rsidP="005A4FCD">
            <w:pPr>
              <w:spacing w:line="240" w:lineRule="auto"/>
              <w:rPr>
                <w:rFonts w:ascii="Times New Roman" w:eastAsia="Times New Roman" w:hAnsi="Times New Roman"/>
                <w:szCs w:val="24"/>
                <w:lang w:eastAsia="cs-CZ"/>
              </w:rPr>
            </w:pPr>
          </w:p>
        </w:tc>
      </w:tr>
    </w:tbl>
    <w:p w14:paraId="7A245DF4" w14:textId="77777777" w:rsidR="007F6DA1" w:rsidRPr="00F85178" w:rsidRDefault="007F6DA1">
      <w:pPr>
        <w:spacing w:line="240" w:lineRule="auto"/>
        <w:jc w:val="left"/>
      </w:pPr>
    </w:p>
    <w:p w14:paraId="1095CEB9" w14:textId="77777777" w:rsidR="0032015B" w:rsidRDefault="00E50E7C" w:rsidP="0059133E">
      <w:pPr>
        <w:pStyle w:val="OdstavecASR"/>
      </w:pPr>
      <w:r w:rsidRPr="00F85178">
        <w:t xml:space="preserve">Podíl žen mezi soudci OS se v roce 2018 </w:t>
      </w:r>
      <w:r w:rsidR="002A69FB" w:rsidRPr="00F85178">
        <w:t>opět</w:t>
      </w:r>
      <w:r w:rsidRPr="00F85178">
        <w:t xml:space="preserve"> zvýšil ve všech soudních krajích kromě </w:t>
      </w:r>
      <w:r w:rsidR="0023033B" w:rsidRPr="00F85178">
        <w:t>P</w:t>
      </w:r>
      <w:r w:rsidRPr="00F85178">
        <w:t>lzeňského.</w:t>
      </w:r>
    </w:p>
    <w:p w14:paraId="4D309B9A" w14:textId="77777777" w:rsidR="0032015B" w:rsidRDefault="003109FF" w:rsidP="000B7D8A">
      <w:pPr>
        <w:pStyle w:val="OdstavecASR"/>
      </w:pPr>
      <w:r w:rsidRPr="00F85178">
        <w:t>V kontextu podílu žen mezi soudci se dále lze podívat na podíl žen mezi předsedy a místopředsedy soudů. Data jsou v tabulce níže.</w:t>
      </w:r>
    </w:p>
    <w:p w14:paraId="6F399DD8" w14:textId="5E285ACF" w:rsidR="003109FF" w:rsidRPr="00F85178" w:rsidRDefault="000B7D8A" w:rsidP="003109FF">
      <w:pPr>
        <w:pStyle w:val="Podtitul"/>
        <w:rPr>
          <w:color w:val="auto"/>
        </w:rPr>
      </w:pPr>
      <w:bookmarkStart w:id="42" w:name="_Toc11133205"/>
      <w:r>
        <w:rPr>
          <w:color w:val="auto"/>
        </w:rPr>
        <w:br w:type="page"/>
      </w:r>
      <w:bookmarkStart w:id="43" w:name="_Toc13837426"/>
      <w:r w:rsidR="003109FF" w:rsidRPr="00F85178">
        <w:rPr>
          <w:color w:val="auto"/>
        </w:rPr>
        <w:t xml:space="preserve">Tabulka </w:t>
      </w:r>
      <w:r w:rsidR="00314052" w:rsidRPr="00F85178">
        <w:rPr>
          <w:noProof/>
          <w:color w:val="auto"/>
        </w:rPr>
        <w:fldChar w:fldCharType="begin"/>
      </w:r>
      <w:r w:rsidR="00314052" w:rsidRPr="00F85178">
        <w:rPr>
          <w:noProof/>
          <w:color w:val="auto"/>
        </w:rPr>
        <w:instrText xml:space="preserve"> SEQ Tabulka \* ARABIC </w:instrText>
      </w:r>
      <w:r w:rsidR="00314052" w:rsidRPr="00F85178">
        <w:rPr>
          <w:noProof/>
          <w:color w:val="auto"/>
        </w:rPr>
        <w:fldChar w:fldCharType="separate"/>
      </w:r>
      <w:r w:rsidR="00306940">
        <w:rPr>
          <w:noProof/>
          <w:color w:val="auto"/>
        </w:rPr>
        <w:t>3</w:t>
      </w:r>
      <w:r w:rsidR="00314052" w:rsidRPr="00F85178">
        <w:rPr>
          <w:noProof/>
          <w:color w:val="auto"/>
        </w:rPr>
        <w:fldChar w:fldCharType="end"/>
      </w:r>
      <w:r w:rsidR="003109FF" w:rsidRPr="00F85178">
        <w:rPr>
          <w:color w:val="auto"/>
        </w:rPr>
        <w:t>: OS – předsedové a místopředsedové soudů</w:t>
      </w:r>
      <w:bookmarkEnd w:id="42"/>
      <w:bookmarkEnd w:id="43"/>
    </w:p>
    <w:tbl>
      <w:tblPr>
        <w:tblW w:w="8460" w:type="dxa"/>
        <w:tblCellMar>
          <w:left w:w="70" w:type="dxa"/>
          <w:right w:w="70" w:type="dxa"/>
        </w:tblCellMar>
        <w:tblLook w:val="04A0" w:firstRow="1" w:lastRow="0" w:firstColumn="1" w:lastColumn="0" w:noHBand="0" w:noVBand="1"/>
      </w:tblPr>
      <w:tblGrid>
        <w:gridCol w:w="2220"/>
        <w:gridCol w:w="851"/>
        <w:gridCol w:w="1229"/>
        <w:gridCol w:w="1040"/>
        <w:gridCol w:w="851"/>
        <w:gridCol w:w="1229"/>
        <w:gridCol w:w="1040"/>
      </w:tblGrid>
      <w:tr w:rsidR="00F85178" w:rsidRPr="00F85178" w14:paraId="740B2F06" w14:textId="77777777" w:rsidTr="003109FF">
        <w:trPr>
          <w:trHeight w:val="330"/>
        </w:trPr>
        <w:tc>
          <w:tcPr>
            <w:tcW w:w="2220" w:type="dxa"/>
            <w:vMerge w:val="restart"/>
            <w:tcBorders>
              <w:top w:val="double" w:sz="6" w:space="0" w:color="auto"/>
              <w:left w:val="nil"/>
              <w:bottom w:val="double" w:sz="6" w:space="0" w:color="000000"/>
              <w:right w:val="nil"/>
            </w:tcBorders>
            <w:shd w:val="clear" w:color="auto" w:fill="auto"/>
            <w:noWrap/>
            <w:vAlign w:val="center"/>
            <w:hideMark/>
          </w:tcPr>
          <w:p w14:paraId="1069474E"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2080" w:type="dxa"/>
            <w:gridSpan w:val="2"/>
            <w:tcBorders>
              <w:top w:val="double" w:sz="6" w:space="0" w:color="auto"/>
              <w:left w:val="nil"/>
              <w:bottom w:val="nil"/>
              <w:right w:val="nil"/>
            </w:tcBorders>
            <w:shd w:val="clear" w:color="auto" w:fill="auto"/>
            <w:noWrap/>
            <w:vAlign w:val="center"/>
            <w:hideMark/>
          </w:tcPr>
          <w:p w14:paraId="31E13B1A"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28A51E07"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Podíl žen v %</w:t>
            </w:r>
          </w:p>
        </w:tc>
        <w:tc>
          <w:tcPr>
            <w:tcW w:w="2080" w:type="dxa"/>
            <w:gridSpan w:val="2"/>
            <w:tcBorders>
              <w:top w:val="double" w:sz="6" w:space="0" w:color="auto"/>
              <w:left w:val="nil"/>
              <w:bottom w:val="nil"/>
              <w:right w:val="nil"/>
            </w:tcBorders>
            <w:shd w:val="clear" w:color="auto" w:fill="auto"/>
            <w:noWrap/>
            <w:vAlign w:val="center"/>
            <w:hideMark/>
          </w:tcPr>
          <w:p w14:paraId="617DB441"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Místopředsedové</w:t>
            </w:r>
          </w:p>
        </w:tc>
        <w:tc>
          <w:tcPr>
            <w:tcW w:w="1040" w:type="dxa"/>
            <w:vMerge w:val="restart"/>
            <w:tcBorders>
              <w:top w:val="double" w:sz="6" w:space="0" w:color="auto"/>
              <w:left w:val="nil"/>
              <w:bottom w:val="double" w:sz="6" w:space="0" w:color="000000"/>
              <w:right w:val="nil"/>
            </w:tcBorders>
            <w:shd w:val="clear" w:color="auto" w:fill="auto"/>
            <w:vAlign w:val="center"/>
            <w:hideMark/>
          </w:tcPr>
          <w:p w14:paraId="2E7906EB"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Podíl žen v %</w:t>
            </w:r>
          </w:p>
        </w:tc>
      </w:tr>
      <w:tr w:rsidR="00F85178" w:rsidRPr="00F85178" w14:paraId="2107CBA4" w14:textId="77777777" w:rsidTr="003109FF">
        <w:trPr>
          <w:trHeight w:val="330"/>
        </w:trPr>
        <w:tc>
          <w:tcPr>
            <w:tcW w:w="2220" w:type="dxa"/>
            <w:vMerge/>
            <w:tcBorders>
              <w:top w:val="double" w:sz="6" w:space="0" w:color="auto"/>
              <w:left w:val="nil"/>
              <w:bottom w:val="double" w:sz="6" w:space="0" w:color="000000"/>
              <w:right w:val="nil"/>
            </w:tcBorders>
            <w:vAlign w:val="center"/>
            <w:hideMark/>
          </w:tcPr>
          <w:p w14:paraId="6C17E839" w14:textId="77777777" w:rsidR="003109FF" w:rsidRPr="00F85178" w:rsidRDefault="003109FF" w:rsidP="003109FF">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14:paraId="6C34B409"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3CEBBBAD"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3A8B9FCF" w14:textId="77777777" w:rsidR="003109FF" w:rsidRPr="00F85178" w:rsidRDefault="003109FF" w:rsidP="003109FF">
            <w:pPr>
              <w:spacing w:line="240" w:lineRule="auto"/>
              <w:jc w:val="left"/>
              <w:rPr>
                <w:rFonts w:eastAsia="Times New Roman"/>
                <w:b/>
                <w:bCs/>
                <w:szCs w:val="24"/>
                <w:lang w:eastAsia="cs-CZ"/>
              </w:rPr>
            </w:pPr>
          </w:p>
        </w:tc>
        <w:tc>
          <w:tcPr>
            <w:tcW w:w="851" w:type="dxa"/>
            <w:tcBorders>
              <w:top w:val="nil"/>
              <w:left w:val="nil"/>
              <w:bottom w:val="double" w:sz="6" w:space="0" w:color="auto"/>
              <w:right w:val="nil"/>
            </w:tcBorders>
            <w:shd w:val="clear" w:color="auto" w:fill="auto"/>
            <w:noWrap/>
            <w:vAlign w:val="center"/>
            <w:hideMark/>
          </w:tcPr>
          <w:p w14:paraId="197E9860"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Žen</w:t>
            </w:r>
          </w:p>
        </w:tc>
        <w:tc>
          <w:tcPr>
            <w:tcW w:w="1229" w:type="dxa"/>
            <w:tcBorders>
              <w:top w:val="nil"/>
              <w:left w:val="nil"/>
              <w:bottom w:val="double" w:sz="6" w:space="0" w:color="auto"/>
              <w:right w:val="nil"/>
            </w:tcBorders>
            <w:shd w:val="clear" w:color="auto" w:fill="auto"/>
            <w:noWrap/>
            <w:vAlign w:val="center"/>
            <w:hideMark/>
          </w:tcPr>
          <w:p w14:paraId="28A85BFD"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Mužů</w:t>
            </w:r>
          </w:p>
        </w:tc>
        <w:tc>
          <w:tcPr>
            <w:tcW w:w="1040" w:type="dxa"/>
            <w:vMerge/>
            <w:tcBorders>
              <w:top w:val="double" w:sz="6" w:space="0" w:color="auto"/>
              <w:left w:val="nil"/>
              <w:bottom w:val="double" w:sz="6" w:space="0" w:color="000000"/>
              <w:right w:val="nil"/>
            </w:tcBorders>
            <w:vAlign w:val="center"/>
            <w:hideMark/>
          </w:tcPr>
          <w:p w14:paraId="5DDDCCD4" w14:textId="77777777" w:rsidR="003109FF" w:rsidRPr="00F85178" w:rsidRDefault="003109FF" w:rsidP="003109FF">
            <w:pPr>
              <w:spacing w:line="240" w:lineRule="auto"/>
              <w:jc w:val="left"/>
              <w:rPr>
                <w:rFonts w:eastAsia="Times New Roman"/>
                <w:b/>
                <w:bCs/>
                <w:szCs w:val="24"/>
                <w:lang w:eastAsia="cs-CZ"/>
              </w:rPr>
            </w:pPr>
          </w:p>
        </w:tc>
      </w:tr>
      <w:tr w:rsidR="00F85178" w:rsidRPr="00F85178" w14:paraId="05FC22DF" w14:textId="77777777" w:rsidTr="003109FF">
        <w:trPr>
          <w:trHeight w:val="330"/>
        </w:trPr>
        <w:tc>
          <w:tcPr>
            <w:tcW w:w="2220" w:type="dxa"/>
            <w:tcBorders>
              <w:top w:val="single" w:sz="4" w:space="0" w:color="auto"/>
              <w:left w:val="nil"/>
              <w:bottom w:val="single" w:sz="4" w:space="0" w:color="auto"/>
              <w:right w:val="nil"/>
            </w:tcBorders>
            <w:shd w:val="clear" w:color="auto" w:fill="auto"/>
            <w:noWrap/>
            <w:vAlign w:val="bottom"/>
            <w:hideMark/>
          </w:tcPr>
          <w:p w14:paraId="431C1843"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MS Praha</w:t>
            </w:r>
          </w:p>
        </w:tc>
        <w:tc>
          <w:tcPr>
            <w:tcW w:w="851" w:type="dxa"/>
            <w:tcBorders>
              <w:top w:val="single" w:sz="4" w:space="0" w:color="auto"/>
              <w:left w:val="nil"/>
              <w:bottom w:val="single" w:sz="4" w:space="0" w:color="auto"/>
              <w:right w:val="nil"/>
            </w:tcBorders>
            <w:shd w:val="clear" w:color="auto" w:fill="auto"/>
            <w:noWrap/>
            <w:vAlign w:val="bottom"/>
            <w:hideMark/>
          </w:tcPr>
          <w:p w14:paraId="27DB9955"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w:t>
            </w:r>
          </w:p>
        </w:tc>
        <w:tc>
          <w:tcPr>
            <w:tcW w:w="1229" w:type="dxa"/>
            <w:tcBorders>
              <w:top w:val="single" w:sz="4" w:space="0" w:color="auto"/>
              <w:left w:val="nil"/>
              <w:bottom w:val="single" w:sz="4" w:space="0" w:color="auto"/>
              <w:right w:val="nil"/>
            </w:tcBorders>
            <w:shd w:val="clear" w:color="auto" w:fill="auto"/>
            <w:noWrap/>
            <w:vAlign w:val="bottom"/>
            <w:hideMark/>
          </w:tcPr>
          <w:p w14:paraId="2E96274C"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w:t>
            </w:r>
          </w:p>
        </w:tc>
        <w:tc>
          <w:tcPr>
            <w:tcW w:w="1040" w:type="dxa"/>
            <w:tcBorders>
              <w:top w:val="single" w:sz="4" w:space="0" w:color="auto"/>
              <w:left w:val="nil"/>
              <w:bottom w:val="single" w:sz="4" w:space="0" w:color="auto"/>
              <w:right w:val="nil"/>
            </w:tcBorders>
            <w:shd w:val="clear" w:color="auto" w:fill="auto"/>
            <w:noWrap/>
            <w:vAlign w:val="bottom"/>
            <w:hideMark/>
          </w:tcPr>
          <w:p w14:paraId="516E6B25"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40,00</w:t>
            </w:r>
          </w:p>
        </w:tc>
        <w:tc>
          <w:tcPr>
            <w:tcW w:w="851" w:type="dxa"/>
            <w:tcBorders>
              <w:top w:val="single" w:sz="4" w:space="0" w:color="auto"/>
              <w:left w:val="nil"/>
              <w:bottom w:val="single" w:sz="4" w:space="0" w:color="auto"/>
              <w:right w:val="nil"/>
            </w:tcBorders>
            <w:shd w:val="clear" w:color="auto" w:fill="auto"/>
            <w:noWrap/>
            <w:vAlign w:val="bottom"/>
            <w:hideMark/>
          </w:tcPr>
          <w:p w14:paraId="141150CC"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17</w:t>
            </w:r>
          </w:p>
        </w:tc>
        <w:tc>
          <w:tcPr>
            <w:tcW w:w="1229" w:type="dxa"/>
            <w:tcBorders>
              <w:top w:val="single" w:sz="4" w:space="0" w:color="auto"/>
              <w:left w:val="nil"/>
              <w:bottom w:val="single" w:sz="4" w:space="0" w:color="auto"/>
              <w:right w:val="nil"/>
            </w:tcBorders>
            <w:shd w:val="clear" w:color="auto" w:fill="auto"/>
            <w:noWrap/>
            <w:vAlign w:val="bottom"/>
            <w:hideMark/>
          </w:tcPr>
          <w:p w14:paraId="77555A3A"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w:t>
            </w:r>
          </w:p>
        </w:tc>
        <w:tc>
          <w:tcPr>
            <w:tcW w:w="1040" w:type="dxa"/>
            <w:tcBorders>
              <w:top w:val="single" w:sz="4" w:space="0" w:color="auto"/>
              <w:left w:val="nil"/>
              <w:bottom w:val="single" w:sz="4" w:space="0" w:color="auto"/>
              <w:right w:val="nil"/>
            </w:tcBorders>
            <w:shd w:val="clear" w:color="auto" w:fill="auto"/>
            <w:noWrap/>
            <w:vAlign w:val="bottom"/>
            <w:hideMark/>
          </w:tcPr>
          <w:p w14:paraId="20736526"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70,83</w:t>
            </w:r>
          </w:p>
        </w:tc>
      </w:tr>
      <w:tr w:rsidR="00F85178" w:rsidRPr="00F85178" w14:paraId="34F00965"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34D2841A"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Praha</w:t>
            </w:r>
          </w:p>
        </w:tc>
        <w:tc>
          <w:tcPr>
            <w:tcW w:w="851" w:type="dxa"/>
            <w:tcBorders>
              <w:top w:val="nil"/>
              <w:left w:val="nil"/>
              <w:bottom w:val="single" w:sz="4" w:space="0" w:color="auto"/>
              <w:right w:val="nil"/>
            </w:tcBorders>
            <w:shd w:val="clear" w:color="auto" w:fill="auto"/>
            <w:noWrap/>
            <w:vAlign w:val="bottom"/>
            <w:hideMark/>
          </w:tcPr>
          <w:p w14:paraId="0B22B10A"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4CEE8D12"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76A6CD78"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70,00</w:t>
            </w:r>
          </w:p>
        </w:tc>
        <w:tc>
          <w:tcPr>
            <w:tcW w:w="851" w:type="dxa"/>
            <w:tcBorders>
              <w:top w:val="nil"/>
              <w:left w:val="nil"/>
              <w:bottom w:val="single" w:sz="4" w:space="0" w:color="auto"/>
              <w:right w:val="nil"/>
            </w:tcBorders>
            <w:shd w:val="clear" w:color="auto" w:fill="auto"/>
            <w:noWrap/>
            <w:vAlign w:val="bottom"/>
            <w:hideMark/>
          </w:tcPr>
          <w:p w14:paraId="78255DF1"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4C91CF60"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w:t>
            </w:r>
          </w:p>
        </w:tc>
        <w:tc>
          <w:tcPr>
            <w:tcW w:w="1040" w:type="dxa"/>
            <w:tcBorders>
              <w:top w:val="nil"/>
              <w:left w:val="nil"/>
              <w:bottom w:val="single" w:sz="4" w:space="0" w:color="auto"/>
              <w:right w:val="nil"/>
            </w:tcBorders>
            <w:shd w:val="clear" w:color="auto" w:fill="auto"/>
            <w:noWrap/>
            <w:vAlign w:val="bottom"/>
            <w:hideMark/>
          </w:tcPr>
          <w:p w14:paraId="10CD7437"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50,00</w:t>
            </w:r>
          </w:p>
        </w:tc>
      </w:tr>
      <w:tr w:rsidR="00F85178" w:rsidRPr="00F85178" w14:paraId="1963758F"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77A52FFE"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Č. Budějovice</w:t>
            </w:r>
          </w:p>
        </w:tc>
        <w:tc>
          <w:tcPr>
            <w:tcW w:w="851" w:type="dxa"/>
            <w:tcBorders>
              <w:top w:val="nil"/>
              <w:left w:val="nil"/>
              <w:bottom w:val="single" w:sz="4" w:space="0" w:color="auto"/>
              <w:right w:val="nil"/>
            </w:tcBorders>
            <w:shd w:val="clear" w:color="auto" w:fill="auto"/>
            <w:noWrap/>
            <w:vAlign w:val="bottom"/>
            <w:hideMark/>
          </w:tcPr>
          <w:p w14:paraId="172F2E58"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08119E3E"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26F073D0"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50,00</w:t>
            </w:r>
          </w:p>
        </w:tc>
        <w:tc>
          <w:tcPr>
            <w:tcW w:w="851" w:type="dxa"/>
            <w:tcBorders>
              <w:top w:val="nil"/>
              <w:left w:val="nil"/>
              <w:bottom w:val="single" w:sz="4" w:space="0" w:color="auto"/>
              <w:right w:val="nil"/>
            </w:tcBorders>
            <w:shd w:val="clear" w:color="auto" w:fill="auto"/>
            <w:noWrap/>
            <w:vAlign w:val="bottom"/>
            <w:hideMark/>
          </w:tcPr>
          <w:p w14:paraId="7197AA62"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3</w:t>
            </w:r>
          </w:p>
        </w:tc>
        <w:tc>
          <w:tcPr>
            <w:tcW w:w="1229" w:type="dxa"/>
            <w:tcBorders>
              <w:top w:val="nil"/>
              <w:left w:val="nil"/>
              <w:bottom w:val="single" w:sz="4" w:space="0" w:color="auto"/>
              <w:right w:val="nil"/>
            </w:tcBorders>
            <w:shd w:val="clear" w:color="auto" w:fill="auto"/>
            <w:noWrap/>
            <w:vAlign w:val="bottom"/>
            <w:hideMark/>
          </w:tcPr>
          <w:p w14:paraId="627057C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0AE54A63"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37,50</w:t>
            </w:r>
          </w:p>
        </w:tc>
      </w:tr>
      <w:tr w:rsidR="00F85178" w:rsidRPr="00F85178" w14:paraId="2A7EDD33"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17A1AE44"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Plzeň</w:t>
            </w:r>
          </w:p>
        </w:tc>
        <w:tc>
          <w:tcPr>
            <w:tcW w:w="851" w:type="dxa"/>
            <w:tcBorders>
              <w:top w:val="nil"/>
              <w:left w:val="nil"/>
              <w:bottom w:val="single" w:sz="4" w:space="0" w:color="auto"/>
              <w:right w:val="nil"/>
            </w:tcBorders>
            <w:shd w:val="clear" w:color="auto" w:fill="auto"/>
            <w:noWrap/>
            <w:vAlign w:val="bottom"/>
            <w:hideMark/>
          </w:tcPr>
          <w:p w14:paraId="30A72CD6"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w:t>
            </w:r>
          </w:p>
        </w:tc>
        <w:tc>
          <w:tcPr>
            <w:tcW w:w="1229" w:type="dxa"/>
            <w:tcBorders>
              <w:top w:val="nil"/>
              <w:left w:val="nil"/>
              <w:bottom w:val="single" w:sz="4" w:space="0" w:color="auto"/>
              <w:right w:val="nil"/>
            </w:tcBorders>
            <w:shd w:val="clear" w:color="auto" w:fill="auto"/>
            <w:noWrap/>
            <w:vAlign w:val="bottom"/>
            <w:hideMark/>
          </w:tcPr>
          <w:p w14:paraId="186FE82F"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182B0FC5"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40,00</w:t>
            </w:r>
          </w:p>
        </w:tc>
        <w:tc>
          <w:tcPr>
            <w:tcW w:w="851" w:type="dxa"/>
            <w:tcBorders>
              <w:top w:val="nil"/>
              <w:left w:val="nil"/>
              <w:bottom w:val="single" w:sz="4" w:space="0" w:color="auto"/>
              <w:right w:val="nil"/>
            </w:tcBorders>
            <w:shd w:val="clear" w:color="auto" w:fill="auto"/>
            <w:noWrap/>
            <w:vAlign w:val="bottom"/>
            <w:hideMark/>
          </w:tcPr>
          <w:p w14:paraId="4708B0F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2</w:t>
            </w:r>
          </w:p>
        </w:tc>
        <w:tc>
          <w:tcPr>
            <w:tcW w:w="1229" w:type="dxa"/>
            <w:tcBorders>
              <w:top w:val="nil"/>
              <w:left w:val="nil"/>
              <w:bottom w:val="single" w:sz="4" w:space="0" w:color="auto"/>
              <w:right w:val="nil"/>
            </w:tcBorders>
            <w:shd w:val="clear" w:color="auto" w:fill="auto"/>
            <w:noWrap/>
            <w:vAlign w:val="bottom"/>
            <w:hideMark/>
          </w:tcPr>
          <w:p w14:paraId="337AAB22"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11</w:t>
            </w:r>
          </w:p>
        </w:tc>
        <w:tc>
          <w:tcPr>
            <w:tcW w:w="1040" w:type="dxa"/>
            <w:tcBorders>
              <w:top w:val="nil"/>
              <w:left w:val="nil"/>
              <w:bottom w:val="single" w:sz="4" w:space="0" w:color="auto"/>
              <w:right w:val="nil"/>
            </w:tcBorders>
            <w:shd w:val="clear" w:color="auto" w:fill="auto"/>
            <w:noWrap/>
            <w:vAlign w:val="bottom"/>
            <w:hideMark/>
          </w:tcPr>
          <w:p w14:paraId="04040D4C"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15,38</w:t>
            </w:r>
          </w:p>
        </w:tc>
      </w:tr>
      <w:tr w:rsidR="00F85178" w:rsidRPr="00F85178" w14:paraId="3ECBB2C5"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5FF8B708"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Ústí n. Labem</w:t>
            </w:r>
          </w:p>
        </w:tc>
        <w:tc>
          <w:tcPr>
            <w:tcW w:w="851" w:type="dxa"/>
            <w:tcBorders>
              <w:top w:val="nil"/>
              <w:left w:val="nil"/>
              <w:bottom w:val="single" w:sz="4" w:space="0" w:color="auto"/>
              <w:right w:val="nil"/>
            </w:tcBorders>
            <w:shd w:val="clear" w:color="auto" w:fill="auto"/>
            <w:noWrap/>
            <w:vAlign w:val="bottom"/>
            <w:hideMark/>
          </w:tcPr>
          <w:p w14:paraId="63928F03"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w:t>
            </w:r>
          </w:p>
        </w:tc>
        <w:tc>
          <w:tcPr>
            <w:tcW w:w="1229" w:type="dxa"/>
            <w:tcBorders>
              <w:top w:val="nil"/>
              <w:left w:val="nil"/>
              <w:bottom w:val="single" w:sz="4" w:space="0" w:color="auto"/>
              <w:right w:val="nil"/>
            </w:tcBorders>
            <w:shd w:val="clear" w:color="auto" w:fill="auto"/>
            <w:noWrap/>
            <w:vAlign w:val="bottom"/>
            <w:hideMark/>
          </w:tcPr>
          <w:p w14:paraId="08854F85"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w:t>
            </w:r>
          </w:p>
        </w:tc>
        <w:tc>
          <w:tcPr>
            <w:tcW w:w="1040" w:type="dxa"/>
            <w:tcBorders>
              <w:top w:val="nil"/>
              <w:left w:val="nil"/>
              <w:bottom w:val="single" w:sz="4" w:space="0" w:color="auto"/>
              <w:right w:val="nil"/>
            </w:tcBorders>
            <w:shd w:val="clear" w:color="auto" w:fill="auto"/>
            <w:noWrap/>
            <w:vAlign w:val="bottom"/>
            <w:hideMark/>
          </w:tcPr>
          <w:p w14:paraId="7D48443B"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50,00</w:t>
            </w:r>
          </w:p>
        </w:tc>
        <w:tc>
          <w:tcPr>
            <w:tcW w:w="851" w:type="dxa"/>
            <w:tcBorders>
              <w:top w:val="nil"/>
              <w:left w:val="nil"/>
              <w:bottom w:val="single" w:sz="4" w:space="0" w:color="auto"/>
              <w:right w:val="nil"/>
            </w:tcBorders>
            <w:shd w:val="clear" w:color="auto" w:fill="auto"/>
            <w:noWrap/>
            <w:vAlign w:val="bottom"/>
            <w:hideMark/>
          </w:tcPr>
          <w:p w14:paraId="586E7DFF"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12</w:t>
            </w:r>
          </w:p>
        </w:tc>
        <w:tc>
          <w:tcPr>
            <w:tcW w:w="1229" w:type="dxa"/>
            <w:tcBorders>
              <w:top w:val="nil"/>
              <w:left w:val="nil"/>
              <w:bottom w:val="single" w:sz="4" w:space="0" w:color="auto"/>
              <w:right w:val="nil"/>
            </w:tcBorders>
            <w:shd w:val="clear" w:color="auto" w:fill="auto"/>
            <w:noWrap/>
            <w:vAlign w:val="bottom"/>
            <w:hideMark/>
          </w:tcPr>
          <w:p w14:paraId="21E49580"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w:t>
            </w:r>
          </w:p>
        </w:tc>
        <w:tc>
          <w:tcPr>
            <w:tcW w:w="1040" w:type="dxa"/>
            <w:tcBorders>
              <w:top w:val="nil"/>
              <w:left w:val="nil"/>
              <w:bottom w:val="single" w:sz="4" w:space="0" w:color="auto"/>
              <w:right w:val="nil"/>
            </w:tcBorders>
            <w:shd w:val="clear" w:color="auto" w:fill="auto"/>
            <w:noWrap/>
            <w:vAlign w:val="bottom"/>
            <w:hideMark/>
          </w:tcPr>
          <w:p w14:paraId="59481EA0"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66,67</w:t>
            </w:r>
          </w:p>
        </w:tc>
      </w:tr>
      <w:tr w:rsidR="00F85178" w:rsidRPr="00F85178" w14:paraId="3E1BF42C"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279616D2"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Hr. Králové</w:t>
            </w:r>
          </w:p>
        </w:tc>
        <w:tc>
          <w:tcPr>
            <w:tcW w:w="851" w:type="dxa"/>
            <w:tcBorders>
              <w:top w:val="nil"/>
              <w:left w:val="nil"/>
              <w:bottom w:val="single" w:sz="4" w:space="0" w:color="auto"/>
              <w:right w:val="nil"/>
            </w:tcBorders>
            <w:shd w:val="clear" w:color="auto" w:fill="auto"/>
            <w:noWrap/>
            <w:vAlign w:val="bottom"/>
            <w:hideMark/>
          </w:tcPr>
          <w:p w14:paraId="43F6354E"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w:t>
            </w:r>
          </w:p>
        </w:tc>
        <w:tc>
          <w:tcPr>
            <w:tcW w:w="1229" w:type="dxa"/>
            <w:tcBorders>
              <w:top w:val="nil"/>
              <w:left w:val="nil"/>
              <w:bottom w:val="single" w:sz="4" w:space="0" w:color="auto"/>
              <w:right w:val="nil"/>
            </w:tcBorders>
            <w:shd w:val="clear" w:color="auto" w:fill="auto"/>
            <w:noWrap/>
            <w:vAlign w:val="bottom"/>
            <w:hideMark/>
          </w:tcPr>
          <w:p w14:paraId="5767C1F5"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w:t>
            </w:r>
          </w:p>
        </w:tc>
        <w:tc>
          <w:tcPr>
            <w:tcW w:w="1040" w:type="dxa"/>
            <w:tcBorders>
              <w:top w:val="nil"/>
              <w:left w:val="nil"/>
              <w:bottom w:val="single" w:sz="4" w:space="0" w:color="auto"/>
              <w:right w:val="nil"/>
            </w:tcBorders>
            <w:shd w:val="clear" w:color="auto" w:fill="auto"/>
            <w:noWrap/>
            <w:vAlign w:val="bottom"/>
            <w:hideMark/>
          </w:tcPr>
          <w:p w14:paraId="4288BEE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63,64</w:t>
            </w:r>
          </w:p>
        </w:tc>
        <w:tc>
          <w:tcPr>
            <w:tcW w:w="851" w:type="dxa"/>
            <w:tcBorders>
              <w:top w:val="nil"/>
              <w:left w:val="nil"/>
              <w:bottom w:val="single" w:sz="4" w:space="0" w:color="auto"/>
              <w:right w:val="nil"/>
            </w:tcBorders>
            <w:shd w:val="clear" w:color="auto" w:fill="auto"/>
            <w:noWrap/>
            <w:vAlign w:val="bottom"/>
            <w:hideMark/>
          </w:tcPr>
          <w:p w14:paraId="13116BA8"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9</w:t>
            </w:r>
          </w:p>
        </w:tc>
        <w:tc>
          <w:tcPr>
            <w:tcW w:w="1229" w:type="dxa"/>
            <w:tcBorders>
              <w:top w:val="nil"/>
              <w:left w:val="nil"/>
              <w:bottom w:val="single" w:sz="4" w:space="0" w:color="auto"/>
              <w:right w:val="nil"/>
            </w:tcBorders>
            <w:shd w:val="clear" w:color="auto" w:fill="auto"/>
            <w:noWrap/>
            <w:vAlign w:val="bottom"/>
            <w:hideMark/>
          </w:tcPr>
          <w:p w14:paraId="1E5BD28B"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3</w:t>
            </w:r>
          </w:p>
        </w:tc>
        <w:tc>
          <w:tcPr>
            <w:tcW w:w="1040" w:type="dxa"/>
            <w:tcBorders>
              <w:top w:val="nil"/>
              <w:left w:val="nil"/>
              <w:bottom w:val="single" w:sz="4" w:space="0" w:color="auto"/>
              <w:right w:val="nil"/>
            </w:tcBorders>
            <w:shd w:val="clear" w:color="auto" w:fill="auto"/>
            <w:noWrap/>
            <w:vAlign w:val="bottom"/>
            <w:hideMark/>
          </w:tcPr>
          <w:p w14:paraId="43A8CF0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75,00</w:t>
            </w:r>
          </w:p>
        </w:tc>
      </w:tr>
      <w:tr w:rsidR="00F85178" w:rsidRPr="00F85178" w14:paraId="6F2F8CB7" w14:textId="77777777" w:rsidTr="003109FF">
        <w:trPr>
          <w:trHeight w:val="315"/>
        </w:trPr>
        <w:tc>
          <w:tcPr>
            <w:tcW w:w="2220" w:type="dxa"/>
            <w:tcBorders>
              <w:top w:val="nil"/>
              <w:left w:val="nil"/>
              <w:bottom w:val="single" w:sz="4" w:space="0" w:color="auto"/>
              <w:right w:val="nil"/>
            </w:tcBorders>
            <w:shd w:val="clear" w:color="auto" w:fill="auto"/>
            <w:noWrap/>
            <w:vAlign w:val="bottom"/>
            <w:hideMark/>
          </w:tcPr>
          <w:p w14:paraId="51731CA4"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Brno</w:t>
            </w:r>
          </w:p>
        </w:tc>
        <w:tc>
          <w:tcPr>
            <w:tcW w:w="851" w:type="dxa"/>
            <w:tcBorders>
              <w:top w:val="nil"/>
              <w:left w:val="nil"/>
              <w:bottom w:val="single" w:sz="4" w:space="0" w:color="auto"/>
              <w:right w:val="nil"/>
            </w:tcBorders>
            <w:shd w:val="clear" w:color="auto" w:fill="auto"/>
            <w:noWrap/>
            <w:vAlign w:val="bottom"/>
            <w:hideMark/>
          </w:tcPr>
          <w:p w14:paraId="481EA58E"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w:t>
            </w:r>
          </w:p>
        </w:tc>
        <w:tc>
          <w:tcPr>
            <w:tcW w:w="1229" w:type="dxa"/>
            <w:tcBorders>
              <w:top w:val="nil"/>
              <w:left w:val="nil"/>
              <w:bottom w:val="single" w:sz="4" w:space="0" w:color="auto"/>
              <w:right w:val="nil"/>
            </w:tcBorders>
            <w:shd w:val="clear" w:color="auto" w:fill="auto"/>
            <w:noWrap/>
            <w:vAlign w:val="bottom"/>
            <w:hideMark/>
          </w:tcPr>
          <w:p w14:paraId="5AC21A97"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6383032C"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42,86</w:t>
            </w:r>
          </w:p>
        </w:tc>
        <w:tc>
          <w:tcPr>
            <w:tcW w:w="851" w:type="dxa"/>
            <w:tcBorders>
              <w:top w:val="nil"/>
              <w:left w:val="nil"/>
              <w:bottom w:val="single" w:sz="4" w:space="0" w:color="auto"/>
              <w:right w:val="nil"/>
            </w:tcBorders>
            <w:shd w:val="clear" w:color="auto" w:fill="auto"/>
            <w:noWrap/>
            <w:vAlign w:val="bottom"/>
            <w:hideMark/>
          </w:tcPr>
          <w:p w14:paraId="341D938A"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3</w:t>
            </w:r>
          </w:p>
        </w:tc>
        <w:tc>
          <w:tcPr>
            <w:tcW w:w="1229" w:type="dxa"/>
            <w:tcBorders>
              <w:top w:val="nil"/>
              <w:left w:val="nil"/>
              <w:bottom w:val="single" w:sz="4" w:space="0" w:color="auto"/>
              <w:right w:val="nil"/>
            </w:tcBorders>
            <w:shd w:val="clear" w:color="auto" w:fill="auto"/>
            <w:noWrap/>
            <w:vAlign w:val="bottom"/>
            <w:hideMark/>
          </w:tcPr>
          <w:p w14:paraId="6DB1E5D4"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8</w:t>
            </w:r>
          </w:p>
        </w:tc>
        <w:tc>
          <w:tcPr>
            <w:tcW w:w="1040" w:type="dxa"/>
            <w:tcBorders>
              <w:top w:val="nil"/>
              <w:left w:val="nil"/>
              <w:bottom w:val="single" w:sz="4" w:space="0" w:color="auto"/>
              <w:right w:val="nil"/>
            </w:tcBorders>
            <w:shd w:val="clear" w:color="auto" w:fill="auto"/>
            <w:noWrap/>
            <w:vAlign w:val="bottom"/>
            <w:hideMark/>
          </w:tcPr>
          <w:p w14:paraId="5CCAE7E8"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27,27</w:t>
            </w:r>
          </w:p>
        </w:tc>
      </w:tr>
      <w:tr w:rsidR="00F85178" w:rsidRPr="00F85178" w14:paraId="6AFDBF86" w14:textId="77777777" w:rsidTr="003109FF">
        <w:trPr>
          <w:trHeight w:val="330"/>
        </w:trPr>
        <w:tc>
          <w:tcPr>
            <w:tcW w:w="2220" w:type="dxa"/>
            <w:tcBorders>
              <w:top w:val="nil"/>
              <w:left w:val="nil"/>
              <w:bottom w:val="double" w:sz="6" w:space="0" w:color="auto"/>
              <w:right w:val="nil"/>
            </w:tcBorders>
            <w:shd w:val="clear" w:color="auto" w:fill="auto"/>
            <w:noWrap/>
            <w:vAlign w:val="bottom"/>
            <w:hideMark/>
          </w:tcPr>
          <w:p w14:paraId="0E3635BB" w14:textId="77777777" w:rsidR="003109FF" w:rsidRPr="00F85178" w:rsidRDefault="003109FF" w:rsidP="003109FF">
            <w:pPr>
              <w:spacing w:line="240" w:lineRule="auto"/>
              <w:jc w:val="left"/>
              <w:rPr>
                <w:rFonts w:eastAsia="Times New Roman"/>
                <w:szCs w:val="24"/>
                <w:lang w:eastAsia="cs-CZ"/>
              </w:rPr>
            </w:pPr>
            <w:r w:rsidRPr="00F85178">
              <w:rPr>
                <w:rFonts w:eastAsia="Times New Roman"/>
                <w:szCs w:val="24"/>
                <w:lang w:eastAsia="cs-CZ"/>
              </w:rPr>
              <w:t>KS Ostrava</w:t>
            </w:r>
          </w:p>
        </w:tc>
        <w:tc>
          <w:tcPr>
            <w:tcW w:w="851" w:type="dxa"/>
            <w:tcBorders>
              <w:top w:val="nil"/>
              <w:left w:val="nil"/>
              <w:bottom w:val="double" w:sz="6" w:space="0" w:color="auto"/>
              <w:right w:val="nil"/>
            </w:tcBorders>
            <w:shd w:val="clear" w:color="auto" w:fill="auto"/>
            <w:noWrap/>
            <w:vAlign w:val="bottom"/>
            <w:hideMark/>
          </w:tcPr>
          <w:p w14:paraId="50B7F41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5</w:t>
            </w:r>
          </w:p>
        </w:tc>
        <w:tc>
          <w:tcPr>
            <w:tcW w:w="1229" w:type="dxa"/>
            <w:tcBorders>
              <w:top w:val="nil"/>
              <w:left w:val="nil"/>
              <w:bottom w:val="double" w:sz="6" w:space="0" w:color="auto"/>
              <w:right w:val="nil"/>
            </w:tcBorders>
            <w:shd w:val="clear" w:color="auto" w:fill="auto"/>
            <w:noWrap/>
            <w:vAlign w:val="bottom"/>
            <w:hideMark/>
          </w:tcPr>
          <w:p w14:paraId="3C1CEAAE"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6</w:t>
            </w:r>
          </w:p>
        </w:tc>
        <w:tc>
          <w:tcPr>
            <w:tcW w:w="1040" w:type="dxa"/>
            <w:tcBorders>
              <w:top w:val="nil"/>
              <w:left w:val="nil"/>
              <w:bottom w:val="double" w:sz="6" w:space="0" w:color="auto"/>
              <w:right w:val="nil"/>
            </w:tcBorders>
            <w:shd w:val="clear" w:color="auto" w:fill="auto"/>
            <w:noWrap/>
            <w:vAlign w:val="bottom"/>
            <w:hideMark/>
          </w:tcPr>
          <w:p w14:paraId="3C63EF80"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45,45</w:t>
            </w:r>
          </w:p>
        </w:tc>
        <w:tc>
          <w:tcPr>
            <w:tcW w:w="851" w:type="dxa"/>
            <w:tcBorders>
              <w:top w:val="nil"/>
              <w:left w:val="nil"/>
              <w:bottom w:val="double" w:sz="6" w:space="0" w:color="auto"/>
              <w:right w:val="nil"/>
            </w:tcBorders>
            <w:shd w:val="clear" w:color="auto" w:fill="auto"/>
            <w:noWrap/>
            <w:vAlign w:val="bottom"/>
            <w:hideMark/>
          </w:tcPr>
          <w:p w14:paraId="60E7D69E"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8</w:t>
            </w:r>
          </w:p>
        </w:tc>
        <w:tc>
          <w:tcPr>
            <w:tcW w:w="1229" w:type="dxa"/>
            <w:tcBorders>
              <w:top w:val="nil"/>
              <w:left w:val="nil"/>
              <w:bottom w:val="double" w:sz="6" w:space="0" w:color="auto"/>
              <w:right w:val="nil"/>
            </w:tcBorders>
            <w:shd w:val="clear" w:color="auto" w:fill="auto"/>
            <w:noWrap/>
            <w:vAlign w:val="bottom"/>
            <w:hideMark/>
          </w:tcPr>
          <w:p w14:paraId="3921526D"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9</w:t>
            </w:r>
          </w:p>
        </w:tc>
        <w:tc>
          <w:tcPr>
            <w:tcW w:w="1040" w:type="dxa"/>
            <w:tcBorders>
              <w:top w:val="nil"/>
              <w:left w:val="nil"/>
              <w:bottom w:val="double" w:sz="6" w:space="0" w:color="auto"/>
              <w:right w:val="nil"/>
            </w:tcBorders>
            <w:shd w:val="clear" w:color="auto" w:fill="auto"/>
            <w:noWrap/>
            <w:vAlign w:val="bottom"/>
            <w:hideMark/>
          </w:tcPr>
          <w:p w14:paraId="4E63F012" w14:textId="77777777" w:rsidR="003109FF" w:rsidRPr="00F85178" w:rsidRDefault="003109FF" w:rsidP="003109FF">
            <w:pPr>
              <w:spacing w:line="240" w:lineRule="auto"/>
              <w:jc w:val="center"/>
              <w:rPr>
                <w:rFonts w:eastAsia="Times New Roman"/>
                <w:szCs w:val="24"/>
                <w:lang w:eastAsia="cs-CZ"/>
              </w:rPr>
            </w:pPr>
            <w:r w:rsidRPr="00F85178">
              <w:rPr>
                <w:rFonts w:eastAsia="Times New Roman"/>
                <w:szCs w:val="24"/>
                <w:lang w:eastAsia="cs-CZ"/>
              </w:rPr>
              <w:t>47,06</w:t>
            </w:r>
          </w:p>
        </w:tc>
      </w:tr>
      <w:tr w:rsidR="00F85178" w:rsidRPr="00F85178" w14:paraId="373E2F43" w14:textId="77777777" w:rsidTr="003109FF">
        <w:trPr>
          <w:trHeight w:val="345"/>
        </w:trPr>
        <w:tc>
          <w:tcPr>
            <w:tcW w:w="2220" w:type="dxa"/>
            <w:tcBorders>
              <w:top w:val="nil"/>
              <w:left w:val="nil"/>
              <w:bottom w:val="double" w:sz="6" w:space="0" w:color="auto"/>
              <w:right w:val="nil"/>
            </w:tcBorders>
            <w:shd w:val="clear" w:color="auto" w:fill="auto"/>
            <w:noWrap/>
            <w:vAlign w:val="bottom"/>
            <w:hideMark/>
          </w:tcPr>
          <w:p w14:paraId="23A9617B" w14:textId="77777777" w:rsidR="003109FF" w:rsidRPr="00F85178" w:rsidRDefault="003109FF" w:rsidP="003109FF">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851" w:type="dxa"/>
            <w:tcBorders>
              <w:top w:val="nil"/>
              <w:left w:val="nil"/>
              <w:bottom w:val="double" w:sz="6" w:space="0" w:color="auto"/>
              <w:right w:val="nil"/>
            </w:tcBorders>
            <w:shd w:val="clear" w:color="auto" w:fill="auto"/>
            <w:noWrap/>
            <w:vAlign w:val="bottom"/>
            <w:hideMark/>
          </w:tcPr>
          <w:p w14:paraId="340D7171"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42</w:t>
            </w:r>
          </w:p>
        </w:tc>
        <w:tc>
          <w:tcPr>
            <w:tcW w:w="1229" w:type="dxa"/>
            <w:tcBorders>
              <w:top w:val="nil"/>
              <w:left w:val="nil"/>
              <w:bottom w:val="double" w:sz="6" w:space="0" w:color="auto"/>
              <w:right w:val="nil"/>
            </w:tcBorders>
            <w:shd w:val="clear" w:color="auto" w:fill="auto"/>
            <w:noWrap/>
            <w:vAlign w:val="bottom"/>
            <w:hideMark/>
          </w:tcPr>
          <w:p w14:paraId="02C5DA04"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42</w:t>
            </w:r>
          </w:p>
        </w:tc>
        <w:tc>
          <w:tcPr>
            <w:tcW w:w="1040" w:type="dxa"/>
            <w:tcBorders>
              <w:top w:val="nil"/>
              <w:left w:val="nil"/>
              <w:bottom w:val="double" w:sz="6" w:space="0" w:color="auto"/>
              <w:right w:val="nil"/>
            </w:tcBorders>
            <w:shd w:val="clear" w:color="auto" w:fill="auto"/>
            <w:noWrap/>
            <w:vAlign w:val="bottom"/>
            <w:hideMark/>
          </w:tcPr>
          <w:p w14:paraId="7B497662"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50,00</w:t>
            </w:r>
          </w:p>
        </w:tc>
        <w:tc>
          <w:tcPr>
            <w:tcW w:w="851" w:type="dxa"/>
            <w:tcBorders>
              <w:top w:val="nil"/>
              <w:left w:val="nil"/>
              <w:bottom w:val="double" w:sz="6" w:space="0" w:color="auto"/>
              <w:right w:val="nil"/>
            </w:tcBorders>
            <w:shd w:val="clear" w:color="auto" w:fill="auto"/>
            <w:noWrap/>
            <w:vAlign w:val="bottom"/>
            <w:hideMark/>
          </w:tcPr>
          <w:p w14:paraId="4C4F90E1"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61</w:t>
            </w:r>
          </w:p>
        </w:tc>
        <w:tc>
          <w:tcPr>
            <w:tcW w:w="1229" w:type="dxa"/>
            <w:tcBorders>
              <w:top w:val="nil"/>
              <w:left w:val="nil"/>
              <w:bottom w:val="double" w:sz="6" w:space="0" w:color="auto"/>
              <w:right w:val="nil"/>
            </w:tcBorders>
            <w:shd w:val="clear" w:color="auto" w:fill="auto"/>
            <w:noWrap/>
            <w:vAlign w:val="bottom"/>
            <w:hideMark/>
          </w:tcPr>
          <w:p w14:paraId="2375DB49"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56</w:t>
            </w:r>
          </w:p>
        </w:tc>
        <w:tc>
          <w:tcPr>
            <w:tcW w:w="1040" w:type="dxa"/>
            <w:tcBorders>
              <w:top w:val="nil"/>
              <w:left w:val="nil"/>
              <w:bottom w:val="double" w:sz="6" w:space="0" w:color="auto"/>
              <w:right w:val="nil"/>
            </w:tcBorders>
            <w:shd w:val="clear" w:color="auto" w:fill="auto"/>
            <w:noWrap/>
            <w:vAlign w:val="bottom"/>
            <w:hideMark/>
          </w:tcPr>
          <w:p w14:paraId="7B6A474C" w14:textId="77777777" w:rsidR="003109FF" w:rsidRPr="00F85178" w:rsidRDefault="003109FF" w:rsidP="003109FF">
            <w:pPr>
              <w:spacing w:line="240" w:lineRule="auto"/>
              <w:jc w:val="center"/>
              <w:rPr>
                <w:rFonts w:eastAsia="Times New Roman"/>
                <w:b/>
                <w:bCs/>
                <w:szCs w:val="24"/>
                <w:lang w:eastAsia="cs-CZ"/>
              </w:rPr>
            </w:pPr>
            <w:r w:rsidRPr="00F85178">
              <w:rPr>
                <w:rFonts w:eastAsia="Times New Roman"/>
                <w:b/>
                <w:bCs/>
                <w:szCs w:val="24"/>
                <w:lang w:eastAsia="cs-CZ"/>
              </w:rPr>
              <w:t>52,14</w:t>
            </w:r>
          </w:p>
        </w:tc>
      </w:tr>
      <w:tr w:rsidR="00F85178" w:rsidRPr="00F85178" w14:paraId="7732C4F2" w14:textId="77777777" w:rsidTr="003109FF">
        <w:trPr>
          <w:trHeight w:val="330"/>
        </w:trPr>
        <w:tc>
          <w:tcPr>
            <w:tcW w:w="2220" w:type="dxa"/>
            <w:tcBorders>
              <w:top w:val="nil"/>
              <w:left w:val="nil"/>
              <w:bottom w:val="nil"/>
              <w:right w:val="nil"/>
            </w:tcBorders>
            <w:shd w:val="clear" w:color="auto" w:fill="auto"/>
            <w:noWrap/>
            <w:vAlign w:val="bottom"/>
            <w:hideMark/>
          </w:tcPr>
          <w:p w14:paraId="67A7F288" w14:textId="77777777" w:rsidR="003109FF" w:rsidRPr="00F85178" w:rsidRDefault="003109FF" w:rsidP="003109FF">
            <w:pPr>
              <w:spacing w:line="240" w:lineRule="auto"/>
              <w:jc w:val="center"/>
              <w:rPr>
                <w:rFonts w:eastAsia="Times New Roman"/>
                <w:b/>
                <w:bCs/>
                <w:szCs w:val="24"/>
                <w:lang w:eastAsia="cs-CZ"/>
              </w:rPr>
            </w:pPr>
          </w:p>
        </w:tc>
        <w:tc>
          <w:tcPr>
            <w:tcW w:w="851" w:type="dxa"/>
            <w:tcBorders>
              <w:top w:val="nil"/>
              <w:left w:val="nil"/>
              <w:bottom w:val="nil"/>
              <w:right w:val="nil"/>
            </w:tcBorders>
            <w:shd w:val="clear" w:color="auto" w:fill="auto"/>
            <w:noWrap/>
            <w:vAlign w:val="bottom"/>
            <w:hideMark/>
          </w:tcPr>
          <w:p w14:paraId="31103967"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c>
          <w:tcPr>
            <w:tcW w:w="1229" w:type="dxa"/>
            <w:tcBorders>
              <w:top w:val="nil"/>
              <w:left w:val="nil"/>
              <w:bottom w:val="nil"/>
              <w:right w:val="nil"/>
            </w:tcBorders>
            <w:shd w:val="clear" w:color="auto" w:fill="auto"/>
            <w:noWrap/>
            <w:vAlign w:val="bottom"/>
            <w:hideMark/>
          </w:tcPr>
          <w:p w14:paraId="5676F0C5"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c>
          <w:tcPr>
            <w:tcW w:w="1040" w:type="dxa"/>
            <w:tcBorders>
              <w:top w:val="nil"/>
              <w:left w:val="nil"/>
              <w:bottom w:val="nil"/>
              <w:right w:val="nil"/>
            </w:tcBorders>
            <w:shd w:val="clear" w:color="auto" w:fill="auto"/>
            <w:noWrap/>
            <w:vAlign w:val="bottom"/>
            <w:hideMark/>
          </w:tcPr>
          <w:p w14:paraId="2BFF92EE"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c>
          <w:tcPr>
            <w:tcW w:w="851" w:type="dxa"/>
            <w:tcBorders>
              <w:top w:val="nil"/>
              <w:left w:val="nil"/>
              <w:bottom w:val="nil"/>
              <w:right w:val="nil"/>
            </w:tcBorders>
            <w:shd w:val="clear" w:color="auto" w:fill="auto"/>
            <w:noWrap/>
            <w:vAlign w:val="bottom"/>
            <w:hideMark/>
          </w:tcPr>
          <w:p w14:paraId="06B47461"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c>
          <w:tcPr>
            <w:tcW w:w="1229" w:type="dxa"/>
            <w:tcBorders>
              <w:top w:val="nil"/>
              <w:left w:val="nil"/>
              <w:bottom w:val="nil"/>
              <w:right w:val="nil"/>
            </w:tcBorders>
            <w:shd w:val="clear" w:color="auto" w:fill="auto"/>
            <w:noWrap/>
            <w:vAlign w:val="bottom"/>
            <w:hideMark/>
          </w:tcPr>
          <w:p w14:paraId="53E15E64"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c>
          <w:tcPr>
            <w:tcW w:w="1040" w:type="dxa"/>
            <w:tcBorders>
              <w:top w:val="nil"/>
              <w:left w:val="nil"/>
              <w:bottom w:val="nil"/>
              <w:right w:val="nil"/>
            </w:tcBorders>
            <w:shd w:val="clear" w:color="auto" w:fill="auto"/>
            <w:noWrap/>
            <w:vAlign w:val="bottom"/>
            <w:hideMark/>
          </w:tcPr>
          <w:p w14:paraId="07EF022A" w14:textId="77777777" w:rsidR="003109FF" w:rsidRPr="00F85178" w:rsidRDefault="003109FF" w:rsidP="003109FF">
            <w:pPr>
              <w:spacing w:line="240" w:lineRule="auto"/>
              <w:jc w:val="left"/>
              <w:rPr>
                <w:rFonts w:ascii="Times New Roman" w:eastAsia="Times New Roman" w:hAnsi="Times New Roman"/>
                <w:sz w:val="20"/>
                <w:szCs w:val="20"/>
                <w:lang w:eastAsia="cs-CZ"/>
              </w:rPr>
            </w:pPr>
          </w:p>
        </w:tc>
      </w:tr>
    </w:tbl>
    <w:p w14:paraId="7149224E" w14:textId="77777777" w:rsidR="0032015B" w:rsidRDefault="003109FF" w:rsidP="003109FF">
      <w:pPr>
        <w:pStyle w:val="OdstavecASR"/>
      </w:pPr>
      <w:r w:rsidRPr="00F85178">
        <w:t>Na vysvětlenou je třeba uvést, že součet počtu předsedů a předsedkyň není roven počtu okresních soudů (86), protože ne všude je funkce předsedy obsazená. Z tabulky lze vyčíst, že počet žen a</w:t>
      </w:r>
      <w:r w:rsidR="00B604A2" w:rsidRPr="00F85178">
        <w:t> </w:t>
      </w:r>
      <w:r w:rsidRPr="00F85178">
        <w:t>mužů na místech předsedů a místopředsedů je mnohem vyrovnanější, než je u</w:t>
      </w:r>
      <w:r w:rsidR="0059133E" w:rsidRPr="00F85178">
        <w:t> </w:t>
      </w:r>
      <w:r w:rsidRPr="00F85178">
        <w:t>celkového počtu soudců. Ženy představují přesně polovinu předsedů. Místopředsedkyň je o</w:t>
      </w:r>
      <w:r w:rsidR="0059133E" w:rsidRPr="00F85178">
        <w:t> </w:t>
      </w:r>
      <w:r w:rsidRPr="00F85178">
        <w:t>něco málo více než místopředsedů soudů.</w:t>
      </w:r>
    </w:p>
    <w:p w14:paraId="1623D0BD" w14:textId="5CCE4C11" w:rsidR="003109FF" w:rsidRPr="00F85178" w:rsidRDefault="003109FF" w:rsidP="003109FF">
      <w:pPr>
        <w:pStyle w:val="OdstavecASR"/>
        <w:rPr>
          <w:rStyle w:val="OdstavecASRChar"/>
        </w:rPr>
      </w:pPr>
      <w:r w:rsidRPr="00F85178">
        <w:t>Dalším sledovaným ukazatelem je věková struktura soudců. Na grafu níže vidíme její vývoj v letech 2008 až 2018. V tabulce pak jsou průřezová data okresních soudů po krajích za rok 2018.</w:t>
      </w:r>
    </w:p>
    <w:p w14:paraId="770BA844" w14:textId="77777777" w:rsidR="003109FF" w:rsidRPr="00F85178" w:rsidRDefault="00B7424F" w:rsidP="00B7424F">
      <w:pPr>
        <w:pStyle w:val="OdstavecASR"/>
      </w:pPr>
      <w:r w:rsidRPr="00F85178">
        <w:t>Z grafu je patrn</w:t>
      </w:r>
      <w:r w:rsidR="00FC2884" w:rsidRPr="00F85178">
        <w:t>ý pokračující trend z minulých let</w:t>
      </w:r>
      <w:r w:rsidRPr="00F85178">
        <w:t>,</w:t>
      </w:r>
      <w:r w:rsidR="00FC2884" w:rsidRPr="00F85178">
        <w:t xml:space="preserve"> tedy</w:t>
      </w:r>
      <w:r w:rsidRPr="00F85178">
        <w:t xml:space="preserve"> že soudci okresních soudů v ČR v průměru </w:t>
      </w:r>
      <w:r w:rsidR="00FC2884" w:rsidRPr="00F85178">
        <w:t xml:space="preserve">dále </w:t>
      </w:r>
      <w:r w:rsidRPr="00F85178">
        <w:t>stárnou. Především soudci z věkové kategorie 30 až 40 let se postupně přesouvají (stárnou) do věkové kategorie 41 až 50 let.</w:t>
      </w:r>
    </w:p>
    <w:p w14:paraId="15432F18" w14:textId="77777777" w:rsidR="00FC2C7A" w:rsidRPr="00F85178" w:rsidRDefault="00FC2C7A" w:rsidP="00FC2C7A">
      <w:pPr>
        <w:rPr>
          <w:rStyle w:val="OdstavecASRChar"/>
        </w:rPr>
      </w:pPr>
      <w:r w:rsidRPr="00F85178">
        <w:t xml:space="preserve">V roce 2007 byl podíl soudců ve věku 30 až 40 let 49 %, v roce 2018 byl tento podíl již pouze necelých 26 %. Naopak podíl soudců ve věku 41 až 50 let </w:t>
      </w:r>
      <w:r w:rsidR="006770B5" w:rsidRPr="00F85178">
        <w:t>byl</w:t>
      </w:r>
      <w:r w:rsidRPr="00F85178">
        <w:t xml:space="preserve"> v roce 2007 25 % a </w:t>
      </w:r>
      <w:r w:rsidR="006770B5" w:rsidRPr="00F85178">
        <w:t>přibližně 42</w:t>
      </w:r>
      <w:r w:rsidRPr="00F85178">
        <w:t xml:space="preserve"> % v roce </w:t>
      </w:r>
      <w:r w:rsidR="006770B5" w:rsidRPr="00F85178">
        <w:t>2018</w:t>
      </w:r>
      <w:r w:rsidRPr="00F85178">
        <w:t>. Příčin tohoto posunu je zřejmě několik:</w:t>
      </w:r>
    </w:p>
    <w:p w14:paraId="4D725EE5" w14:textId="77777777" w:rsidR="00FC2C7A" w:rsidRPr="00F85178" w:rsidRDefault="00FC2C7A" w:rsidP="00FC2C7A">
      <w:pPr>
        <w:pStyle w:val="Odstavecseseznamem"/>
        <w:numPr>
          <w:ilvl w:val="0"/>
          <w:numId w:val="17"/>
        </w:numPr>
      </w:pPr>
      <w:r w:rsidRPr="00F85178">
        <w:t>Ve sledovaném období je již celkový počet soudců velmi stabilní. Ale až do roku 2006 se počet soudců rychle zvyšoval, počet nově jmenovaných soudců za rok byl tedy výrazně vyšší než v posledních letech. A k okresním soudům byli většinou jmenováni mladí soudci. Právě tato rozsáhlá generace soudců se ve sledovaném období postupně přesouvá do vyšší věkové skupiny.</w:t>
      </w:r>
    </w:p>
    <w:p w14:paraId="37AF535B" w14:textId="77777777" w:rsidR="00FC2C7A" w:rsidRPr="00F85178" w:rsidRDefault="00FC2C7A" w:rsidP="00FC2C7A">
      <w:pPr>
        <w:pStyle w:val="Odstavecseseznamem"/>
        <w:numPr>
          <w:ilvl w:val="0"/>
          <w:numId w:val="17"/>
        </w:numPr>
      </w:pPr>
      <w:r w:rsidRPr="00F85178">
        <w:t>Malou roli mohlo po určitou dobu hrát také to, že v roce 2003 byl stanoven minimální věk pro jmenování soudcem 30 let.</w:t>
      </w:r>
    </w:p>
    <w:p w14:paraId="5C1D8D91" w14:textId="77777777" w:rsidR="00FC2C7A" w:rsidRPr="00F85178" w:rsidRDefault="00FC2C7A" w:rsidP="00FC2C7A">
      <w:pPr>
        <w:pStyle w:val="Odstavecseseznamem"/>
        <w:numPr>
          <w:ilvl w:val="0"/>
          <w:numId w:val="17"/>
        </w:numPr>
      </w:pPr>
      <w:r w:rsidRPr="00F85178">
        <w:t>V průběhu let docházelo ke změnám a zpřísňování podmínek pro jmenování soudcem a ke zpřesnění administrativně technického postupu. V důsledku těchto změn se zvyšuje průměrný věk, ve kterém je soudce jmenován.</w:t>
      </w:r>
    </w:p>
    <w:p w14:paraId="74CCE6C3" w14:textId="77777777" w:rsidR="00FC2C7A" w:rsidRPr="00F85178" w:rsidRDefault="00FC2C7A" w:rsidP="00FC2C7A">
      <w:pPr>
        <w:pStyle w:val="OdstavecASR"/>
      </w:pPr>
      <w:r w:rsidRPr="00F85178">
        <w:t>V</w:t>
      </w:r>
      <w:r w:rsidR="00806046" w:rsidRPr="00F85178">
        <w:t> další tabulce</w:t>
      </w:r>
      <w:r w:rsidRPr="00F85178">
        <w:t xml:space="preserve"> vidíme, že věkové složení soudců se liší i mezi jednotlivými kraji. Zaujme například Severočeský kraj s velmi vysokým podílem soudců mezi 30 a 40 lety. To může souviset s posilováním soudů v Severočeském kraji v posledních letech nově jmenovanými mladými soudci. Naopak v průměru nejstarší jsou soudci v Západočeském kraji, kde je téměř </w:t>
      </w:r>
      <w:r w:rsidR="006770B5" w:rsidRPr="00F85178">
        <w:t>šestina</w:t>
      </w:r>
      <w:r w:rsidRPr="00F85178">
        <w:t xml:space="preserve"> soudců ve věku mezi 61 a 70 lety.</w:t>
      </w:r>
    </w:p>
    <w:p w14:paraId="73BDC70A" w14:textId="77777777" w:rsidR="00FC2C7A" w:rsidRPr="00F85178" w:rsidRDefault="00FC2C7A" w:rsidP="00FC2C7A">
      <w:pPr>
        <w:pStyle w:val="OdstavecASR"/>
      </w:pPr>
      <w:r w:rsidRPr="00F85178">
        <w:t>V souvislosti s věkem soudců je třeba ještě poznamenat, že vliv na věkovou strukturu má také překládání soudců ke krajským soudům. K tomuto přeložení dochází nejčastěji kolem čtyřicátého až čtyřicátého pátého roku věku. Přeložení dříve než v 35 a později než v 50 jsou vzácná.</w:t>
      </w:r>
    </w:p>
    <w:p w14:paraId="5289C2BE" w14:textId="77777777" w:rsidR="00061542" w:rsidRPr="00F85178" w:rsidRDefault="00061542" w:rsidP="00D44C08">
      <w:pPr>
        <w:pStyle w:val="Podtitul"/>
        <w:rPr>
          <w:color w:val="auto"/>
        </w:rPr>
      </w:pPr>
      <w:bookmarkStart w:id="44" w:name="_Toc11135066"/>
      <w:bookmarkStart w:id="45" w:name="_Toc13837498"/>
      <w:r w:rsidRPr="00F85178">
        <w:rPr>
          <w:color w:val="auto"/>
        </w:rPr>
        <w:t xml:space="preserve">Graf </w:t>
      </w:r>
      <w:r w:rsidR="0067217C" w:rsidRPr="00F85178">
        <w:rPr>
          <w:noProof/>
          <w:color w:val="auto"/>
        </w:rPr>
        <w:fldChar w:fldCharType="begin"/>
      </w:r>
      <w:r w:rsidR="0067217C" w:rsidRPr="00F85178">
        <w:rPr>
          <w:noProof/>
          <w:color w:val="auto"/>
        </w:rPr>
        <w:instrText xml:space="preserve"> SEQ Graf \* ARABIC </w:instrText>
      </w:r>
      <w:r w:rsidR="0067217C" w:rsidRPr="00F85178">
        <w:rPr>
          <w:noProof/>
          <w:color w:val="auto"/>
        </w:rPr>
        <w:fldChar w:fldCharType="separate"/>
      </w:r>
      <w:r w:rsidR="00306940">
        <w:rPr>
          <w:noProof/>
          <w:color w:val="auto"/>
        </w:rPr>
        <w:t>5</w:t>
      </w:r>
      <w:r w:rsidR="0067217C" w:rsidRPr="00F85178">
        <w:rPr>
          <w:noProof/>
          <w:color w:val="auto"/>
        </w:rPr>
        <w:fldChar w:fldCharType="end"/>
      </w:r>
      <w:r w:rsidRPr="00F85178">
        <w:rPr>
          <w:color w:val="auto"/>
        </w:rPr>
        <w:t>: OS – věková struktura soudců v letech 2008–2018</w:t>
      </w:r>
      <w:bookmarkEnd w:id="44"/>
      <w:bookmarkEnd w:id="45"/>
    </w:p>
    <w:p w14:paraId="0A00D376" w14:textId="77777777" w:rsidR="00061542" w:rsidRPr="00F85178" w:rsidRDefault="00890295" w:rsidP="00061542">
      <w:pPr>
        <w:spacing w:line="240" w:lineRule="auto"/>
        <w:jc w:val="left"/>
        <w:rPr>
          <w:rStyle w:val="OdstavecASRChar"/>
          <w:rFonts w:ascii="Garamond" w:hAnsi="Garamond"/>
        </w:rPr>
      </w:pPr>
      <w:r>
        <w:rPr>
          <w:noProof/>
          <w:lang w:eastAsia="cs-CZ"/>
        </w:rPr>
        <w:drawing>
          <wp:inline distT="0" distB="0" distL="0" distR="0" wp14:anchorId="2BDE64FE" wp14:editId="0DD52863">
            <wp:extent cx="5118100" cy="3746500"/>
            <wp:effectExtent l="0" t="0" r="0" b="0"/>
            <wp:docPr id="6"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CBD0093" w14:textId="77777777" w:rsidR="00FC2C7A" w:rsidRPr="000B7D8A" w:rsidRDefault="00FC2C7A" w:rsidP="00061542">
      <w:pPr>
        <w:spacing w:line="240" w:lineRule="auto"/>
        <w:jc w:val="left"/>
      </w:pPr>
    </w:p>
    <w:p w14:paraId="59CBF5C5" w14:textId="77777777" w:rsidR="00FC2C7A" w:rsidRPr="00F85178" w:rsidRDefault="00FC2C7A" w:rsidP="00FC2C7A">
      <w:pPr>
        <w:pStyle w:val="Podtitul"/>
        <w:rPr>
          <w:color w:val="auto"/>
        </w:rPr>
      </w:pPr>
      <w:bookmarkStart w:id="46" w:name="_Toc515871438"/>
      <w:bookmarkStart w:id="47" w:name="_Toc11133206"/>
      <w:bookmarkStart w:id="48" w:name="_Toc1383742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w:t>
      </w:r>
      <w:r w:rsidRPr="00F85178">
        <w:rPr>
          <w:noProof/>
          <w:color w:val="auto"/>
        </w:rPr>
        <w:fldChar w:fldCharType="end"/>
      </w:r>
      <w:r w:rsidRPr="00F85178">
        <w:rPr>
          <w:color w:val="auto"/>
        </w:rPr>
        <w:t>: OS – věková struktura soudců dle krajů</w:t>
      </w:r>
      <w:bookmarkEnd w:id="46"/>
      <w:bookmarkEnd w:id="47"/>
      <w:bookmarkEnd w:id="48"/>
    </w:p>
    <w:tbl>
      <w:tblPr>
        <w:tblW w:w="7921" w:type="dxa"/>
        <w:tblCellMar>
          <w:left w:w="70" w:type="dxa"/>
          <w:right w:w="70" w:type="dxa"/>
        </w:tblCellMar>
        <w:tblLook w:val="04A0" w:firstRow="1" w:lastRow="0" w:firstColumn="1" w:lastColumn="0" w:noHBand="0" w:noVBand="1"/>
      </w:tblPr>
      <w:tblGrid>
        <w:gridCol w:w="2480"/>
        <w:gridCol w:w="1376"/>
        <w:gridCol w:w="1355"/>
        <w:gridCol w:w="1355"/>
        <w:gridCol w:w="1355"/>
      </w:tblGrid>
      <w:tr w:rsidR="00F85178" w:rsidRPr="00F85178" w14:paraId="74E8E95E" w14:textId="77777777" w:rsidTr="00FC2C7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0A075C4"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441" w:type="dxa"/>
            <w:gridSpan w:val="4"/>
            <w:tcBorders>
              <w:top w:val="double" w:sz="6" w:space="0" w:color="auto"/>
              <w:left w:val="nil"/>
              <w:bottom w:val="nil"/>
              <w:right w:val="nil"/>
            </w:tcBorders>
            <w:shd w:val="clear" w:color="auto" w:fill="auto"/>
            <w:noWrap/>
            <w:vAlign w:val="center"/>
            <w:hideMark/>
          </w:tcPr>
          <w:p w14:paraId="26D28299"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Podíl na celkovém počtu soudců dle věku</w:t>
            </w:r>
          </w:p>
        </w:tc>
      </w:tr>
      <w:tr w:rsidR="00F85178" w:rsidRPr="00F85178" w14:paraId="53155B67" w14:textId="77777777" w:rsidTr="00FC2C7A">
        <w:trPr>
          <w:trHeight w:val="330"/>
        </w:trPr>
        <w:tc>
          <w:tcPr>
            <w:tcW w:w="2480" w:type="dxa"/>
            <w:vMerge/>
            <w:tcBorders>
              <w:top w:val="double" w:sz="6" w:space="0" w:color="auto"/>
              <w:left w:val="nil"/>
              <w:bottom w:val="double" w:sz="6" w:space="0" w:color="000000"/>
              <w:right w:val="nil"/>
            </w:tcBorders>
            <w:vAlign w:val="center"/>
            <w:hideMark/>
          </w:tcPr>
          <w:p w14:paraId="264DB2EC" w14:textId="77777777" w:rsidR="00FC2C7A" w:rsidRPr="00F85178" w:rsidRDefault="00FC2C7A" w:rsidP="00FC2C7A">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0DD5DC08"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30 až 40 let</w:t>
            </w:r>
          </w:p>
        </w:tc>
        <w:tc>
          <w:tcPr>
            <w:tcW w:w="1355" w:type="dxa"/>
            <w:tcBorders>
              <w:top w:val="nil"/>
              <w:left w:val="nil"/>
              <w:bottom w:val="double" w:sz="6" w:space="0" w:color="auto"/>
              <w:right w:val="nil"/>
            </w:tcBorders>
            <w:shd w:val="clear" w:color="auto" w:fill="auto"/>
            <w:noWrap/>
            <w:vAlign w:val="center"/>
            <w:hideMark/>
          </w:tcPr>
          <w:p w14:paraId="6066DFA5"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41 až 50 let</w:t>
            </w:r>
          </w:p>
        </w:tc>
        <w:tc>
          <w:tcPr>
            <w:tcW w:w="1355" w:type="dxa"/>
            <w:tcBorders>
              <w:top w:val="nil"/>
              <w:left w:val="nil"/>
              <w:bottom w:val="double" w:sz="6" w:space="0" w:color="auto"/>
              <w:right w:val="nil"/>
            </w:tcBorders>
            <w:shd w:val="clear" w:color="auto" w:fill="auto"/>
            <w:noWrap/>
            <w:vAlign w:val="center"/>
            <w:hideMark/>
          </w:tcPr>
          <w:p w14:paraId="659E9461"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51 až 60 let</w:t>
            </w:r>
          </w:p>
        </w:tc>
        <w:tc>
          <w:tcPr>
            <w:tcW w:w="1355" w:type="dxa"/>
            <w:tcBorders>
              <w:top w:val="nil"/>
              <w:left w:val="nil"/>
              <w:bottom w:val="double" w:sz="6" w:space="0" w:color="auto"/>
              <w:right w:val="nil"/>
            </w:tcBorders>
            <w:shd w:val="clear" w:color="auto" w:fill="auto"/>
            <w:noWrap/>
            <w:vAlign w:val="center"/>
            <w:hideMark/>
          </w:tcPr>
          <w:p w14:paraId="0FAF4C78"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61 až 70 let</w:t>
            </w:r>
          </w:p>
        </w:tc>
      </w:tr>
      <w:tr w:rsidR="00F85178" w:rsidRPr="00F85178" w14:paraId="4137EEE1" w14:textId="77777777" w:rsidTr="00FC2C7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5606704"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0E5CF42D"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19,74</w:t>
            </w:r>
          </w:p>
        </w:tc>
        <w:tc>
          <w:tcPr>
            <w:tcW w:w="1355" w:type="dxa"/>
            <w:tcBorders>
              <w:top w:val="single" w:sz="4" w:space="0" w:color="auto"/>
              <w:left w:val="nil"/>
              <w:bottom w:val="single" w:sz="4" w:space="0" w:color="auto"/>
              <w:right w:val="nil"/>
            </w:tcBorders>
            <w:shd w:val="clear" w:color="auto" w:fill="auto"/>
            <w:noWrap/>
            <w:vAlign w:val="bottom"/>
            <w:hideMark/>
          </w:tcPr>
          <w:p w14:paraId="1F100F3B"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42,72</w:t>
            </w:r>
          </w:p>
        </w:tc>
        <w:tc>
          <w:tcPr>
            <w:tcW w:w="1355" w:type="dxa"/>
            <w:tcBorders>
              <w:top w:val="single" w:sz="4" w:space="0" w:color="auto"/>
              <w:left w:val="nil"/>
              <w:bottom w:val="single" w:sz="4" w:space="0" w:color="auto"/>
              <w:right w:val="nil"/>
            </w:tcBorders>
            <w:shd w:val="clear" w:color="auto" w:fill="auto"/>
            <w:noWrap/>
            <w:vAlign w:val="bottom"/>
            <w:hideMark/>
          </w:tcPr>
          <w:p w14:paraId="46251CB4"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25,24</w:t>
            </w:r>
          </w:p>
        </w:tc>
        <w:tc>
          <w:tcPr>
            <w:tcW w:w="1355" w:type="dxa"/>
            <w:tcBorders>
              <w:top w:val="single" w:sz="4" w:space="0" w:color="auto"/>
              <w:left w:val="nil"/>
              <w:bottom w:val="single" w:sz="4" w:space="0" w:color="auto"/>
              <w:right w:val="nil"/>
            </w:tcBorders>
            <w:shd w:val="clear" w:color="auto" w:fill="auto"/>
            <w:noWrap/>
            <w:vAlign w:val="bottom"/>
            <w:hideMark/>
          </w:tcPr>
          <w:p w14:paraId="18CB102B"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12,30</w:t>
            </w:r>
          </w:p>
        </w:tc>
      </w:tr>
      <w:tr w:rsidR="00F85178" w:rsidRPr="00F85178" w14:paraId="49FA44A1"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19D3FC7E"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748A1D93"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33,50</w:t>
            </w:r>
          </w:p>
        </w:tc>
        <w:tc>
          <w:tcPr>
            <w:tcW w:w="1355" w:type="dxa"/>
            <w:tcBorders>
              <w:top w:val="nil"/>
              <w:left w:val="nil"/>
              <w:bottom w:val="single" w:sz="4" w:space="0" w:color="auto"/>
              <w:right w:val="nil"/>
            </w:tcBorders>
            <w:shd w:val="clear" w:color="auto" w:fill="auto"/>
            <w:noWrap/>
            <w:vAlign w:val="bottom"/>
            <w:hideMark/>
          </w:tcPr>
          <w:p w14:paraId="719D8C42"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38,07</w:t>
            </w:r>
          </w:p>
        </w:tc>
        <w:tc>
          <w:tcPr>
            <w:tcW w:w="1355" w:type="dxa"/>
            <w:tcBorders>
              <w:top w:val="nil"/>
              <w:left w:val="nil"/>
              <w:bottom w:val="single" w:sz="4" w:space="0" w:color="auto"/>
              <w:right w:val="nil"/>
            </w:tcBorders>
            <w:shd w:val="clear" w:color="auto" w:fill="auto"/>
            <w:noWrap/>
            <w:vAlign w:val="bottom"/>
            <w:hideMark/>
          </w:tcPr>
          <w:p w14:paraId="441AA38E"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16,24</w:t>
            </w:r>
          </w:p>
        </w:tc>
        <w:tc>
          <w:tcPr>
            <w:tcW w:w="1355" w:type="dxa"/>
            <w:tcBorders>
              <w:top w:val="nil"/>
              <w:left w:val="nil"/>
              <w:bottom w:val="single" w:sz="4" w:space="0" w:color="auto"/>
              <w:right w:val="nil"/>
            </w:tcBorders>
            <w:shd w:val="clear" w:color="auto" w:fill="auto"/>
            <w:noWrap/>
            <w:vAlign w:val="bottom"/>
            <w:hideMark/>
          </w:tcPr>
          <w:p w14:paraId="4D0167DC"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12,18</w:t>
            </w:r>
          </w:p>
        </w:tc>
      </w:tr>
      <w:tr w:rsidR="00F85178" w:rsidRPr="00F85178" w14:paraId="27733782"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2127A8EF"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0988A781"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22,12</w:t>
            </w:r>
          </w:p>
        </w:tc>
        <w:tc>
          <w:tcPr>
            <w:tcW w:w="1355" w:type="dxa"/>
            <w:tcBorders>
              <w:top w:val="nil"/>
              <w:left w:val="nil"/>
              <w:bottom w:val="single" w:sz="4" w:space="0" w:color="auto"/>
              <w:right w:val="nil"/>
            </w:tcBorders>
            <w:shd w:val="clear" w:color="auto" w:fill="auto"/>
            <w:noWrap/>
            <w:vAlign w:val="bottom"/>
            <w:hideMark/>
          </w:tcPr>
          <w:p w14:paraId="5A8EA8B3"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47,12</w:t>
            </w:r>
          </w:p>
        </w:tc>
        <w:tc>
          <w:tcPr>
            <w:tcW w:w="1355" w:type="dxa"/>
            <w:tcBorders>
              <w:top w:val="nil"/>
              <w:left w:val="nil"/>
              <w:bottom w:val="single" w:sz="4" w:space="0" w:color="auto"/>
              <w:right w:val="nil"/>
            </w:tcBorders>
            <w:shd w:val="clear" w:color="auto" w:fill="auto"/>
            <w:noWrap/>
            <w:vAlign w:val="bottom"/>
            <w:hideMark/>
          </w:tcPr>
          <w:p w14:paraId="2DEAB4A5"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21,15</w:t>
            </w:r>
          </w:p>
        </w:tc>
        <w:tc>
          <w:tcPr>
            <w:tcW w:w="1355" w:type="dxa"/>
            <w:tcBorders>
              <w:top w:val="nil"/>
              <w:left w:val="nil"/>
              <w:bottom w:val="single" w:sz="4" w:space="0" w:color="auto"/>
              <w:right w:val="nil"/>
            </w:tcBorders>
            <w:shd w:val="clear" w:color="auto" w:fill="auto"/>
            <w:noWrap/>
            <w:vAlign w:val="bottom"/>
            <w:hideMark/>
          </w:tcPr>
          <w:p w14:paraId="2020DAB6"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9,62</w:t>
            </w:r>
          </w:p>
        </w:tc>
      </w:tr>
      <w:tr w:rsidR="00F85178" w:rsidRPr="00F85178" w14:paraId="515922A6"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0A254355"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5294C3D5"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21,25</w:t>
            </w:r>
          </w:p>
        </w:tc>
        <w:tc>
          <w:tcPr>
            <w:tcW w:w="1355" w:type="dxa"/>
            <w:tcBorders>
              <w:top w:val="nil"/>
              <w:left w:val="nil"/>
              <w:bottom w:val="single" w:sz="4" w:space="0" w:color="auto"/>
              <w:right w:val="nil"/>
            </w:tcBorders>
            <w:shd w:val="clear" w:color="auto" w:fill="auto"/>
            <w:noWrap/>
            <w:vAlign w:val="bottom"/>
            <w:hideMark/>
          </w:tcPr>
          <w:p w14:paraId="3029A5CF"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49,38</w:t>
            </w:r>
          </w:p>
        </w:tc>
        <w:tc>
          <w:tcPr>
            <w:tcW w:w="1355" w:type="dxa"/>
            <w:tcBorders>
              <w:top w:val="nil"/>
              <w:left w:val="nil"/>
              <w:bottom w:val="single" w:sz="4" w:space="0" w:color="auto"/>
              <w:right w:val="nil"/>
            </w:tcBorders>
            <w:shd w:val="clear" w:color="auto" w:fill="auto"/>
            <w:noWrap/>
            <w:vAlign w:val="bottom"/>
            <w:hideMark/>
          </w:tcPr>
          <w:p w14:paraId="48CAD176"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14,38</w:t>
            </w:r>
          </w:p>
        </w:tc>
        <w:tc>
          <w:tcPr>
            <w:tcW w:w="1355" w:type="dxa"/>
            <w:tcBorders>
              <w:top w:val="nil"/>
              <w:left w:val="nil"/>
              <w:bottom w:val="single" w:sz="4" w:space="0" w:color="auto"/>
              <w:right w:val="nil"/>
            </w:tcBorders>
            <w:shd w:val="clear" w:color="auto" w:fill="auto"/>
            <w:noWrap/>
            <w:vAlign w:val="bottom"/>
            <w:hideMark/>
          </w:tcPr>
          <w:p w14:paraId="27D27ED9"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15,00</w:t>
            </w:r>
          </w:p>
        </w:tc>
      </w:tr>
      <w:tr w:rsidR="00F85178" w:rsidRPr="00F85178" w14:paraId="2D7F2FE0"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63930FA5"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1BCC28E0"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36,20</w:t>
            </w:r>
          </w:p>
        </w:tc>
        <w:tc>
          <w:tcPr>
            <w:tcW w:w="1355" w:type="dxa"/>
            <w:tcBorders>
              <w:top w:val="nil"/>
              <w:left w:val="nil"/>
              <w:bottom w:val="single" w:sz="4" w:space="0" w:color="auto"/>
              <w:right w:val="nil"/>
            </w:tcBorders>
            <w:shd w:val="clear" w:color="auto" w:fill="auto"/>
            <w:noWrap/>
            <w:vAlign w:val="bottom"/>
            <w:hideMark/>
          </w:tcPr>
          <w:p w14:paraId="0248DD7D"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34,05</w:t>
            </w:r>
          </w:p>
        </w:tc>
        <w:tc>
          <w:tcPr>
            <w:tcW w:w="1355" w:type="dxa"/>
            <w:tcBorders>
              <w:top w:val="nil"/>
              <w:left w:val="nil"/>
              <w:bottom w:val="single" w:sz="4" w:space="0" w:color="auto"/>
              <w:right w:val="nil"/>
            </w:tcBorders>
            <w:shd w:val="clear" w:color="auto" w:fill="auto"/>
            <w:noWrap/>
            <w:vAlign w:val="bottom"/>
            <w:hideMark/>
          </w:tcPr>
          <w:p w14:paraId="4065BC28"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20,07</w:t>
            </w:r>
          </w:p>
        </w:tc>
        <w:tc>
          <w:tcPr>
            <w:tcW w:w="1355" w:type="dxa"/>
            <w:tcBorders>
              <w:top w:val="nil"/>
              <w:left w:val="nil"/>
              <w:bottom w:val="single" w:sz="4" w:space="0" w:color="auto"/>
              <w:right w:val="nil"/>
            </w:tcBorders>
            <w:shd w:val="clear" w:color="auto" w:fill="auto"/>
            <w:noWrap/>
            <w:vAlign w:val="bottom"/>
            <w:hideMark/>
          </w:tcPr>
          <w:p w14:paraId="19F029C5"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9,68</w:t>
            </w:r>
          </w:p>
        </w:tc>
      </w:tr>
      <w:tr w:rsidR="00F85178" w:rsidRPr="00F85178" w14:paraId="32A78C15"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035C7EE4"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0E7CB47E"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21,43</w:t>
            </w:r>
          </w:p>
        </w:tc>
        <w:tc>
          <w:tcPr>
            <w:tcW w:w="1355" w:type="dxa"/>
            <w:tcBorders>
              <w:top w:val="nil"/>
              <w:left w:val="nil"/>
              <w:bottom w:val="single" w:sz="4" w:space="0" w:color="auto"/>
              <w:right w:val="nil"/>
            </w:tcBorders>
            <w:shd w:val="clear" w:color="auto" w:fill="auto"/>
            <w:noWrap/>
            <w:vAlign w:val="bottom"/>
            <w:hideMark/>
          </w:tcPr>
          <w:p w14:paraId="6124FA12"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42,26</w:t>
            </w:r>
          </w:p>
        </w:tc>
        <w:tc>
          <w:tcPr>
            <w:tcW w:w="1355" w:type="dxa"/>
            <w:tcBorders>
              <w:top w:val="nil"/>
              <w:left w:val="nil"/>
              <w:bottom w:val="single" w:sz="4" w:space="0" w:color="auto"/>
              <w:right w:val="nil"/>
            </w:tcBorders>
            <w:shd w:val="clear" w:color="auto" w:fill="auto"/>
            <w:noWrap/>
            <w:vAlign w:val="bottom"/>
            <w:hideMark/>
          </w:tcPr>
          <w:p w14:paraId="629A7C7F"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26,19</w:t>
            </w:r>
          </w:p>
        </w:tc>
        <w:tc>
          <w:tcPr>
            <w:tcW w:w="1355" w:type="dxa"/>
            <w:tcBorders>
              <w:top w:val="nil"/>
              <w:left w:val="nil"/>
              <w:bottom w:val="single" w:sz="4" w:space="0" w:color="auto"/>
              <w:right w:val="nil"/>
            </w:tcBorders>
            <w:shd w:val="clear" w:color="auto" w:fill="auto"/>
            <w:noWrap/>
            <w:vAlign w:val="bottom"/>
            <w:hideMark/>
          </w:tcPr>
          <w:p w14:paraId="5BA70CEB"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10,12</w:t>
            </w:r>
          </w:p>
        </w:tc>
      </w:tr>
      <w:tr w:rsidR="00F85178" w:rsidRPr="00F85178" w14:paraId="015EB208" w14:textId="77777777" w:rsidTr="00FC2C7A">
        <w:trPr>
          <w:trHeight w:val="315"/>
        </w:trPr>
        <w:tc>
          <w:tcPr>
            <w:tcW w:w="2480" w:type="dxa"/>
            <w:tcBorders>
              <w:top w:val="nil"/>
              <w:left w:val="nil"/>
              <w:bottom w:val="single" w:sz="4" w:space="0" w:color="auto"/>
              <w:right w:val="nil"/>
            </w:tcBorders>
            <w:shd w:val="clear" w:color="auto" w:fill="auto"/>
            <w:noWrap/>
            <w:vAlign w:val="bottom"/>
            <w:hideMark/>
          </w:tcPr>
          <w:p w14:paraId="60B5CD01"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3986953A"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26,48</w:t>
            </w:r>
          </w:p>
        </w:tc>
        <w:tc>
          <w:tcPr>
            <w:tcW w:w="1355" w:type="dxa"/>
            <w:tcBorders>
              <w:top w:val="nil"/>
              <w:left w:val="nil"/>
              <w:bottom w:val="single" w:sz="4" w:space="0" w:color="auto"/>
              <w:right w:val="nil"/>
            </w:tcBorders>
            <w:shd w:val="clear" w:color="auto" w:fill="auto"/>
            <w:noWrap/>
            <w:vAlign w:val="bottom"/>
            <w:hideMark/>
          </w:tcPr>
          <w:p w14:paraId="7B17A131"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42,51</w:t>
            </w:r>
          </w:p>
        </w:tc>
        <w:tc>
          <w:tcPr>
            <w:tcW w:w="1355" w:type="dxa"/>
            <w:tcBorders>
              <w:top w:val="nil"/>
              <w:left w:val="nil"/>
              <w:bottom w:val="single" w:sz="4" w:space="0" w:color="auto"/>
              <w:right w:val="nil"/>
            </w:tcBorders>
            <w:shd w:val="clear" w:color="auto" w:fill="auto"/>
            <w:noWrap/>
            <w:vAlign w:val="bottom"/>
            <w:hideMark/>
          </w:tcPr>
          <w:p w14:paraId="548FCDCF"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19,51</w:t>
            </w:r>
          </w:p>
        </w:tc>
        <w:tc>
          <w:tcPr>
            <w:tcW w:w="1355" w:type="dxa"/>
            <w:tcBorders>
              <w:top w:val="nil"/>
              <w:left w:val="nil"/>
              <w:bottom w:val="single" w:sz="4" w:space="0" w:color="auto"/>
              <w:right w:val="nil"/>
            </w:tcBorders>
            <w:shd w:val="clear" w:color="auto" w:fill="auto"/>
            <w:noWrap/>
            <w:vAlign w:val="bottom"/>
            <w:hideMark/>
          </w:tcPr>
          <w:p w14:paraId="2BD76587"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11,50</w:t>
            </w:r>
          </w:p>
        </w:tc>
      </w:tr>
      <w:tr w:rsidR="00F85178" w:rsidRPr="00F85178" w14:paraId="3E305E75" w14:textId="77777777" w:rsidTr="00FC2C7A">
        <w:trPr>
          <w:trHeight w:val="330"/>
        </w:trPr>
        <w:tc>
          <w:tcPr>
            <w:tcW w:w="2480" w:type="dxa"/>
            <w:tcBorders>
              <w:top w:val="nil"/>
              <w:left w:val="nil"/>
              <w:bottom w:val="double" w:sz="6" w:space="0" w:color="auto"/>
              <w:right w:val="nil"/>
            </w:tcBorders>
            <w:shd w:val="clear" w:color="auto" w:fill="auto"/>
            <w:noWrap/>
            <w:vAlign w:val="bottom"/>
            <w:hideMark/>
          </w:tcPr>
          <w:p w14:paraId="28E0830C" w14:textId="77777777" w:rsidR="00FC2C7A" w:rsidRPr="00F85178" w:rsidRDefault="00FC2C7A" w:rsidP="00FC2C7A">
            <w:pPr>
              <w:spacing w:line="240" w:lineRule="auto"/>
              <w:jc w:val="left"/>
              <w:rPr>
                <w:rFonts w:eastAsia="Times New Roman"/>
                <w:szCs w:val="24"/>
                <w:lang w:eastAsia="cs-CZ"/>
              </w:rPr>
            </w:pPr>
            <w:r w:rsidRPr="00F85178">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4810284B"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22,98</w:t>
            </w:r>
          </w:p>
        </w:tc>
        <w:tc>
          <w:tcPr>
            <w:tcW w:w="1355" w:type="dxa"/>
            <w:tcBorders>
              <w:top w:val="nil"/>
              <w:left w:val="nil"/>
              <w:bottom w:val="double" w:sz="6" w:space="0" w:color="auto"/>
              <w:right w:val="nil"/>
            </w:tcBorders>
            <w:shd w:val="clear" w:color="auto" w:fill="auto"/>
            <w:noWrap/>
            <w:vAlign w:val="bottom"/>
            <w:hideMark/>
          </w:tcPr>
          <w:p w14:paraId="2EE6AEC9"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44,72</w:t>
            </w:r>
          </w:p>
        </w:tc>
        <w:tc>
          <w:tcPr>
            <w:tcW w:w="1355" w:type="dxa"/>
            <w:tcBorders>
              <w:top w:val="nil"/>
              <w:left w:val="nil"/>
              <w:bottom w:val="double" w:sz="6" w:space="0" w:color="auto"/>
              <w:right w:val="nil"/>
            </w:tcBorders>
            <w:shd w:val="clear" w:color="auto" w:fill="auto"/>
            <w:noWrap/>
            <w:vAlign w:val="bottom"/>
            <w:hideMark/>
          </w:tcPr>
          <w:p w14:paraId="62CC159B"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22,98</w:t>
            </w:r>
          </w:p>
        </w:tc>
        <w:tc>
          <w:tcPr>
            <w:tcW w:w="1355" w:type="dxa"/>
            <w:tcBorders>
              <w:top w:val="nil"/>
              <w:left w:val="nil"/>
              <w:bottom w:val="double" w:sz="6" w:space="0" w:color="auto"/>
              <w:right w:val="nil"/>
            </w:tcBorders>
            <w:shd w:val="clear" w:color="auto" w:fill="auto"/>
            <w:noWrap/>
            <w:vAlign w:val="bottom"/>
            <w:hideMark/>
          </w:tcPr>
          <w:p w14:paraId="4A65CB2D" w14:textId="77777777" w:rsidR="00FC2C7A" w:rsidRPr="00F85178" w:rsidRDefault="00FC2C7A" w:rsidP="00FC2C7A">
            <w:pPr>
              <w:spacing w:line="240" w:lineRule="auto"/>
              <w:jc w:val="center"/>
              <w:rPr>
                <w:rFonts w:eastAsia="Times New Roman"/>
                <w:szCs w:val="24"/>
                <w:lang w:eastAsia="cs-CZ"/>
              </w:rPr>
            </w:pPr>
            <w:r w:rsidRPr="00F85178">
              <w:rPr>
                <w:rFonts w:eastAsia="Times New Roman"/>
                <w:szCs w:val="24"/>
                <w:lang w:eastAsia="cs-CZ"/>
              </w:rPr>
              <w:t>9,32</w:t>
            </w:r>
          </w:p>
        </w:tc>
      </w:tr>
      <w:tr w:rsidR="00F85178" w:rsidRPr="00F85178" w14:paraId="342F5AEB" w14:textId="77777777" w:rsidTr="00FC2C7A">
        <w:trPr>
          <w:trHeight w:val="345"/>
        </w:trPr>
        <w:tc>
          <w:tcPr>
            <w:tcW w:w="2480" w:type="dxa"/>
            <w:tcBorders>
              <w:top w:val="nil"/>
              <w:left w:val="nil"/>
              <w:bottom w:val="double" w:sz="6" w:space="0" w:color="auto"/>
              <w:right w:val="nil"/>
            </w:tcBorders>
            <w:shd w:val="clear" w:color="auto" w:fill="auto"/>
            <w:noWrap/>
            <w:vAlign w:val="bottom"/>
            <w:hideMark/>
          </w:tcPr>
          <w:p w14:paraId="60A47190" w14:textId="77777777" w:rsidR="00FC2C7A" w:rsidRPr="00F85178" w:rsidRDefault="00FC2C7A" w:rsidP="00FC2C7A">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1FA590F5"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25,79</w:t>
            </w:r>
          </w:p>
        </w:tc>
        <w:tc>
          <w:tcPr>
            <w:tcW w:w="1355" w:type="dxa"/>
            <w:tcBorders>
              <w:top w:val="nil"/>
              <w:left w:val="nil"/>
              <w:bottom w:val="double" w:sz="6" w:space="0" w:color="auto"/>
              <w:right w:val="nil"/>
            </w:tcBorders>
            <w:shd w:val="clear" w:color="auto" w:fill="auto"/>
            <w:noWrap/>
            <w:vAlign w:val="bottom"/>
            <w:hideMark/>
          </w:tcPr>
          <w:p w14:paraId="2DB6D335"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42,00</w:t>
            </w:r>
          </w:p>
        </w:tc>
        <w:tc>
          <w:tcPr>
            <w:tcW w:w="1355" w:type="dxa"/>
            <w:tcBorders>
              <w:top w:val="nil"/>
              <w:left w:val="nil"/>
              <w:bottom w:val="double" w:sz="6" w:space="0" w:color="auto"/>
              <w:right w:val="nil"/>
            </w:tcBorders>
            <w:shd w:val="clear" w:color="auto" w:fill="auto"/>
            <w:noWrap/>
            <w:vAlign w:val="bottom"/>
            <w:hideMark/>
          </w:tcPr>
          <w:p w14:paraId="59D167AD"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21,08</w:t>
            </w:r>
          </w:p>
        </w:tc>
        <w:tc>
          <w:tcPr>
            <w:tcW w:w="1355" w:type="dxa"/>
            <w:tcBorders>
              <w:top w:val="nil"/>
              <w:left w:val="nil"/>
              <w:bottom w:val="double" w:sz="6" w:space="0" w:color="auto"/>
              <w:right w:val="nil"/>
            </w:tcBorders>
            <w:shd w:val="clear" w:color="auto" w:fill="auto"/>
            <w:noWrap/>
            <w:vAlign w:val="bottom"/>
            <w:hideMark/>
          </w:tcPr>
          <w:p w14:paraId="5183465E" w14:textId="77777777" w:rsidR="00FC2C7A" w:rsidRPr="00F85178" w:rsidRDefault="00FC2C7A" w:rsidP="00FC2C7A">
            <w:pPr>
              <w:spacing w:line="240" w:lineRule="auto"/>
              <w:jc w:val="center"/>
              <w:rPr>
                <w:rFonts w:eastAsia="Times New Roman"/>
                <w:b/>
                <w:bCs/>
                <w:szCs w:val="24"/>
                <w:lang w:eastAsia="cs-CZ"/>
              </w:rPr>
            </w:pPr>
            <w:r w:rsidRPr="00F85178">
              <w:rPr>
                <w:rFonts w:eastAsia="Times New Roman"/>
                <w:b/>
                <w:bCs/>
                <w:szCs w:val="24"/>
                <w:lang w:eastAsia="cs-CZ"/>
              </w:rPr>
              <w:t>11,12</w:t>
            </w:r>
          </w:p>
        </w:tc>
      </w:tr>
      <w:tr w:rsidR="00FC2C7A" w:rsidRPr="00F85178" w14:paraId="7AEEFF9E" w14:textId="77777777" w:rsidTr="00FC2C7A">
        <w:trPr>
          <w:trHeight w:val="330"/>
        </w:trPr>
        <w:tc>
          <w:tcPr>
            <w:tcW w:w="2480" w:type="dxa"/>
            <w:tcBorders>
              <w:top w:val="nil"/>
              <w:left w:val="nil"/>
              <w:bottom w:val="nil"/>
              <w:right w:val="nil"/>
            </w:tcBorders>
            <w:shd w:val="clear" w:color="auto" w:fill="auto"/>
            <w:noWrap/>
            <w:vAlign w:val="bottom"/>
            <w:hideMark/>
          </w:tcPr>
          <w:p w14:paraId="17BFA9E3" w14:textId="77777777" w:rsidR="00FC2C7A" w:rsidRPr="00F85178" w:rsidRDefault="00FC2C7A" w:rsidP="00FC2C7A">
            <w:pPr>
              <w:spacing w:line="240" w:lineRule="auto"/>
              <w:jc w:val="center"/>
              <w:rPr>
                <w:rFonts w:eastAsia="Times New Roman"/>
                <w:b/>
                <w:bCs/>
                <w:szCs w:val="24"/>
                <w:lang w:eastAsia="cs-CZ"/>
              </w:rPr>
            </w:pPr>
          </w:p>
        </w:tc>
        <w:tc>
          <w:tcPr>
            <w:tcW w:w="1376" w:type="dxa"/>
            <w:tcBorders>
              <w:top w:val="nil"/>
              <w:left w:val="nil"/>
              <w:bottom w:val="nil"/>
              <w:right w:val="nil"/>
            </w:tcBorders>
            <w:shd w:val="clear" w:color="auto" w:fill="auto"/>
            <w:noWrap/>
            <w:vAlign w:val="bottom"/>
            <w:hideMark/>
          </w:tcPr>
          <w:p w14:paraId="2EE52C01" w14:textId="77777777" w:rsidR="00FC2C7A" w:rsidRPr="00F85178" w:rsidRDefault="00FC2C7A" w:rsidP="00FC2C7A">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28D5E13B" w14:textId="77777777" w:rsidR="00FC2C7A" w:rsidRPr="00F85178" w:rsidRDefault="00FC2C7A" w:rsidP="00FC2C7A">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302E571F" w14:textId="77777777" w:rsidR="00FC2C7A" w:rsidRPr="00F85178" w:rsidRDefault="00FC2C7A" w:rsidP="00FC2C7A">
            <w:pPr>
              <w:spacing w:line="240" w:lineRule="auto"/>
              <w:jc w:val="left"/>
              <w:rPr>
                <w:rFonts w:ascii="Times New Roman" w:eastAsia="Times New Roman" w:hAnsi="Times New Roman"/>
                <w:sz w:val="20"/>
                <w:szCs w:val="20"/>
                <w:lang w:eastAsia="cs-CZ"/>
              </w:rPr>
            </w:pPr>
          </w:p>
        </w:tc>
        <w:tc>
          <w:tcPr>
            <w:tcW w:w="1355" w:type="dxa"/>
            <w:tcBorders>
              <w:top w:val="nil"/>
              <w:left w:val="nil"/>
              <w:bottom w:val="nil"/>
              <w:right w:val="nil"/>
            </w:tcBorders>
            <w:shd w:val="clear" w:color="auto" w:fill="auto"/>
            <w:noWrap/>
            <w:vAlign w:val="bottom"/>
            <w:hideMark/>
          </w:tcPr>
          <w:p w14:paraId="7CD10D0F" w14:textId="77777777" w:rsidR="00FC2C7A" w:rsidRPr="00F85178" w:rsidRDefault="00FC2C7A" w:rsidP="00FC2C7A">
            <w:pPr>
              <w:spacing w:line="240" w:lineRule="auto"/>
              <w:jc w:val="left"/>
              <w:rPr>
                <w:rFonts w:ascii="Times New Roman" w:eastAsia="Times New Roman" w:hAnsi="Times New Roman"/>
                <w:sz w:val="20"/>
                <w:szCs w:val="20"/>
                <w:lang w:eastAsia="cs-CZ"/>
              </w:rPr>
            </w:pPr>
          </w:p>
        </w:tc>
      </w:tr>
    </w:tbl>
    <w:p w14:paraId="3DD14450" w14:textId="77777777" w:rsidR="006770B5" w:rsidRPr="000B7D8A" w:rsidRDefault="006770B5" w:rsidP="00061542">
      <w:pPr>
        <w:spacing w:line="240" w:lineRule="auto"/>
        <w:jc w:val="left"/>
      </w:pPr>
    </w:p>
    <w:p w14:paraId="20368AE7" w14:textId="77777777" w:rsidR="006770B5" w:rsidRPr="000B7D8A" w:rsidRDefault="006770B5">
      <w:pPr>
        <w:spacing w:line="240" w:lineRule="auto"/>
        <w:jc w:val="left"/>
      </w:pPr>
    </w:p>
    <w:p w14:paraId="677B9196" w14:textId="77777777" w:rsidR="00FC2C7A" w:rsidRPr="00F85178" w:rsidRDefault="00F52209" w:rsidP="006770B5">
      <w:pPr>
        <w:pStyle w:val="Nadpis3"/>
        <w:rPr>
          <w:color w:val="auto"/>
        </w:rPr>
      </w:pPr>
      <w:bookmarkStart w:id="49" w:name="_Ref3374388"/>
      <w:bookmarkStart w:id="50" w:name="_Ref10813793"/>
      <w:bookmarkStart w:id="51" w:name="_Toc14076870"/>
      <w:r w:rsidRPr="00F85178">
        <w:rPr>
          <w:color w:val="auto"/>
        </w:rPr>
        <w:t>Zaměstnanci ve výkonu</w:t>
      </w:r>
      <w:bookmarkEnd w:id="49"/>
      <w:r w:rsidR="007B6EF7" w:rsidRPr="00F85178">
        <w:rPr>
          <w:color w:val="auto"/>
        </w:rPr>
        <w:t xml:space="preserve"> a ve správě</w:t>
      </w:r>
      <w:bookmarkEnd w:id="50"/>
      <w:bookmarkEnd w:id="51"/>
    </w:p>
    <w:p w14:paraId="0A8D2740" w14:textId="77777777" w:rsidR="00C766D7" w:rsidRPr="00F85178" w:rsidRDefault="00F52209" w:rsidP="00F52209">
      <w:pPr>
        <w:pStyle w:val="OdstavecASR"/>
      </w:pPr>
      <w:r w:rsidRPr="00F85178">
        <w:t>Vzhledem k většímu počtu kategorií zaměstnanců ve výkonu uvádíme, pro zachování přehlednosti, v tabulce níže pouze jejich počty k 1. 1. 2018, a to po krajích a pouze pro vybrané kategorie.</w:t>
      </w:r>
    </w:p>
    <w:p w14:paraId="64276A1C" w14:textId="77777777" w:rsidR="00C766D7" w:rsidRPr="00F85178" w:rsidRDefault="00C766D7" w:rsidP="00C766D7">
      <w:pPr>
        <w:pStyle w:val="Podtitul"/>
        <w:rPr>
          <w:color w:val="auto"/>
        </w:rPr>
      </w:pPr>
      <w:bookmarkStart w:id="52" w:name="_Toc515871439"/>
      <w:bookmarkStart w:id="53" w:name="_Toc11133207"/>
      <w:bookmarkStart w:id="54" w:name="_Toc1383742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w:t>
      </w:r>
      <w:r w:rsidRPr="00F85178">
        <w:rPr>
          <w:noProof/>
          <w:color w:val="auto"/>
        </w:rPr>
        <w:fldChar w:fldCharType="end"/>
      </w:r>
      <w:r w:rsidRPr="00F85178">
        <w:rPr>
          <w:color w:val="auto"/>
        </w:rPr>
        <w:t>: OS – evidenční počet zaměstnanců ve výkonu dle krajů</w:t>
      </w:r>
      <w:bookmarkEnd w:id="52"/>
      <w:bookmarkEnd w:id="53"/>
      <w:bookmarkEnd w:id="54"/>
    </w:p>
    <w:tbl>
      <w:tblPr>
        <w:tblW w:w="8720" w:type="dxa"/>
        <w:tblInd w:w="70" w:type="dxa"/>
        <w:tblCellMar>
          <w:left w:w="70" w:type="dxa"/>
          <w:right w:w="70" w:type="dxa"/>
        </w:tblCellMar>
        <w:tblLook w:val="04A0" w:firstRow="1" w:lastRow="0" w:firstColumn="1" w:lastColumn="0" w:noHBand="0" w:noVBand="1"/>
      </w:tblPr>
      <w:tblGrid>
        <w:gridCol w:w="2080"/>
        <w:gridCol w:w="842"/>
        <w:gridCol w:w="597"/>
        <w:gridCol w:w="626"/>
        <w:gridCol w:w="626"/>
        <w:gridCol w:w="626"/>
        <w:gridCol w:w="787"/>
        <w:gridCol w:w="626"/>
        <w:gridCol w:w="532"/>
        <w:gridCol w:w="1378"/>
      </w:tblGrid>
      <w:tr w:rsidR="00F85178" w:rsidRPr="00F85178" w14:paraId="600548CD" w14:textId="77777777" w:rsidTr="00277937">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571EA649"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6640" w:type="dxa"/>
            <w:gridSpan w:val="9"/>
            <w:tcBorders>
              <w:top w:val="double" w:sz="6" w:space="0" w:color="auto"/>
              <w:left w:val="nil"/>
              <w:bottom w:val="nil"/>
              <w:right w:val="nil"/>
            </w:tcBorders>
            <w:shd w:val="clear" w:color="auto" w:fill="auto"/>
            <w:noWrap/>
            <w:vAlign w:val="bottom"/>
            <w:hideMark/>
          </w:tcPr>
          <w:p w14:paraId="4DDE30DC"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Počet osob</w:t>
            </w:r>
          </w:p>
        </w:tc>
      </w:tr>
      <w:tr w:rsidR="00F85178" w:rsidRPr="00F85178" w14:paraId="2278796D" w14:textId="77777777" w:rsidTr="00277937">
        <w:trPr>
          <w:trHeight w:val="330"/>
        </w:trPr>
        <w:tc>
          <w:tcPr>
            <w:tcW w:w="2080" w:type="dxa"/>
            <w:vMerge/>
            <w:tcBorders>
              <w:top w:val="double" w:sz="6" w:space="0" w:color="auto"/>
              <w:left w:val="nil"/>
              <w:bottom w:val="double" w:sz="6" w:space="0" w:color="000000"/>
              <w:right w:val="nil"/>
            </w:tcBorders>
            <w:vAlign w:val="center"/>
            <w:hideMark/>
          </w:tcPr>
          <w:p w14:paraId="45C6DB5B" w14:textId="77777777" w:rsidR="00C766D7" w:rsidRPr="00F85178" w:rsidRDefault="00C766D7" w:rsidP="00277937">
            <w:pPr>
              <w:spacing w:line="240" w:lineRule="auto"/>
              <w:jc w:val="left"/>
              <w:rPr>
                <w:rFonts w:eastAsia="Times New Roman"/>
                <w:b/>
                <w:bCs/>
                <w:szCs w:val="24"/>
                <w:lang w:eastAsia="cs-CZ"/>
              </w:rPr>
            </w:pPr>
          </w:p>
        </w:tc>
        <w:tc>
          <w:tcPr>
            <w:tcW w:w="842" w:type="dxa"/>
            <w:tcBorders>
              <w:top w:val="nil"/>
              <w:left w:val="nil"/>
              <w:bottom w:val="double" w:sz="6" w:space="0" w:color="auto"/>
              <w:right w:val="nil"/>
            </w:tcBorders>
            <w:shd w:val="clear" w:color="auto" w:fill="auto"/>
            <w:noWrap/>
            <w:vAlign w:val="bottom"/>
            <w:hideMark/>
          </w:tcPr>
          <w:p w14:paraId="78DA07B3"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VSÚ</w:t>
            </w:r>
          </w:p>
        </w:tc>
        <w:tc>
          <w:tcPr>
            <w:tcW w:w="597" w:type="dxa"/>
            <w:tcBorders>
              <w:top w:val="nil"/>
              <w:left w:val="nil"/>
              <w:bottom w:val="double" w:sz="6" w:space="0" w:color="auto"/>
              <w:right w:val="nil"/>
            </w:tcBorders>
            <w:shd w:val="clear" w:color="auto" w:fill="auto"/>
            <w:noWrap/>
            <w:vAlign w:val="bottom"/>
            <w:hideMark/>
          </w:tcPr>
          <w:p w14:paraId="5F664F78"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ST</w:t>
            </w:r>
          </w:p>
        </w:tc>
        <w:tc>
          <w:tcPr>
            <w:tcW w:w="626" w:type="dxa"/>
            <w:tcBorders>
              <w:top w:val="nil"/>
              <w:left w:val="nil"/>
              <w:bottom w:val="double" w:sz="6" w:space="0" w:color="auto"/>
              <w:right w:val="nil"/>
            </w:tcBorders>
            <w:shd w:val="clear" w:color="auto" w:fill="auto"/>
            <w:noWrap/>
            <w:vAlign w:val="bottom"/>
            <w:hideMark/>
          </w:tcPr>
          <w:p w14:paraId="730388BB"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A</w:t>
            </w:r>
          </w:p>
        </w:tc>
        <w:tc>
          <w:tcPr>
            <w:tcW w:w="626" w:type="dxa"/>
            <w:tcBorders>
              <w:top w:val="nil"/>
              <w:left w:val="nil"/>
              <w:bottom w:val="double" w:sz="6" w:space="0" w:color="auto"/>
              <w:right w:val="nil"/>
            </w:tcBorders>
            <w:shd w:val="clear" w:color="auto" w:fill="auto"/>
            <w:noWrap/>
            <w:vAlign w:val="bottom"/>
            <w:hideMark/>
          </w:tcPr>
          <w:p w14:paraId="69A15B7A"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VK</w:t>
            </w:r>
          </w:p>
        </w:tc>
        <w:tc>
          <w:tcPr>
            <w:tcW w:w="626" w:type="dxa"/>
            <w:tcBorders>
              <w:top w:val="nil"/>
              <w:left w:val="nil"/>
              <w:bottom w:val="double" w:sz="6" w:space="0" w:color="auto"/>
              <w:right w:val="nil"/>
            </w:tcBorders>
            <w:shd w:val="clear" w:color="auto" w:fill="auto"/>
            <w:noWrap/>
            <w:vAlign w:val="bottom"/>
            <w:hideMark/>
          </w:tcPr>
          <w:p w14:paraId="6E3F46BC"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PÚ</w:t>
            </w:r>
          </w:p>
        </w:tc>
        <w:tc>
          <w:tcPr>
            <w:tcW w:w="787" w:type="dxa"/>
            <w:tcBorders>
              <w:top w:val="nil"/>
              <w:left w:val="nil"/>
              <w:bottom w:val="double" w:sz="6" w:space="0" w:color="auto"/>
              <w:right w:val="nil"/>
            </w:tcBorders>
            <w:shd w:val="clear" w:color="auto" w:fill="auto"/>
            <w:noWrap/>
            <w:vAlign w:val="bottom"/>
            <w:hideMark/>
          </w:tcPr>
          <w:p w14:paraId="0C899E53"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Z</w:t>
            </w:r>
          </w:p>
        </w:tc>
        <w:tc>
          <w:tcPr>
            <w:tcW w:w="626" w:type="dxa"/>
            <w:tcBorders>
              <w:top w:val="nil"/>
              <w:left w:val="nil"/>
              <w:bottom w:val="double" w:sz="6" w:space="0" w:color="auto"/>
              <w:right w:val="nil"/>
            </w:tcBorders>
            <w:shd w:val="clear" w:color="auto" w:fill="auto"/>
            <w:noWrap/>
            <w:vAlign w:val="bottom"/>
            <w:hideMark/>
          </w:tcPr>
          <w:p w14:paraId="168B8BBB"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RV</w:t>
            </w:r>
          </w:p>
        </w:tc>
        <w:tc>
          <w:tcPr>
            <w:tcW w:w="532" w:type="dxa"/>
            <w:tcBorders>
              <w:top w:val="nil"/>
              <w:left w:val="nil"/>
              <w:bottom w:val="double" w:sz="6" w:space="0" w:color="auto"/>
              <w:right w:val="nil"/>
            </w:tcBorders>
            <w:shd w:val="clear" w:color="auto" w:fill="auto"/>
            <w:noWrap/>
            <w:vAlign w:val="bottom"/>
            <w:hideMark/>
          </w:tcPr>
          <w:p w14:paraId="027C338B"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SV</w:t>
            </w:r>
          </w:p>
        </w:tc>
        <w:tc>
          <w:tcPr>
            <w:tcW w:w="1378" w:type="dxa"/>
            <w:tcBorders>
              <w:top w:val="nil"/>
              <w:left w:val="nil"/>
              <w:bottom w:val="double" w:sz="6" w:space="0" w:color="auto"/>
              <w:right w:val="nil"/>
            </w:tcBorders>
            <w:shd w:val="clear" w:color="auto" w:fill="auto"/>
            <w:noWrap/>
            <w:vAlign w:val="bottom"/>
            <w:hideMark/>
          </w:tcPr>
          <w:p w14:paraId="71D20E38" w14:textId="77777777" w:rsidR="00C766D7" w:rsidRPr="00F85178" w:rsidRDefault="00C766D7" w:rsidP="00277937">
            <w:pPr>
              <w:spacing w:line="240" w:lineRule="auto"/>
              <w:jc w:val="center"/>
              <w:rPr>
                <w:rFonts w:eastAsia="Times New Roman"/>
                <w:b/>
                <w:bCs/>
                <w:szCs w:val="24"/>
                <w:lang w:eastAsia="cs-CZ"/>
              </w:rPr>
            </w:pPr>
            <w:r w:rsidRPr="00F85178">
              <w:rPr>
                <w:rFonts w:eastAsia="Times New Roman"/>
                <w:b/>
                <w:bCs/>
                <w:szCs w:val="24"/>
                <w:lang w:eastAsia="cs-CZ"/>
              </w:rPr>
              <w:t>Celkem</w:t>
            </w:r>
          </w:p>
        </w:tc>
      </w:tr>
      <w:tr w:rsidR="00F85178" w:rsidRPr="00F85178" w14:paraId="1E441F30" w14:textId="77777777" w:rsidTr="00277937">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02D7178E"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MS Praha</w:t>
            </w:r>
          </w:p>
        </w:tc>
        <w:tc>
          <w:tcPr>
            <w:tcW w:w="842" w:type="dxa"/>
            <w:tcBorders>
              <w:top w:val="single" w:sz="4" w:space="0" w:color="auto"/>
              <w:left w:val="nil"/>
              <w:bottom w:val="single" w:sz="4" w:space="0" w:color="auto"/>
              <w:right w:val="nil"/>
            </w:tcBorders>
            <w:shd w:val="clear" w:color="auto" w:fill="auto"/>
            <w:noWrap/>
            <w:vAlign w:val="bottom"/>
            <w:hideMark/>
          </w:tcPr>
          <w:p w14:paraId="10AF449B"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115</w:t>
            </w:r>
          </w:p>
        </w:tc>
        <w:tc>
          <w:tcPr>
            <w:tcW w:w="597" w:type="dxa"/>
            <w:tcBorders>
              <w:top w:val="single" w:sz="4" w:space="0" w:color="auto"/>
              <w:left w:val="nil"/>
              <w:bottom w:val="single" w:sz="4" w:space="0" w:color="auto"/>
              <w:right w:val="nil"/>
            </w:tcBorders>
            <w:shd w:val="clear" w:color="auto" w:fill="auto"/>
            <w:noWrap/>
            <w:vAlign w:val="bottom"/>
            <w:hideMark/>
          </w:tcPr>
          <w:p w14:paraId="2EE7B39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23</w:t>
            </w:r>
          </w:p>
        </w:tc>
        <w:tc>
          <w:tcPr>
            <w:tcW w:w="626" w:type="dxa"/>
            <w:tcBorders>
              <w:top w:val="single" w:sz="4" w:space="0" w:color="auto"/>
              <w:left w:val="nil"/>
              <w:bottom w:val="single" w:sz="4" w:space="0" w:color="auto"/>
              <w:right w:val="nil"/>
            </w:tcBorders>
            <w:shd w:val="clear" w:color="auto" w:fill="auto"/>
            <w:noWrap/>
            <w:vAlign w:val="bottom"/>
            <w:hideMark/>
          </w:tcPr>
          <w:p w14:paraId="09E2A5EB"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143</w:t>
            </w:r>
          </w:p>
        </w:tc>
        <w:tc>
          <w:tcPr>
            <w:tcW w:w="626" w:type="dxa"/>
            <w:tcBorders>
              <w:top w:val="single" w:sz="4" w:space="0" w:color="auto"/>
              <w:left w:val="nil"/>
              <w:bottom w:val="single" w:sz="4" w:space="0" w:color="auto"/>
              <w:right w:val="nil"/>
            </w:tcBorders>
            <w:shd w:val="clear" w:color="auto" w:fill="auto"/>
            <w:noWrap/>
            <w:vAlign w:val="bottom"/>
            <w:hideMark/>
          </w:tcPr>
          <w:p w14:paraId="5703E2F7"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194</w:t>
            </w:r>
          </w:p>
        </w:tc>
        <w:tc>
          <w:tcPr>
            <w:tcW w:w="626" w:type="dxa"/>
            <w:tcBorders>
              <w:top w:val="single" w:sz="4" w:space="0" w:color="auto"/>
              <w:left w:val="nil"/>
              <w:bottom w:val="single" w:sz="4" w:space="0" w:color="auto"/>
              <w:right w:val="nil"/>
            </w:tcBorders>
            <w:shd w:val="clear" w:color="auto" w:fill="auto"/>
            <w:noWrap/>
            <w:vAlign w:val="bottom"/>
            <w:hideMark/>
          </w:tcPr>
          <w:p w14:paraId="4B26F938"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49</w:t>
            </w:r>
          </w:p>
        </w:tc>
        <w:tc>
          <w:tcPr>
            <w:tcW w:w="787" w:type="dxa"/>
            <w:tcBorders>
              <w:top w:val="single" w:sz="4" w:space="0" w:color="auto"/>
              <w:left w:val="nil"/>
              <w:bottom w:val="single" w:sz="4" w:space="0" w:color="auto"/>
              <w:right w:val="nil"/>
            </w:tcBorders>
            <w:shd w:val="clear" w:color="auto" w:fill="auto"/>
            <w:noWrap/>
            <w:vAlign w:val="bottom"/>
            <w:hideMark/>
          </w:tcPr>
          <w:p w14:paraId="3133AADE"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110</w:t>
            </w:r>
          </w:p>
        </w:tc>
        <w:tc>
          <w:tcPr>
            <w:tcW w:w="626" w:type="dxa"/>
            <w:tcBorders>
              <w:top w:val="single" w:sz="4" w:space="0" w:color="auto"/>
              <w:left w:val="nil"/>
              <w:bottom w:val="single" w:sz="4" w:space="0" w:color="auto"/>
              <w:right w:val="nil"/>
            </w:tcBorders>
            <w:shd w:val="clear" w:color="auto" w:fill="auto"/>
            <w:noWrap/>
            <w:vAlign w:val="bottom"/>
            <w:hideMark/>
          </w:tcPr>
          <w:p w14:paraId="262ED21A"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63</w:t>
            </w:r>
          </w:p>
        </w:tc>
        <w:tc>
          <w:tcPr>
            <w:tcW w:w="532" w:type="dxa"/>
            <w:tcBorders>
              <w:top w:val="single" w:sz="4" w:space="0" w:color="auto"/>
              <w:left w:val="nil"/>
              <w:bottom w:val="single" w:sz="4" w:space="0" w:color="auto"/>
              <w:right w:val="nil"/>
            </w:tcBorders>
            <w:shd w:val="clear" w:color="auto" w:fill="auto"/>
            <w:noWrap/>
            <w:vAlign w:val="bottom"/>
            <w:hideMark/>
          </w:tcPr>
          <w:p w14:paraId="6D3F05E9"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15</w:t>
            </w:r>
          </w:p>
        </w:tc>
        <w:tc>
          <w:tcPr>
            <w:tcW w:w="1378" w:type="dxa"/>
            <w:tcBorders>
              <w:top w:val="single" w:sz="4" w:space="0" w:color="auto"/>
              <w:left w:val="nil"/>
              <w:bottom w:val="single" w:sz="4" w:space="0" w:color="auto"/>
              <w:right w:val="nil"/>
            </w:tcBorders>
            <w:shd w:val="clear" w:color="auto" w:fill="auto"/>
            <w:noWrap/>
            <w:vAlign w:val="bottom"/>
            <w:hideMark/>
          </w:tcPr>
          <w:p w14:paraId="25D2AD03" w14:textId="546F7A50"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71</w:t>
            </w:r>
            <w:r>
              <w:rPr>
                <w:rFonts w:eastAsia="Times New Roman"/>
                <w:b/>
                <w:bCs/>
                <w:szCs w:val="24"/>
                <w:lang w:eastAsia="cs-CZ"/>
              </w:rPr>
              <w:t>2</w:t>
            </w:r>
          </w:p>
        </w:tc>
      </w:tr>
      <w:tr w:rsidR="00F85178" w:rsidRPr="00F85178" w14:paraId="6B1E6F4B"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366D38C6"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Praha</w:t>
            </w:r>
          </w:p>
        </w:tc>
        <w:tc>
          <w:tcPr>
            <w:tcW w:w="842" w:type="dxa"/>
            <w:tcBorders>
              <w:top w:val="nil"/>
              <w:left w:val="nil"/>
              <w:bottom w:val="single" w:sz="4" w:space="0" w:color="auto"/>
              <w:right w:val="nil"/>
            </w:tcBorders>
            <w:shd w:val="clear" w:color="auto" w:fill="auto"/>
            <w:noWrap/>
            <w:vAlign w:val="bottom"/>
            <w:hideMark/>
          </w:tcPr>
          <w:p w14:paraId="1727D096"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120</w:t>
            </w:r>
          </w:p>
        </w:tc>
        <w:tc>
          <w:tcPr>
            <w:tcW w:w="597" w:type="dxa"/>
            <w:tcBorders>
              <w:top w:val="nil"/>
              <w:left w:val="nil"/>
              <w:bottom w:val="single" w:sz="4" w:space="0" w:color="auto"/>
              <w:right w:val="nil"/>
            </w:tcBorders>
            <w:shd w:val="clear" w:color="auto" w:fill="auto"/>
            <w:noWrap/>
            <w:vAlign w:val="bottom"/>
            <w:hideMark/>
          </w:tcPr>
          <w:p w14:paraId="6D79B6F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14</w:t>
            </w:r>
          </w:p>
        </w:tc>
        <w:tc>
          <w:tcPr>
            <w:tcW w:w="626" w:type="dxa"/>
            <w:tcBorders>
              <w:top w:val="nil"/>
              <w:left w:val="nil"/>
              <w:bottom w:val="single" w:sz="4" w:space="0" w:color="auto"/>
              <w:right w:val="nil"/>
            </w:tcBorders>
            <w:shd w:val="clear" w:color="auto" w:fill="auto"/>
            <w:noWrap/>
            <w:vAlign w:val="bottom"/>
            <w:hideMark/>
          </w:tcPr>
          <w:p w14:paraId="716E50CA"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46</w:t>
            </w:r>
          </w:p>
        </w:tc>
        <w:tc>
          <w:tcPr>
            <w:tcW w:w="626" w:type="dxa"/>
            <w:tcBorders>
              <w:top w:val="nil"/>
              <w:left w:val="nil"/>
              <w:bottom w:val="single" w:sz="4" w:space="0" w:color="auto"/>
              <w:right w:val="nil"/>
            </w:tcBorders>
            <w:shd w:val="clear" w:color="auto" w:fill="auto"/>
            <w:noWrap/>
            <w:vAlign w:val="bottom"/>
            <w:hideMark/>
          </w:tcPr>
          <w:p w14:paraId="301E54D6"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88</w:t>
            </w:r>
          </w:p>
        </w:tc>
        <w:tc>
          <w:tcPr>
            <w:tcW w:w="626" w:type="dxa"/>
            <w:tcBorders>
              <w:top w:val="nil"/>
              <w:left w:val="nil"/>
              <w:bottom w:val="single" w:sz="4" w:space="0" w:color="auto"/>
              <w:right w:val="nil"/>
            </w:tcBorders>
            <w:shd w:val="clear" w:color="auto" w:fill="auto"/>
            <w:noWrap/>
            <w:vAlign w:val="bottom"/>
            <w:hideMark/>
          </w:tcPr>
          <w:p w14:paraId="16A96E89"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49</w:t>
            </w:r>
          </w:p>
        </w:tc>
        <w:tc>
          <w:tcPr>
            <w:tcW w:w="787" w:type="dxa"/>
            <w:tcBorders>
              <w:top w:val="nil"/>
              <w:left w:val="nil"/>
              <w:bottom w:val="single" w:sz="4" w:space="0" w:color="auto"/>
              <w:right w:val="nil"/>
            </w:tcBorders>
            <w:shd w:val="clear" w:color="auto" w:fill="auto"/>
            <w:noWrap/>
            <w:vAlign w:val="bottom"/>
            <w:hideMark/>
          </w:tcPr>
          <w:p w14:paraId="7D023A9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101</w:t>
            </w:r>
          </w:p>
        </w:tc>
        <w:tc>
          <w:tcPr>
            <w:tcW w:w="626" w:type="dxa"/>
            <w:tcBorders>
              <w:top w:val="nil"/>
              <w:left w:val="nil"/>
              <w:bottom w:val="single" w:sz="4" w:space="0" w:color="auto"/>
              <w:right w:val="nil"/>
            </w:tcBorders>
            <w:shd w:val="clear" w:color="auto" w:fill="auto"/>
            <w:noWrap/>
            <w:vAlign w:val="bottom"/>
            <w:hideMark/>
          </w:tcPr>
          <w:p w14:paraId="598F5F64"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18</w:t>
            </w:r>
          </w:p>
        </w:tc>
        <w:tc>
          <w:tcPr>
            <w:tcW w:w="532" w:type="dxa"/>
            <w:tcBorders>
              <w:top w:val="nil"/>
              <w:left w:val="nil"/>
              <w:bottom w:val="single" w:sz="4" w:space="0" w:color="auto"/>
              <w:right w:val="nil"/>
            </w:tcBorders>
            <w:shd w:val="clear" w:color="auto" w:fill="auto"/>
            <w:noWrap/>
            <w:vAlign w:val="bottom"/>
            <w:hideMark/>
          </w:tcPr>
          <w:p w14:paraId="6C4B6EBE"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9</w:t>
            </w:r>
          </w:p>
        </w:tc>
        <w:tc>
          <w:tcPr>
            <w:tcW w:w="1378" w:type="dxa"/>
            <w:tcBorders>
              <w:top w:val="nil"/>
              <w:left w:val="nil"/>
              <w:bottom w:val="single" w:sz="4" w:space="0" w:color="auto"/>
              <w:right w:val="nil"/>
            </w:tcBorders>
            <w:shd w:val="clear" w:color="auto" w:fill="auto"/>
            <w:noWrap/>
            <w:vAlign w:val="bottom"/>
            <w:hideMark/>
          </w:tcPr>
          <w:p w14:paraId="24E4730D" w14:textId="53B44347"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44</w:t>
            </w:r>
            <w:r>
              <w:rPr>
                <w:rFonts w:eastAsia="Times New Roman"/>
                <w:b/>
                <w:bCs/>
                <w:szCs w:val="24"/>
                <w:lang w:eastAsia="cs-CZ"/>
              </w:rPr>
              <w:t>5</w:t>
            </w:r>
          </w:p>
        </w:tc>
      </w:tr>
      <w:tr w:rsidR="00F85178" w:rsidRPr="00F85178" w14:paraId="65CCE6D5"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09A08B95"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Č. Budějovice</w:t>
            </w:r>
          </w:p>
        </w:tc>
        <w:tc>
          <w:tcPr>
            <w:tcW w:w="842" w:type="dxa"/>
            <w:tcBorders>
              <w:top w:val="nil"/>
              <w:left w:val="nil"/>
              <w:bottom w:val="single" w:sz="4" w:space="0" w:color="auto"/>
              <w:right w:val="nil"/>
            </w:tcBorders>
            <w:shd w:val="clear" w:color="auto" w:fill="auto"/>
            <w:noWrap/>
            <w:vAlign w:val="bottom"/>
            <w:hideMark/>
          </w:tcPr>
          <w:p w14:paraId="6F17860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61</w:t>
            </w:r>
          </w:p>
        </w:tc>
        <w:tc>
          <w:tcPr>
            <w:tcW w:w="597" w:type="dxa"/>
            <w:tcBorders>
              <w:top w:val="nil"/>
              <w:left w:val="nil"/>
              <w:bottom w:val="single" w:sz="4" w:space="0" w:color="auto"/>
              <w:right w:val="nil"/>
            </w:tcBorders>
            <w:shd w:val="clear" w:color="auto" w:fill="auto"/>
            <w:noWrap/>
            <w:vAlign w:val="bottom"/>
            <w:hideMark/>
          </w:tcPr>
          <w:p w14:paraId="747CBB03"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w:t>
            </w:r>
          </w:p>
        </w:tc>
        <w:tc>
          <w:tcPr>
            <w:tcW w:w="626" w:type="dxa"/>
            <w:tcBorders>
              <w:top w:val="nil"/>
              <w:left w:val="nil"/>
              <w:bottom w:val="single" w:sz="4" w:space="0" w:color="auto"/>
              <w:right w:val="nil"/>
            </w:tcBorders>
            <w:shd w:val="clear" w:color="auto" w:fill="auto"/>
            <w:noWrap/>
            <w:vAlign w:val="bottom"/>
            <w:hideMark/>
          </w:tcPr>
          <w:p w14:paraId="701F5C98"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31</w:t>
            </w:r>
          </w:p>
        </w:tc>
        <w:tc>
          <w:tcPr>
            <w:tcW w:w="626" w:type="dxa"/>
            <w:tcBorders>
              <w:top w:val="nil"/>
              <w:left w:val="nil"/>
              <w:bottom w:val="single" w:sz="4" w:space="0" w:color="auto"/>
              <w:right w:val="nil"/>
            </w:tcBorders>
            <w:shd w:val="clear" w:color="auto" w:fill="auto"/>
            <w:noWrap/>
            <w:vAlign w:val="bottom"/>
            <w:hideMark/>
          </w:tcPr>
          <w:p w14:paraId="7E3032D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77</w:t>
            </w:r>
          </w:p>
        </w:tc>
        <w:tc>
          <w:tcPr>
            <w:tcW w:w="626" w:type="dxa"/>
            <w:tcBorders>
              <w:top w:val="nil"/>
              <w:left w:val="nil"/>
              <w:bottom w:val="single" w:sz="4" w:space="0" w:color="auto"/>
              <w:right w:val="nil"/>
            </w:tcBorders>
            <w:shd w:val="clear" w:color="auto" w:fill="auto"/>
            <w:noWrap/>
            <w:vAlign w:val="bottom"/>
            <w:hideMark/>
          </w:tcPr>
          <w:p w14:paraId="1A1A8905"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31</w:t>
            </w:r>
          </w:p>
        </w:tc>
        <w:tc>
          <w:tcPr>
            <w:tcW w:w="787" w:type="dxa"/>
            <w:tcBorders>
              <w:top w:val="nil"/>
              <w:left w:val="nil"/>
              <w:bottom w:val="single" w:sz="4" w:space="0" w:color="auto"/>
              <w:right w:val="nil"/>
            </w:tcBorders>
            <w:shd w:val="clear" w:color="auto" w:fill="auto"/>
            <w:noWrap/>
            <w:vAlign w:val="bottom"/>
            <w:hideMark/>
          </w:tcPr>
          <w:p w14:paraId="0707397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77</w:t>
            </w:r>
          </w:p>
        </w:tc>
        <w:tc>
          <w:tcPr>
            <w:tcW w:w="626" w:type="dxa"/>
            <w:tcBorders>
              <w:top w:val="nil"/>
              <w:left w:val="nil"/>
              <w:bottom w:val="single" w:sz="4" w:space="0" w:color="auto"/>
              <w:right w:val="nil"/>
            </w:tcBorders>
            <w:shd w:val="clear" w:color="auto" w:fill="auto"/>
            <w:noWrap/>
            <w:vAlign w:val="bottom"/>
            <w:hideMark/>
          </w:tcPr>
          <w:p w14:paraId="3B3564D9" w14:textId="4BF9C77C" w:rsidR="00C766D7" w:rsidRPr="00F85178" w:rsidRDefault="00935D66" w:rsidP="007B6EF7">
            <w:pPr>
              <w:tabs>
                <w:tab w:val="left" w:pos="1460"/>
              </w:tabs>
              <w:spacing w:line="240" w:lineRule="auto"/>
              <w:jc w:val="center"/>
              <w:rPr>
                <w:rFonts w:eastAsia="Times New Roman"/>
                <w:szCs w:val="24"/>
                <w:lang w:eastAsia="cs-CZ"/>
              </w:rPr>
            </w:pPr>
            <w:r>
              <w:rPr>
                <w:rFonts w:eastAsia="Times New Roman"/>
                <w:szCs w:val="24"/>
                <w:lang w:eastAsia="cs-CZ"/>
              </w:rPr>
              <w:t>9</w:t>
            </w:r>
          </w:p>
        </w:tc>
        <w:tc>
          <w:tcPr>
            <w:tcW w:w="532" w:type="dxa"/>
            <w:tcBorders>
              <w:top w:val="nil"/>
              <w:left w:val="nil"/>
              <w:bottom w:val="single" w:sz="4" w:space="0" w:color="auto"/>
              <w:right w:val="nil"/>
            </w:tcBorders>
            <w:shd w:val="clear" w:color="auto" w:fill="auto"/>
            <w:noWrap/>
            <w:vAlign w:val="bottom"/>
            <w:hideMark/>
          </w:tcPr>
          <w:p w14:paraId="0A6ABD04"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w:t>
            </w:r>
          </w:p>
        </w:tc>
        <w:tc>
          <w:tcPr>
            <w:tcW w:w="1378" w:type="dxa"/>
            <w:tcBorders>
              <w:top w:val="nil"/>
              <w:left w:val="nil"/>
              <w:bottom w:val="single" w:sz="4" w:space="0" w:color="auto"/>
              <w:right w:val="nil"/>
            </w:tcBorders>
            <w:shd w:val="clear" w:color="auto" w:fill="auto"/>
            <w:noWrap/>
            <w:vAlign w:val="bottom"/>
            <w:hideMark/>
          </w:tcPr>
          <w:p w14:paraId="3BE1F04F" w14:textId="29CD75EE" w:rsidR="00C766D7" w:rsidRPr="00F85178" w:rsidRDefault="00B84150" w:rsidP="0046284C">
            <w:pPr>
              <w:tabs>
                <w:tab w:val="left" w:pos="1460"/>
              </w:tabs>
              <w:spacing w:line="240" w:lineRule="auto"/>
              <w:jc w:val="center"/>
              <w:rPr>
                <w:rFonts w:eastAsia="Times New Roman"/>
                <w:b/>
                <w:bCs/>
                <w:szCs w:val="24"/>
                <w:lang w:eastAsia="cs-CZ"/>
              </w:rPr>
            </w:pPr>
            <w:r>
              <w:rPr>
                <w:rFonts w:eastAsia="Times New Roman"/>
                <w:b/>
                <w:bCs/>
                <w:szCs w:val="24"/>
                <w:lang w:eastAsia="cs-CZ"/>
              </w:rPr>
              <w:t>30</w:t>
            </w:r>
            <w:r w:rsidR="0046284C">
              <w:rPr>
                <w:rFonts w:eastAsia="Times New Roman"/>
                <w:b/>
                <w:bCs/>
                <w:szCs w:val="24"/>
                <w:lang w:eastAsia="cs-CZ"/>
              </w:rPr>
              <w:t>3</w:t>
            </w:r>
          </w:p>
        </w:tc>
      </w:tr>
      <w:tr w:rsidR="00F85178" w:rsidRPr="00F85178" w14:paraId="3DA3B564"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00C054F2"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Plzeň</w:t>
            </w:r>
          </w:p>
        </w:tc>
        <w:tc>
          <w:tcPr>
            <w:tcW w:w="842" w:type="dxa"/>
            <w:tcBorders>
              <w:top w:val="nil"/>
              <w:left w:val="nil"/>
              <w:bottom w:val="single" w:sz="4" w:space="0" w:color="auto"/>
              <w:right w:val="nil"/>
            </w:tcBorders>
            <w:shd w:val="clear" w:color="auto" w:fill="auto"/>
            <w:noWrap/>
            <w:vAlign w:val="bottom"/>
            <w:hideMark/>
          </w:tcPr>
          <w:p w14:paraId="6D877A0A"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84</w:t>
            </w:r>
          </w:p>
        </w:tc>
        <w:tc>
          <w:tcPr>
            <w:tcW w:w="597" w:type="dxa"/>
            <w:tcBorders>
              <w:top w:val="nil"/>
              <w:left w:val="nil"/>
              <w:bottom w:val="single" w:sz="4" w:space="0" w:color="auto"/>
              <w:right w:val="nil"/>
            </w:tcBorders>
            <w:shd w:val="clear" w:color="auto" w:fill="auto"/>
            <w:noWrap/>
            <w:vAlign w:val="bottom"/>
            <w:hideMark/>
          </w:tcPr>
          <w:p w14:paraId="0161BF55"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13</w:t>
            </w:r>
          </w:p>
        </w:tc>
        <w:tc>
          <w:tcPr>
            <w:tcW w:w="626" w:type="dxa"/>
            <w:tcBorders>
              <w:top w:val="nil"/>
              <w:left w:val="nil"/>
              <w:bottom w:val="single" w:sz="4" w:space="0" w:color="auto"/>
              <w:right w:val="nil"/>
            </w:tcBorders>
            <w:shd w:val="clear" w:color="auto" w:fill="auto"/>
            <w:noWrap/>
            <w:vAlign w:val="bottom"/>
            <w:hideMark/>
          </w:tcPr>
          <w:p w14:paraId="1DF5DBE6"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32</w:t>
            </w:r>
          </w:p>
        </w:tc>
        <w:tc>
          <w:tcPr>
            <w:tcW w:w="626" w:type="dxa"/>
            <w:tcBorders>
              <w:top w:val="nil"/>
              <w:left w:val="nil"/>
              <w:bottom w:val="single" w:sz="4" w:space="0" w:color="auto"/>
              <w:right w:val="nil"/>
            </w:tcBorders>
            <w:shd w:val="clear" w:color="auto" w:fill="auto"/>
            <w:noWrap/>
            <w:vAlign w:val="bottom"/>
            <w:hideMark/>
          </w:tcPr>
          <w:p w14:paraId="7C01CCF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79</w:t>
            </w:r>
          </w:p>
        </w:tc>
        <w:tc>
          <w:tcPr>
            <w:tcW w:w="626" w:type="dxa"/>
            <w:tcBorders>
              <w:top w:val="nil"/>
              <w:left w:val="nil"/>
              <w:bottom w:val="single" w:sz="4" w:space="0" w:color="auto"/>
              <w:right w:val="nil"/>
            </w:tcBorders>
            <w:shd w:val="clear" w:color="auto" w:fill="auto"/>
            <w:noWrap/>
            <w:vAlign w:val="bottom"/>
            <w:hideMark/>
          </w:tcPr>
          <w:p w14:paraId="6C21E15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46</w:t>
            </w:r>
          </w:p>
        </w:tc>
        <w:tc>
          <w:tcPr>
            <w:tcW w:w="787" w:type="dxa"/>
            <w:tcBorders>
              <w:top w:val="nil"/>
              <w:left w:val="nil"/>
              <w:bottom w:val="single" w:sz="4" w:space="0" w:color="auto"/>
              <w:right w:val="nil"/>
            </w:tcBorders>
            <w:shd w:val="clear" w:color="auto" w:fill="auto"/>
            <w:noWrap/>
            <w:vAlign w:val="bottom"/>
            <w:hideMark/>
          </w:tcPr>
          <w:p w14:paraId="6ACF67C0"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97</w:t>
            </w:r>
          </w:p>
        </w:tc>
        <w:tc>
          <w:tcPr>
            <w:tcW w:w="626" w:type="dxa"/>
            <w:tcBorders>
              <w:top w:val="nil"/>
              <w:left w:val="nil"/>
              <w:bottom w:val="single" w:sz="4" w:space="0" w:color="auto"/>
              <w:right w:val="nil"/>
            </w:tcBorders>
            <w:shd w:val="clear" w:color="auto" w:fill="auto"/>
            <w:noWrap/>
            <w:vAlign w:val="bottom"/>
            <w:hideMark/>
          </w:tcPr>
          <w:p w14:paraId="31CC2F28"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43</w:t>
            </w:r>
          </w:p>
        </w:tc>
        <w:tc>
          <w:tcPr>
            <w:tcW w:w="532" w:type="dxa"/>
            <w:tcBorders>
              <w:top w:val="nil"/>
              <w:left w:val="nil"/>
              <w:bottom w:val="single" w:sz="4" w:space="0" w:color="auto"/>
              <w:right w:val="nil"/>
            </w:tcBorders>
            <w:shd w:val="clear" w:color="auto" w:fill="auto"/>
            <w:noWrap/>
            <w:vAlign w:val="bottom"/>
            <w:hideMark/>
          </w:tcPr>
          <w:p w14:paraId="0139D57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6</w:t>
            </w:r>
          </w:p>
        </w:tc>
        <w:tc>
          <w:tcPr>
            <w:tcW w:w="1378" w:type="dxa"/>
            <w:tcBorders>
              <w:top w:val="nil"/>
              <w:left w:val="nil"/>
              <w:bottom w:val="single" w:sz="4" w:space="0" w:color="auto"/>
              <w:right w:val="nil"/>
            </w:tcBorders>
            <w:shd w:val="clear" w:color="auto" w:fill="auto"/>
            <w:noWrap/>
            <w:vAlign w:val="bottom"/>
            <w:hideMark/>
          </w:tcPr>
          <w:p w14:paraId="22C012F3" w14:textId="77777777" w:rsidR="00C766D7" w:rsidRPr="00F85178" w:rsidRDefault="00C766D7" w:rsidP="007B6EF7">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400</w:t>
            </w:r>
          </w:p>
        </w:tc>
      </w:tr>
      <w:tr w:rsidR="00F85178" w:rsidRPr="00F85178" w14:paraId="1903DC89"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4C729CC0"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Ústí n. Labem</w:t>
            </w:r>
          </w:p>
        </w:tc>
        <w:tc>
          <w:tcPr>
            <w:tcW w:w="842" w:type="dxa"/>
            <w:tcBorders>
              <w:top w:val="nil"/>
              <w:left w:val="nil"/>
              <w:bottom w:val="single" w:sz="4" w:space="0" w:color="auto"/>
              <w:right w:val="nil"/>
            </w:tcBorders>
            <w:shd w:val="clear" w:color="auto" w:fill="auto"/>
            <w:noWrap/>
            <w:vAlign w:val="bottom"/>
            <w:hideMark/>
          </w:tcPr>
          <w:p w14:paraId="63F4449E"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141</w:t>
            </w:r>
          </w:p>
        </w:tc>
        <w:tc>
          <w:tcPr>
            <w:tcW w:w="597" w:type="dxa"/>
            <w:tcBorders>
              <w:top w:val="nil"/>
              <w:left w:val="nil"/>
              <w:bottom w:val="single" w:sz="4" w:space="0" w:color="auto"/>
              <w:right w:val="nil"/>
            </w:tcBorders>
            <w:shd w:val="clear" w:color="auto" w:fill="auto"/>
            <w:noWrap/>
            <w:vAlign w:val="bottom"/>
            <w:hideMark/>
          </w:tcPr>
          <w:p w14:paraId="2CF95D8E"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28</w:t>
            </w:r>
          </w:p>
        </w:tc>
        <w:tc>
          <w:tcPr>
            <w:tcW w:w="626" w:type="dxa"/>
            <w:tcBorders>
              <w:top w:val="nil"/>
              <w:left w:val="nil"/>
              <w:bottom w:val="single" w:sz="4" w:space="0" w:color="auto"/>
              <w:right w:val="nil"/>
            </w:tcBorders>
            <w:shd w:val="clear" w:color="auto" w:fill="auto"/>
            <w:noWrap/>
            <w:vAlign w:val="bottom"/>
            <w:hideMark/>
          </w:tcPr>
          <w:p w14:paraId="7586E999"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59</w:t>
            </w:r>
          </w:p>
        </w:tc>
        <w:tc>
          <w:tcPr>
            <w:tcW w:w="626" w:type="dxa"/>
            <w:tcBorders>
              <w:top w:val="nil"/>
              <w:left w:val="nil"/>
              <w:bottom w:val="single" w:sz="4" w:space="0" w:color="auto"/>
              <w:right w:val="nil"/>
            </w:tcBorders>
            <w:shd w:val="clear" w:color="auto" w:fill="auto"/>
            <w:noWrap/>
            <w:vAlign w:val="bottom"/>
            <w:hideMark/>
          </w:tcPr>
          <w:p w14:paraId="53BC8AB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115</w:t>
            </w:r>
          </w:p>
        </w:tc>
        <w:tc>
          <w:tcPr>
            <w:tcW w:w="626" w:type="dxa"/>
            <w:tcBorders>
              <w:top w:val="nil"/>
              <w:left w:val="nil"/>
              <w:bottom w:val="single" w:sz="4" w:space="0" w:color="auto"/>
              <w:right w:val="nil"/>
            </w:tcBorders>
            <w:shd w:val="clear" w:color="auto" w:fill="auto"/>
            <w:noWrap/>
            <w:vAlign w:val="bottom"/>
            <w:hideMark/>
          </w:tcPr>
          <w:p w14:paraId="032188BD"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67</w:t>
            </w:r>
          </w:p>
        </w:tc>
        <w:tc>
          <w:tcPr>
            <w:tcW w:w="787" w:type="dxa"/>
            <w:tcBorders>
              <w:top w:val="nil"/>
              <w:left w:val="nil"/>
              <w:bottom w:val="single" w:sz="4" w:space="0" w:color="auto"/>
              <w:right w:val="nil"/>
            </w:tcBorders>
            <w:shd w:val="clear" w:color="auto" w:fill="auto"/>
            <w:noWrap/>
            <w:vAlign w:val="bottom"/>
            <w:hideMark/>
          </w:tcPr>
          <w:p w14:paraId="3887655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115</w:t>
            </w:r>
          </w:p>
        </w:tc>
        <w:tc>
          <w:tcPr>
            <w:tcW w:w="626" w:type="dxa"/>
            <w:tcBorders>
              <w:top w:val="nil"/>
              <w:left w:val="nil"/>
              <w:bottom w:val="single" w:sz="4" w:space="0" w:color="auto"/>
              <w:right w:val="nil"/>
            </w:tcBorders>
            <w:shd w:val="clear" w:color="auto" w:fill="auto"/>
            <w:noWrap/>
            <w:vAlign w:val="bottom"/>
            <w:hideMark/>
          </w:tcPr>
          <w:p w14:paraId="3D48B585"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105</w:t>
            </w:r>
          </w:p>
        </w:tc>
        <w:tc>
          <w:tcPr>
            <w:tcW w:w="532" w:type="dxa"/>
            <w:tcBorders>
              <w:top w:val="nil"/>
              <w:left w:val="nil"/>
              <w:bottom w:val="single" w:sz="4" w:space="0" w:color="auto"/>
              <w:right w:val="nil"/>
            </w:tcBorders>
            <w:shd w:val="clear" w:color="auto" w:fill="auto"/>
            <w:noWrap/>
            <w:vAlign w:val="bottom"/>
            <w:hideMark/>
          </w:tcPr>
          <w:p w14:paraId="29688F27"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12</w:t>
            </w:r>
          </w:p>
        </w:tc>
        <w:tc>
          <w:tcPr>
            <w:tcW w:w="1378" w:type="dxa"/>
            <w:tcBorders>
              <w:top w:val="nil"/>
              <w:left w:val="nil"/>
              <w:bottom w:val="single" w:sz="4" w:space="0" w:color="auto"/>
              <w:right w:val="nil"/>
            </w:tcBorders>
            <w:shd w:val="clear" w:color="auto" w:fill="auto"/>
            <w:noWrap/>
            <w:vAlign w:val="bottom"/>
            <w:hideMark/>
          </w:tcPr>
          <w:p w14:paraId="2B488ADC" w14:textId="4A31ED2C"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64</w:t>
            </w:r>
            <w:r>
              <w:rPr>
                <w:rFonts w:eastAsia="Times New Roman"/>
                <w:b/>
                <w:bCs/>
                <w:szCs w:val="24"/>
                <w:lang w:eastAsia="cs-CZ"/>
              </w:rPr>
              <w:t>2</w:t>
            </w:r>
          </w:p>
        </w:tc>
      </w:tr>
      <w:tr w:rsidR="00F85178" w:rsidRPr="00F85178" w14:paraId="5F451F55"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4430399A"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Hr. Králové</w:t>
            </w:r>
          </w:p>
        </w:tc>
        <w:tc>
          <w:tcPr>
            <w:tcW w:w="842" w:type="dxa"/>
            <w:tcBorders>
              <w:top w:val="nil"/>
              <w:left w:val="nil"/>
              <w:bottom w:val="single" w:sz="4" w:space="0" w:color="auto"/>
              <w:right w:val="nil"/>
            </w:tcBorders>
            <w:shd w:val="clear" w:color="auto" w:fill="auto"/>
            <w:noWrap/>
            <w:vAlign w:val="bottom"/>
            <w:hideMark/>
          </w:tcPr>
          <w:p w14:paraId="091EADE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105</w:t>
            </w:r>
          </w:p>
        </w:tc>
        <w:tc>
          <w:tcPr>
            <w:tcW w:w="597" w:type="dxa"/>
            <w:tcBorders>
              <w:top w:val="nil"/>
              <w:left w:val="nil"/>
              <w:bottom w:val="single" w:sz="4" w:space="0" w:color="auto"/>
              <w:right w:val="nil"/>
            </w:tcBorders>
            <w:shd w:val="clear" w:color="auto" w:fill="auto"/>
            <w:noWrap/>
            <w:vAlign w:val="bottom"/>
            <w:hideMark/>
          </w:tcPr>
          <w:p w14:paraId="7901378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23</w:t>
            </w:r>
          </w:p>
        </w:tc>
        <w:tc>
          <w:tcPr>
            <w:tcW w:w="626" w:type="dxa"/>
            <w:tcBorders>
              <w:top w:val="nil"/>
              <w:left w:val="nil"/>
              <w:bottom w:val="single" w:sz="4" w:space="0" w:color="auto"/>
              <w:right w:val="nil"/>
            </w:tcBorders>
            <w:shd w:val="clear" w:color="auto" w:fill="auto"/>
            <w:noWrap/>
            <w:vAlign w:val="bottom"/>
            <w:hideMark/>
          </w:tcPr>
          <w:p w14:paraId="3EBCF982"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13</w:t>
            </w:r>
          </w:p>
        </w:tc>
        <w:tc>
          <w:tcPr>
            <w:tcW w:w="626" w:type="dxa"/>
            <w:tcBorders>
              <w:top w:val="nil"/>
              <w:left w:val="nil"/>
              <w:bottom w:val="single" w:sz="4" w:space="0" w:color="auto"/>
              <w:right w:val="nil"/>
            </w:tcBorders>
            <w:shd w:val="clear" w:color="auto" w:fill="auto"/>
            <w:noWrap/>
            <w:vAlign w:val="bottom"/>
            <w:hideMark/>
          </w:tcPr>
          <w:p w14:paraId="72BCCF9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80</w:t>
            </w:r>
          </w:p>
        </w:tc>
        <w:tc>
          <w:tcPr>
            <w:tcW w:w="626" w:type="dxa"/>
            <w:tcBorders>
              <w:top w:val="nil"/>
              <w:left w:val="nil"/>
              <w:bottom w:val="single" w:sz="4" w:space="0" w:color="auto"/>
              <w:right w:val="nil"/>
            </w:tcBorders>
            <w:shd w:val="clear" w:color="auto" w:fill="auto"/>
            <w:noWrap/>
            <w:vAlign w:val="bottom"/>
            <w:hideMark/>
          </w:tcPr>
          <w:p w14:paraId="50757647"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39</w:t>
            </w:r>
          </w:p>
        </w:tc>
        <w:tc>
          <w:tcPr>
            <w:tcW w:w="787" w:type="dxa"/>
            <w:tcBorders>
              <w:top w:val="nil"/>
              <w:left w:val="nil"/>
              <w:bottom w:val="single" w:sz="4" w:space="0" w:color="auto"/>
              <w:right w:val="nil"/>
            </w:tcBorders>
            <w:shd w:val="clear" w:color="auto" w:fill="auto"/>
            <w:noWrap/>
            <w:vAlign w:val="bottom"/>
            <w:hideMark/>
          </w:tcPr>
          <w:p w14:paraId="45475D2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118</w:t>
            </w:r>
          </w:p>
        </w:tc>
        <w:tc>
          <w:tcPr>
            <w:tcW w:w="626" w:type="dxa"/>
            <w:tcBorders>
              <w:top w:val="nil"/>
              <w:left w:val="nil"/>
              <w:bottom w:val="single" w:sz="4" w:space="0" w:color="auto"/>
              <w:right w:val="nil"/>
            </w:tcBorders>
            <w:shd w:val="clear" w:color="auto" w:fill="auto"/>
            <w:noWrap/>
            <w:vAlign w:val="bottom"/>
            <w:hideMark/>
          </w:tcPr>
          <w:p w14:paraId="5DCCA4EF"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28</w:t>
            </w:r>
          </w:p>
        </w:tc>
        <w:tc>
          <w:tcPr>
            <w:tcW w:w="532" w:type="dxa"/>
            <w:tcBorders>
              <w:top w:val="nil"/>
              <w:left w:val="nil"/>
              <w:bottom w:val="single" w:sz="4" w:space="0" w:color="auto"/>
              <w:right w:val="nil"/>
            </w:tcBorders>
            <w:shd w:val="clear" w:color="auto" w:fill="auto"/>
            <w:noWrap/>
            <w:vAlign w:val="bottom"/>
            <w:hideMark/>
          </w:tcPr>
          <w:p w14:paraId="0EE05EE3"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13</w:t>
            </w:r>
          </w:p>
        </w:tc>
        <w:tc>
          <w:tcPr>
            <w:tcW w:w="1378" w:type="dxa"/>
            <w:tcBorders>
              <w:top w:val="nil"/>
              <w:left w:val="nil"/>
              <w:bottom w:val="single" w:sz="4" w:space="0" w:color="auto"/>
              <w:right w:val="nil"/>
            </w:tcBorders>
            <w:shd w:val="clear" w:color="auto" w:fill="auto"/>
            <w:noWrap/>
            <w:vAlign w:val="bottom"/>
            <w:hideMark/>
          </w:tcPr>
          <w:p w14:paraId="50A4D9D2" w14:textId="78649649"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41</w:t>
            </w:r>
            <w:r>
              <w:rPr>
                <w:rFonts w:eastAsia="Times New Roman"/>
                <w:b/>
                <w:bCs/>
                <w:szCs w:val="24"/>
                <w:lang w:eastAsia="cs-CZ"/>
              </w:rPr>
              <w:t>9</w:t>
            </w:r>
          </w:p>
        </w:tc>
      </w:tr>
      <w:tr w:rsidR="00F85178" w:rsidRPr="00F85178" w14:paraId="4D3ABAEC" w14:textId="77777777" w:rsidTr="00277937">
        <w:trPr>
          <w:trHeight w:val="315"/>
        </w:trPr>
        <w:tc>
          <w:tcPr>
            <w:tcW w:w="2080" w:type="dxa"/>
            <w:tcBorders>
              <w:top w:val="nil"/>
              <w:left w:val="nil"/>
              <w:bottom w:val="single" w:sz="4" w:space="0" w:color="auto"/>
              <w:right w:val="nil"/>
            </w:tcBorders>
            <w:shd w:val="clear" w:color="auto" w:fill="auto"/>
            <w:noWrap/>
            <w:vAlign w:val="bottom"/>
            <w:hideMark/>
          </w:tcPr>
          <w:p w14:paraId="79CFFC1B"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Brno</w:t>
            </w:r>
          </w:p>
        </w:tc>
        <w:tc>
          <w:tcPr>
            <w:tcW w:w="842" w:type="dxa"/>
            <w:tcBorders>
              <w:top w:val="nil"/>
              <w:left w:val="nil"/>
              <w:bottom w:val="single" w:sz="4" w:space="0" w:color="auto"/>
              <w:right w:val="nil"/>
            </w:tcBorders>
            <w:shd w:val="clear" w:color="auto" w:fill="auto"/>
            <w:noWrap/>
            <w:vAlign w:val="bottom"/>
            <w:hideMark/>
          </w:tcPr>
          <w:p w14:paraId="3B079E28"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184</w:t>
            </w:r>
          </w:p>
        </w:tc>
        <w:tc>
          <w:tcPr>
            <w:tcW w:w="597" w:type="dxa"/>
            <w:tcBorders>
              <w:top w:val="nil"/>
              <w:left w:val="nil"/>
              <w:bottom w:val="single" w:sz="4" w:space="0" w:color="auto"/>
              <w:right w:val="nil"/>
            </w:tcBorders>
            <w:shd w:val="clear" w:color="auto" w:fill="auto"/>
            <w:noWrap/>
            <w:vAlign w:val="bottom"/>
            <w:hideMark/>
          </w:tcPr>
          <w:p w14:paraId="2E4B323C"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w:t>
            </w:r>
          </w:p>
        </w:tc>
        <w:tc>
          <w:tcPr>
            <w:tcW w:w="626" w:type="dxa"/>
            <w:tcBorders>
              <w:top w:val="nil"/>
              <w:left w:val="nil"/>
              <w:bottom w:val="single" w:sz="4" w:space="0" w:color="auto"/>
              <w:right w:val="nil"/>
            </w:tcBorders>
            <w:shd w:val="clear" w:color="auto" w:fill="auto"/>
            <w:noWrap/>
            <w:vAlign w:val="bottom"/>
            <w:hideMark/>
          </w:tcPr>
          <w:p w14:paraId="15D2E923"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79</w:t>
            </w:r>
          </w:p>
        </w:tc>
        <w:tc>
          <w:tcPr>
            <w:tcW w:w="626" w:type="dxa"/>
            <w:tcBorders>
              <w:top w:val="nil"/>
              <w:left w:val="nil"/>
              <w:bottom w:val="single" w:sz="4" w:space="0" w:color="auto"/>
              <w:right w:val="nil"/>
            </w:tcBorders>
            <w:shd w:val="clear" w:color="auto" w:fill="auto"/>
            <w:noWrap/>
            <w:vAlign w:val="bottom"/>
            <w:hideMark/>
          </w:tcPr>
          <w:p w14:paraId="5746A62D"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98</w:t>
            </w:r>
          </w:p>
        </w:tc>
        <w:tc>
          <w:tcPr>
            <w:tcW w:w="626" w:type="dxa"/>
            <w:tcBorders>
              <w:top w:val="nil"/>
              <w:left w:val="nil"/>
              <w:bottom w:val="single" w:sz="4" w:space="0" w:color="auto"/>
              <w:right w:val="nil"/>
            </w:tcBorders>
            <w:shd w:val="clear" w:color="auto" w:fill="auto"/>
            <w:noWrap/>
            <w:vAlign w:val="bottom"/>
            <w:hideMark/>
          </w:tcPr>
          <w:p w14:paraId="4C61EA9B"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67</w:t>
            </w:r>
          </w:p>
        </w:tc>
        <w:tc>
          <w:tcPr>
            <w:tcW w:w="787" w:type="dxa"/>
            <w:tcBorders>
              <w:top w:val="nil"/>
              <w:left w:val="nil"/>
              <w:bottom w:val="single" w:sz="4" w:space="0" w:color="auto"/>
              <w:right w:val="nil"/>
            </w:tcBorders>
            <w:shd w:val="clear" w:color="auto" w:fill="auto"/>
            <w:noWrap/>
            <w:vAlign w:val="bottom"/>
            <w:hideMark/>
          </w:tcPr>
          <w:p w14:paraId="6372297A"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204</w:t>
            </w:r>
          </w:p>
        </w:tc>
        <w:tc>
          <w:tcPr>
            <w:tcW w:w="626" w:type="dxa"/>
            <w:tcBorders>
              <w:top w:val="nil"/>
              <w:left w:val="nil"/>
              <w:bottom w:val="single" w:sz="4" w:space="0" w:color="auto"/>
              <w:right w:val="nil"/>
            </w:tcBorders>
            <w:shd w:val="clear" w:color="auto" w:fill="auto"/>
            <w:noWrap/>
            <w:vAlign w:val="bottom"/>
            <w:hideMark/>
          </w:tcPr>
          <w:p w14:paraId="2DAE201D"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106</w:t>
            </w:r>
          </w:p>
        </w:tc>
        <w:tc>
          <w:tcPr>
            <w:tcW w:w="532" w:type="dxa"/>
            <w:tcBorders>
              <w:top w:val="nil"/>
              <w:left w:val="nil"/>
              <w:bottom w:val="single" w:sz="4" w:space="0" w:color="auto"/>
              <w:right w:val="nil"/>
            </w:tcBorders>
            <w:shd w:val="clear" w:color="auto" w:fill="auto"/>
            <w:noWrap/>
            <w:vAlign w:val="bottom"/>
            <w:hideMark/>
          </w:tcPr>
          <w:p w14:paraId="0C12B681"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15</w:t>
            </w:r>
          </w:p>
        </w:tc>
        <w:tc>
          <w:tcPr>
            <w:tcW w:w="1378" w:type="dxa"/>
            <w:tcBorders>
              <w:top w:val="nil"/>
              <w:left w:val="nil"/>
              <w:bottom w:val="single" w:sz="4" w:space="0" w:color="auto"/>
              <w:right w:val="nil"/>
            </w:tcBorders>
            <w:shd w:val="clear" w:color="auto" w:fill="auto"/>
            <w:noWrap/>
            <w:vAlign w:val="bottom"/>
            <w:hideMark/>
          </w:tcPr>
          <w:p w14:paraId="44F02EA8" w14:textId="45E65E8A"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7</w:t>
            </w:r>
            <w:r>
              <w:rPr>
                <w:rFonts w:eastAsia="Times New Roman"/>
                <w:b/>
                <w:bCs/>
                <w:szCs w:val="24"/>
                <w:lang w:eastAsia="cs-CZ"/>
              </w:rPr>
              <w:t>60</w:t>
            </w:r>
          </w:p>
        </w:tc>
      </w:tr>
      <w:tr w:rsidR="00F85178" w:rsidRPr="00F85178" w14:paraId="17BBFA56" w14:textId="77777777" w:rsidTr="00277937">
        <w:trPr>
          <w:trHeight w:val="330"/>
        </w:trPr>
        <w:tc>
          <w:tcPr>
            <w:tcW w:w="2080" w:type="dxa"/>
            <w:tcBorders>
              <w:top w:val="nil"/>
              <w:left w:val="nil"/>
              <w:bottom w:val="double" w:sz="6" w:space="0" w:color="auto"/>
              <w:right w:val="nil"/>
            </w:tcBorders>
            <w:shd w:val="clear" w:color="auto" w:fill="auto"/>
            <w:noWrap/>
            <w:vAlign w:val="bottom"/>
            <w:hideMark/>
          </w:tcPr>
          <w:p w14:paraId="6121CC0B" w14:textId="77777777" w:rsidR="00C766D7" w:rsidRPr="00F85178" w:rsidRDefault="00C766D7" w:rsidP="007B6EF7">
            <w:pPr>
              <w:tabs>
                <w:tab w:val="left" w:pos="1460"/>
              </w:tabs>
              <w:spacing w:line="240" w:lineRule="auto"/>
              <w:jc w:val="left"/>
              <w:rPr>
                <w:rFonts w:eastAsia="Times New Roman"/>
                <w:szCs w:val="24"/>
                <w:lang w:eastAsia="cs-CZ"/>
              </w:rPr>
            </w:pPr>
            <w:r w:rsidRPr="00F85178">
              <w:rPr>
                <w:rFonts w:eastAsia="Times New Roman"/>
                <w:szCs w:val="24"/>
                <w:lang w:eastAsia="cs-CZ"/>
              </w:rPr>
              <w:t>KS Ostrava</w:t>
            </w:r>
          </w:p>
        </w:tc>
        <w:tc>
          <w:tcPr>
            <w:tcW w:w="842" w:type="dxa"/>
            <w:tcBorders>
              <w:top w:val="nil"/>
              <w:left w:val="nil"/>
              <w:bottom w:val="double" w:sz="6" w:space="0" w:color="auto"/>
              <w:right w:val="nil"/>
            </w:tcBorders>
            <w:shd w:val="clear" w:color="auto" w:fill="auto"/>
            <w:noWrap/>
            <w:vAlign w:val="bottom"/>
            <w:hideMark/>
          </w:tcPr>
          <w:p w14:paraId="689DB9CE"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193</w:t>
            </w:r>
          </w:p>
        </w:tc>
        <w:tc>
          <w:tcPr>
            <w:tcW w:w="597" w:type="dxa"/>
            <w:tcBorders>
              <w:top w:val="nil"/>
              <w:left w:val="nil"/>
              <w:bottom w:val="double" w:sz="6" w:space="0" w:color="auto"/>
              <w:right w:val="nil"/>
            </w:tcBorders>
            <w:shd w:val="clear" w:color="auto" w:fill="auto"/>
            <w:noWrap/>
            <w:vAlign w:val="bottom"/>
            <w:hideMark/>
          </w:tcPr>
          <w:p w14:paraId="05EDFEB0"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19</w:t>
            </w:r>
          </w:p>
        </w:tc>
        <w:tc>
          <w:tcPr>
            <w:tcW w:w="626" w:type="dxa"/>
            <w:tcBorders>
              <w:top w:val="nil"/>
              <w:left w:val="nil"/>
              <w:bottom w:val="double" w:sz="6" w:space="0" w:color="auto"/>
              <w:right w:val="nil"/>
            </w:tcBorders>
            <w:shd w:val="clear" w:color="auto" w:fill="auto"/>
            <w:noWrap/>
            <w:vAlign w:val="bottom"/>
            <w:hideMark/>
          </w:tcPr>
          <w:p w14:paraId="16505A2A"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35</w:t>
            </w:r>
          </w:p>
        </w:tc>
        <w:tc>
          <w:tcPr>
            <w:tcW w:w="626" w:type="dxa"/>
            <w:tcBorders>
              <w:top w:val="nil"/>
              <w:left w:val="nil"/>
              <w:bottom w:val="double" w:sz="6" w:space="0" w:color="auto"/>
              <w:right w:val="nil"/>
            </w:tcBorders>
            <w:shd w:val="clear" w:color="auto" w:fill="auto"/>
            <w:noWrap/>
            <w:vAlign w:val="bottom"/>
            <w:hideMark/>
          </w:tcPr>
          <w:p w14:paraId="239FC7E3"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102</w:t>
            </w:r>
          </w:p>
        </w:tc>
        <w:tc>
          <w:tcPr>
            <w:tcW w:w="626" w:type="dxa"/>
            <w:tcBorders>
              <w:top w:val="nil"/>
              <w:left w:val="nil"/>
              <w:bottom w:val="double" w:sz="6" w:space="0" w:color="auto"/>
              <w:right w:val="nil"/>
            </w:tcBorders>
            <w:shd w:val="clear" w:color="auto" w:fill="auto"/>
            <w:noWrap/>
            <w:vAlign w:val="bottom"/>
            <w:hideMark/>
          </w:tcPr>
          <w:p w14:paraId="43C42602"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75</w:t>
            </w:r>
          </w:p>
        </w:tc>
        <w:tc>
          <w:tcPr>
            <w:tcW w:w="787" w:type="dxa"/>
            <w:tcBorders>
              <w:top w:val="nil"/>
              <w:left w:val="nil"/>
              <w:bottom w:val="double" w:sz="6" w:space="0" w:color="auto"/>
              <w:right w:val="nil"/>
            </w:tcBorders>
            <w:shd w:val="clear" w:color="auto" w:fill="auto"/>
            <w:noWrap/>
            <w:vAlign w:val="bottom"/>
            <w:hideMark/>
          </w:tcPr>
          <w:p w14:paraId="56F2ECB2"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205</w:t>
            </w:r>
          </w:p>
        </w:tc>
        <w:tc>
          <w:tcPr>
            <w:tcW w:w="626" w:type="dxa"/>
            <w:tcBorders>
              <w:top w:val="nil"/>
              <w:left w:val="nil"/>
              <w:bottom w:val="double" w:sz="6" w:space="0" w:color="auto"/>
              <w:right w:val="nil"/>
            </w:tcBorders>
            <w:shd w:val="clear" w:color="auto" w:fill="auto"/>
            <w:noWrap/>
            <w:vAlign w:val="bottom"/>
            <w:hideMark/>
          </w:tcPr>
          <w:p w14:paraId="406F5DED"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118</w:t>
            </w:r>
          </w:p>
        </w:tc>
        <w:tc>
          <w:tcPr>
            <w:tcW w:w="532" w:type="dxa"/>
            <w:tcBorders>
              <w:top w:val="nil"/>
              <w:left w:val="nil"/>
              <w:bottom w:val="double" w:sz="6" w:space="0" w:color="auto"/>
              <w:right w:val="nil"/>
            </w:tcBorders>
            <w:shd w:val="clear" w:color="auto" w:fill="auto"/>
            <w:noWrap/>
            <w:vAlign w:val="bottom"/>
            <w:hideMark/>
          </w:tcPr>
          <w:p w14:paraId="0B733135" w14:textId="77777777" w:rsidR="00C766D7" w:rsidRPr="00F85178" w:rsidRDefault="00C766D7" w:rsidP="007B6EF7">
            <w:pPr>
              <w:tabs>
                <w:tab w:val="left" w:pos="1460"/>
              </w:tabs>
              <w:spacing w:line="240" w:lineRule="auto"/>
              <w:jc w:val="center"/>
              <w:rPr>
                <w:rFonts w:eastAsia="Times New Roman"/>
                <w:szCs w:val="24"/>
                <w:lang w:eastAsia="cs-CZ"/>
              </w:rPr>
            </w:pPr>
            <w:r w:rsidRPr="00F85178">
              <w:rPr>
                <w:rFonts w:eastAsia="Times New Roman"/>
                <w:szCs w:val="24"/>
                <w:lang w:eastAsia="cs-CZ"/>
              </w:rPr>
              <w:t>16</w:t>
            </w:r>
          </w:p>
        </w:tc>
        <w:tc>
          <w:tcPr>
            <w:tcW w:w="1378" w:type="dxa"/>
            <w:tcBorders>
              <w:top w:val="nil"/>
              <w:left w:val="nil"/>
              <w:bottom w:val="double" w:sz="6" w:space="0" w:color="auto"/>
              <w:right w:val="nil"/>
            </w:tcBorders>
            <w:shd w:val="clear" w:color="auto" w:fill="auto"/>
            <w:noWrap/>
            <w:vAlign w:val="bottom"/>
            <w:hideMark/>
          </w:tcPr>
          <w:p w14:paraId="5D336524" w14:textId="31C59CE4"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76</w:t>
            </w:r>
            <w:r>
              <w:rPr>
                <w:rFonts w:eastAsia="Times New Roman"/>
                <w:b/>
                <w:bCs/>
                <w:szCs w:val="24"/>
                <w:lang w:eastAsia="cs-CZ"/>
              </w:rPr>
              <w:t>3</w:t>
            </w:r>
          </w:p>
        </w:tc>
      </w:tr>
      <w:tr w:rsidR="00F85178" w:rsidRPr="00F85178" w14:paraId="0474789F" w14:textId="77777777" w:rsidTr="00277937">
        <w:trPr>
          <w:trHeight w:val="345"/>
        </w:trPr>
        <w:tc>
          <w:tcPr>
            <w:tcW w:w="2080" w:type="dxa"/>
            <w:tcBorders>
              <w:top w:val="nil"/>
              <w:left w:val="nil"/>
              <w:bottom w:val="double" w:sz="6" w:space="0" w:color="auto"/>
              <w:right w:val="nil"/>
            </w:tcBorders>
            <w:shd w:val="clear" w:color="auto" w:fill="auto"/>
            <w:noWrap/>
            <w:vAlign w:val="bottom"/>
            <w:hideMark/>
          </w:tcPr>
          <w:p w14:paraId="217F6A12" w14:textId="77777777" w:rsidR="00C766D7" w:rsidRPr="00F85178" w:rsidRDefault="00C766D7" w:rsidP="007B6EF7">
            <w:pPr>
              <w:tabs>
                <w:tab w:val="left" w:pos="1460"/>
              </w:tabs>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842" w:type="dxa"/>
            <w:tcBorders>
              <w:top w:val="nil"/>
              <w:left w:val="nil"/>
              <w:bottom w:val="double" w:sz="6" w:space="0" w:color="auto"/>
              <w:right w:val="nil"/>
            </w:tcBorders>
            <w:shd w:val="clear" w:color="auto" w:fill="auto"/>
            <w:noWrap/>
            <w:vAlign w:val="bottom"/>
            <w:hideMark/>
          </w:tcPr>
          <w:p w14:paraId="3014EA30" w14:textId="0520989E" w:rsidR="00C766D7" w:rsidRPr="00F85178" w:rsidRDefault="00C766D7"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1</w:t>
            </w:r>
            <w:r w:rsidR="007B6EF7" w:rsidRPr="00F85178">
              <w:rPr>
                <w:rFonts w:eastAsia="Times New Roman"/>
                <w:b/>
                <w:bCs/>
                <w:szCs w:val="24"/>
                <w:lang w:eastAsia="cs-CZ"/>
              </w:rPr>
              <w:t xml:space="preserve"> </w:t>
            </w:r>
            <w:r w:rsidR="0046284C" w:rsidRPr="00F85178">
              <w:rPr>
                <w:rFonts w:eastAsia="Times New Roman"/>
                <w:b/>
                <w:bCs/>
                <w:szCs w:val="24"/>
                <w:lang w:eastAsia="cs-CZ"/>
              </w:rPr>
              <w:t>00</w:t>
            </w:r>
            <w:r w:rsidR="0046284C">
              <w:rPr>
                <w:rFonts w:eastAsia="Times New Roman"/>
                <w:b/>
                <w:bCs/>
                <w:szCs w:val="24"/>
                <w:lang w:eastAsia="cs-CZ"/>
              </w:rPr>
              <w:t>3</w:t>
            </w:r>
          </w:p>
        </w:tc>
        <w:tc>
          <w:tcPr>
            <w:tcW w:w="597" w:type="dxa"/>
            <w:tcBorders>
              <w:top w:val="nil"/>
              <w:left w:val="nil"/>
              <w:bottom w:val="double" w:sz="6" w:space="0" w:color="auto"/>
              <w:right w:val="nil"/>
            </w:tcBorders>
            <w:shd w:val="clear" w:color="auto" w:fill="auto"/>
            <w:noWrap/>
            <w:vAlign w:val="bottom"/>
            <w:hideMark/>
          </w:tcPr>
          <w:p w14:paraId="2D690F60" w14:textId="4E8BAB4E"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13</w:t>
            </w:r>
            <w:r>
              <w:rPr>
                <w:rFonts w:eastAsia="Times New Roman"/>
                <w:b/>
                <w:bCs/>
                <w:szCs w:val="24"/>
                <w:lang w:eastAsia="cs-CZ"/>
              </w:rPr>
              <w:t>4</w:t>
            </w:r>
          </w:p>
        </w:tc>
        <w:tc>
          <w:tcPr>
            <w:tcW w:w="626" w:type="dxa"/>
            <w:tcBorders>
              <w:top w:val="nil"/>
              <w:left w:val="nil"/>
              <w:bottom w:val="double" w:sz="6" w:space="0" w:color="auto"/>
              <w:right w:val="nil"/>
            </w:tcBorders>
            <w:shd w:val="clear" w:color="auto" w:fill="auto"/>
            <w:noWrap/>
            <w:vAlign w:val="bottom"/>
            <w:hideMark/>
          </w:tcPr>
          <w:p w14:paraId="327FAAD8" w14:textId="5F37BB3B"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43</w:t>
            </w:r>
            <w:r>
              <w:rPr>
                <w:rFonts w:eastAsia="Times New Roman"/>
                <w:b/>
                <w:bCs/>
                <w:szCs w:val="24"/>
                <w:lang w:eastAsia="cs-CZ"/>
              </w:rPr>
              <w:t>8</w:t>
            </w:r>
          </w:p>
        </w:tc>
        <w:tc>
          <w:tcPr>
            <w:tcW w:w="626" w:type="dxa"/>
            <w:tcBorders>
              <w:top w:val="nil"/>
              <w:left w:val="nil"/>
              <w:bottom w:val="double" w:sz="6" w:space="0" w:color="auto"/>
              <w:right w:val="nil"/>
            </w:tcBorders>
            <w:shd w:val="clear" w:color="auto" w:fill="auto"/>
            <w:noWrap/>
            <w:vAlign w:val="bottom"/>
            <w:hideMark/>
          </w:tcPr>
          <w:p w14:paraId="66C9F98E" w14:textId="7816B5D9"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83</w:t>
            </w:r>
            <w:r>
              <w:rPr>
                <w:rFonts w:eastAsia="Times New Roman"/>
                <w:b/>
                <w:bCs/>
                <w:szCs w:val="24"/>
                <w:lang w:eastAsia="cs-CZ"/>
              </w:rPr>
              <w:t>3</w:t>
            </w:r>
          </w:p>
        </w:tc>
        <w:tc>
          <w:tcPr>
            <w:tcW w:w="626" w:type="dxa"/>
            <w:tcBorders>
              <w:top w:val="nil"/>
              <w:left w:val="nil"/>
              <w:bottom w:val="double" w:sz="6" w:space="0" w:color="auto"/>
              <w:right w:val="nil"/>
            </w:tcBorders>
            <w:shd w:val="clear" w:color="auto" w:fill="auto"/>
            <w:noWrap/>
            <w:vAlign w:val="bottom"/>
            <w:hideMark/>
          </w:tcPr>
          <w:p w14:paraId="6D77BBA9" w14:textId="77777777" w:rsidR="00C766D7" w:rsidRPr="00F85178" w:rsidRDefault="00C766D7" w:rsidP="007B6EF7">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423</w:t>
            </w:r>
          </w:p>
        </w:tc>
        <w:tc>
          <w:tcPr>
            <w:tcW w:w="787" w:type="dxa"/>
            <w:tcBorders>
              <w:top w:val="nil"/>
              <w:left w:val="nil"/>
              <w:bottom w:val="double" w:sz="6" w:space="0" w:color="auto"/>
              <w:right w:val="nil"/>
            </w:tcBorders>
            <w:shd w:val="clear" w:color="auto" w:fill="auto"/>
            <w:noWrap/>
            <w:vAlign w:val="bottom"/>
            <w:hideMark/>
          </w:tcPr>
          <w:p w14:paraId="256744FF" w14:textId="1A4B49DC" w:rsidR="00C766D7" w:rsidRPr="00F85178" w:rsidRDefault="00C766D7"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1</w:t>
            </w:r>
            <w:r w:rsidR="007B6EF7" w:rsidRPr="00F85178">
              <w:rPr>
                <w:rFonts w:eastAsia="Times New Roman"/>
                <w:b/>
                <w:bCs/>
                <w:szCs w:val="24"/>
                <w:lang w:eastAsia="cs-CZ"/>
              </w:rPr>
              <w:t xml:space="preserve"> </w:t>
            </w:r>
            <w:r w:rsidR="0046284C" w:rsidRPr="00F85178">
              <w:rPr>
                <w:rFonts w:eastAsia="Times New Roman"/>
                <w:b/>
                <w:bCs/>
                <w:szCs w:val="24"/>
                <w:lang w:eastAsia="cs-CZ"/>
              </w:rPr>
              <w:t>02</w:t>
            </w:r>
            <w:r w:rsidR="0046284C">
              <w:rPr>
                <w:rFonts w:eastAsia="Times New Roman"/>
                <w:b/>
                <w:bCs/>
                <w:szCs w:val="24"/>
                <w:lang w:eastAsia="cs-CZ"/>
              </w:rPr>
              <w:t>7</w:t>
            </w:r>
          </w:p>
        </w:tc>
        <w:tc>
          <w:tcPr>
            <w:tcW w:w="626" w:type="dxa"/>
            <w:tcBorders>
              <w:top w:val="nil"/>
              <w:left w:val="nil"/>
              <w:bottom w:val="double" w:sz="6" w:space="0" w:color="auto"/>
              <w:right w:val="nil"/>
            </w:tcBorders>
            <w:shd w:val="clear" w:color="auto" w:fill="auto"/>
            <w:noWrap/>
            <w:vAlign w:val="bottom"/>
            <w:hideMark/>
          </w:tcPr>
          <w:p w14:paraId="05CEB532" w14:textId="7367071A" w:rsidR="00C766D7" w:rsidRPr="00F85178" w:rsidRDefault="00B84150"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w:t>
            </w:r>
            <w:r>
              <w:rPr>
                <w:rFonts w:eastAsia="Times New Roman"/>
                <w:b/>
                <w:bCs/>
                <w:szCs w:val="24"/>
                <w:lang w:eastAsia="cs-CZ"/>
              </w:rPr>
              <w:t>9</w:t>
            </w:r>
            <w:r w:rsidR="0046284C">
              <w:rPr>
                <w:rFonts w:eastAsia="Times New Roman"/>
                <w:b/>
                <w:bCs/>
                <w:szCs w:val="24"/>
                <w:lang w:eastAsia="cs-CZ"/>
              </w:rPr>
              <w:t>0</w:t>
            </w:r>
          </w:p>
        </w:tc>
        <w:tc>
          <w:tcPr>
            <w:tcW w:w="532" w:type="dxa"/>
            <w:tcBorders>
              <w:top w:val="nil"/>
              <w:left w:val="nil"/>
              <w:bottom w:val="double" w:sz="6" w:space="0" w:color="auto"/>
              <w:right w:val="nil"/>
            </w:tcBorders>
            <w:shd w:val="clear" w:color="auto" w:fill="auto"/>
            <w:noWrap/>
            <w:vAlign w:val="bottom"/>
            <w:hideMark/>
          </w:tcPr>
          <w:p w14:paraId="6609E85F" w14:textId="52886FE6" w:rsidR="00C766D7" w:rsidRPr="00F85178" w:rsidRDefault="0046284C"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9</w:t>
            </w:r>
            <w:r>
              <w:rPr>
                <w:rFonts w:eastAsia="Times New Roman"/>
                <w:b/>
                <w:bCs/>
                <w:szCs w:val="24"/>
                <w:lang w:eastAsia="cs-CZ"/>
              </w:rPr>
              <w:t>6</w:t>
            </w:r>
          </w:p>
        </w:tc>
        <w:tc>
          <w:tcPr>
            <w:tcW w:w="1378" w:type="dxa"/>
            <w:tcBorders>
              <w:top w:val="nil"/>
              <w:left w:val="nil"/>
              <w:bottom w:val="double" w:sz="6" w:space="0" w:color="auto"/>
              <w:right w:val="nil"/>
            </w:tcBorders>
            <w:shd w:val="clear" w:color="auto" w:fill="auto"/>
            <w:noWrap/>
            <w:vAlign w:val="bottom"/>
            <w:hideMark/>
          </w:tcPr>
          <w:p w14:paraId="252480F8" w14:textId="5739A358" w:rsidR="00C766D7" w:rsidRPr="00F85178" w:rsidRDefault="00C766D7" w:rsidP="0046284C">
            <w:pPr>
              <w:tabs>
                <w:tab w:val="left" w:pos="1460"/>
              </w:tabs>
              <w:spacing w:line="240" w:lineRule="auto"/>
              <w:jc w:val="center"/>
              <w:rPr>
                <w:rFonts w:eastAsia="Times New Roman"/>
                <w:b/>
                <w:bCs/>
                <w:szCs w:val="24"/>
                <w:lang w:eastAsia="cs-CZ"/>
              </w:rPr>
            </w:pPr>
            <w:r w:rsidRPr="00F85178">
              <w:rPr>
                <w:rFonts w:eastAsia="Times New Roman"/>
                <w:b/>
                <w:bCs/>
                <w:szCs w:val="24"/>
                <w:lang w:eastAsia="cs-CZ"/>
              </w:rPr>
              <w:t>4</w:t>
            </w:r>
            <w:r w:rsidR="007B6EF7" w:rsidRPr="00F85178">
              <w:rPr>
                <w:rFonts w:eastAsia="Times New Roman"/>
                <w:b/>
                <w:bCs/>
                <w:szCs w:val="24"/>
                <w:lang w:eastAsia="cs-CZ"/>
              </w:rPr>
              <w:t xml:space="preserve"> </w:t>
            </w:r>
            <w:r w:rsidR="0046284C" w:rsidRPr="00F85178">
              <w:rPr>
                <w:rFonts w:eastAsia="Times New Roman"/>
                <w:b/>
                <w:bCs/>
                <w:szCs w:val="24"/>
                <w:lang w:eastAsia="cs-CZ"/>
              </w:rPr>
              <w:t>4</w:t>
            </w:r>
            <w:r w:rsidR="0046284C">
              <w:rPr>
                <w:rFonts w:eastAsia="Times New Roman"/>
                <w:b/>
                <w:bCs/>
                <w:szCs w:val="24"/>
                <w:lang w:eastAsia="cs-CZ"/>
              </w:rPr>
              <w:t>42</w:t>
            </w:r>
          </w:p>
        </w:tc>
      </w:tr>
      <w:tr w:rsidR="00F85178" w:rsidRPr="00F85178" w14:paraId="33886ABD" w14:textId="77777777" w:rsidTr="00277937">
        <w:trPr>
          <w:trHeight w:val="330"/>
        </w:trPr>
        <w:tc>
          <w:tcPr>
            <w:tcW w:w="2080" w:type="dxa"/>
            <w:tcBorders>
              <w:top w:val="nil"/>
              <w:left w:val="nil"/>
              <w:bottom w:val="nil"/>
              <w:right w:val="nil"/>
            </w:tcBorders>
            <w:shd w:val="clear" w:color="auto" w:fill="auto"/>
            <w:noWrap/>
            <w:vAlign w:val="bottom"/>
            <w:hideMark/>
          </w:tcPr>
          <w:p w14:paraId="03442D07" w14:textId="77777777" w:rsidR="00C766D7" w:rsidRPr="00F85178" w:rsidRDefault="00C766D7" w:rsidP="00277937">
            <w:pPr>
              <w:spacing w:line="240" w:lineRule="auto"/>
              <w:jc w:val="center"/>
              <w:rPr>
                <w:rFonts w:eastAsia="Times New Roman"/>
                <w:b/>
                <w:bCs/>
                <w:szCs w:val="24"/>
                <w:lang w:eastAsia="cs-CZ"/>
              </w:rPr>
            </w:pPr>
          </w:p>
        </w:tc>
        <w:tc>
          <w:tcPr>
            <w:tcW w:w="842" w:type="dxa"/>
            <w:tcBorders>
              <w:top w:val="nil"/>
              <w:left w:val="nil"/>
              <w:bottom w:val="nil"/>
              <w:right w:val="nil"/>
            </w:tcBorders>
            <w:shd w:val="clear" w:color="auto" w:fill="auto"/>
            <w:noWrap/>
            <w:vAlign w:val="bottom"/>
            <w:hideMark/>
          </w:tcPr>
          <w:p w14:paraId="69802109"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597" w:type="dxa"/>
            <w:tcBorders>
              <w:top w:val="nil"/>
              <w:left w:val="nil"/>
              <w:bottom w:val="nil"/>
              <w:right w:val="nil"/>
            </w:tcBorders>
            <w:shd w:val="clear" w:color="auto" w:fill="auto"/>
            <w:noWrap/>
            <w:vAlign w:val="bottom"/>
            <w:hideMark/>
          </w:tcPr>
          <w:p w14:paraId="738038A6"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626" w:type="dxa"/>
            <w:tcBorders>
              <w:top w:val="nil"/>
              <w:left w:val="nil"/>
              <w:bottom w:val="nil"/>
              <w:right w:val="nil"/>
            </w:tcBorders>
            <w:shd w:val="clear" w:color="auto" w:fill="auto"/>
            <w:noWrap/>
            <w:vAlign w:val="bottom"/>
            <w:hideMark/>
          </w:tcPr>
          <w:p w14:paraId="190A3C1B"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626" w:type="dxa"/>
            <w:tcBorders>
              <w:top w:val="nil"/>
              <w:left w:val="nil"/>
              <w:bottom w:val="nil"/>
              <w:right w:val="nil"/>
            </w:tcBorders>
            <w:shd w:val="clear" w:color="auto" w:fill="auto"/>
            <w:noWrap/>
            <w:vAlign w:val="bottom"/>
            <w:hideMark/>
          </w:tcPr>
          <w:p w14:paraId="38B09EC4"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626" w:type="dxa"/>
            <w:tcBorders>
              <w:top w:val="nil"/>
              <w:left w:val="nil"/>
              <w:bottom w:val="nil"/>
              <w:right w:val="nil"/>
            </w:tcBorders>
            <w:shd w:val="clear" w:color="auto" w:fill="auto"/>
            <w:noWrap/>
            <w:vAlign w:val="bottom"/>
            <w:hideMark/>
          </w:tcPr>
          <w:p w14:paraId="6AC79F90"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787" w:type="dxa"/>
            <w:tcBorders>
              <w:top w:val="nil"/>
              <w:left w:val="nil"/>
              <w:bottom w:val="nil"/>
              <w:right w:val="nil"/>
            </w:tcBorders>
            <w:shd w:val="clear" w:color="auto" w:fill="auto"/>
            <w:noWrap/>
            <w:vAlign w:val="bottom"/>
            <w:hideMark/>
          </w:tcPr>
          <w:p w14:paraId="074159C4"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626" w:type="dxa"/>
            <w:tcBorders>
              <w:top w:val="nil"/>
              <w:left w:val="nil"/>
              <w:bottom w:val="nil"/>
              <w:right w:val="nil"/>
            </w:tcBorders>
            <w:shd w:val="clear" w:color="auto" w:fill="auto"/>
            <w:noWrap/>
            <w:vAlign w:val="bottom"/>
            <w:hideMark/>
          </w:tcPr>
          <w:p w14:paraId="711D70D1"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532" w:type="dxa"/>
            <w:tcBorders>
              <w:top w:val="nil"/>
              <w:left w:val="nil"/>
              <w:bottom w:val="nil"/>
              <w:right w:val="nil"/>
            </w:tcBorders>
            <w:shd w:val="clear" w:color="auto" w:fill="auto"/>
            <w:noWrap/>
            <w:vAlign w:val="bottom"/>
            <w:hideMark/>
          </w:tcPr>
          <w:p w14:paraId="117E001C"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c>
          <w:tcPr>
            <w:tcW w:w="1378" w:type="dxa"/>
            <w:tcBorders>
              <w:top w:val="nil"/>
              <w:left w:val="nil"/>
              <w:bottom w:val="nil"/>
              <w:right w:val="nil"/>
            </w:tcBorders>
            <w:shd w:val="clear" w:color="auto" w:fill="auto"/>
            <w:noWrap/>
            <w:vAlign w:val="bottom"/>
            <w:hideMark/>
          </w:tcPr>
          <w:p w14:paraId="29D6E127" w14:textId="77777777" w:rsidR="00C766D7" w:rsidRPr="00F85178" w:rsidRDefault="00C766D7" w:rsidP="00277937">
            <w:pPr>
              <w:spacing w:line="240" w:lineRule="auto"/>
              <w:jc w:val="left"/>
              <w:rPr>
                <w:rFonts w:ascii="Times New Roman" w:eastAsia="Times New Roman" w:hAnsi="Times New Roman"/>
                <w:sz w:val="20"/>
                <w:szCs w:val="20"/>
                <w:lang w:eastAsia="cs-CZ"/>
              </w:rPr>
            </w:pPr>
          </w:p>
        </w:tc>
      </w:tr>
    </w:tbl>
    <w:p w14:paraId="137398C6" w14:textId="77777777" w:rsidR="00C766D7" w:rsidRPr="00F85178" w:rsidRDefault="00C766D7" w:rsidP="00C766D7">
      <w:pPr>
        <w:pStyle w:val="OdstavecASR"/>
      </w:pPr>
      <w:r w:rsidRPr="00F85178">
        <w:t xml:space="preserve">Plánovaný počet zaměstnanců </w:t>
      </w:r>
      <w:r w:rsidR="009401D4" w:rsidRPr="00F85178">
        <w:t xml:space="preserve">ve výkonu </w:t>
      </w:r>
      <w:r w:rsidRPr="00F85178">
        <w:t>se stejně jako plánovaný počet soudců odvíjí od systemizace. Evidenční počet zaměstnanců se odvíjí od plánovaného počtu zaměstnanců ve výkonu, ale závisí také na situaci na trhu práce a personální politice jednotlivých soudů. Z toho ve výsledku plyne skutečnost, že poměr počtu soudců k počtu zaměstnanců ve výkonu je sice u všech soudů podobný, ale zdaleka ne totožný.</w:t>
      </w:r>
    </w:p>
    <w:p w14:paraId="54B89BAD" w14:textId="77777777" w:rsidR="00C766D7" w:rsidRPr="00F85178" w:rsidRDefault="0059133E" w:rsidP="00F52209">
      <w:pPr>
        <w:pStyle w:val="OdstavecASR"/>
      </w:pPr>
      <w:r w:rsidRPr="00F85178">
        <w:t>K</w:t>
      </w:r>
      <w:r w:rsidR="00AB7D61" w:rsidRPr="00F85178">
        <w:t> 1.</w:t>
      </w:r>
      <w:r w:rsidR="00B604A2" w:rsidRPr="00F85178">
        <w:t xml:space="preserve"> </w:t>
      </w:r>
      <w:r w:rsidR="00AB7D61" w:rsidRPr="00F85178">
        <w:t>1</w:t>
      </w:r>
      <w:r w:rsidR="00B604A2" w:rsidRPr="00F85178">
        <w:t>.</w:t>
      </w:r>
      <w:r w:rsidR="00AB7D61" w:rsidRPr="00F85178">
        <w:t xml:space="preserve"> 2017</w:t>
      </w:r>
      <w:r w:rsidR="00C766D7" w:rsidRPr="00F85178">
        <w:t xml:space="preserve"> pracovalo u okresních soudů celkem 4 </w:t>
      </w:r>
      <w:r w:rsidR="00AB7D61" w:rsidRPr="00F85178">
        <w:t>506</w:t>
      </w:r>
      <w:r w:rsidR="00C766D7" w:rsidRPr="00F85178">
        <w:t xml:space="preserve"> za</w:t>
      </w:r>
      <w:r w:rsidR="00AB7D61" w:rsidRPr="00F85178">
        <w:t>městnanců ve výkonu. V roce 2018</w:t>
      </w:r>
      <w:r w:rsidR="00C766D7" w:rsidRPr="00F85178">
        <w:t xml:space="preserve"> </w:t>
      </w:r>
      <w:r w:rsidR="00AB7D61" w:rsidRPr="00F85178">
        <w:t>se</w:t>
      </w:r>
      <w:r w:rsidR="00C766D7" w:rsidRPr="00F85178">
        <w:t xml:space="preserve"> </w:t>
      </w:r>
      <w:r w:rsidR="00AB7D61" w:rsidRPr="00F85178">
        <w:t>tento počet takřka nezměnil</w:t>
      </w:r>
      <w:r w:rsidR="008D2A8F" w:rsidRPr="00F85178">
        <w:t xml:space="preserve">, s výjimkou obvodních soudů v Praze, kde došlo k poklesu </w:t>
      </w:r>
      <w:r w:rsidR="003F03B4" w:rsidRPr="00F85178">
        <w:t>o </w:t>
      </w:r>
      <w:r w:rsidR="008D2A8F" w:rsidRPr="00F85178">
        <w:t>téměř 9</w:t>
      </w:r>
      <w:r w:rsidR="007C2863" w:rsidRPr="00F85178">
        <w:t> </w:t>
      </w:r>
      <w:r w:rsidR="008D2A8F" w:rsidRPr="00F85178">
        <w:t>%</w:t>
      </w:r>
      <w:r w:rsidR="006C771F" w:rsidRPr="00F85178">
        <w:t xml:space="preserve">. </w:t>
      </w:r>
      <w:r w:rsidR="00862232" w:rsidRPr="00F85178">
        <w:t xml:space="preserve">Je také potřebné doplnit, že v roce 2018 byl </w:t>
      </w:r>
      <w:r w:rsidR="004038B7" w:rsidRPr="00F85178">
        <w:t xml:space="preserve">celkový </w:t>
      </w:r>
      <w:r w:rsidR="00862232" w:rsidRPr="00F85178">
        <w:t xml:space="preserve">evidenční počet zaměstnanců </w:t>
      </w:r>
      <w:r w:rsidR="003F03B4" w:rsidRPr="00F85178">
        <w:t>stále o </w:t>
      </w:r>
      <w:r w:rsidR="00862232" w:rsidRPr="00F85178">
        <w:t>155 zaměstnanců vyšší v porovnání s rokem 2016.</w:t>
      </w:r>
    </w:p>
    <w:p w14:paraId="49391B15" w14:textId="77777777" w:rsidR="00F52209" w:rsidRPr="00F85178" w:rsidRDefault="00F52209" w:rsidP="00F52209">
      <w:pPr>
        <w:pStyle w:val="OdstavecASR"/>
      </w:pPr>
      <w:r w:rsidRPr="00F85178">
        <w:t>Pro úplnost následuje krátké shrnutí pravomocí a pracovní náplně jednotlivých pracovníků soudu:</w:t>
      </w:r>
    </w:p>
    <w:p w14:paraId="2ED0C94D" w14:textId="77777777" w:rsidR="00F52209" w:rsidRPr="00F85178" w:rsidRDefault="00F52209" w:rsidP="00F52209">
      <w:pPr>
        <w:pStyle w:val="Odstavecseseznamem"/>
        <w:numPr>
          <w:ilvl w:val="0"/>
          <w:numId w:val="5"/>
        </w:numPr>
      </w:pPr>
      <w:r w:rsidRPr="00F85178">
        <w:rPr>
          <w:b/>
        </w:rPr>
        <w:t xml:space="preserve">Vyšší soudní úředník (VSÚ) </w:t>
      </w:r>
      <w:r w:rsidRPr="00F85178">
        <w:t>– může namísto soudce provádět jednodušší úkony včetně některých rozhodnutí, nemůže ale vést jednání a zejména vydávat rozsudky. Nerozhoduje nezávisle, ale je povinen dbát pokynů soudce, kterému musí také věc předat, je-li právně nebo skutkově složitá. Může jím být pouze absolvent studia na Justiční akademii v Kroměříži nebo absolvent vysokoškolského bakalářského nebo magisterského studijního programu v oblasti práva.</w:t>
      </w:r>
    </w:p>
    <w:p w14:paraId="1AC74C31" w14:textId="77777777" w:rsidR="00F52209" w:rsidRPr="00F85178" w:rsidRDefault="00F52209" w:rsidP="00F52209">
      <w:pPr>
        <w:pStyle w:val="Odstavecseseznamem"/>
        <w:numPr>
          <w:ilvl w:val="0"/>
          <w:numId w:val="5"/>
        </w:numPr>
        <w:rPr>
          <w:b/>
        </w:rPr>
      </w:pPr>
      <w:r w:rsidRPr="00F85178">
        <w:rPr>
          <w:b/>
        </w:rPr>
        <w:t xml:space="preserve">Soudní tajemník (ST) </w:t>
      </w:r>
      <w:r w:rsidRPr="00F85178">
        <w:t>– může jím být pouze osoba s úspěšně složenou maturitní zkouškou. Může provádět jednoduché úkony, ke kterým je pověřen předsedou soudu.</w:t>
      </w:r>
    </w:p>
    <w:p w14:paraId="6AC2B6A2" w14:textId="77777777" w:rsidR="00F52209" w:rsidRPr="00F85178" w:rsidRDefault="00F52209" w:rsidP="00F52209">
      <w:pPr>
        <w:pStyle w:val="Odstavecseseznamem"/>
        <w:numPr>
          <w:ilvl w:val="0"/>
          <w:numId w:val="5"/>
        </w:numPr>
        <w:rPr>
          <w:b/>
        </w:rPr>
      </w:pPr>
      <w:r w:rsidRPr="00F85178">
        <w:rPr>
          <w:b/>
        </w:rPr>
        <w:t xml:space="preserve">Asistent soudce (A) </w:t>
      </w:r>
      <w:r w:rsidRPr="00F85178">
        <w:t>– samostatně vykonává jednotlivé úkony v soudním řízení z pověření soudce, jehož je asistentem, například zpracovává koncepty rozhodnutí. Je jmenován předsedou soudu k návrhu příslušného soudce. Může jím být pouze absolvent vysokoškolského magisterského studijního programu v oblasti práva.</w:t>
      </w:r>
    </w:p>
    <w:p w14:paraId="4AE565F4" w14:textId="77777777" w:rsidR="00F52209" w:rsidRPr="00F85178" w:rsidRDefault="00F52209" w:rsidP="00F52209">
      <w:pPr>
        <w:pStyle w:val="Odstavecseseznamem"/>
        <w:numPr>
          <w:ilvl w:val="0"/>
          <w:numId w:val="5"/>
        </w:numPr>
        <w:rPr>
          <w:b/>
        </w:rPr>
      </w:pPr>
      <w:r w:rsidRPr="00F85178">
        <w:rPr>
          <w:b/>
        </w:rPr>
        <w:t xml:space="preserve">Vedoucí kanceláře (VK) </w:t>
      </w:r>
      <w:r w:rsidRPr="00F85178">
        <w:t>– vede rejstříky a řídí práci zapisovatelek většinou ve více soudních odděleních.</w:t>
      </w:r>
    </w:p>
    <w:p w14:paraId="5D851A34" w14:textId="77777777" w:rsidR="00F52209" w:rsidRPr="00F85178" w:rsidRDefault="00F52209" w:rsidP="00F52209">
      <w:pPr>
        <w:pStyle w:val="Odstavecseseznamem"/>
        <w:numPr>
          <w:ilvl w:val="0"/>
          <w:numId w:val="5"/>
        </w:numPr>
        <w:rPr>
          <w:b/>
        </w:rPr>
      </w:pPr>
      <w:r w:rsidRPr="00F85178">
        <w:rPr>
          <w:b/>
        </w:rPr>
        <w:t xml:space="preserve">Protokolující úředník (PÚ) </w:t>
      </w:r>
      <w:r w:rsidRPr="00F85178">
        <w:t>– pořizuje zvukový záznam o průběhu hlavního líčení a na jeho podkladě vypracuje protokol.</w:t>
      </w:r>
    </w:p>
    <w:p w14:paraId="564B318E" w14:textId="77777777" w:rsidR="00F52209" w:rsidRPr="00F85178" w:rsidRDefault="00F52209" w:rsidP="00F52209">
      <w:pPr>
        <w:pStyle w:val="Odstavecseseznamem"/>
        <w:numPr>
          <w:ilvl w:val="0"/>
          <w:numId w:val="5"/>
        </w:numPr>
        <w:rPr>
          <w:b/>
        </w:rPr>
      </w:pPr>
      <w:r w:rsidRPr="00F85178">
        <w:rPr>
          <w:b/>
        </w:rPr>
        <w:t xml:space="preserve">Zapisovatelka (Z) </w:t>
      </w:r>
      <w:r w:rsidRPr="00F85178">
        <w:t>– munduje (zpracovává) spisy a sepisuje protokol o jednání v jednací síni dle diktátu soudce, popř. přepisu zvukového nebo zvukově-obrazového záznamu o průběhu jednání.</w:t>
      </w:r>
    </w:p>
    <w:p w14:paraId="1DB8E74F" w14:textId="77777777" w:rsidR="00F52209" w:rsidRPr="00F85178" w:rsidRDefault="00F52209" w:rsidP="00F52209">
      <w:pPr>
        <w:pStyle w:val="Odstavecseseznamem"/>
        <w:numPr>
          <w:ilvl w:val="0"/>
          <w:numId w:val="5"/>
        </w:numPr>
      </w:pPr>
      <w:r w:rsidRPr="00F85178">
        <w:rPr>
          <w:b/>
        </w:rPr>
        <w:t xml:space="preserve">Rejstříková vedoucí (RV) </w:t>
      </w:r>
      <w:r w:rsidRPr="00F85178">
        <w:t>– většinou pro jedno soudní oddělení vede rejstřík, munduje spisy a sepisuje protokol o jednání v jednací síni dle diktátu soudce, popř. přepisu zvukového nebo zvukově-obrazového záznamu o průběhu jednání. Tato pozice je zaměnitelná s pozicí vedoucí kanceláře.</w:t>
      </w:r>
    </w:p>
    <w:p w14:paraId="598E898E" w14:textId="77777777" w:rsidR="00C766D7" w:rsidRPr="00F85178" w:rsidRDefault="00F52209" w:rsidP="00F52209">
      <w:pPr>
        <w:pStyle w:val="Odstavecseseznamem"/>
        <w:numPr>
          <w:ilvl w:val="0"/>
          <w:numId w:val="5"/>
        </w:numPr>
      </w:pPr>
      <w:r w:rsidRPr="00F85178">
        <w:rPr>
          <w:b/>
        </w:rPr>
        <w:t xml:space="preserve">Soudní vykonavatel (SV) </w:t>
      </w:r>
      <w:r w:rsidRPr="00F85178">
        <w:t>– vynucuje splnění povinnosti na povinné osobě, které byla tato povinnost uložena vykonatelným exekučním titulem. Také je oprávněn provádět úkony spojené s odebráním dítěte v řízení péče o nezletilé.</w:t>
      </w:r>
    </w:p>
    <w:p w14:paraId="4C3FEDD8" w14:textId="777532DE" w:rsidR="00E56D63" w:rsidRPr="00F85178" w:rsidRDefault="009401D4" w:rsidP="009401D4">
      <w:pPr>
        <w:pStyle w:val="OdstavecASR"/>
      </w:pPr>
      <w:r w:rsidRPr="00F85178">
        <w:t>Dalšími zaměstnanci soud</w:t>
      </w:r>
      <w:r w:rsidR="003F03B4" w:rsidRPr="00F85178">
        <w:t>ů</w:t>
      </w:r>
      <w:r w:rsidRPr="00F85178">
        <w:t xml:space="preserve"> jsou tzv. zaměstnanci ve správě. Zatímco zaměstnanci ve výkonu se bezprostředně podílejí na vyřizování soudní agendy a výkonu soudnictví, zaměstnanci ve správě zajišťují provoz soudu. To zahrnuje velkou škálu funkcí. Celou správu soudu řídí ředitel správy. Dalšími zaměstnanci ve správě jsou například pracovníci sekretariátu, dozorčí úředníci, účetní, ekonomové, informatici nebo řidiči. Celkem je rozlišováno 40 kategorií zaměstnanců ve správě. </w:t>
      </w:r>
      <w:r w:rsidR="00A51808">
        <w:t>K</w:t>
      </w:r>
      <w:r w:rsidR="00E56D63" w:rsidRPr="00F85178">
        <w:t> 1. 1. 2018 pracovalo ve správě u okresních soudů celkem 1</w:t>
      </w:r>
      <w:r w:rsidR="00B604A2" w:rsidRPr="00F85178">
        <w:t xml:space="preserve"> </w:t>
      </w:r>
      <w:r w:rsidR="00E56D63" w:rsidRPr="00F85178">
        <w:t>637 osob.</w:t>
      </w:r>
    </w:p>
    <w:p w14:paraId="4B944877" w14:textId="77777777" w:rsidR="00F52209" w:rsidRPr="00F85178" w:rsidRDefault="00F52209" w:rsidP="00F52209">
      <w:pPr>
        <w:pStyle w:val="Nadpis3"/>
        <w:rPr>
          <w:color w:val="auto"/>
        </w:rPr>
      </w:pPr>
      <w:bookmarkStart w:id="55" w:name="_Toc14076871"/>
      <w:r w:rsidRPr="00F85178">
        <w:rPr>
          <w:color w:val="auto"/>
        </w:rPr>
        <w:t>Přísedící soudu</w:t>
      </w:r>
      <w:bookmarkEnd w:id="55"/>
    </w:p>
    <w:p w14:paraId="12ACE4A2" w14:textId="77777777" w:rsidR="00CA6423" w:rsidRPr="00F85178" w:rsidRDefault="00CA6423" w:rsidP="00CA6423">
      <w:r w:rsidRPr="00F85178">
        <w:t xml:space="preserve">Kromě soudců a zaměstnanců ve výkonu se na rozhodovací činnosti soudu podílejí také tzv. přísedící. Přísedícím se může stát každý svéprávný a bezúhonný občan České republiky, kterému je nejméně 30 let. </w:t>
      </w:r>
      <w:r w:rsidR="00385379" w:rsidRPr="00F85178">
        <w:t>V trestním řízení rozhodují přísedící</w:t>
      </w:r>
      <w:r w:rsidR="00E00E84" w:rsidRPr="00F85178">
        <w:t xml:space="preserve"> v prvním </w:t>
      </w:r>
      <w:r w:rsidR="00C05AC6" w:rsidRPr="00F85178">
        <w:t>stupni</w:t>
      </w:r>
      <w:r w:rsidR="006C7689" w:rsidRPr="00F85178">
        <w:t xml:space="preserve"> ve</w:t>
      </w:r>
      <w:r w:rsidR="00385379" w:rsidRPr="00F85178">
        <w:t xml:space="preserve"> věcech, kde zákon stanoví trest odnětí svobody, jehož dolní hranice je minimálně pět let.</w:t>
      </w:r>
      <w:r w:rsidR="00E00E84" w:rsidRPr="00F85178">
        <w:t xml:space="preserve"> Jde tedy o řízení u</w:t>
      </w:r>
      <w:r w:rsidR="006C7689" w:rsidRPr="00F85178">
        <w:t> </w:t>
      </w:r>
      <w:r w:rsidR="00E00E84" w:rsidRPr="00F85178">
        <w:t>okresních soudů nebo prvostupňové řízení u soudu krajských.</w:t>
      </w:r>
      <w:r w:rsidR="00385379" w:rsidRPr="00F85178">
        <w:t xml:space="preserve"> </w:t>
      </w:r>
      <w:r w:rsidRPr="00F85178">
        <w:t xml:space="preserve">V civilním řízení rozhodují přísedící v pracovněprávních </w:t>
      </w:r>
      <w:r w:rsidR="00E00E84" w:rsidRPr="00F85178">
        <w:t>sporech u okresních soudů.</w:t>
      </w:r>
    </w:p>
    <w:p w14:paraId="0DCBE7CE" w14:textId="77777777" w:rsidR="00385379" w:rsidRPr="00F85178" w:rsidRDefault="00CA6423" w:rsidP="00F52209">
      <w:pPr>
        <w:pStyle w:val="OdstavecASR"/>
      </w:pPr>
      <w:r w:rsidRPr="00F85178">
        <w:t>V</w:t>
      </w:r>
      <w:r w:rsidR="00AB7D61" w:rsidRPr="00F85178">
        <w:t> trestní agendě</w:t>
      </w:r>
      <w:r w:rsidRPr="00F85178">
        <w:t xml:space="preserve"> se </w:t>
      </w:r>
      <w:r w:rsidR="00AB7D61" w:rsidRPr="00F85178">
        <w:t xml:space="preserve">u okresních soudů podílí na rozhodování přibližně </w:t>
      </w:r>
      <w:r w:rsidR="00B604A2" w:rsidRPr="00F85178">
        <w:t xml:space="preserve">u </w:t>
      </w:r>
      <w:r w:rsidR="00AB7D61" w:rsidRPr="00F85178">
        <w:t xml:space="preserve">5 až 10 % případů, v civilní agendě je to ještě výrazně méně, většinou </w:t>
      </w:r>
      <w:r w:rsidR="00385379" w:rsidRPr="00F85178">
        <w:t>do 1 % případů.</w:t>
      </w:r>
    </w:p>
    <w:p w14:paraId="62889237" w14:textId="77777777" w:rsidR="00E00E84" w:rsidRPr="00F85178" w:rsidRDefault="00E00E84" w:rsidP="00E00E84">
      <w:pPr>
        <w:pStyle w:val="Podtitul"/>
        <w:rPr>
          <w:color w:val="auto"/>
        </w:rPr>
      </w:pPr>
      <w:bookmarkStart w:id="56" w:name="_Toc11133208"/>
      <w:bookmarkStart w:id="57" w:name="_Toc13837429"/>
      <w:r w:rsidRPr="00F85178">
        <w:rPr>
          <w:color w:val="auto"/>
        </w:rPr>
        <w:t xml:space="preserve">Tabulka </w:t>
      </w:r>
      <w:r w:rsidR="00D251EE" w:rsidRPr="00F85178">
        <w:rPr>
          <w:noProof/>
          <w:color w:val="auto"/>
        </w:rPr>
        <w:fldChar w:fldCharType="begin"/>
      </w:r>
      <w:r w:rsidR="00D251EE" w:rsidRPr="00F85178">
        <w:rPr>
          <w:noProof/>
          <w:color w:val="auto"/>
        </w:rPr>
        <w:instrText xml:space="preserve"> SEQ Tabulka \* ARABIC </w:instrText>
      </w:r>
      <w:r w:rsidR="00D251EE" w:rsidRPr="00F85178">
        <w:rPr>
          <w:noProof/>
          <w:color w:val="auto"/>
        </w:rPr>
        <w:fldChar w:fldCharType="separate"/>
      </w:r>
      <w:r w:rsidR="00306940">
        <w:rPr>
          <w:noProof/>
          <w:color w:val="auto"/>
        </w:rPr>
        <w:t>6</w:t>
      </w:r>
      <w:r w:rsidR="00D251EE" w:rsidRPr="00F85178">
        <w:rPr>
          <w:noProof/>
          <w:color w:val="auto"/>
        </w:rPr>
        <w:fldChar w:fldCharType="end"/>
      </w:r>
      <w:r w:rsidRPr="00F85178">
        <w:rPr>
          <w:color w:val="auto"/>
        </w:rPr>
        <w:t>: OS – počet přísedících dle krajů</w:t>
      </w:r>
      <w:bookmarkEnd w:id="56"/>
      <w:bookmarkEnd w:id="57"/>
    </w:p>
    <w:tbl>
      <w:tblPr>
        <w:tblW w:w="4860" w:type="dxa"/>
        <w:tblInd w:w="70" w:type="dxa"/>
        <w:tblCellMar>
          <w:left w:w="70" w:type="dxa"/>
          <w:right w:w="70" w:type="dxa"/>
        </w:tblCellMar>
        <w:tblLook w:val="04A0" w:firstRow="1" w:lastRow="0" w:firstColumn="1" w:lastColumn="0" w:noHBand="0" w:noVBand="1"/>
      </w:tblPr>
      <w:tblGrid>
        <w:gridCol w:w="2220"/>
        <w:gridCol w:w="2640"/>
      </w:tblGrid>
      <w:tr w:rsidR="00F85178" w:rsidRPr="00F85178" w14:paraId="05D996BD" w14:textId="77777777" w:rsidTr="00CA6423">
        <w:trPr>
          <w:trHeight w:val="345"/>
        </w:trPr>
        <w:tc>
          <w:tcPr>
            <w:tcW w:w="2220" w:type="dxa"/>
            <w:tcBorders>
              <w:top w:val="double" w:sz="6" w:space="0" w:color="auto"/>
              <w:left w:val="nil"/>
              <w:bottom w:val="double" w:sz="6" w:space="0" w:color="auto"/>
              <w:right w:val="nil"/>
            </w:tcBorders>
            <w:shd w:val="clear" w:color="auto" w:fill="auto"/>
            <w:noWrap/>
            <w:vAlign w:val="center"/>
            <w:hideMark/>
          </w:tcPr>
          <w:p w14:paraId="2C5E33A7" w14:textId="77777777" w:rsidR="00CA6423" w:rsidRPr="00F85178" w:rsidRDefault="00CA6423" w:rsidP="00CA6423">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2640" w:type="dxa"/>
            <w:tcBorders>
              <w:top w:val="double" w:sz="6" w:space="0" w:color="auto"/>
              <w:left w:val="nil"/>
              <w:bottom w:val="double" w:sz="6" w:space="0" w:color="auto"/>
              <w:right w:val="nil"/>
            </w:tcBorders>
            <w:shd w:val="clear" w:color="auto" w:fill="auto"/>
            <w:noWrap/>
            <w:vAlign w:val="center"/>
            <w:hideMark/>
          </w:tcPr>
          <w:p w14:paraId="34F0682F" w14:textId="77777777" w:rsidR="00CA6423" w:rsidRPr="00F85178" w:rsidRDefault="00CA6423" w:rsidP="00CA6423">
            <w:pPr>
              <w:spacing w:line="240" w:lineRule="auto"/>
              <w:jc w:val="center"/>
              <w:rPr>
                <w:rFonts w:eastAsia="Times New Roman"/>
                <w:b/>
                <w:bCs/>
                <w:szCs w:val="24"/>
                <w:lang w:eastAsia="cs-CZ"/>
              </w:rPr>
            </w:pPr>
            <w:r w:rsidRPr="00F85178">
              <w:rPr>
                <w:rFonts w:eastAsia="Times New Roman"/>
                <w:b/>
                <w:bCs/>
                <w:szCs w:val="24"/>
                <w:lang w:eastAsia="cs-CZ"/>
              </w:rPr>
              <w:t>Počet přísedících</w:t>
            </w:r>
          </w:p>
        </w:tc>
      </w:tr>
      <w:tr w:rsidR="00F85178" w:rsidRPr="00F85178" w14:paraId="2F25B027" w14:textId="77777777" w:rsidTr="00CA6423">
        <w:trPr>
          <w:trHeight w:val="330"/>
        </w:trPr>
        <w:tc>
          <w:tcPr>
            <w:tcW w:w="2220" w:type="dxa"/>
            <w:tcBorders>
              <w:top w:val="nil"/>
              <w:left w:val="nil"/>
              <w:bottom w:val="single" w:sz="4" w:space="0" w:color="auto"/>
              <w:right w:val="nil"/>
            </w:tcBorders>
            <w:shd w:val="clear" w:color="auto" w:fill="auto"/>
            <w:noWrap/>
            <w:vAlign w:val="bottom"/>
            <w:hideMark/>
          </w:tcPr>
          <w:p w14:paraId="077884F7"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MS Praha</w:t>
            </w:r>
          </w:p>
        </w:tc>
        <w:tc>
          <w:tcPr>
            <w:tcW w:w="2640" w:type="dxa"/>
            <w:tcBorders>
              <w:top w:val="nil"/>
              <w:left w:val="nil"/>
              <w:bottom w:val="single" w:sz="4" w:space="0" w:color="auto"/>
              <w:right w:val="nil"/>
            </w:tcBorders>
            <w:shd w:val="clear" w:color="auto" w:fill="auto"/>
            <w:noWrap/>
            <w:vAlign w:val="bottom"/>
            <w:hideMark/>
          </w:tcPr>
          <w:p w14:paraId="3591A2F7"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495</w:t>
            </w:r>
          </w:p>
        </w:tc>
      </w:tr>
      <w:tr w:rsidR="00F85178" w:rsidRPr="00F85178" w14:paraId="1826DD61"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53E39A83"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Praha</w:t>
            </w:r>
          </w:p>
        </w:tc>
        <w:tc>
          <w:tcPr>
            <w:tcW w:w="2640" w:type="dxa"/>
            <w:tcBorders>
              <w:top w:val="nil"/>
              <w:left w:val="nil"/>
              <w:bottom w:val="single" w:sz="4" w:space="0" w:color="auto"/>
              <w:right w:val="nil"/>
            </w:tcBorders>
            <w:shd w:val="clear" w:color="auto" w:fill="auto"/>
            <w:noWrap/>
            <w:vAlign w:val="bottom"/>
            <w:hideMark/>
          </w:tcPr>
          <w:p w14:paraId="5DAB8554"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409</w:t>
            </w:r>
          </w:p>
        </w:tc>
      </w:tr>
      <w:tr w:rsidR="00F85178" w:rsidRPr="00F85178" w14:paraId="097C4637"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2607A15D"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Č. Budějovice</w:t>
            </w:r>
          </w:p>
        </w:tc>
        <w:tc>
          <w:tcPr>
            <w:tcW w:w="2640" w:type="dxa"/>
            <w:tcBorders>
              <w:top w:val="nil"/>
              <w:left w:val="nil"/>
              <w:bottom w:val="single" w:sz="4" w:space="0" w:color="auto"/>
              <w:right w:val="nil"/>
            </w:tcBorders>
            <w:shd w:val="clear" w:color="auto" w:fill="auto"/>
            <w:noWrap/>
            <w:vAlign w:val="bottom"/>
            <w:hideMark/>
          </w:tcPr>
          <w:p w14:paraId="0DC63F6F"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268</w:t>
            </w:r>
          </w:p>
        </w:tc>
      </w:tr>
      <w:tr w:rsidR="00F85178" w:rsidRPr="00F85178" w14:paraId="4D4D93E6"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7F9E6AFE"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Plzeň</w:t>
            </w:r>
          </w:p>
        </w:tc>
        <w:tc>
          <w:tcPr>
            <w:tcW w:w="2640" w:type="dxa"/>
            <w:tcBorders>
              <w:top w:val="nil"/>
              <w:left w:val="nil"/>
              <w:bottom w:val="single" w:sz="4" w:space="0" w:color="auto"/>
              <w:right w:val="nil"/>
            </w:tcBorders>
            <w:shd w:val="clear" w:color="auto" w:fill="auto"/>
            <w:noWrap/>
            <w:vAlign w:val="bottom"/>
            <w:hideMark/>
          </w:tcPr>
          <w:p w14:paraId="7B7B8942"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463</w:t>
            </w:r>
          </w:p>
        </w:tc>
      </w:tr>
      <w:tr w:rsidR="00F85178" w:rsidRPr="00F85178" w14:paraId="6364E9CD"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342FC030"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Ústí n. Labem</w:t>
            </w:r>
          </w:p>
        </w:tc>
        <w:tc>
          <w:tcPr>
            <w:tcW w:w="2640" w:type="dxa"/>
            <w:tcBorders>
              <w:top w:val="nil"/>
              <w:left w:val="nil"/>
              <w:bottom w:val="single" w:sz="4" w:space="0" w:color="auto"/>
              <w:right w:val="nil"/>
            </w:tcBorders>
            <w:shd w:val="clear" w:color="auto" w:fill="auto"/>
            <w:noWrap/>
            <w:vAlign w:val="bottom"/>
            <w:hideMark/>
          </w:tcPr>
          <w:p w14:paraId="26ECBEEA"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606</w:t>
            </w:r>
          </w:p>
        </w:tc>
      </w:tr>
      <w:tr w:rsidR="00F85178" w:rsidRPr="00F85178" w14:paraId="1C2504C8"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316A52A9"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Hr. Králové</w:t>
            </w:r>
          </w:p>
        </w:tc>
        <w:tc>
          <w:tcPr>
            <w:tcW w:w="2640" w:type="dxa"/>
            <w:tcBorders>
              <w:top w:val="nil"/>
              <w:left w:val="nil"/>
              <w:bottom w:val="single" w:sz="4" w:space="0" w:color="auto"/>
              <w:right w:val="nil"/>
            </w:tcBorders>
            <w:shd w:val="clear" w:color="auto" w:fill="auto"/>
            <w:noWrap/>
            <w:vAlign w:val="bottom"/>
            <w:hideMark/>
          </w:tcPr>
          <w:p w14:paraId="56F1FA88"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479</w:t>
            </w:r>
          </w:p>
        </w:tc>
      </w:tr>
      <w:tr w:rsidR="00F85178" w:rsidRPr="00F85178" w14:paraId="3F7D4EEB" w14:textId="77777777" w:rsidTr="00CA6423">
        <w:trPr>
          <w:trHeight w:val="315"/>
        </w:trPr>
        <w:tc>
          <w:tcPr>
            <w:tcW w:w="2220" w:type="dxa"/>
            <w:tcBorders>
              <w:top w:val="nil"/>
              <w:left w:val="nil"/>
              <w:bottom w:val="single" w:sz="4" w:space="0" w:color="auto"/>
              <w:right w:val="nil"/>
            </w:tcBorders>
            <w:shd w:val="clear" w:color="auto" w:fill="auto"/>
            <w:noWrap/>
            <w:vAlign w:val="bottom"/>
            <w:hideMark/>
          </w:tcPr>
          <w:p w14:paraId="53352A2C"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Brno</w:t>
            </w:r>
          </w:p>
        </w:tc>
        <w:tc>
          <w:tcPr>
            <w:tcW w:w="2640" w:type="dxa"/>
            <w:tcBorders>
              <w:top w:val="nil"/>
              <w:left w:val="nil"/>
              <w:bottom w:val="single" w:sz="4" w:space="0" w:color="auto"/>
              <w:right w:val="nil"/>
            </w:tcBorders>
            <w:shd w:val="clear" w:color="auto" w:fill="auto"/>
            <w:noWrap/>
            <w:vAlign w:val="bottom"/>
            <w:hideMark/>
          </w:tcPr>
          <w:p w14:paraId="399FB8B2"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728</w:t>
            </w:r>
          </w:p>
        </w:tc>
      </w:tr>
      <w:tr w:rsidR="00F85178" w:rsidRPr="00F85178" w14:paraId="47C6B1F2" w14:textId="77777777" w:rsidTr="00CA6423">
        <w:trPr>
          <w:trHeight w:val="330"/>
        </w:trPr>
        <w:tc>
          <w:tcPr>
            <w:tcW w:w="2220" w:type="dxa"/>
            <w:tcBorders>
              <w:top w:val="nil"/>
              <w:left w:val="nil"/>
              <w:bottom w:val="double" w:sz="6" w:space="0" w:color="auto"/>
              <w:right w:val="nil"/>
            </w:tcBorders>
            <w:shd w:val="clear" w:color="auto" w:fill="auto"/>
            <w:noWrap/>
            <w:vAlign w:val="bottom"/>
            <w:hideMark/>
          </w:tcPr>
          <w:p w14:paraId="4549676F" w14:textId="77777777" w:rsidR="00CA6423" w:rsidRPr="00F85178" w:rsidRDefault="00CA6423" w:rsidP="00CA6423">
            <w:pPr>
              <w:spacing w:line="240" w:lineRule="auto"/>
              <w:jc w:val="left"/>
              <w:rPr>
                <w:rFonts w:eastAsia="Times New Roman"/>
                <w:szCs w:val="24"/>
                <w:lang w:eastAsia="cs-CZ"/>
              </w:rPr>
            </w:pPr>
            <w:r w:rsidRPr="00F85178">
              <w:rPr>
                <w:rFonts w:eastAsia="Times New Roman"/>
                <w:szCs w:val="24"/>
                <w:lang w:eastAsia="cs-CZ"/>
              </w:rPr>
              <w:t>KS Ostrava</w:t>
            </w:r>
          </w:p>
        </w:tc>
        <w:tc>
          <w:tcPr>
            <w:tcW w:w="2640" w:type="dxa"/>
            <w:tcBorders>
              <w:top w:val="nil"/>
              <w:left w:val="nil"/>
              <w:bottom w:val="double" w:sz="6" w:space="0" w:color="auto"/>
              <w:right w:val="nil"/>
            </w:tcBorders>
            <w:shd w:val="clear" w:color="auto" w:fill="auto"/>
            <w:noWrap/>
            <w:vAlign w:val="bottom"/>
            <w:hideMark/>
          </w:tcPr>
          <w:p w14:paraId="2C11F3E7" w14:textId="77777777" w:rsidR="00CA6423" w:rsidRPr="00F85178" w:rsidRDefault="00CA6423" w:rsidP="00CA6423">
            <w:pPr>
              <w:spacing w:line="240" w:lineRule="auto"/>
              <w:jc w:val="center"/>
              <w:rPr>
                <w:rFonts w:eastAsia="Times New Roman"/>
                <w:szCs w:val="24"/>
                <w:lang w:eastAsia="cs-CZ"/>
              </w:rPr>
            </w:pPr>
            <w:r w:rsidRPr="00F85178">
              <w:rPr>
                <w:rFonts w:eastAsia="Times New Roman"/>
                <w:szCs w:val="24"/>
                <w:lang w:eastAsia="cs-CZ"/>
              </w:rPr>
              <w:t>994</w:t>
            </w:r>
          </w:p>
        </w:tc>
      </w:tr>
      <w:tr w:rsidR="00CA6423" w:rsidRPr="00F85178" w14:paraId="2002F2B8" w14:textId="77777777" w:rsidTr="00CA6423">
        <w:trPr>
          <w:trHeight w:val="345"/>
        </w:trPr>
        <w:tc>
          <w:tcPr>
            <w:tcW w:w="2220" w:type="dxa"/>
            <w:tcBorders>
              <w:top w:val="nil"/>
              <w:left w:val="nil"/>
              <w:bottom w:val="double" w:sz="6" w:space="0" w:color="auto"/>
              <w:right w:val="nil"/>
            </w:tcBorders>
            <w:shd w:val="clear" w:color="auto" w:fill="auto"/>
            <w:noWrap/>
            <w:vAlign w:val="bottom"/>
            <w:hideMark/>
          </w:tcPr>
          <w:p w14:paraId="2CA56044" w14:textId="77777777" w:rsidR="00CA6423" w:rsidRPr="00F85178" w:rsidRDefault="00CA6423" w:rsidP="00CA642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2640" w:type="dxa"/>
            <w:tcBorders>
              <w:top w:val="nil"/>
              <w:left w:val="nil"/>
              <w:bottom w:val="double" w:sz="6" w:space="0" w:color="auto"/>
              <w:right w:val="nil"/>
            </w:tcBorders>
            <w:shd w:val="clear" w:color="auto" w:fill="auto"/>
            <w:noWrap/>
            <w:vAlign w:val="bottom"/>
            <w:hideMark/>
          </w:tcPr>
          <w:p w14:paraId="5F6AD1E4" w14:textId="77777777" w:rsidR="00CA6423" w:rsidRPr="00F85178" w:rsidRDefault="00CA6423" w:rsidP="00CA6423">
            <w:pPr>
              <w:spacing w:line="240" w:lineRule="auto"/>
              <w:jc w:val="center"/>
              <w:rPr>
                <w:rFonts w:eastAsia="Times New Roman"/>
                <w:b/>
                <w:bCs/>
                <w:szCs w:val="24"/>
                <w:lang w:eastAsia="cs-CZ"/>
              </w:rPr>
            </w:pPr>
            <w:r w:rsidRPr="00F85178">
              <w:rPr>
                <w:rFonts w:eastAsia="Times New Roman"/>
                <w:b/>
                <w:bCs/>
                <w:szCs w:val="24"/>
                <w:lang w:eastAsia="cs-CZ"/>
              </w:rPr>
              <w:t>4</w:t>
            </w:r>
            <w:r w:rsidR="007B6EF7" w:rsidRPr="00F85178">
              <w:rPr>
                <w:rFonts w:eastAsia="Times New Roman"/>
                <w:b/>
                <w:bCs/>
                <w:szCs w:val="24"/>
                <w:lang w:eastAsia="cs-CZ"/>
              </w:rPr>
              <w:t xml:space="preserve"> </w:t>
            </w:r>
            <w:r w:rsidRPr="00F85178">
              <w:rPr>
                <w:rFonts w:eastAsia="Times New Roman"/>
                <w:b/>
                <w:bCs/>
                <w:szCs w:val="24"/>
                <w:lang w:eastAsia="cs-CZ"/>
              </w:rPr>
              <w:t>442</w:t>
            </w:r>
          </w:p>
        </w:tc>
      </w:tr>
    </w:tbl>
    <w:p w14:paraId="2C263CFC" w14:textId="77777777" w:rsidR="00F52209" w:rsidRPr="00F85178" w:rsidRDefault="00F52209" w:rsidP="00F52209"/>
    <w:p w14:paraId="51FE559B" w14:textId="77777777" w:rsidR="007B6EF7" w:rsidRPr="00F85178" w:rsidRDefault="00E00E84" w:rsidP="007C2863">
      <w:r w:rsidRPr="00F85178">
        <w:t>V tabulce je uveden počet přísedících podle krajů. Do určité míry samozřejmě odpovídá velikosti jednotlivých soudních krajů. Hrají zde roli ale i jiné faktor</w:t>
      </w:r>
      <w:r w:rsidR="00B604A2" w:rsidRPr="00F85178">
        <w:t>y</w:t>
      </w:r>
      <w:r w:rsidRPr="00F85178">
        <w:t>, v první řadě samozřejmě složení agendy.</w:t>
      </w:r>
    </w:p>
    <w:p w14:paraId="2526EEC8" w14:textId="77777777" w:rsidR="00E00E84" w:rsidRPr="00F85178" w:rsidRDefault="00B22BC8" w:rsidP="00E00E84">
      <w:pPr>
        <w:pStyle w:val="Nadpis2"/>
      </w:pPr>
      <w:bookmarkStart w:id="58" w:name="_Ref9425277"/>
      <w:bookmarkStart w:id="59" w:name="_Ref10553155"/>
      <w:bookmarkStart w:id="60" w:name="_Ref10553167"/>
      <w:r>
        <w:br w:type="page"/>
      </w:r>
      <w:bookmarkStart w:id="61" w:name="_Toc14076872"/>
      <w:r w:rsidR="00E00E84" w:rsidRPr="00F85178">
        <w:t>Civilní agenda</w:t>
      </w:r>
      <w:bookmarkEnd w:id="58"/>
      <w:bookmarkEnd w:id="59"/>
      <w:bookmarkEnd w:id="60"/>
      <w:bookmarkEnd w:id="61"/>
    </w:p>
    <w:p w14:paraId="61A32F78" w14:textId="77777777" w:rsidR="00D95BCF" w:rsidRPr="00F85178" w:rsidRDefault="00D95BCF" w:rsidP="00D95BCF">
      <w:pPr>
        <w:pStyle w:val="OdstavecASR"/>
      </w:pPr>
      <w:r w:rsidRPr="00F85178">
        <w:t>Soudy na civilním úseku vedou značné množství různých druhů řízení (dědické řízení, exekuční řízení, výkony soudních rozhodnutí a další). Zdaleka nejvýznamnější a nejrozsáhlejší je ale prvostupňové civilní (občanskoprávní) řízení, označené jako rejstřík (agenda) C. Tato část Výroční statistické zprávy se zaměřuje právě na tuto agendu. Statistiky týkající se vedlejších agend jsou dostupné z jiných zdrojů (např. na internetových stránkách InfoData nebo ve statistických ročenkách).</w:t>
      </w:r>
    </w:p>
    <w:p w14:paraId="4C60ED01" w14:textId="77777777" w:rsidR="00D95BCF" w:rsidRPr="00F85178" w:rsidRDefault="00D95BCF" w:rsidP="00D95BCF">
      <w:pPr>
        <w:pStyle w:val="OdstavecASR"/>
      </w:pPr>
      <w:r w:rsidRPr="00F85178">
        <w:t>Po úvaze byla data očištěna i o rozkazní řízení (hlavně agendy označené jako EPR a dříve EC), a to především proto, aby se předešlo zkreslení dat a trendů v časových řadách. V roce 2009 byl totiž zaveden elektronický platební rozkaz a po jeho zavedení došlo ke značným změnám ve vedení statistik. Počet věcí zanesených do statistických listů především v letech 2009–2013 tak prudce vzrostl právě o rozkazní věci. Rozkazní řízení je do značné míry automatizované, výrazně jednodušší (probíhá zcela nebo téměř zcela bez intervence soudce) a rychlejší na vyřízení. Z toho plynou i kratší délky řízení. V letech, kdy jich bylo do statistických listů zaneseno relativně více, pak došlo k poklesu vykazované délky řízení. Rozkaznímu řízení se věnuje další kapitola.</w:t>
      </w:r>
    </w:p>
    <w:p w14:paraId="3D71141C" w14:textId="77777777" w:rsidR="00D95BCF" w:rsidRPr="00F85178" w:rsidRDefault="00D95BCF" w:rsidP="00D95BCF">
      <w:pPr>
        <w:pStyle w:val="OdstavecASR"/>
      </w:pPr>
      <w:r w:rsidRPr="00F85178">
        <w:t>Z výše zmíněného důvodu se zde uvedené údaje týkající se průměrné délky řízení liší od údajů z jiných zdrojů (internetové stránky InfoData, statistické ročenky). Údaje prezentované v této zprávě i na serveru InfoData jsou správné, ale vychází z jiných dat. Zde uvedené délky řízení jsou přirozeně vyšší, protože v nich není zahrnuto rozkazní řízení.</w:t>
      </w:r>
    </w:p>
    <w:p w14:paraId="361D3A5C" w14:textId="77777777" w:rsidR="00D95BCF" w:rsidRPr="00F85178" w:rsidRDefault="00D95BCF" w:rsidP="00D95BCF">
      <w:pPr>
        <w:pStyle w:val="Nadpis3"/>
        <w:rPr>
          <w:color w:val="auto"/>
        </w:rPr>
      </w:pPr>
      <w:bookmarkStart w:id="62" w:name="_Ref513277229"/>
      <w:bookmarkStart w:id="63" w:name="_Toc517118511"/>
      <w:bookmarkStart w:id="64" w:name="_Toc14076873"/>
      <w:r w:rsidRPr="00F85178">
        <w:rPr>
          <w:color w:val="auto"/>
        </w:rPr>
        <w:t>Délka řízení</w:t>
      </w:r>
      <w:bookmarkEnd w:id="62"/>
      <w:bookmarkEnd w:id="63"/>
      <w:bookmarkEnd w:id="64"/>
    </w:p>
    <w:p w14:paraId="1A549A24" w14:textId="77777777" w:rsidR="00D95BCF" w:rsidRPr="00F85178" w:rsidRDefault="00D95BCF" w:rsidP="00D95BCF">
      <w:pPr>
        <w:pStyle w:val="OdstavecASR"/>
      </w:pPr>
      <w:r w:rsidRPr="00F85178">
        <w:t>Délku řízení zjišťujeme ze statistických listů (SL). Uvádíme ji v kalendářních dnech ode dne nápadu do dne konečného vyřízení věci soudem I. stupně. Je třeba nezapomenout, že do vzorku se započítávají jen ta řízení, která v daném roce skončila, nikoliv ta, která stále probíhala. Je proto typickým jevem, že pokud dojde k přetížení soudu, neprojeví se to okamžitě v průměrné délce řízení, protože soud bude mít tendenci přednostně vyřizovat jednodušší věci a složitější věci budou stárnout, ale protože nebudou vyřízeny, nevstoupí do výpočtu; to se paradoxně stane naopak až ve chvíli, kdy se soudu začne dařit situaci řešit a vyřizovat nahromaděné nedodělky. Prudký nárůst délky řízení u některého soudu je tak často naopak důkazem odblokování situace (pak po něm následuje v dalších letech neméně prudký pokles). Pro rozlišení takových situací je třeba doplnit pohled o další statistické údaje, zejména trend počtu nevyřízených věcí a tzv. disposition time (viz dále).</w:t>
      </w:r>
    </w:p>
    <w:p w14:paraId="3AAA0BD4" w14:textId="1781B3B9" w:rsidR="00D95BCF" w:rsidRPr="00F85178" w:rsidRDefault="00A07007" w:rsidP="00D95BCF">
      <w:pPr>
        <w:pStyle w:val="OdstavecASR"/>
      </w:pPr>
      <w:r w:rsidRPr="00F85178">
        <w:t xml:space="preserve">Graf 6 </w:t>
      </w:r>
      <w:r w:rsidR="00D95BCF" w:rsidRPr="00F85178">
        <w:t>sleduje změny v průměru (jedná se o nejběžněji uváděný údaj), mediánu (není ovlivněn extrémy a v tomto případě tak má lepší vypovídající hodnotu) a percentilu 90 (ukazuje, jak dlouho soudům trvají nejdelší věci). Na rozdíl od neočištěných dat nevykazují očištěná data v letech 2009–2011 výrazný, ale pouze velmi mírný pokles délky řízení. Je ale patrný nárůst délek řízení v letech 2012 a 2013, který je následován poklesem. Jako velmi pozitivní se jeví jasný klesající trend v letech 2014–</w:t>
      </w:r>
      <w:r w:rsidR="00292CDC" w:rsidRPr="00F85178">
        <w:t>2018</w:t>
      </w:r>
      <w:r w:rsidR="00D95BCF" w:rsidRPr="00F85178">
        <w:t xml:space="preserve"> v délce řízení (průměr, medián i percentil 90). </w:t>
      </w:r>
      <w:r w:rsidR="00292CDC" w:rsidRPr="00F85178">
        <w:t xml:space="preserve">Výše uvedený trend se postupně zpomaloval. V roce 2018 klesl medián již jen o 5 dnů a průměr o 12 dnů. Pokles 90. percentilu je ale stále velmi výrazný. Je tedy zřejmé, že řízení se zrychlilo především </w:t>
      </w:r>
      <w:r w:rsidR="00907FCB" w:rsidRPr="00F85178">
        <w:t>u</w:t>
      </w:r>
      <w:r w:rsidR="007B6EF7" w:rsidRPr="00F85178">
        <w:t> </w:t>
      </w:r>
      <w:r w:rsidR="00292CDC" w:rsidRPr="00F85178">
        <w:t>nejdéle trvajících sporů. T</w:t>
      </w:r>
      <w:r w:rsidR="00D95BCF" w:rsidRPr="00F85178">
        <w:t>vrzení</w:t>
      </w:r>
      <w:r w:rsidR="00292CDC" w:rsidRPr="00F85178">
        <w:t>, že se situace v této agendě dále zlepšuje</w:t>
      </w:r>
      <w:r w:rsidRPr="00F85178">
        <w:t>,</w:t>
      </w:r>
      <w:r w:rsidR="00292CDC" w:rsidRPr="00F85178">
        <w:t xml:space="preserve"> </w:t>
      </w:r>
      <w:r w:rsidR="00D245BA" w:rsidRPr="00F85178">
        <w:t>potvrzují také snižující se počty nevyřízených věcí (</w:t>
      </w:r>
      <w:r w:rsidR="003272CC" w:rsidRPr="00F85178">
        <w:t>g</w:t>
      </w:r>
      <w:r w:rsidR="00D245BA" w:rsidRPr="00F85178">
        <w:t>raf 10) a vývoj ukazatelů jako je průměr, medián a</w:t>
      </w:r>
      <w:r w:rsidR="00134F0C" w:rsidRPr="00F85178">
        <w:t> </w:t>
      </w:r>
      <w:r w:rsidR="00D245BA" w:rsidRPr="00F85178">
        <w:t>90.</w:t>
      </w:r>
      <w:r w:rsidR="00134F0C" w:rsidRPr="00F85178">
        <w:t> </w:t>
      </w:r>
      <w:r w:rsidR="00D245BA" w:rsidRPr="00F85178">
        <w:t>percentil (</w:t>
      </w:r>
      <w:r w:rsidR="003272CC" w:rsidRPr="00F85178">
        <w:t>g</w:t>
      </w:r>
      <w:r w:rsidR="00D245BA" w:rsidRPr="00F85178">
        <w:t>raf 8)</w:t>
      </w:r>
      <w:r w:rsidR="00C84A28">
        <w:t>.</w:t>
      </w:r>
    </w:p>
    <w:p w14:paraId="28949910" w14:textId="77777777" w:rsidR="00292CDC" w:rsidRPr="00F85178" w:rsidRDefault="00292CDC" w:rsidP="00292CDC">
      <w:pPr>
        <w:pStyle w:val="Podtitul"/>
        <w:rPr>
          <w:color w:val="auto"/>
        </w:rPr>
      </w:pPr>
      <w:bookmarkStart w:id="65" w:name="_Toc11135067"/>
      <w:bookmarkStart w:id="66" w:name="_Toc13837499"/>
      <w:r w:rsidRPr="00F85178">
        <w:rPr>
          <w:color w:val="auto"/>
        </w:rPr>
        <w:t xml:space="preserve">Graf </w:t>
      </w:r>
      <w:r w:rsidR="0067217C" w:rsidRPr="00F85178">
        <w:rPr>
          <w:noProof/>
          <w:color w:val="auto"/>
        </w:rPr>
        <w:fldChar w:fldCharType="begin"/>
      </w:r>
      <w:r w:rsidR="0067217C" w:rsidRPr="00F85178">
        <w:rPr>
          <w:noProof/>
          <w:color w:val="auto"/>
        </w:rPr>
        <w:instrText xml:space="preserve"> SEQ Graf \* ARABIC </w:instrText>
      </w:r>
      <w:r w:rsidR="0067217C" w:rsidRPr="00F85178">
        <w:rPr>
          <w:noProof/>
          <w:color w:val="auto"/>
        </w:rPr>
        <w:fldChar w:fldCharType="separate"/>
      </w:r>
      <w:r w:rsidR="00306940">
        <w:rPr>
          <w:noProof/>
          <w:color w:val="auto"/>
        </w:rPr>
        <w:t>6</w:t>
      </w:r>
      <w:r w:rsidR="0067217C" w:rsidRPr="00F85178">
        <w:rPr>
          <w:noProof/>
          <w:color w:val="auto"/>
        </w:rPr>
        <w:fldChar w:fldCharType="end"/>
      </w:r>
      <w:r w:rsidRPr="00F85178">
        <w:rPr>
          <w:color w:val="auto"/>
        </w:rPr>
        <w:t>: OS – délka civilního řízení v letech 2008–2018</w:t>
      </w:r>
      <w:bookmarkEnd w:id="65"/>
      <w:bookmarkEnd w:id="66"/>
    </w:p>
    <w:p w14:paraId="67C0B481" w14:textId="77777777" w:rsidR="00292CDC" w:rsidRPr="00F85178" w:rsidRDefault="00890295" w:rsidP="00D071B1">
      <w:pPr>
        <w:keepNext/>
        <w:spacing w:line="240" w:lineRule="auto"/>
        <w:jc w:val="left"/>
      </w:pPr>
      <w:r>
        <w:rPr>
          <w:noProof/>
          <w:lang w:eastAsia="cs-CZ"/>
        </w:rPr>
        <w:drawing>
          <wp:inline distT="0" distB="0" distL="0" distR="0" wp14:anchorId="457B15B6" wp14:editId="1DFCC65A">
            <wp:extent cx="5118100" cy="3746500"/>
            <wp:effectExtent l="0" t="0" r="0" b="0"/>
            <wp:docPr id="7" name="Obráze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6D9B3D2" w14:textId="77777777" w:rsidR="00D071B1" w:rsidRPr="00F85178" w:rsidRDefault="00D071B1" w:rsidP="00134F0C">
      <w:pPr>
        <w:spacing w:line="240" w:lineRule="auto"/>
        <w:jc w:val="left"/>
      </w:pPr>
    </w:p>
    <w:p w14:paraId="48D45BE6" w14:textId="77777777" w:rsidR="00292CDC" w:rsidRPr="00F85178" w:rsidRDefault="00292CDC" w:rsidP="00292CDC">
      <w:pPr>
        <w:pStyle w:val="Podtitul"/>
        <w:rPr>
          <w:color w:val="auto"/>
        </w:rPr>
      </w:pPr>
      <w:bookmarkStart w:id="67" w:name="_Toc11133209"/>
      <w:bookmarkStart w:id="68" w:name="_Toc13837430"/>
      <w:r w:rsidRPr="00F85178">
        <w:rPr>
          <w:color w:val="auto"/>
        </w:rPr>
        <w:t xml:space="preserve">Tabulka </w:t>
      </w:r>
      <w:r w:rsidR="00D251EE" w:rsidRPr="00F85178">
        <w:rPr>
          <w:noProof/>
          <w:color w:val="auto"/>
        </w:rPr>
        <w:fldChar w:fldCharType="begin"/>
      </w:r>
      <w:r w:rsidR="00D251EE" w:rsidRPr="00F85178">
        <w:rPr>
          <w:noProof/>
          <w:color w:val="auto"/>
        </w:rPr>
        <w:instrText xml:space="preserve"> SEQ Tabulka \* ARABIC </w:instrText>
      </w:r>
      <w:r w:rsidR="00D251EE" w:rsidRPr="00F85178">
        <w:rPr>
          <w:noProof/>
          <w:color w:val="auto"/>
        </w:rPr>
        <w:fldChar w:fldCharType="separate"/>
      </w:r>
      <w:r w:rsidR="00306940">
        <w:rPr>
          <w:noProof/>
          <w:color w:val="auto"/>
        </w:rPr>
        <w:t>7</w:t>
      </w:r>
      <w:r w:rsidR="00D251EE" w:rsidRPr="00F85178">
        <w:rPr>
          <w:noProof/>
          <w:color w:val="auto"/>
        </w:rPr>
        <w:fldChar w:fldCharType="end"/>
      </w:r>
      <w:r w:rsidRPr="00F85178">
        <w:rPr>
          <w:color w:val="auto"/>
        </w:rPr>
        <w:t xml:space="preserve">: </w:t>
      </w:r>
      <w:bookmarkStart w:id="69" w:name="_Ref509210728"/>
      <w:r w:rsidR="0028768C" w:rsidRPr="00F85178">
        <w:rPr>
          <w:color w:val="auto"/>
        </w:rPr>
        <w:t>OS – délky civilního řízení dle krajů</w:t>
      </w:r>
      <w:bookmarkEnd w:id="67"/>
      <w:bookmarkEnd w:id="68"/>
      <w:bookmarkEnd w:id="69"/>
    </w:p>
    <w:tbl>
      <w:tblPr>
        <w:tblW w:w="7521" w:type="dxa"/>
        <w:tblCellMar>
          <w:left w:w="0" w:type="dxa"/>
          <w:right w:w="0" w:type="dxa"/>
        </w:tblCellMar>
        <w:tblLook w:val="04A0" w:firstRow="1" w:lastRow="0" w:firstColumn="1" w:lastColumn="0" w:noHBand="0" w:noVBand="1"/>
      </w:tblPr>
      <w:tblGrid>
        <w:gridCol w:w="2480"/>
        <w:gridCol w:w="679"/>
        <w:gridCol w:w="914"/>
        <w:gridCol w:w="679"/>
        <w:gridCol w:w="1045"/>
        <w:gridCol w:w="679"/>
        <w:gridCol w:w="1045"/>
      </w:tblGrid>
      <w:tr w:rsidR="00F85178" w:rsidRPr="00F85178" w14:paraId="242F58C0" w14:textId="77777777" w:rsidTr="00292CDC">
        <w:trPr>
          <w:trHeight w:val="330"/>
        </w:trPr>
        <w:tc>
          <w:tcPr>
            <w:tcW w:w="2480" w:type="dxa"/>
            <w:vMerge w:val="restart"/>
            <w:tcBorders>
              <w:top w:val="double" w:sz="6" w:space="0" w:color="auto"/>
              <w:left w:val="nil"/>
              <w:bottom w:val="double" w:sz="6" w:space="0" w:color="000000"/>
              <w:right w:val="nil"/>
            </w:tcBorders>
            <w:shd w:val="clear" w:color="auto" w:fill="auto"/>
            <w:noWrap/>
            <w:tcMar>
              <w:top w:w="15" w:type="dxa"/>
              <w:left w:w="15" w:type="dxa"/>
              <w:bottom w:w="0" w:type="dxa"/>
              <w:right w:w="15" w:type="dxa"/>
            </w:tcMar>
            <w:vAlign w:val="center"/>
            <w:hideMark/>
          </w:tcPr>
          <w:p w14:paraId="15D673E1" w14:textId="77777777" w:rsidR="00292CDC" w:rsidRPr="00F85178" w:rsidRDefault="00292CDC">
            <w:pPr>
              <w:spacing w:line="240" w:lineRule="auto"/>
              <w:jc w:val="center"/>
              <w:rPr>
                <w:b/>
                <w:bCs/>
                <w:szCs w:val="24"/>
                <w:lang w:eastAsia="cs-CZ"/>
              </w:rPr>
            </w:pPr>
            <w:r w:rsidRPr="00F85178">
              <w:rPr>
                <w:b/>
                <w:bCs/>
              </w:rPr>
              <w:t>Nadřízený soud</w:t>
            </w:r>
          </w:p>
        </w:tc>
        <w:tc>
          <w:tcPr>
            <w:tcW w:w="5041" w:type="dxa"/>
            <w:gridSpan w:val="6"/>
            <w:tcBorders>
              <w:top w:val="double" w:sz="6" w:space="0" w:color="auto"/>
              <w:left w:val="nil"/>
              <w:bottom w:val="nil"/>
              <w:right w:val="nil"/>
            </w:tcBorders>
            <w:shd w:val="clear" w:color="auto" w:fill="auto"/>
            <w:noWrap/>
            <w:tcMar>
              <w:top w:w="15" w:type="dxa"/>
              <w:left w:w="15" w:type="dxa"/>
              <w:bottom w:w="0" w:type="dxa"/>
              <w:right w:w="15" w:type="dxa"/>
            </w:tcMar>
            <w:vAlign w:val="center"/>
            <w:hideMark/>
          </w:tcPr>
          <w:p w14:paraId="5F2832BD" w14:textId="77777777" w:rsidR="00292CDC" w:rsidRPr="00F85178" w:rsidRDefault="00292CDC">
            <w:pPr>
              <w:jc w:val="center"/>
              <w:rPr>
                <w:b/>
                <w:bCs/>
              </w:rPr>
            </w:pPr>
            <w:r w:rsidRPr="00F85178">
              <w:rPr>
                <w:b/>
                <w:bCs/>
              </w:rPr>
              <w:t>Délka řízení</w:t>
            </w:r>
          </w:p>
        </w:tc>
      </w:tr>
      <w:tr w:rsidR="00F85178" w:rsidRPr="00F85178" w14:paraId="67B0E0B2" w14:textId="77777777" w:rsidTr="00292CDC">
        <w:trPr>
          <w:trHeight w:val="330"/>
        </w:trPr>
        <w:tc>
          <w:tcPr>
            <w:tcW w:w="0" w:type="auto"/>
            <w:vMerge/>
            <w:tcBorders>
              <w:top w:val="double" w:sz="6" w:space="0" w:color="auto"/>
              <w:left w:val="nil"/>
              <w:bottom w:val="double" w:sz="6" w:space="0" w:color="000000"/>
              <w:right w:val="nil"/>
            </w:tcBorders>
            <w:vAlign w:val="center"/>
            <w:hideMark/>
          </w:tcPr>
          <w:p w14:paraId="476C7A4B" w14:textId="77777777" w:rsidR="00292CDC" w:rsidRPr="00F85178" w:rsidRDefault="00292CDC">
            <w:pPr>
              <w:rPr>
                <w:b/>
                <w:bCs/>
                <w:szCs w:val="24"/>
              </w:rPr>
            </w:pPr>
          </w:p>
        </w:tc>
        <w:tc>
          <w:tcPr>
            <w:tcW w:w="0" w:type="auto"/>
            <w:gridSpan w:val="2"/>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279C6018" w14:textId="77777777" w:rsidR="00292CDC" w:rsidRPr="00F85178" w:rsidRDefault="00292CDC">
            <w:pPr>
              <w:jc w:val="center"/>
              <w:rPr>
                <w:b/>
                <w:bCs/>
              </w:rPr>
            </w:pPr>
            <w:r w:rsidRPr="00F85178">
              <w:rPr>
                <w:b/>
                <w:bCs/>
              </w:rPr>
              <w:t>Průměr</w:t>
            </w:r>
          </w:p>
        </w:tc>
        <w:tc>
          <w:tcPr>
            <w:tcW w:w="0" w:type="auto"/>
            <w:gridSpan w:val="2"/>
            <w:tcBorders>
              <w:top w:val="nil"/>
              <w:left w:val="single" w:sz="4" w:space="0" w:color="auto"/>
              <w:bottom w:val="double" w:sz="6" w:space="0" w:color="auto"/>
              <w:right w:val="single" w:sz="4" w:space="0" w:color="000000"/>
            </w:tcBorders>
            <w:shd w:val="clear" w:color="auto" w:fill="auto"/>
            <w:noWrap/>
            <w:tcMar>
              <w:top w:w="15" w:type="dxa"/>
              <w:left w:w="15" w:type="dxa"/>
              <w:bottom w:w="0" w:type="dxa"/>
              <w:right w:w="15" w:type="dxa"/>
            </w:tcMar>
            <w:vAlign w:val="center"/>
            <w:hideMark/>
          </w:tcPr>
          <w:p w14:paraId="351F522F" w14:textId="77777777" w:rsidR="00292CDC" w:rsidRPr="00F85178" w:rsidRDefault="00292CDC">
            <w:pPr>
              <w:jc w:val="center"/>
              <w:rPr>
                <w:b/>
                <w:bCs/>
              </w:rPr>
            </w:pPr>
            <w:r w:rsidRPr="00F85178">
              <w:rPr>
                <w:b/>
                <w:bCs/>
              </w:rPr>
              <w:t>Medián</w:t>
            </w:r>
          </w:p>
        </w:tc>
        <w:tc>
          <w:tcPr>
            <w:tcW w:w="0" w:type="auto"/>
            <w:gridSpan w:val="2"/>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0DA0AA45" w14:textId="77777777" w:rsidR="00292CDC" w:rsidRPr="00F85178" w:rsidRDefault="00292CDC">
            <w:pPr>
              <w:jc w:val="center"/>
              <w:rPr>
                <w:b/>
                <w:bCs/>
              </w:rPr>
            </w:pPr>
            <w:r w:rsidRPr="00F85178">
              <w:rPr>
                <w:b/>
                <w:bCs/>
              </w:rPr>
              <w:t>Percentil 90</w:t>
            </w:r>
          </w:p>
        </w:tc>
      </w:tr>
      <w:tr w:rsidR="00F85178" w:rsidRPr="00F85178" w14:paraId="6261FED3" w14:textId="77777777" w:rsidTr="00292CDC">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07A8FF62" w14:textId="77777777" w:rsidR="00292CDC" w:rsidRPr="00F85178" w:rsidRDefault="00292CDC">
            <w:pPr>
              <w:jc w:val="left"/>
            </w:pPr>
            <w:r w:rsidRPr="00F85178">
              <w:t>MS Praha</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795A0999" w14:textId="77777777" w:rsidR="00292CDC" w:rsidRPr="00F85178" w:rsidRDefault="00292CDC">
            <w:pPr>
              <w:jc w:val="center"/>
            </w:pPr>
            <w:r w:rsidRPr="00F85178">
              <w:t>293</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0E2F18DD"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3FD98783" w14:textId="77777777" w:rsidR="00292CDC" w:rsidRPr="00F85178" w:rsidRDefault="00292CDC">
            <w:pPr>
              <w:jc w:val="center"/>
              <w:rPr>
                <w:szCs w:val="24"/>
              </w:rPr>
            </w:pPr>
            <w:r w:rsidRPr="00F85178">
              <w:t>179</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309365" w14:textId="77777777" w:rsidR="00292CDC" w:rsidRPr="00F85178" w:rsidRDefault="00292CDC" w:rsidP="00292CDC">
            <w:pPr>
              <w:jc w:val="center"/>
              <w:rPr>
                <w:sz w:val="20"/>
                <w:szCs w:val="20"/>
              </w:rPr>
            </w:pPr>
            <w:r w:rsidRPr="00F85178">
              <w:rPr>
                <w:sz w:val="20"/>
                <w:szCs w:val="20"/>
              </w:rPr>
              <w:t>+7 %</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3D934543" w14:textId="77777777" w:rsidR="00292CDC" w:rsidRPr="00F85178" w:rsidRDefault="00292CDC">
            <w:pPr>
              <w:jc w:val="center"/>
              <w:rPr>
                <w:szCs w:val="24"/>
              </w:rPr>
            </w:pPr>
            <w:r w:rsidRPr="00F85178">
              <w:t>557</w:t>
            </w:r>
          </w:p>
        </w:tc>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center"/>
            <w:hideMark/>
          </w:tcPr>
          <w:p w14:paraId="55D4DE53" w14:textId="77777777" w:rsidR="00292CDC" w:rsidRPr="00F85178" w:rsidRDefault="00292CDC" w:rsidP="00292CDC">
            <w:pPr>
              <w:jc w:val="center"/>
              <w:rPr>
                <w:sz w:val="20"/>
                <w:szCs w:val="20"/>
              </w:rPr>
            </w:pPr>
            <w:r w:rsidRPr="00F85178">
              <w:rPr>
                <w:sz w:val="20"/>
                <w:szCs w:val="20"/>
              </w:rPr>
              <w:t>-9 %</w:t>
            </w:r>
          </w:p>
        </w:tc>
      </w:tr>
      <w:tr w:rsidR="00F85178" w:rsidRPr="00F85178" w14:paraId="794B9F01"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479DB56" w14:textId="77777777" w:rsidR="00292CDC" w:rsidRPr="00F85178" w:rsidRDefault="00292CDC">
            <w:pPr>
              <w:jc w:val="left"/>
              <w:rPr>
                <w:szCs w:val="24"/>
              </w:rPr>
            </w:pPr>
            <w:r w:rsidRPr="00F85178">
              <w:t>KS Praha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1E067A8" w14:textId="77777777" w:rsidR="00292CDC" w:rsidRPr="00F85178" w:rsidRDefault="00292CDC">
            <w:pPr>
              <w:jc w:val="center"/>
            </w:pPr>
            <w:r w:rsidRPr="00F85178">
              <w:t>189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08F563B6" w14:textId="77777777" w:rsidR="00292CDC" w:rsidRPr="00F85178" w:rsidRDefault="00292CDC" w:rsidP="00292CDC">
            <w:pPr>
              <w:jc w:val="center"/>
              <w:rPr>
                <w:sz w:val="20"/>
                <w:szCs w:val="20"/>
              </w:rPr>
            </w:pPr>
            <w:r w:rsidRPr="00F85178">
              <w:rPr>
                <w:sz w:val="20"/>
                <w:szCs w:val="20"/>
              </w:rPr>
              <w:t>+0 %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48FF0220" w14:textId="77777777" w:rsidR="00292CDC" w:rsidRPr="00F85178" w:rsidRDefault="00292CDC">
            <w:pPr>
              <w:jc w:val="center"/>
              <w:rPr>
                <w:szCs w:val="24"/>
              </w:rPr>
            </w:pPr>
            <w:r w:rsidRPr="00F85178">
              <w:t>134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7A016AA0"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36476A3" w14:textId="77777777" w:rsidR="00292CDC" w:rsidRPr="00F85178" w:rsidRDefault="00292CDC">
            <w:pPr>
              <w:jc w:val="center"/>
              <w:rPr>
                <w:szCs w:val="24"/>
              </w:rPr>
            </w:pPr>
            <w:r w:rsidRPr="00F85178">
              <w:t>285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27FE17" w14:textId="77777777" w:rsidR="00292CDC" w:rsidRPr="00F85178" w:rsidRDefault="00292CDC" w:rsidP="00292CDC">
            <w:pPr>
              <w:jc w:val="center"/>
              <w:rPr>
                <w:sz w:val="20"/>
                <w:szCs w:val="20"/>
              </w:rPr>
            </w:pPr>
            <w:r w:rsidRPr="00F85178">
              <w:rPr>
                <w:sz w:val="20"/>
                <w:szCs w:val="20"/>
              </w:rPr>
              <w:t>-6 %</w:t>
            </w:r>
          </w:p>
        </w:tc>
      </w:tr>
      <w:tr w:rsidR="00F85178" w:rsidRPr="00F85178" w14:paraId="78FCF961"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51FE3B8" w14:textId="77777777" w:rsidR="00292CDC" w:rsidRPr="00F85178" w:rsidRDefault="00292CDC">
            <w:pPr>
              <w:jc w:val="left"/>
              <w:rPr>
                <w:szCs w:val="24"/>
              </w:rPr>
            </w:pPr>
            <w:r w:rsidRPr="00F85178">
              <w:t>KS Č. Budějovice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6FFB83" w14:textId="77777777" w:rsidR="00292CDC" w:rsidRPr="00F85178" w:rsidRDefault="00292CDC">
            <w:pPr>
              <w:jc w:val="center"/>
            </w:pPr>
            <w:r w:rsidRPr="00F85178">
              <w:t>182</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A10991F" w14:textId="77777777" w:rsidR="00292CDC" w:rsidRPr="00F85178" w:rsidRDefault="00292CDC" w:rsidP="00292CDC">
            <w:pPr>
              <w:jc w:val="center"/>
              <w:rPr>
                <w:sz w:val="20"/>
                <w:szCs w:val="20"/>
              </w:rPr>
            </w:pPr>
            <w:r w:rsidRPr="00F85178">
              <w:rPr>
                <w:sz w:val="20"/>
                <w:szCs w:val="20"/>
              </w:rPr>
              <w:t>+0 %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79CF0D81" w14:textId="77777777" w:rsidR="00292CDC" w:rsidRPr="00F85178" w:rsidRDefault="00292CDC">
            <w:pPr>
              <w:jc w:val="center"/>
              <w:rPr>
                <w:szCs w:val="24"/>
              </w:rPr>
            </w:pPr>
            <w:r w:rsidRPr="00F85178">
              <w:t>138</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17460680"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474210E" w14:textId="77777777" w:rsidR="00292CDC" w:rsidRPr="00F85178" w:rsidRDefault="00292CDC">
            <w:pPr>
              <w:jc w:val="center"/>
              <w:rPr>
                <w:szCs w:val="24"/>
              </w:rPr>
            </w:pPr>
            <w:r w:rsidRPr="00F85178">
              <w:t>274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6251E02" w14:textId="77777777" w:rsidR="00292CDC" w:rsidRPr="00F85178" w:rsidRDefault="00292CDC" w:rsidP="00292CDC">
            <w:pPr>
              <w:jc w:val="center"/>
              <w:rPr>
                <w:sz w:val="20"/>
                <w:szCs w:val="20"/>
              </w:rPr>
            </w:pPr>
            <w:r w:rsidRPr="00F85178">
              <w:rPr>
                <w:sz w:val="20"/>
                <w:szCs w:val="20"/>
              </w:rPr>
              <w:t>-3 %</w:t>
            </w:r>
          </w:p>
        </w:tc>
      </w:tr>
      <w:tr w:rsidR="00F85178" w:rsidRPr="00F85178" w14:paraId="0E76B7AF"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BF80975" w14:textId="77777777" w:rsidR="00292CDC" w:rsidRPr="00F85178" w:rsidRDefault="00292CDC">
            <w:pPr>
              <w:jc w:val="left"/>
              <w:rPr>
                <w:szCs w:val="24"/>
              </w:rPr>
            </w:pPr>
            <w:r w:rsidRPr="00F85178">
              <w:t>KS Plzeň</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58F93DD" w14:textId="77777777" w:rsidR="00292CDC" w:rsidRPr="00F85178" w:rsidRDefault="00292CDC">
            <w:pPr>
              <w:jc w:val="center"/>
            </w:pPr>
            <w:r w:rsidRPr="00F85178">
              <w:t>199</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0284E44"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54F5D65" w14:textId="77777777" w:rsidR="00292CDC" w:rsidRPr="00F85178" w:rsidRDefault="00292CDC">
            <w:pPr>
              <w:jc w:val="center"/>
              <w:rPr>
                <w:szCs w:val="24"/>
              </w:rPr>
            </w:pPr>
            <w:r w:rsidRPr="00F85178">
              <w:t>144</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30BECB9A" w14:textId="77777777" w:rsidR="00292CDC" w:rsidRPr="00F85178" w:rsidRDefault="00292CDC" w:rsidP="00292CDC">
            <w:pPr>
              <w:jc w:val="center"/>
              <w:rPr>
                <w:sz w:val="20"/>
                <w:szCs w:val="20"/>
              </w:rPr>
            </w:pPr>
            <w:r w:rsidRPr="00F85178">
              <w:rPr>
                <w:sz w:val="20"/>
                <w:szCs w:val="20"/>
              </w:rPr>
              <w:t>+38 %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95999B" w14:textId="77777777" w:rsidR="00292CDC" w:rsidRPr="00F85178" w:rsidRDefault="00292CDC">
            <w:pPr>
              <w:jc w:val="center"/>
              <w:rPr>
                <w:szCs w:val="24"/>
              </w:rPr>
            </w:pPr>
            <w:r w:rsidRPr="00F85178">
              <w:t>303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328DCC" w14:textId="77777777" w:rsidR="00292CDC" w:rsidRPr="00F85178" w:rsidRDefault="00292CDC" w:rsidP="00292CDC">
            <w:pPr>
              <w:jc w:val="center"/>
              <w:rPr>
                <w:sz w:val="20"/>
                <w:szCs w:val="20"/>
              </w:rPr>
            </w:pPr>
            <w:r w:rsidRPr="00F85178">
              <w:rPr>
                <w:sz w:val="20"/>
                <w:szCs w:val="20"/>
              </w:rPr>
              <w:t>-6 %</w:t>
            </w:r>
          </w:p>
        </w:tc>
      </w:tr>
      <w:tr w:rsidR="00F85178" w:rsidRPr="00F85178" w14:paraId="7A6F359C"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B716F9D" w14:textId="77777777" w:rsidR="00292CDC" w:rsidRPr="00F85178" w:rsidRDefault="00292CDC">
            <w:pPr>
              <w:jc w:val="left"/>
              <w:rPr>
                <w:szCs w:val="24"/>
              </w:rPr>
            </w:pPr>
            <w:r w:rsidRPr="00F85178">
              <w:t>KS Ústí n. Labem</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9D3DF55" w14:textId="77777777" w:rsidR="00292CDC" w:rsidRPr="00F85178" w:rsidRDefault="00292CDC">
            <w:pPr>
              <w:jc w:val="center"/>
            </w:pPr>
            <w:r w:rsidRPr="00F85178">
              <w:t>373</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02B9F1C" w14:textId="77777777" w:rsidR="00292CDC" w:rsidRPr="00F85178" w:rsidRDefault="00292CDC" w:rsidP="00292CDC">
            <w:pPr>
              <w:jc w:val="center"/>
              <w:rPr>
                <w:sz w:val="20"/>
                <w:szCs w:val="20"/>
              </w:rPr>
            </w:pPr>
            <w:r w:rsidRPr="00F85178">
              <w:rPr>
                <w:sz w:val="20"/>
                <w:szCs w:val="20"/>
              </w:rPr>
              <w:t>-17 %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0483F035" w14:textId="77777777" w:rsidR="00292CDC" w:rsidRPr="00F85178" w:rsidRDefault="00292CDC">
            <w:pPr>
              <w:jc w:val="center"/>
              <w:rPr>
                <w:szCs w:val="24"/>
              </w:rPr>
            </w:pPr>
            <w:r w:rsidRPr="00F85178">
              <w:t>253</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4A2DE78" w14:textId="77777777" w:rsidR="00292CDC" w:rsidRPr="00F85178" w:rsidRDefault="00292CDC" w:rsidP="00292CDC">
            <w:pPr>
              <w:jc w:val="center"/>
              <w:rPr>
                <w:sz w:val="20"/>
                <w:szCs w:val="20"/>
              </w:rPr>
            </w:pPr>
            <w:r w:rsidRPr="00F85178">
              <w:rPr>
                <w:sz w:val="20"/>
                <w:szCs w:val="20"/>
              </w:rPr>
              <w:t>-15 %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73D8ACC" w14:textId="77777777" w:rsidR="00292CDC" w:rsidRPr="00F85178" w:rsidRDefault="00292CDC">
            <w:pPr>
              <w:jc w:val="center"/>
              <w:rPr>
                <w:szCs w:val="24"/>
              </w:rPr>
            </w:pPr>
            <w:r w:rsidRPr="00F85178">
              <w:t>671</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5F02687C" w14:textId="77777777" w:rsidR="00292CDC" w:rsidRPr="00F85178" w:rsidRDefault="00292CDC" w:rsidP="00292CDC">
            <w:pPr>
              <w:jc w:val="center"/>
              <w:rPr>
                <w:sz w:val="20"/>
                <w:szCs w:val="20"/>
              </w:rPr>
            </w:pPr>
            <w:r w:rsidRPr="00F85178">
              <w:rPr>
                <w:sz w:val="20"/>
                <w:szCs w:val="20"/>
              </w:rPr>
              <w:t>-32 %</w:t>
            </w:r>
          </w:p>
        </w:tc>
      </w:tr>
      <w:tr w:rsidR="00F85178" w:rsidRPr="00F85178" w14:paraId="33204EC7"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7689657" w14:textId="77777777" w:rsidR="00292CDC" w:rsidRPr="00F85178" w:rsidRDefault="00292CDC">
            <w:pPr>
              <w:jc w:val="left"/>
              <w:rPr>
                <w:szCs w:val="24"/>
              </w:rPr>
            </w:pPr>
            <w:r w:rsidRPr="00F85178">
              <w:t>KS Hr. Králové</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25C340A" w14:textId="77777777" w:rsidR="00292CDC" w:rsidRPr="00F85178" w:rsidRDefault="00292CDC">
            <w:pPr>
              <w:jc w:val="center"/>
            </w:pPr>
            <w:r w:rsidRPr="00F85178">
              <w:t>235</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6453275" w14:textId="77777777" w:rsidR="00292CDC" w:rsidRPr="00F85178" w:rsidRDefault="00292CDC" w:rsidP="00292CDC">
            <w:pPr>
              <w:jc w:val="center"/>
              <w:rPr>
                <w:sz w:val="20"/>
                <w:szCs w:val="20"/>
              </w:rPr>
            </w:pPr>
            <w:r w:rsidRPr="00F85178">
              <w:rPr>
                <w:sz w:val="20"/>
                <w:szCs w:val="20"/>
              </w:rPr>
              <w:t>-2 %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67AD8FA3" w14:textId="77777777" w:rsidR="00292CDC" w:rsidRPr="00F85178" w:rsidRDefault="00292CDC">
            <w:pPr>
              <w:jc w:val="center"/>
              <w:rPr>
                <w:szCs w:val="24"/>
              </w:rPr>
            </w:pPr>
            <w:r w:rsidRPr="00F85178">
              <w:t>155</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086C57F4"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F76E928" w14:textId="77777777" w:rsidR="00292CDC" w:rsidRPr="00F85178" w:rsidRDefault="00292CDC">
            <w:pPr>
              <w:jc w:val="center"/>
              <w:rPr>
                <w:szCs w:val="24"/>
              </w:rPr>
            </w:pPr>
            <w:r w:rsidRPr="00F85178">
              <w:t>636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4FDB823D" w14:textId="77777777" w:rsidR="00292CDC" w:rsidRPr="00F85178" w:rsidRDefault="00292CDC" w:rsidP="00292CDC">
            <w:pPr>
              <w:jc w:val="center"/>
              <w:rPr>
                <w:sz w:val="20"/>
                <w:szCs w:val="20"/>
              </w:rPr>
            </w:pPr>
            <w:r w:rsidRPr="00F85178">
              <w:rPr>
                <w:sz w:val="20"/>
                <w:szCs w:val="20"/>
              </w:rPr>
              <w:t>+64 %</w:t>
            </w:r>
          </w:p>
        </w:tc>
      </w:tr>
      <w:tr w:rsidR="00F85178" w:rsidRPr="00F85178" w14:paraId="79E5F93D" w14:textId="77777777" w:rsidTr="00292CDC">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97B025B" w14:textId="77777777" w:rsidR="00292CDC" w:rsidRPr="00F85178" w:rsidRDefault="00292CDC">
            <w:pPr>
              <w:jc w:val="left"/>
              <w:rPr>
                <w:szCs w:val="24"/>
              </w:rPr>
            </w:pPr>
            <w:r w:rsidRPr="00F85178">
              <w:t>KS Brno</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F1643A2" w14:textId="77777777" w:rsidR="00292CDC" w:rsidRPr="00F85178" w:rsidRDefault="00292CDC">
            <w:pPr>
              <w:jc w:val="center"/>
            </w:pPr>
            <w:r w:rsidRPr="00F85178">
              <w:t>364</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142D9152" w14:textId="77777777" w:rsidR="00292CDC" w:rsidRPr="00F85178" w:rsidRDefault="00292CDC" w:rsidP="00292CDC">
            <w:pPr>
              <w:jc w:val="center"/>
              <w:rPr>
                <w:sz w:val="20"/>
                <w:szCs w:val="20"/>
              </w:rPr>
            </w:pPr>
            <w:r w:rsidRPr="00F85178">
              <w:rPr>
                <w:sz w:val="20"/>
                <w:szCs w:val="20"/>
              </w:rPr>
              <w:t>-10 %</w:t>
            </w:r>
          </w:p>
        </w:tc>
        <w:tc>
          <w:tcPr>
            <w:tcW w:w="0" w:type="auto"/>
            <w:tcBorders>
              <w:top w:val="nil"/>
              <w:left w:val="single" w:sz="4" w:space="0" w:color="auto"/>
              <w:bottom w:val="single" w:sz="4" w:space="0" w:color="auto"/>
              <w:right w:val="nil"/>
            </w:tcBorders>
            <w:shd w:val="clear" w:color="auto" w:fill="auto"/>
            <w:noWrap/>
            <w:tcMar>
              <w:top w:w="15" w:type="dxa"/>
              <w:left w:w="15" w:type="dxa"/>
              <w:bottom w:w="0" w:type="dxa"/>
              <w:right w:w="15" w:type="dxa"/>
            </w:tcMar>
            <w:vAlign w:val="bottom"/>
            <w:hideMark/>
          </w:tcPr>
          <w:p w14:paraId="332CA6D2" w14:textId="77777777" w:rsidR="00292CDC" w:rsidRPr="00F85178" w:rsidRDefault="00292CDC">
            <w:pPr>
              <w:jc w:val="center"/>
              <w:rPr>
                <w:szCs w:val="24"/>
              </w:rPr>
            </w:pPr>
            <w:r w:rsidRPr="00F85178">
              <w:t>231</w:t>
            </w:r>
          </w:p>
        </w:tc>
        <w:tc>
          <w:tcPr>
            <w:tcW w:w="0" w:type="auto"/>
            <w:tcBorders>
              <w:top w:val="nil"/>
              <w:left w:val="nil"/>
              <w:bottom w:val="single" w:sz="4" w:space="0" w:color="auto"/>
              <w:right w:val="single" w:sz="4" w:space="0" w:color="auto"/>
            </w:tcBorders>
            <w:shd w:val="clear" w:color="auto" w:fill="auto"/>
            <w:noWrap/>
            <w:tcMar>
              <w:top w:w="15" w:type="dxa"/>
              <w:left w:w="15" w:type="dxa"/>
              <w:bottom w:w="0" w:type="dxa"/>
              <w:right w:w="15" w:type="dxa"/>
            </w:tcMar>
            <w:vAlign w:val="center"/>
            <w:hideMark/>
          </w:tcPr>
          <w:p w14:paraId="53088A53" w14:textId="77777777" w:rsidR="00292CDC" w:rsidRPr="00F85178" w:rsidRDefault="00292CDC" w:rsidP="00292CDC">
            <w:pPr>
              <w:jc w:val="center"/>
              <w:rPr>
                <w:sz w:val="20"/>
                <w:szCs w:val="20"/>
              </w:rPr>
            </w:pPr>
            <w:r w:rsidRPr="00F85178">
              <w:rPr>
                <w:sz w:val="20"/>
                <w:szCs w:val="20"/>
              </w:rPr>
              <w:t>-9 %</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09AF694C" w14:textId="77777777" w:rsidR="00292CDC" w:rsidRPr="00F85178" w:rsidRDefault="00292CDC">
            <w:pPr>
              <w:jc w:val="center"/>
              <w:rPr>
                <w:szCs w:val="24"/>
              </w:rPr>
            </w:pPr>
            <w:r w:rsidRPr="00F85178">
              <w:t>686</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2967459A" w14:textId="77777777" w:rsidR="00292CDC" w:rsidRPr="00F85178" w:rsidRDefault="00292CDC" w:rsidP="00292CDC">
            <w:pPr>
              <w:jc w:val="center"/>
              <w:rPr>
                <w:sz w:val="20"/>
                <w:szCs w:val="20"/>
              </w:rPr>
            </w:pPr>
            <w:r w:rsidRPr="00F85178">
              <w:rPr>
                <w:sz w:val="20"/>
                <w:szCs w:val="20"/>
              </w:rPr>
              <w:t>-18 %</w:t>
            </w:r>
          </w:p>
        </w:tc>
      </w:tr>
      <w:tr w:rsidR="00F85178" w:rsidRPr="00F85178" w14:paraId="13F1DA89" w14:textId="77777777" w:rsidTr="00292CDC">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06978044" w14:textId="77777777" w:rsidR="00292CDC" w:rsidRPr="00F85178" w:rsidRDefault="00292CDC">
            <w:pPr>
              <w:jc w:val="left"/>
              <w:rPr>
                <w:szCs w:val="24"/>
              </w:rPr>
            </w:pPr>
            <w:r w:rsidRPr="00F85178">
              <w:t>KS Ostrava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D2061C7" w14:textId="77777777" w:rsidR="00292CDC" w:rsidRPr="00F85178" w:rsidRDefault="00292CDC">
            <w:pPr>
              <w:jc w:val="center"/>
            </w:pPr>
            <w:r w:rsidRPr="00F85178">
              <w:t>218</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5E540E85" w14:textId="77777777" w:rsidR="00292CDC" w:rsidRPr="00F85178" w:rsidRDefault="00292CDC" w:rsidP="00292CDC">
            <w:pPr>
              <w:jc w:val="center"/>
              <w:rPr>
                <w:sz w:val="20"/>
                <w:szCs w:val="20"/>
              </w:rPr>
            </w:pPr>
            <w:r w:rsidRPr="00F85178">
              <w:rPr>
                <w:sz w:val="20"/>
                <w:szCs w:val="20"/>
              </w:rPr>
              <w:t>-3 %</w:t>
            </w:r>
          </w:p>
        </w:tc>
        <w:tc>
          <w:tcPr>
            <w:tcW w:w="0" w:type="auto"/>
            <w:tcBorders>
              <w:top w:val="nil"/>
              <w:left w:val="single" w:sz="4" w:space="0" w:color="auto"/>
              <w:bottom w:val="double" w:sz="6" w:space="0" w:color="auto"/>
              <w:right w:val="nil"/>
            </w:tcBorders>
            <w:shd w:val="clear" w:color="auto" w:fill="auto"/>
            <w:noWrap/>
            <w:tcMar>
              <w:top w:w="15" w:type="dxa"/>
              <w:left w:w="15" w:type="dxa"/>
              <w:bottom w:w="0" w:type="dxa"/>
              <w:right w:w="15" w:type="dxa"/>
            </w:tcMar>
            <w:vAlign w:val="bottom"/>
            <w:hideMark/>
          </w:tcPr>
          <w:p w14:paraId="59BDEEA3" w14:textId="77777777" w:rsidR="00292CDC" w:rsidRPr="00F85178" w:rsidRDefault="00292CDC">
            <w:pPr>
              <w:jc w:val="center"/>
              <w:rPr>
                <w:szCs w:val="24"/>
              </w:rPr>
            </w:pPr>
            <w:r w:rsidRPr="00F85178">
              <w:t>166</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6678D9C0" w14:textId="77777777" w:rsidR="00292CDC" w:rsidRPr="00F85178" w:rsidRDefault="00292CDC" w:rsidP="00292CDC">
            <w:pPr>
              <w:jc w:val="center"/>
              <w:rPr>
                <w:sz w:val="20"/>
                <w:szCs w:val="20"/>
              </w:rPr>
            </w:pPr>
            <w:r w:rsidRPr="00F85178">
              <w:rPr>
                <w:sz w:val="20"/>
                <w:szCs w:val="20"/>
              </w:rPr>
              <w:t>-1 %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546823A" w14:textId="77777777" w:rsidR="00292CDC" w:rsidRPr="00F85178" w:rsidRDefault="00292CDC">
            <w:pPr>
              <w:jc w:val="center"/>
              <w:rPr>
                <w:szCs w:val="24"/>
              </w:rPr>
            </w:pPr>
            <w:r w:rsidRPr="00F85178">
              <w:t>314</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3CFEBEFE" w14:textId="77777777" w:rsidR="00292CDC" w:rsidRPr="00F85178" w:rsidRDefault="00292CDC" w:rsidP="00292CDC">
            <w:pPr>
              <w:jc w:val="center"/>
              <w:rPr>
                <w:sz w:val="20"/>
                <w:szCs w:val="20"/>
              </w:rPr>
            </w:pPr>
            <w:r w:rsidRPr="00F85178">
              <w:rPr>
                <w:sz w:val="20"/>
                <w:szCs w:val="20"/>
              </w:rPr>
              <w:t>-6 %</w:t>
            </w:r>
          </w:p>
        </w:tc>
      </w:tr>
      <w:tr w:rsidR="00F85178" w:rsidRPr="00F85178" w14:paraId="305DB8E4" w14:textId="77777777" w:rsidTr="00292CDC">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0597F74" w14:textId="77777777" w:rsidR="00292CDC" w:rsidRPr="00F85178" w:rsidRDefault="00292CDC">
            <w:pPr>
              <w:jc w:val="left"/>
              <w:rPr>
                <w:b/>
                <w:bCs/>
                <w:szCs w:val="24"/>
              </w:rPr>
            </w:pPr>
            <w:r w:rsidRPr="00F85178">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47B5C22" w14:textId="77777777" w:rsidR="00292CDC" w:rsidRPr="00F85178" w:rsidRDefault="00292CDC">
            <w:pPr>
              <w:jc w:val="center"/>
              <w:rPr>
                <w:b/>
                <w:bCs/>
              </w:rPr>
            </w:pPr>
            <w:r w:rsidRPr="00F85178">
              <w:rPr>
                <w:b/>
                <w:bCs/>
              </w:rPr>
              <w:t>276</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4B8A59C5" w14:textId="77777777" w:rsidR="00292CDC" w:rsidRPr="00F85178" w:rsidRDefault="00292CDC" w:rsidP="00292CDC">
            <w:pPr>
              <w:jc w:val="center"/>
              <w:rPr>
                <w:b/>
                <w:bCs/>
                <w:sz w:val="20"/>
                <w:szCs w:val="20"/>
              </w:rPr>
            </w:pPr>
            <w:r w:rsidRPr="00F85178">
              <w:rPr>
                <w:b/>
                <w:bCs/>
                <w:sz w:val="20"/>
                <w:szCs w:val="20"/>
              </w:rPr>
              <w:t>-7 %</w:t>
            </w:r>
          </w:p>
        </w:tc>
        <w:tc>
          <w:tcPr>
            <w:tcW w:w="0" w:type="auto"/>
            <w:tcBorders>
              <w:top w:val="nil"/>
              <w:left w:val="single" w:sz="4" w:space="0" w:color="auto"/>
              <w:bottom w:val="double" w:sz="6" w:space="0" w:color="auto"/>
              <w:right w:val="nil"/>
            </w:tcBorders>
            <w:shd w:val="clear" w:color="auto" w:fill="auto"/>
            <w:noWrap/>
            <w:tcMar>
              <w:top w:w="15" w:type="dxa"/>
              <w:left w:w="15" w:type="dxa"/>
              <w:bottom w:w="0" w:type="dxa"/>
              <w:right w:w="15" w:type="dxa"/>
            </w:tcMar>
            <w:vAlign w:val="bottom"/>
            <w:hideMark/>
          </w:tcPr>
          <w:p w14:paraId="15A2B71B" w14:textId="77777777" w:rsidR="00292CDC" w:rsidRPr="00F85178" w:rsidRDefault="00292CDC">
            <w:pPr>
              <w:jc w:val="center"/>
              <w:rPr>
                <w:b/>
                <w:bCs/>
                <w:szCs w:val="24"/>
              </w:rPr>
            </w:pPr>
            <w:r w:rsidRPr="00F85178">
              <w:rPr>
                <w:b/>
                <w:bCs/>
              </w:rPr>
              <w:t>176</w:t>
            </w:r>
          </w:p>
        </w:tc>
        <w:tc>
          <w:tcPr>
            <w:tcW w:w="0" w:type="auto"/>
            <w:tcBorders>
              <w:top w:val="nil"/>
              <w:left w:val="nil"/>
              <w:bottom w:val="double" w:sz="6" w:space="0" w:color="auto"/>
              <w:right w:val="single" w:sz="4" w:space="0" w:color="auto"/>
            </w:tcBorders>
            <w:shd w:val="clear" w:color="auto" w:fill="auto"/>
            <w:noWrap/>
            <w:tcMar>
              <w:top w:w="15" w:type="dxa"/>
              <w:left w:w="15" w:type="dxa"/>
              <w:bottom w:w="0" w:type="dxa"/>
              <w:right w:w="15" w:type="dxa"/>
            </w:tcMar>
            <w:vAlign w:val="center"/>
            <w:hideMark/>
          </w:tcPr>
          <w:p w14:paraId="1E5746CD" w14:textId="77777777" w:rsidR="00292CDC" w:rsidRPr="00F85178" w:rsidRDefault="00292CDC" w:rsidP="00292CDC">
            <w:pPr>
              <w:jc w:val="center"/>
              <w:rPr>
                <w:b/>
                <w:bCs/>
                <w:sz w:val="20"/>
                <w:szCs w:val="20"/>
              </w:rPr>
            </w:pPr>
            <w:r w:rsidRPr="00F85178">
              <w:rPr>
                <w:b/>
                <w:bCs/>
                <w:sz w:val="20"/>
                <w:szCs w:val="20"/>
              </w:rPr>
              <w:t>-3 %</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543DE99" w14:textId="77777777" w:rsidR="00292CDC" w:rsidRPr="00F85178" w:rsidRDefault="00292CDC">
            <w:pPr>
              <w:jc w:val="center"/>
              <w:rPr>
                <w:b/>
                <w:bCs/>
                <w:szCs w:val="24"/>
              </w:rPr>
            </w:pPr>
            <w:r w:rsidRPr="00F85178">
              <w:rPr>
                <w:b/>
                <w:bCs/>
              </w:rPr>
              <w:t>490</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center"/>
            <w:hideMark/>
          </w:tcPr>
          <w:p w14:paraId="67BF48EE" w14:textId="77777777" w:rsidR="00292CDC" w:rsidRPr="00F85178" w:rsidRDefault="00292CDC" w:rsidP="00292CDC">
            <w:pPr>
              <w:jc w:val="center"/>
              <w:rPr>
                <w:b/>
                <w:bCs/>
                <w:sz w:val="20"/>
                <w:szCs w:val="20"/>
              </w:rPr>
            </w:pPr>
            <w:r w:rsidRPr="00F85178">
              <w:rPr>
                <w:b/>
                <w:bCs/>
                <w:sz w:val="20"/>
                <w:szCs w:val="20"/>
              </w:rPr>
              <w:t>-20 %</w:t>
            </w:r>
          </w:p>
        </w:tc>
      </w:tr>
    </w:tbl>
    <w:p w14:paraId="168AC1EC" w14:textId="77777777" w:rsidR="00D071B1" w:rsidRPr="00F85178" w:rsidRDefault="00D071B1">
      <w:pPr>
        <w:spacing w:line="240" w:lineRule="auto"/>
        <w:jc w:val="left"/>
      </w:pPr>
    </w:p>
    <w:p w14:paraId="643E2BF6" w14:textId="77777777" w:rsidR="00D071B1" w:rsidRPr="00F85178" w:rsidRDefault="00D071B1" w:rsidP="00D071B1">
      <w:pPr>
        <w:pStyle w:val="OdstavecASR"/>
      </w:pPr>
      <w:r w:rsidRPr="00F85178">
        <w:t xml:space="preserve">Z tabulky </w:t>
      </w:r>
      <w:r w:rsidR="00324CFC">
        <w:t>7</w:t>
      </w:r>
      <w:r w:rsidRPr="00F85178">
        <w:t xml:space="preserve"> a </w:t>
      </w:r>
      <w:r w:rsidR="00CD2CA4">
        <w:t>grafu</w:t>
      </w:r>
      <w:r w:rsidRPr="00F85178">
        <w:t xml:space="preserve"> 7 jasně vyplývá, že v roce 2018 stále existují výrazné rozdíly (variabilita) mezi soudními kraji a jednotlivými soudy. Nejrychlejší OS většinou spadají pod KS České Budějovice a KS Praha. Nejpomalejší soudy spadají pod KS Ústí nad Labem a KS Brno. Je však třeba zdůraznit, že významné délky řízení často nejsou způsobeny neefektivností daných soudů, ale velkou případovou zátěží z minulých let, starší data totiž ukazují, že problémy začaly již v 90. letech. Již první pohled na data z posledních let ale naznačuje, že rozdíly mezi kraji a soudy se zmenšují, a to díky snižování délek řízení u soudů, kde je tento ukazatel nejvyšší. To lze vidět v tabulce 7. U</w:t>
      </w:r>
      <w:r w:rsidR="001B69CA" w:rsidRPr="00F85178">
        <w:t> </w:t>
      </w:r>
      <w:r w:rsidRPr="00F85178">
        <w:t>soudů spadajících pod KS Ústí nad Labem klesl medián meziročně o 15 %, průměr o 17 % a</w:t>
      </w:r>
      <w:r w:rsidR="001B69CA" w:rsidRPr="00F85178">
        <w:t> </w:t>
      </w:r>
      <w:r w:rsidRPr="00F85178">
        <w:t>percentil 90 dokonce o 32 %. Obdobné poklesy lze vidět i u soudů spadajících pod KS Brno. Ke značnému poklesu došlo i mezi roky 2016 a 2017.</w:t>
      </w:r>
    </w:p>
    <w:p w14:paraId="4029632B" w14:textId="77777777" w:rsidR="00D071B1" w:rsidRPr="00F85178" w:rsidRDefault="00D071B1" w:rsidP="00D071B1">
      <w:pPr>
        <w:pStyle w:val="OdstavecASR"/>
      </w:pPr>
      <w:r w:rsidRPr="00F85178">
        <w:t>Za zmínku ještě stojí 64% nárůst 90. percentilu u Východočeského kraje. Tam se ale nejedná o</w:t>
      </w:r>
      <w:r w:rsidR="00134F0C" w:rsidRPr="00F85178">
        <w:t> </w:t>
      </w:r>
      <w:r w:rsidRPr="00F85178">
        <w:t>dlouhodobý trend, může se tedy jednat o krátkodobou odchylku.</w:t>
      </w:r>
    </w:p>
    <w:p w14:paraId="0ECE4A8E" w14:textId="77777777" w:rsidR="006D2872" w:rsidRPr="00F85178" w:rsidRDefault="006D2872" w:rsidP="00D071B1">
      <w:pPr>
        <w:pStyle w:val="OdstavecASR"/>
      </w:pPr>
      <w:r w:rsidRPr="00F85178">
        <w:t>Sledovat je také třeba Západočeský kraj, kde vzrostl medián o 38</w:t>
      </w:r>
      <w:r w:rsidR="00134F0C" w:rsidRPr="00F85178">
        <w:t> </w:t>
      </w:r>
      <w:r w:rsidRPr="00F85178">
        <w:t>%, což lze považovat za znepokojivý údaj, nicméně nelze z něj ještě vyvozovat negativní závěry.</w:t>
      </w:r>
    </w:p>
    <w:p w14:paraId="1B0EEC93" w14:textId="77777777" w:rsidR="006618A0" w:rsidRPr="00F85178" w:rsidRDefault="006618A0" w:rsidP="006618A0">
      <w:pPr>
        <w:pStyle w:val="Podtitul"/>
        <w:rPr>
          <w:color w:val="auto"/>
        </w:rPr>
      </w:pPr>
      <w:bookmarkStart w:id="70" w:name="_Ref509210807"/>
      <w:bookmarkStart w:id="71" w:name="_Ref509210803"/>
      <w:bookmarkStart w:id="72" w:name="_Toc515871332"/>
      <w:bookmarkStart w:id="73" w:name="_Toc11135068"/>
      <w:bookmarkStart w:id="74" w:name="_Toc13837500"/>
      <w:bookmarkStart w:id="75" w:name="_Toc515871334"/>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7</w:t>
      </w:r>
      <w:r w:rsidR="00EE0C8A" w:rsidRPr="00F85178">
        <w:rPr>
          <w:color w:val="auto"/>
        </w:rPr>
        <w:fldChar w:fldCharType="end"/>
      </w:r>
      <w:bookmarkEnd w:id="70"/>
      <w:r w:rsidRPr="00F85178">
        <w:rPr>
          <w:color w:val="auto"/>
        </w:rPr>
        <w:t xml:space="preserve">: OS – mediánové délky civilního řízení u jednotlivých </w:t>
      </w:r>
      <w:bookmarkEnd w:id="71"/>
      <w:r w:rsidRPr="00F85178">
        <w:rPr>
          <w:color w:val="auto"/>
        </w:rPr>
        <w:t>soudů</w:t>
      </w:r>
      <w:bookmarkEnd w:id="72"/>
      <w:bookmarkEnd w:id="73"/>
      <w:bookmarkEnd w:id="74"/>
    </w:p>
    <w:p w14:paraId="269685B7" w14:textId="77777777" w:rsidR="006618A0" w:rsidRPr="00F85178" w:rsidRDefault="00890295">
      <w:pPr>
        <w:spacing w:line="240" w:lineRule="auto"/>
        <w:jc w:val="left"/>
      </w:pPr>
      <w:r>
        <w:rPr>
          <w:noProof/>
          <w:lang w:eastAsia="cs-CZ"/>
        </w:rPr>
        <w:drawing>
          <wp:anchor distT="0" distB="0" distL="114300" distR="114300" simplePos="0" relativeHeight="251665920" behindDoc="0" locked="0" layoutInCell="1" allowOverlap="1" wp14:anchorId="05523F5E" wp14:editId="3149BDA1">
            <wp:simplePos x="0" y="0"/>
            <wp:positionH relativeFrom="margin">
              <wp:posOffset>4489506</wp:posOffset>
            </wp:positionH>
            <wp:positionV relativeFrom="paragraph">
              <wp:posOffset>27940</wp:posOffset>
            </wp:positionV>
            <wp:extent cx="1230630" cy="900430"/>
            <wp:effectExtent l="0" t="0" r="7620" b="0"/>
            <wp:wrapNone/>
            <wp:docPr id="12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230630" cy="90043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5641F6FC" wp14:editId="3BACFC49">
            <wp:extent cx="5759450" cy="3329940"/>
            <wp:effectExtent l="0" t="0" r="0" b="0"/>
            <wp:docPr id="8" name="Obrázek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1"/>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77948DCD" w14:textId="77777777" w:rsidR="006618A0" w:rsidRPr="00F85178" w:rsidRDefault="006618A0">
      <w:pPr>
        <w:spacing w:line="240" w:lineRule="auto"/>
        <w:jc w:val="left"/>
      </w:pPr>
    </w:p>
    <w:p w14:paraId="1910E6E3" w14:textId="77777777" w:rsidR="00D071B1" w:rsidRPr="00F85178" w:rsidRDefault="00D071B1" w:rsidP="00D071B1">
      <w:pPr>
        <w:pStyle w:val="OdstavecASR"/>
      </w:pPr>
      <w:r w:rsidRPr="00F85178">
        <w:t>Nejrychlejší soudy v roce 2018 byly</w:t>
      </w:r>
      <w:r w:rsidR="00A07007" w:rsidRPr="00F85178">
        <w:t>, stejně</w:t>
      </w:r>
      <w:r w:rsidRPr="00F85178">
        <w:t xml:space="preserve"> </w:t>
      </w:r>
      <w:r w:rsidR="00E6261E" w:rsidRPr="00F85178">
        <w:t>jako minulý rok</w:t>
      </w:r>
      <w:r w:rsidR="00A07007" w:rsidRPr="00F85178">
        <w:t>,</w:t>
      </w:r>
      <w:r w:rsidR="00E6261E" w:rsidRPr="00F85178">
        <w:t xml:space="preserve"> </w:t>
      </w:r>
      <w:r w:rsidRPr="00F85178">
        <w:t>OS Domažlice (medián 97 dnů), OS Kutná Hora (107 dnů)</w:t>
      </w:r>
      <w:r w:rsidR="00E6261E" w:rsidRPr="00F85178">
        <w:t>, které délku řízení</w:t>
      </w:r>
      <w:r w:rsidR="00E37A60" w:rsidRPr="00F85178">
        <w:t xml:space="preserve"> v roce 2018</w:t>
      </w:r>
      <w:r w:rsidR="00E6261E" w:rsidRPr="00F85178">
        <w:t xml:space="preserve"> opět snížily</w:t>
      </w:r>
      <w:r w:rsidR="00A07007" w:rsidRPr="00F85178">
        <w:t>.</w:t>
      </w:r>
      <w:r w:rsidRPr="00F85178">
        <w:t xml:space="preserve"> </w:t>
      </w:r>
      <w:r w:rsidR="00A07007" w:rsidRPr="00F85178">
        <w:t>N</w:t>
      </w:r>
      <w:r w:rsidR="00E6261E" w:rsidRPr="00F85178">
        <w:t>ově</w:t>
      </w:r>
      <w:r w:rsidRPr="00F85178">
        <w:t> </w:t>
      </w:r>
      <w:r w:rsidR="00E37A60" w:rsidRPr="00F85178">
        <w:t xml:space="preserve">se mezi nejrychlejší soudy zařadil </w:t>
      </w:r>
      <w:r w:rsidRPr="00F85178">
        <w:t>OS Trutnov (111 dnů). Naopak nejpomalejší jsou soudy v Chomutově, Břeclavi (oba 401 dnů)</w:t>
      </w:r>
      <w:r w:rsidR="00E6261E" w:rsidRPr="00F85178">
        <w:t>, které ale délku civilního řízení</w:t>
      </w:r>
      <w:r w:rsidR="00B20778" w:rsidRPr="00F85178">
        <w:t xml:space="preserve"> v roce 2018</w:t>
      </w:r>
      <w:r w:rsidR="00E6261E" w:rsidRPr="00F85178">
        <w:t xml:space="preserve"> výrazně snížily (v roce 2017 Chomutov 682 dní, Břeclav 571 dní) </w:t>
      </w:r>
      <w:r w:rsidRPr="00F85178">
        <w:t>a Litoměřicích (315 dnů</w:t>
      </w:r>
      <w:r w:rsidR="00A07007" w:rsidRPr="00F85178">
        <w:t>, v roce 2017 309 dnů</w:t>
      </w:r>
      <w:r w:rsidR="00134F0C" w:rsidRPr="00F85178">
        <w:t>).</w:t>
      </w:r>
    </w:p>
    <w:p w14:paraId="38765E38" w14:textId="77777777" w:rsidR="00D071B1" w:rsidRPr="00F85178" w:rsidRDefault="00D071B1" w:rsidP="00D071B1">
      <w:pPr>
        <w:pStyle w:val="OdstavecASR"/>
      </w:pPr>
      <w:r w:rsidRPr="00F85178">
        <w:t>Teorii snižování rozdílů mezi soudy si můžeme jednoduše potvrdit pomocí krabicových grafů (</w:t>
      </w:r>
      <w:r w:rsidR="005C706B" w:rsidRPr="00F85178">
        <w:t>graf</w:t>
      </w:r>
      <w:r w:rsidR="001B69CA" w:rsidRPr="00F85178">
        <w:t> </w:t>
      </w:r>
      <w:r w:rsidR="005C706B" w:rsidRPr="00F85178">
        <w:rPr>
          <w:noProof/>
        </w:rPr>
        <w:t>8</w:t>
      </w:r>
      <w:r w:rsidRPr="00F85178">
        <w:t>). Vysvětlení krabicového grafu lze najít v seznamu použitých pojmů v příloze. Na grafu jsou vedle sebe znázorněny krabicové grafy pro roky 2008–201</w:t>
      </w:r>
      <w:r w:rsidR="00BA6308" w:rsidRPr="00F85178">
        <w:t>8</w:t>
      </w:r>
      <w:r w:rsidRPr="00F85178">
        <w:t xml:space="preserve"> s mediánovými délkami řízení jed</w:t>
      </w:r>
      <w:r w:rsidR="00BA6308" w:rsidRPr="00F85178">
        <w:t>n</w:t>
      </w:r>
      <w:r w:rsidRPr="00F85178">
        <w:t>otlivých soudů.</w:t>
      </w:r>
    </w:p>
    <w:p w14:paraId="30095653" w14:textId="77777777" w:rsidR="004F47ED" w:rsidRPr="00F85178" w:rsidRDefault="004F47ED" w:rsidP="004F47ED">
      <w:pPr>
        <w:pStyle w:val="OdstavecASR"/>
      </w:pPr>
      <w:r w:rsidRPr="00F85178">
        <w:t>Graf potvrzuje to, co již naznačují výše uvedená data. Z grafu jasně vyplývá, že v letech s nejvyšší mediánovou délkou řízení (úsečka uvnitř šedého boxu, kdy box znázorňuje 25 % počtu OS pod mediánem a 25 % OS nad mediánem, celkem tedy 43 soudů) byla variabilita mezi soudy výrazně vyšší (vyjádřená délkou vousů). Dlouhé délky řízení byly tedy způsobeny malou skupinou soudů (znázorněny jako tečky, z nichž každá představuje jeden OS s extrémní délkou řízení) především v Severočeském a Jihomoravském kraji. Proto tyto soudy Ministerstvo spravedlnosti v několika etapách jmenování soudců personálně posílilo, aby mohly lépe vyřídit své nedodělky.</w:t>
      </w:r>
    </w:p>
    <w:p w14:paraId="714168AB" w14:textId="77777777" w:rsidR="004F47ED" w:rsidRPr="00F85178" w:rsidRDefault="004F47ED" w:rsidP="004F47ED">
      <w:pPr>
        <w:pStyle w:val="OdstavecASR"/>
      </w:pPr>
      <w:r w:rsidRPr="00F85178">
        <w:t>Graf také potvrzuje teorii snižování rozdílů mezi soudy. Délky řízení i jejich variabilita se v posledních letech postupně snižují. V krabicových grafech to je zcela jasně vidět – zmenšuje se box, zkracují se vousy a odlehlé hodnoty se přibližují.</w:t>
      </w:r>
      <w:r w:rsidR="00A37270" w:rsidRPr="00F85178">
        <w:t xml:space="preserve"> V roce 2018 již jsou v datech pouze 4 odlehlé hodnoty a všechny 4 leží poměrně blízko horní přilehlé hodnotě.</w:t>
      </w:r>
    </w:p>
    <w:p w14:paraId="75596300" w14:textId="77777777" w:rsidR="004F47ED" w:rsidRPr="00F85178" w:rsidRDefault="004F47ED" w:rsidP="00D071B1">
      <w:pPr>
        <w:pStyle w:val="OdstavecASR"/>
      </w:pPr>
    </w:p>
    <w:p w14:paraId="0137F303" w14:textId="77777777" w:rsidR="006618A0" w:rsidRPr="00F85178" w:rsidRDefault="006618A0" w:rsidP="006618A0">
      <w:pPr>
        <w:pStyle w:val="Podtitul"/>
        <w:rPr>
          <w:color w:val="auto"/>
        </w:rPr>
      </w:pPr>
      <w:bookmarkStart w:id="76" w:name="_Ref509212914"/>
      <w:bookmarkStart w:id="77" w:name="_Toc515871333"/>
      <w:bookmarkStart w:id="78" w:name="_Toc11135069"/>
      <w:bookmarkStart w:id="79" w:name="_Toc13837501"/>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8</w:t>
      </w:r>
      <w:r w:rsidR="00EE0C8A" w:rsidRPr="00F85178">
        <w:rPr>
          <w:color w:val="auto"/>
        </w:rPr>
        <w:fldChar w:fldCharType="end"/>
      </w:r>
      <w:bookmarkEnd w:id="76"/>
      <w:r w:rsidRPr="00F85178">
        <w:rPr>
          <w:color w:val="auto"/>
        </w:rPr>
        <w:t>: OS – krabicové grafy, mediánové délky civilního řízení</w:t>
      </w:r>
      <w:bookmarkEnd w:id="77"/>
      <w:bookmarkEnd w:id="78"/>
      <w:bookmarkEnd w:id="79"/>
    </w:p>
    <w:p w14:paraId="5A725EE1" w14:textId="77777777" w:rsidR="00A37270" w:rsidRPr="00F85178" w:rsidRDefault="00890295">
      <w:pPr>
        <w:spacing w:line="240" w:lineRule="auto"/>
        <w:jc w:val="left"/>
      </w:pPr>
      <w:r>
        <w:rPr>
          <w:noProof/>
          <w:lang w:eastAsia="cs-CZ"/>
        </w:rPr>
        <w:drawing>
          <wp:inline distT="0" distB="0" distL="0" distR="0" wp14:anchorId="76575515" wp14:editId="0F67FB4C">
            <wp:extent cx="5118100" cy="3746500"/>
            <wp:effectExtent l="0" t="0" r="0" b="0"/>
            <wp:docPr id="9"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0AEBEB2" w14:textId="77777777" w:rsidR="00A37270" w:rsidRPr="00F85178" w:rsidRDefault="00A37270" w:rsidP="00A37270">
      <w:pPr>
        <w:pStyle w:val="OdstavecASR"/>
      </w:pPr>
    </w:p>
    <w:p w14:paraId="7AD6999D" w14:textId="77777777" w:rsidR="00A37270" w:rsidRPr="00F85178" w:rsidRDefault="00A37270" w:rsidP="00A37270">
      <w:pPr>
        <w:pStyle w:val="OdstavecASR"/>
      </w:pPr>
      <w:r w:rsidRPr="00F85178">
        <w:t>Zkracující se délka řízení (a také snižující se počet nevyřízených věcí, který je zachycen v následujících podkapitolách) má tři hlavní důvody:</w:t>
      </w:r>
    </w:p>
    <w:p w14:paraId="15D00C0E" w14:textId="77777777" w:rsidR="00A37270" w:rsidRPr="00F85178" w:rsidRDefault="00A37270" w:rsidP="00A37270">
      <w:pPr>
        <w:pStyle w:val="Odstavecseseznamem"/>
        <w:numPr>
          <w:ilvl w:val="0"/>
          <w:numId w:val="6"/>
        </w:numPr>
      </w:pPr>
      <w:r w:rsidRPr="00F85178">
        <w:t>Zefektivnění práce soudů s velkým množstvím nevyřízených věcí a značnými délkami řízení.</w:t>
      </w:r>
    </w:p>
    <w:p w14:paraId="696B3DD7" w14:textId="77777777" w:rsidR="00A37270" w:rsidRPr="00F85178" w:rsidRDefault="00A37270" w:rsidP="00A37270">
      <w:pPr>
        <w:pStyle w:val="Odstavecseseznamem"/>
        <w:numPr>
          <w:ilvl w:val="0"/>
          <w:numId w:val="6"/>
        </w:numPr>
      </w:pPr>
      <w:r w:rsidRPr="00F85178">
        <w:t>Personální posilování těchto soudů.</w:t>
      </w:r>
    </w:p>
    <w:p w14:paraId="52304941" w14:textId="77777777" w:rsidR="00A37270" w:rsidRPr="00F85178" w:rsidRDefault="00A37270" w:rsidP="00A37270">
      <w:pPr>
        <w:pStyle w:val="Odstavecseseznamem"/>
        <w:numPr>
          <w:ilvl w:val="0"/>
          <w:numId w:val="6"/>
        </w:numPr>
      </w:pPr>
      <w:r w:rsidRPr="00F85178">
        <w:t>Celorepublikový pokles v počtu napadlých věcí.</w:t>
      </w:r>
    </w:p>
    <w:p w14:paraId="21772EE3" w14:textId="77777777" w:rsidR="00A37270" w:rsidRPr="00F85178" w:rsidRDefault="00A37270" w:rsidP="00A37270">
      <w:pPr>
        <w:pStyle w:val="OdstavecASR"/>
      </w:pPr>
    </w:p>
    <w:p w14:paraId="744E7FFF" w14:textId="77777777" w:rsidR="00A37270" w:rsidRPr="00F85178" w:rsidRDefault="00A37270" w:rsidP="00A37270">
      <w:pPr>
        <w:pStyle w:val="OdstavecASR"/>
      </w:pPr>
      <w:r w:rsidRPr="00F85178">
        <w:t>Na délky řízení v roce 2018 se nakonec podíváme ještě pomocí histogramu (viz seznam použitých pojmů). Budeme tedy zkoumat jejich distribuci. Šířka jednoho intervalu (sloupce) je 40 dnů. Pro lepší přehlednost jsou všechny délky řízení delší než 1 000 dnů v jednom sloupci (na grafu nejvíce vpravo). Proto je tento sloupec výrazně „vyšší“ než sloupce předchozí. Z grafu lze vyčíst další informace o délkách řízení v civilních věcech. Například:</w:t>
      </w:r>
    </w:p>
    <w:p w14:paraId="0291490F" w14:textId="77777777" w:rsidR="00A37270" w:rsidRPr="00F85178" w:rsidRDefault="00A37270" w:rsidP="00A37270">
      <w:pPr>
        <w:pStyle w:val="Odstavecseseznamem"/>
        <w:numPr>
          <w:ilvl w:val="0"/>
          <w:numId w:val="10"/>
        </w:numPr>
      </w:pPr>
      <w:r w:rsidRPr="00F85178">
        <w:t>Jen asi 4 % věcí byla vyřízena za více než 1 000 dnů</w:t>
      </w:r>
      <w:r w:rsidR="008B7D7D" w:rsidRPr="00F85178">
        <w:t xml:space="preserve"> (5</w:t>
      </w:r>
      <w:r w:rsidR="005172CF" w:rsidRPr="00F85178">
        <w:t xml:space="preserve"> </w:t>
      </w:r>
      <w:r w:rsidR="008B7D7D" w:rsidRPr="00F85178">
        <w:t>% v roce 2017)</w:t>
      </w:r>
      <w:r w:rsidRPr="00F85178">
        <w:t>.</w:t>
      </w:r>
    </w:p>
    <w:p w14:paraId="1AAC7BD3" w14:textId="77777777" w:rsidR="00A37270" w:rsidRPr="00F85178" w:rsidRDefault="00A37270" w:rsidP="00A37270">
      <w:pPr>
        <w:pStyle w:val="Odstavecseseznamem"/>
        <w:numPr>
          <w:ilvl w:val="0"/>
          <w:numId w:val="9"/>
        </w:numPr>
        <w:ind w:left="714" w:hanging="357"/>
        <w:jc w:val="left"/>
      </w:pPr>
      <w:r w:rsidRPr="00F85178">
        <w:t>Přibližně 8 % věcí bylo vyřízeno velice rychle – do 80 dnů</w:t>
      </w:r>
      <w:r w:rsidR="008B7D7D" w:rsidRPr="00F85178">
        <w:t xml:space="preserve"> (10</w:t>
      </w:r>
      <w:r w:rsidR="005172CF" w:rsidRPr="00F85178">
        <w:t xml:space="preserve"> </w:t>
      </w:r>
      <w:r w:rsidR="008B7D7D" w:rsidRPr="00F85178">
        <w:t>% v roce 2017)</w:t>
      </w:r>
      <w:r w:rsidRPr="00F85178">
        <w:t>.</w:t>
      </w:r>
    </w:p>
    <w:p w14:paraId="66170A0B" w14:textId="08195854" w:rsidR="00A37270" w:rsidRPr="00F85178" w:rsidRDefault="00A37270" w:rsidP="00134F0C">
      <w:pPr>
        <w:pStyle w:val="Odstavecseseznamem"/>
        <w:numPr>
          <w:ilvl w:val="0"/>
          <w:numId w:val="9"/>
        </w:numPr>
        <w:ind w:left="714" w:hanging="357"/>
      </w:pPr>
      <w:r w:rsidRPr="00F85178">
        <w:t>Největší skupina věcí (téměř 20 %) byla vyřízena za 121 až 160 dnů</w:t>
      </w:r>
      <w:r w:rsidR="008B7D7D" w:rsidRPr="00F85178">
        <w:t xml:space="preserve"> (cca 18</w:t>
      </w:r>
      <w:r w:rsidR="005172CF" w:rsidRPr="00F85178">
        <w:t xml:space="preserve"> </w:t>
      </w:r>
      <w:r w:rsidR="008B7D7D" w:rsidRPr="00F85178">
        <w:t>% v roce 2017)</w:t>
      </w:r>
      <w:r w:rsidR="00C84A28">
        <w:t>.</w:t>
      </w:r>
    </w:p>
    <w:p w14:paraId="1CE94847" w14:textId="77777777" w:rsidR="008B7D7D" w:rsidRPr="00F85178" w:rsidRDefault="008B7D7D" w:rsidP="008B7D7D">
      <w:pPr>
        <w:jc w:val="left"/>
      </w:pPr>
    </w:p>
    <w:p w14:paraId="3C867E12" w14:textId="77777777" w:rsidR="00314052" w:rsidRPr="00F85178" w:rsidRDefault="00314052" w:rsidP="00314052">
      <w:pPr>
        <w:pStyle w:val="Podtitul"/>
        <w:rPr>
          <w:color w:val="auto"/>
        </w:rPr>
      </w:pPr>
      <w:bookmarkStart w:id="80" w:name="_Toc11135070"/>
      <w:bookmarkStart w:id="81" w:name="_Toc13837502"/>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9</w:t>
      </w:r>
      <w:r w:rsidR="00EE0C8A" w:rsidRPr="00F85178">
        <w:rPr>
          <w:color w:val="auto"/>
        </w:rPr>
        <w:fldChar w:fldCharType="end"/>
      </w:r>
      <w:r w:rsidRPr="00F85178">
        <w:rPr>
          <w:color w:val="auto"/>
        </w:rPr>
        <w:t>: OS – distribuce délek civilního řízení</w:t>
      </w:r>
      <w:bookmarkEnd w:id="75"/>
      <w:bookmarkEnd w:id="80"/>
      <w:bookmarkEnd w:id="81"/>
    </w:p>
    <w:p w14:paraId="0E9F4DD0" w14:textId="77777777" w:rsidR="00314052" w:rsidRPr="00F85178" w:rsidRDefault="00890295" w:rsidP="00D95BCF">
      <w:pPr>
        <w:pStyle w:val="OdstavecASR"/>
      </w:pPr>
      <w:r>
        <w:rPr>
          <w:noProof/>
          <w:lang w:eastAsia="cs-CZ"/>
        </w:rPr>
        <w:drawing>
          <wp:inline distT="0" distB="0" distL="0" distR="0" wp14:anchorId="23203F0B" wp14:editId="271F57D3">
            <wp:extent cx="5118100" cy="3746500"/>
            <wp:effectExtent l="0" t="0" r="0" b="0"/>
            <wp:docPr id="10" name="Obráze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0"/>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078CCCD" w14:textId="77777777" w:rsidR="000F1BA7" w:rsidRPr="00F85178" w:rsidRDefault="000F1BA7" w:rsidP="000F1BA7">
      <w:pPr>
        <w:pStyle w:val="Nadpis3"/>
        <w:rPr>
          <w:color w:val="auto"/>
        </w:rPr>
      </w:pPr>
      <w:bookmarkStart w:id="82" w:name="_Ref509669257"/>
      <w:bookmarkStart w:id="83" w:name="_Toc515871222"/>
      <w:bookmarkStart w:id="84" w:name="_Toc14076874"/>
      <w:r w:rsidRPr="00F85178">
        <w:rPr>
          <w:color w:val="auto"/>
        </w:rPr>
        <w:t>Vyřizování věcí</w:t>
      </w:r>
      <w:bookmarkEnd w:id="82"/>
      <w:bookmarkEnd w:id="83"/>
      <w:bookmarkEnd w:id="84"/>
    </w:p>
    <w:p w14:paraId="05559CB5" w14:textId="78F28520" w:rsidR="000F1BA7" w:rsidRPr="00F85178" w:rsidRDefault="000F1BA7" w:rsidP="000F1BA7">
      <w:pPr>
        <w:pStyle w:val="OdstavecASR"/>
      </w:pPr>
      <w:r w:rsidRPr="00F85178">
        <w:t xml:space="preserve">Tato kapitola se věnuje tomu, jak okresní soudy vyřizují věci v civilním řízení (bez rozkazního řízení). Obsahuje tedy údaje o nápadu + obživlých věcech, vyřízených věcech, nevyřízených věcech a míře vyřizování. Tato data nezískáváme ze statistických listů, ale z výkazů o činnosti soudů. </w:t>
      </w:r>
      <w:r w:rsidR="005C706B" w:rsidRPr="00F85178">
        <w:t>Graf</w:t>
      </w:r>
      <w:r w:rsidR="00C84A28">
        <w:t> </w:t>
      </w:r>
      <w:r w:rsidR="005C706B" w:rsidRPr="00F85178">
        <w:rPr>
          <w:noProof/>
        </w:rPr>
        <w:t>10</w:t>
      </w:r>
      <w:r w:rsidRPr="00F85178">
        <w:t xml:space="preserve"> ukazuje vývoj těchto proměnných v letech 2008–2018. Z grafu je patrné, že počet příchozích (nápad + obživa) a vyřízených věcí jsou silně korelovány. Vztah je v tomto případě kauzální (příčinný). Od roku 2014 převyšuje počet vyříze</w:t>
      </w:r>
      <w:r w:rsidR="004C78A3" w:rsidRPr="00F85178">
        <w:t>ných věcí počet věcí příchozích, třebaže v posledních dvou letech jen velmi málo.</w:t>
      </w:r>
      <w:r w:rsidRPr="00F85178">
        <w:t xml:space="preserve"> Díky tomu se v posledních letech daří snižovat počet nevyřízených věcí. Tento výsledek plně koresponduje se snižováním délek řízení. Důvody pro snižování počtu nevyřízených věcí jsou logicky stejné jako u délky řízení. Velký nárůst v počtu napadlých (a tedy i vyřízených) věcí v roce 2009 je způsoben zavedením elektronického platebního rozkazu a změnami ve vedení statistik. Na rozdíl od dat ze SL nelze v tomto případě data o tyto věci očistit. Nárůst v roce 2013 pravděpodobně způsobilo snížení soudních poplatků za podání EPR. Část věcí z EPR, které neskončí pravomocným elektronickým platebním rozkazem, je následně převedena do rejstříku C. Rejstříku EPR se více věnuje následující kapitola.</w:t>
      </w:r>
    </w:p>
    <w:p w14:paraId="40698320" w14:textId="77777777" w:rsidR="000F1BA7" w:rsidRPr="00F85178" w:rsidRDefault="004C78A3" w:rsidP="000F1BA7">
      <w:pPr>
        <w:pStyle w:val="OdstavecASR"/>
      </w:pPr>
      <w:r w:rsidRPr="00F85178">
        <w:t>Určitě je třeba také zmínit fakt, že počet příchozích věcí v roce 2018 meziročně mírně narostl, a</w:t>
      </w:r>
      <w:r w:rsidR="00F04D6B" w:rsidRPr="00F85178">
        <w:t> </w:t>
      </w:r>
      <w:r w:rsidRPr="00F85178">
        <w:t>to poprvé právě od roku 2014. I přesto ale soudy vyřídil</w:t>
      </w:r>
      <w:r w:rsidR="00720CD3" w:rsidRPr="00F85178">
        <w:t>y</w:t>
      </w:r>
      <w:r w:rsidRPr="00F85178">
        <w:t xml:space="preserve"> větší počet věcí, než jich přišlo.</w:t>
      </w:r>
    </w:p>
    <w:p w14:paraId="2AD84562" w14:textId="77777777" w:rsidR="000F1BA7" w:rsidRPr="00F85178" w:rsidRDefault="000F1BA7" w:rsidP="000F1BA7">
      <w:pPr>
        <w:pStyle w:val="OdstavecASR"/>
      </w:pPr>
    </w:p>
    <w:p w14:paraId="45EA8383" w14:textId="77777777" w:rsidR="000F1BA7" w:rsidRPr="00F85178" w:rsidRDefault="000F1BA7" w:rsidP="000F1BA7">
      <w:pPr>
        <w:pStyle w:val="OdstavecASR"/>
      </w:pPr>
    </w:p>
    <w:p w14:paraId="50C41A4C" w14:textId="77777777" w:rsidR="000F1BA7" w:rsidRPr="00F85178" w:rsidRDefault="000F1BA7" w:rsidP="000F1BA7">
      <w:pPr>
        <w:pStyle w:val="OdstavecASR"/>
      </w:pPr>
    </w:p>
    <w:p w14:paraId="0E31AA0F" w14:textId="77777777" w:rsidR="004C78A3" w:rsidRPr="00F85178" w:rsidRDefault="004C78A3" w:rsidP="004C78A3">
      <w:pPr>
        <w:pStyle w:val="Podtitul"/>
        <w:rPr>
          <w:color w:val="auto"/>
        </w:rPr>
      </w:pPr>
      <w:bookmarkStart w:id="85" w:name="_Ref509225924"/>
      <w:bookmarkStart w:id="86" w:name="_Toc515871335"/>
      <w:bookmarkStart w:id="87" w:name="_Toc11135071"/>
      <w:bookmarkStart w:id="88" w:name="_Toc13837503"/>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10</w:t>
      </w:r>
      <w:r w:rsidR="00EE0C8A" w:rsidRPr="00F85178">
        <w:rPr>
          <w:color w:val="auto"/>
        </w:rPr>
        <w:fldChar w:fldCharType="end"/>
      </w:r>
      <w:bookmarkEnd w:id="85"/>
      <w:r w:rsidRPr="00F85178">
        <w:rPr>
          <w:color w:val="auto"/>
        </w:rPr>
        <w:t>: OS – vyřizování civilních věcí v letech 2008–201</w:t>
      </w:r>
      <w:bookmarkEnd w:id="86"/>
      <w:r w:rsidR="0064149B" w:rsidRPr="00F85178">
        <w:rPr>
          <w:color w:val="auto"/>
        </w:rPr>
        <w:t>8</w:t>
      </w:r>
      <w:bookmarkEnd w:id="87"/>
      <w:bookmarkEnd w:id="88"/>
    </w:p>
    <w:p w14:paraId="2255A9C3" w14:textId="77777777" w:rsidR="000F1BA7" w:rsidRPr="00F85178" w:rsidRDefault="00890295" w:rsidP="000F1BA7">
      <w:pPr>
        <w:pStyle w:val="OdstavecASR"/>
      </w:pPr>
      <w:r>
        <w:rPr>
          <w:noProof/>
          <w:lang w:eastAsia="cs-CZ"/>
        </w:rPr>
        <w:drawing>
          <wp:inline distT="0" distB="0" distL="0" distR="0" wp14:anchorId="7878F06C" wp14:editId="52AC56F8">
            <wp:extent cx="5118100" cy="3746500"/>
            <wp:effectExtent l="0" t="0" r="0" b="0"/>
            <wp:docPr id="11"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B5E6D0A" w14:textId="77777777" w:rsidR="006D2872" w:rsidRPr="00F85178" w:rsidRDefault="006D2872" w:rsidP="006D2872">
      <w:pPr>
        <w:pStyle w:val="Podtitul"/>
        <w:rPr>
          <w:color w:val="auto"/>
        </w:rPr>
      </w:pPr>
      <w:bookmarkStart w:id="89" w:name="_Ref509226700"/>
      <w:bookmarkStart w:id="90" w:name="_Toc515871441"/>
      <w:bookmarkStart w:id="91" w:name="_Toc11133210"/>
      <w:bookmarkStart w:id="92" w:name="_Toc13837431"/>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8</w:t>
      </w:r>
      <w:r w:rsidRPr="00F85178">
        <w:rPr>
          <w:noProof/>
          <w:color w:val="auto"/>
        </w:rPr>
        <w:fldChar w:fldCharType="end"/>
      </w:r>
      <w:bookmarkEnd w:id="89"/>
      <w:r w:rsidRPr="00F85178">
        <w:rPr>
          <w:color w:val="auto"/>
        </w:rPr>
        <w:t>: OS – vyřizování civilních věcí dle krajů</w:t>
      </w:r>
      <w:bookmarkEnd w:id="90"/>
      <w:bookmarkEnd w:id="91"/>
      <w:bookmarkEnd w:id="92"/>
    </w:p>
    <w:tbl>
      <w:tblPr>
        <w:tblW w:w="9140" w:type="dxa"/>
        <w:tblInd w:w="70" w:type="dxa"/>
        <w:tblCellMar>
          <w:left w:w="70" w:type="dxa"/>
          <w:right w:w="70" w:type="dxa"/>
        </w:tblCellMar>
        <w:tblLook w:val="04A0" w:firstRow="1" w:lastRow="0" w:firstColumn="1" w:lastColumn="0" w:noHBand="0" w:noVBand="1"/>
      </w:tblPr>
      <w:tblGrid>
        <w:gridCol w:w="2020"/>
        <w:gridCol w:w="1041"/>
        <w:gridCol w:w="836"/>
        <w:gridCol w:w="1016"/>
        <w:gridCol w:w="836"/>
        <w:gridCol w:w="1016"/>
        <w:gridCol w:w="836"/>
        <w:gridCol w:w="1539"/>
      </w:tblGrid>
      <w:tr w:rsidR="00F85178" w:rsidRPr="00F85178" w14:paraId="1A239AD2" w14:textId="77777777" w:rsidTr="006D2872">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089F240"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471F3E04"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149B0536"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343803F7" w14:textId="77777777" w:rsidTr="006D2872">
        <w:trPr>
          <w:trHeight w:val="330"/>
        </w:trPr>
        <w:tc>
          <w:tcPr>
            <w:tcW w:w="2020" w:type="dxa"/>
            <w:vMerge/>
            <w:tcBorders>
              <w:top w:val="double" w:sz="6" w:space="0" w:color="auto"/>
              <w:left w:val="nil"/>
              <w:bottom w:val="double" w:sz="6" w:space="0" w:color="000000"/>
              <w:right w:val="nil"/>
            </w:tcBorders>
            <w:vAlign w:val="center"/>
            <w:hideMark/>
          </w:tcPr>
          <w:p w14:paraId="62F73896" w14:textId="77777777" w:rsidR="006D2872" w:rsidRPr="00F85178" w:rsidRDefault="006D2872" w:rsidP="006D2872">
            <w:pPr>
              <w:spacing w:line="240" w:lineRule="auto"/>
              <w:jc w:val="left"/>
              <w:rPr>
                <w:rFonts w:eastAsia="Times New Roman"/>
                <w:b/>
                <w:bCs/>
                <w:szCs w:val="24"/>
                <w:lang w:eastAsia="cs-CZ"/>
              </w:rPr>
            </w:pPr>
          </w:p>
        </w:tc>
        <w:tc>
          <w:tcPr>
            <w:tcW w:w="1877" w:type="dxa"/>
            <w:gridSpan w:val="2"/>
            <w:tcBorders>
              <w:top w:val="nil"/>
              <w:left w:val="nil"/>
              <w:bottom w:val="double" w:sz="6" w:space="0" w:color="auto"/>
              <w:right w:val="nil"/>
            </w:tcBorders>
            <w:shd w:val="clear" w:color="auto" w:fill="auto"/>
            <w:noWrap/>
            <w:vAlign w:val="center"/>
            <w:hideMark/>
          </w:tcPr>
          <w:p w14:paraId="4142CB94"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5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A88B49F"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852" w:type="dxa"/>
            <w:gridSpan w:val="2"/>
            <w:tcBorders>
              <w:top w:val="nil"/>
              <w:left w:val="nil"/>
              <w:bottom w:val="double" w:sz="6" w:space="0" w:color="auto"/>
              <w:right w:val="single" w:sz="4" w:space="0" w:color="000000"/>
            </w:tcBorders>
            <w:shd w:val="clear" w:color="auto" w:fill="auto"/>
            <w:noWrap/>
            <w:vAlign w:val="center"/>
            <w:hideMark/>
          </w:tcPr>
          <w:p w14:paraId="29861905"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187AA5D1" w14:textId="77777777" w:rsidR="006D2872" w:rsidRPr="00F85178" w:rsidRDefault="006D2872" w:rsidP="006D2872">
            <w:pPr>
              <w:spacing w:line="240" w:lineRule="auto"/>
              <w:jc w:val="left"/>
              <w:rPr>
                <w:rFonts w:eastAsia="Times New Roman"/>
                <w:b/>
                <w:bCs/>
                <w:szCs w:val="24"/>
                <w:lang w:eastAsia="cs-CZ"/>
              </w:rPr>
            </w:pPr>
          </w:p>
        </w:tc>
      </w:tr>
      <w:tr w:rsidR="00F85178" w:rsidRPr="00F85178" w14:paraId="5D39A1EC" w14:textId="77777777" w:rsidTr="006D2872">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63FCE7AE"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MS Praha</w:t>
            </w:r>
          </w:p>
        </w:tc>
        <w:tc>
          <w:tcPr>
            <w:tcW w:w="1041" w:type="dxa"/>
            <w:tcBorders>
              <w:top w:val="single" w:sz="4" w:space="0" w:color="auto"/>
              <w:left w:val="nil"/>
              <w:bottom w:val="single" w:sz="4" w:space="0" w:color="auto"/>
              <w:right w:val="nil"/>
            </w:tcBorders>
            <w:shd w:val="clear" w:color="auto" w:fill="auto"/>
            <w:noWrap/>
            <w:vAlign w:val="bottom"/>
            <w:hideMark/>
          </w:tcPr>
          <w:p w14:paraId="7850ECF4"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84</w:t>
            </w:r>
            <w:r w:rsidR="00F04D6B" w:rsidRPr="00F85178">
              <w:rPr>
                <w:rFonts w:eastAsia="Times New Roman"/>
                <w:szCs w:val="24"/>
                <w:lang w:eastAsia="cs-CZ"/>
              </w:rPr>
              <w:t xml:space="preserve"> </w:t>
            </w:r>
            <w:r w:rsidRPr="00F85178">
              <w:rPr>
                <w:rFonts w:eastAsia="Times New Roman"/>
                <w:szCs w:val="24"/>
                <w:lang w:eastAsia="cs-CZ"/>
              </w:rPr>
              <w:t>453</w:t>
            </w:r>
          </w:p>
        </w:tc>
        <w:tc>
          <w:tcPr>
            <w:tcW w:w="836" w:type="dxa"/>
            <w:tcBorders>
              <w:top w:val="single" w:sz="4" w:space="0" w:color="auto"/>
              <w:left w:val="nil"/>
              <w:bottom w:val="single" w:sz="4" w:space="0" w:color="auto"/>
              <w:right w:val="nil"/>
            </w:tcBorders>
            <w:shd w:val="clear" w:color="auto" w:fill="auto"/>
            <w:noWrap/>
            <w:vAlign w:val="center"/>
            <w:hideMark/>
          </w:tcPr>
          <w:p w14:paraId="539F3850"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016" w:type="dxa"/>
            <w:tcBorders>
              <w:top w:val="single" w:sz="4" w:space="0" w:color="auto"/>
              <w:left w:val="single" w:sz="4" w:space="0" w:color="auto"/>
              <w:bottom w:val="single" w:sz="4" w:space="0" w:color="auto"/>
              <w:right w:val="nil"/>
            </w:tcBorders>
            <w:shd w:val="clear" w:color="auto" w:fill="auto"/>
            <w:noWrap/>
            <w:vAlign w:val="bottom"/>
            <w:hideMark/>
          </w:tcPr>
          <w:p w14:paraId="1E402FA7"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85</w:t>
            </w:r>
            <w:r w:rsidR="00F04D6B" w:rsidRPr="00F85178">
              <w:rPr>
                <w:rFonts w:eastAsia="Times New Roman"/>
                <w:szCs w:val="24"/>
                <w:lang w:eastAsia="cs-CZ"/>
              </w:rPr>
              <w:t xml:space="preserve"> </w:t>
            </w:r>
            <w:r w:rsidRPr="00F85178">
              <w:rPr>
                <w:rFonts w:eastAsia="Times New Roman"/>
                <w:szCs w:val="24"/>
                <w:lang w:eastAsia="cs-CZ"/>
              </w:rPr>
              <w:t>027</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1F70E44D"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+22 %</w:t>
            </w:r>
          </w:p>
        </w:tc>
        <w:tc>
          <w:tcPr>
            <w:tcW w:w="1016" w:type="dxa"/>
            <w:tcBorders>
              <w:top w:val="single" w:sz="4" w:space="0" w:color="auto"/>
              <w:left w:val="nil"/>
              <w:bottom w:val="single" w:sz="4" w:space="0" w:color="auto"/>
              <w:right w:val="nil"/>
            </w:tcBorders>
            <w:shd w:val="clear" w:color="auto" w:fill="auto"/>
            <w:noWrap/>
            <w:vAlign w:val="bottom"/>
            <w:hideMark/>
          </w:tcPr>
          <w:p w14:paraId="48F30E27"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40</w:t>
            </w:r>
            <w:r w:rsidR="00F04D6B" w:rsidRPr="00F85178">
              <w:rPr>
                <w:rFonts w:eastAsia="Times New Roman"/>
                <w:szCs w:val="24"/>
                <w:lang w:eastAsia="cs-CZ"/>
              </w:rPr>
              <w:t xml:space="preserve"> </w:t>
            </w:r>
            <w:r w:rsidRPr="00F85178">
              <w:rPr>
                <w:rFonts w:eastAsia="Times New Roman"/>
                <w:szCs w:val="24"/>
                <w:lang w:eastAsia="cs-CZ"/>
              </w:rPr>
              <w:t>359</w:t>
            </w:r>
          </w:p>
        </w:tc>
        <w:tc>
          <w:tcPr>
            <w:tcW w:w="836" w:type="dxa"/>
            <w:tcBorders>
              <w:top w:val="single" w:sz="4" w:space="0" w:color="auto"/>
              <w:left w:val="nil"/>
              <w:bottom w:val="single" w:sz="4" w:space="0" w:color="auto"/>
              <w:right w:val="single" w:sz="4" w:space="0" w:color="auto"/>
            </w:tcBorders>
            <w:shd w:val="clear" w:color="auto" w:fill="auto"/>
            <w:noWrap/>
            <w:vAlign w:val="center"/>
            <w:hideMark/>
          </w:tcPr>
          <w:p w14:paraId="2F72C024"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539" w:type="dxa"/>
            <w:tcBorders>
              <w:top w:val="nil"/>
              <w:left w:val="nil"/>
              <w:bottom w:val="single" w:sz="4" w:space="0" w:color="auto"/>
              <w:right w:val="nil"/>
            </w:tcBorders>
            <w:shd w:val="clear" w:color="auto" w:fill="auto"/>
            <w:noWrap/>
            <w:vAlign w:val="center"/>
            <w:hideMark/>
          </w:tcPr>
          <w:p w14:paraId="6041F3FA"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100</w:t>
            </w:r>
            <w:r w:rsidR="000979DC" w:rsidRPr="00F85178">
              <w:rPr>
                <w:rFonts w:eastAsia="Times New Roman"/>
                <w:szCs w:val="24"/>
                <w:lang w:eastAsia="cs-CZ"/>
              </w:rPr>
              <w:t>,</w:t>
            </w:r>
            <w:r w:rsidRPr="00F85178">
              <w:rPr>
                <w:rFonts w:eastAsia="Times New Roman"/>
                <w:szCs w:val="24"/>
                <w:lang w:eastAsia="cs-CZ"/>
              </w:rPr>
              <w:t>7 %</w:t>
            </w:r>
          </w:p>
        </w:tc>
      </w:tr>
      <w:tr w:rsidR="00F85178" w:rsidRPr="00F85178" w14:paraId="79ED2753"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0705CE5A"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Praha</w:t>
            </w:r>
          </w:p>
        </w:tc>
        <w:tc>
          <w:tcPr>
            <w:tcW w:w="1041" w:type="dxa"/>
            <w:tcBorders>
              <w:top w:val="nil"/>
              <w:left w:val="nil"/>
              <w:bottom w:val="single" w:sz="4" w:space="0" w:color="auto"/>
              <w:right w:val="nil"/>
            </w:tcBorders>
            <w:shd w:val="clear" w:color="auto" w:fill="auto"/>
            <w:noWrap/>
            <w:vAlign w:val="bottom"/>
            <w:hideMark/>
          </w:tcPr>
          <w:p w14:paraId="04CA1097"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38</w:t>
            </w:r>
            <w:r w:rsidR="00F04D6B" w:rsidRPr="00F85178">
              <w:rPr>
                <w:rFonts w:eastAsia="Times New Roman"/>
                <w:szCs w:val="24"/>
                <w:lang w:eastAsia="cs-CZ"/>
              </w:rPr>
              <w:t xml:space="preserve"> </w:t>
            </w:r>
            <w:r w:rsidRPr="00F85178">
              <w:rPr>
                <w:rFonts w:eastAsia="Times New Roman"/>
                <w:szCs w:val="24"/>
                <w:lang w:eastAsia="cs-CZ"/>
              </w:rPr>
              <w:t>739</w:t>
            </w:r>
          </w:p>
        </w:tc>
        <w:tc>
          <w:tcPr>
            <w:tcW w:w="836" w:type="dxa"/>
            <w:tcBorders>
              <w:top w:val="nil"/>
              <w:left w:val="nil"/>
              <w:bottom w:val="single" w:sz="4" w:space="0" w:color="auto"/>
              <w:right w:val="nil"/>
            </w:tcBorders>
            <w:shd w:val="clear" w:color="auto" w:fill="auto"/>
            <w:noWrap/>
            <w:vAlign w:val="center"/>
            <w:hideMark/>
          </w:tcPr>
          <w:p w14:paraId="56EB25AE"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016" w:type="dxa"/>
            <w:tcBorders>
              <w:top w:val="nil"/>
              <w:left w:val="single" w:sz="4" w:space="0" w:color="auto"/>
              <w:bottom w:val="single" w:sz="4" w:space="0" w:color="auto"/>
              <w:right w:val="nil"/>
            </w:tcBorders>
            <w:shd w:val="clear" w:color="auto" w:fill="auto"/>
            <w:noWrap/>
            <w:vAlign w:val="bottom"/>
            <w:hideMark/>
          </w:tcPr>
          <w:p w14:paraId="1611603A"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38</w:t>
            </w:r>
            <w:r w:rsidR="00F04D6B" w:rsidRPr="00F85178">
              <w:rPr>
                <w:rFonts w:eastAsia="Times New Roman"/>
                <w:szCs w:val="24"/>
                <w:lang w:eastAsia="cs-CZ"/>
              </w:rPr>
              <w:t xml:space="preserve"> </w:t>
            </w:r>
            <w:r w:rsidRPr="00F85178">
              <w:rPr>
                <w:rFonts w:eastAsia="Times New Roman"/>
                <w:szCs w:val="24"/>
                <w:lang w:eastAsia="cs-CZ"/>
              </w:rPr>
              <w:t>652</w:t>
            </w:r>
          </w:p>
        </w:tc>
        <w:tc>
          <w:tcPr>
            <w:tcW w:w="836" w:type="dxa"/>
            <w:tcBorders>
              <w:top w:val="nil"/>
              <w:left w:val="nil"/>
              <w:bottom w:val="single" w:sz="4" w:space="0" w:color="auto"/>
              <w:right w:val="single" w:sz="4" w:space="0" w:color="auto"/>
            </w:tcBorders>
            <w:shd w:val="clear" w:color="auto" w:fill="auto"/>
            <w:noWrap/>
            <w:vAlign w:val="center"/>
            <w:hideMark/>
          </w:tcPr>
          <w:p w14:paraId="33A546A5"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1016" w:type="dxa"/>
            <w:tcBorders>
              <w:top w:val="nil"/>
              <w:left w:val="nil"/>
              <w:bottom w:val="single" w:sz="4" w:space="0" w:color="auto"/>
              <w:right w:val="nil"/>
            </w:tcBorders>
            <w:shd w:val="clear" w:color="auto" w:fill="auto"/>
            <w:noWrap/>
            <w:vAlign w:val="bottom"/>
            <w:hideMark/>
          </w:tcPr>
          <w:p w14:paraId="6693FCE8"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9</w:t>
            </w:r>
            <w:r w:rsidR="00F04D6B" w:rsidRPr="00F85178">
              <w:rPr>
                <w:rFonts w:eastAsia="Times New Roman"/>
                <w:szCs w:val="24"/>
                <w:lang w:eastAsia="cs-CZ"/>
              </w:rPr>
              <w:t xml:space="preserve"> </w:t>
            </w:r>
            <w:r w:rsidRPr="00F85178">
              <w:rPr>
                <w:rFonts w:eastAsia="Times New Roman"/>
                <w:szCs w:val="24"/>
                <w:lang w:eastAsia="cs-CZ"/>
              </w:rPr>
              <w:t>501</w:t>
            </w:r>
          </w:p>
        </w:tc>
        <w:tc>
          <w:tcPr>
            <w:tcW w:w="836" w:type="dxa"/>
            <w:tcBorders>
              <w:top w:val="nil"/>
              <w:left w:val="nil"/>
              <w:bottom w:val="single" w:sz="4" w:space="0" w:color="auto"/>
              <w:right w:val="single" w:sz="4" w:space="0" w:color="auto"/>
            </w:tcBorders>
            <w:shd w:val="clear" w:color="auto" w:fill="auto"/>
            <w:noWrap/>
            <w:vAlign w:val="center"/>
            <w:hideMark/>
          </w:tcPr>
          <w:p w14:paraId="565A4FBC"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539" w:type="dxa"/>
            <w:tcBorders>
              <w:top w:val="nil"/>
              <w:left w:val="nil"/>
              <w:bottom w:val="single" w:sz="4" w:space="0" w:color="auto"/>
              <w:right w:val="nil"/>
            </w:tcBorders>
            <w:shd w:val="clear" w:color="auto" w:fill="auto"/>
            <w:noWrap/>
            <w:vAlign w:val="center"/>
            <w:hideMark/>
          </w:tcPr>
          <w:p w14:paraId="61B1B803"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99</w:t>
            </w:r>
            <w:r w:rsidR="000979DC" w:rsidRPr="00F85178">
              <w:rPr>
                <w:rFonts w:eastAsia="Times New Roman"/>
                <w:szCs w:val="24"/>
                <w:lang w:eastAsia="cs-CZ"/>
              </w:rPr>
              <w:t>,</w:t>
            </w:r>
            <w:r w:rsidRPr="00F85178">
              <w:rPr>
                <w:rFonts w:eastAsia="Times New Roman"/>
                <w:szCs w:val="24"/>
                <w:lang w:eastAsia="cs-CZ"/>
              </w:rPr>
              <w:t>8 %</w:t>
            </w:r>
          </w:p>
        </w:tc>
      </w:tr>
      <w:tr w:rsidR="00F85178" w:rsidRPr="00F85178" w14:paraId="65F1F89F"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1A0A8BFF"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Č. Budějovice</w:t>
            </w:r>
          </w:p>
        </w:tc>
        <w:tc>
          <w:tcPr>
            <w:tcW w:w="1041" w:type="dxa"/>
            <w:tcBorders>
              <w:top w:val="nil"/>
              <w:left w:val="nil"/>
              <w:bottom w:val="single" w:sz="4" w:space="0" w:color="auto"/>
              <w:right w:val="nil"/>
            </w:tcBorders>
            <w:shd w:val="clear" w:color="auto" w:fill="auto"/>
            <w:noWrap/>
            <w:vAlign w:val="bottom"/>
            <w:hideMark/>
          </w:tcPr>
          <w:p w14:paraId="21A97E65"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17</w:t>
            </w:r>
            <w:r w:rsidR="00F04D6B" w:rsidRPr="00F85178">
              <w:rPr>
                <w:rFonts w:eastAsia="Times New Roman"/>
                <w:szCs w:val="24"/>
                <w:lang w:eastAsia="cs-CZ"/>
              </w:rPr>
              <w:t xml:space="preserve"> </w:t>
            </w:r>
            <w:r w:rsidRPr="00F85178">
              <w:rPr>
                <w:rFonts w:eastAsia="Times New Roman"/>
                <w:szCs w:val="24"/>
                <w:lang w:eastAsia="cs-CZ"/>
              </w:rPr>
              <w:t>401</w:t>
            </w:r>
          </w:p>
        </w:tc>
        <w:tc>
          <w:tcPr>
            <w:tcW w:w="836" w:type="dxa"/>
            <w:tcBorders>
              <w:top w:val="nil"/>
              <w:left w:val="nil"/>
              <w:bottom w:val="single" w:sz="4" w:space="0" w:color="auto"/>
              <w:right w:val="nil"/>
            </w:tcBorders>
            <w:shd w:val="clear" w:color="auto" w:fill="auto"/>
            <w:noWrap/>
            <w:vAlign w:val="center"/>
            <w:hideMark/>
          </w:tcPr>
          <w:p w14:paraId="7E62AA7A"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16" w:type="dxa"/>
            <w:tcBorders>
              <w:top w:val="nil"/>
              <w:left w:val="single" w:sz="4" w:space="0" w:color="auto"/>
              <w:bottom w:val="single" w:sz="4" w:space="0" w:color="auto"/>
              <w:right w:val="nil"/>
            </w:tcBorders>
            <w:shd w:val="clear" w:color="auto" w:fill="auto"/>
            <w:noWrap/>
            <w:vAlign w:val="bottom"/>
            <w:hideMark/>
          </w:tcPr>
          <w:p w14:paraId="2A32F698"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17</w:t>
            </w:r>
            <w:r w:rsidR="00F04D6B" w:rsidRPr="00F85178">
              <w:rPr>
                <w:rFonts w:eastAsia="Times New Roman"/>
                <w:szCs w:val="24"/>
                <w:lang w:eastAsia="cs-CZ"/>
              </w:rPr>
              <w:t xml:space="preserve"> </w:t>
            </w:r>
            <w:r w:rsidRPr="00F85178">
              <w:rPr>
                <w:rFonts w:eastAsia="Times New Roman"/>
                <w:szCs w:val="24"/>
                <w:lang w:eastAsia="cs-CZ"/>
              </w:rPr>
              <w:t>666</w:t>
            </w:r>
          </w:p>
        </w:tc>
        <w:tc>
          <w:tcPr>
            <w:tcW w:w="836" w:type="dxa"/>
            <w:tcBorders>
              <w:top w:val="nil"/>
              <w:left w:val="nil"/>
              <w:bottom w:val="single" w:sz="4" w:space="0" w:color="auto"/>
              <w:right w:val="single" w:sz="4" w:space="0" w:color="auto"/>
            </w:tcBorders>
            <w:shd w:val="clear" w:color="auto" w:fill="auto"/>
            <w:noWrap/>
            <w:vAlign w:val="center"/>
            <w:hideMark/>
          </w:tcPr>
          <w:p w14:paraId="002AEAD5"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16" w:type="dxa"/>
            <w:tcBorders>
              <w:top w:val="nil"/>
              <w:left w:val="nil"/>
              <w:bottom w:val="single" w:sz="4" w:space="0" w:color="auto"/>
              <w:right w:val="nil"/>
            </w:tcBorders>
            <w:shd w:val="clear" w:color="auto" w:fill="auto"/>
            <w:noWrap/>
            <w:vAlign w:val="bottom"/>
            <w:hideMark/>
          </w:tcPr>
          <w:p w14:paraId="097F970B"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3</w:t>
            </w:r>
            <w:r w:rsidR="00F04D6B" w:rsidRPr="00F85178">
              <w:rPr>
                <w:rFonts w:eastAsia="Times New Roman"/>
                <w:szCs w:val="24"/>
                <w:lang w:eastAsia="cs-CZ"/>
              </w:rPr>
              <w:t xml:space="preserve"> </w:t>
            </w:r>
            <w:r w:rsidRPr="00F85178">
              <w:rPr>
                <w:rFonts w:eastAsia="Times New Roman"/>
                <w:szCs w:val="24"/>
                <w:lang w:eastAsia="cs-CZ"/>
              </w:rPr>
              <w:t>208</w:t>
            </w:r>
          </w:p>
        </w:tc>
        <w:tc>
          <w:tcPr>
            <w:tcW w:w="836" w:type="dxa"/>
            <w:tcBorders>
              <w:top w:val="nil"/>
              <w:left w:val="nil"/>
              <w:bottom w:val="single" w:sz="4" w:space="0" w:color="auto"/>
              <w:right w:val="single" w:sz="4" w:space="0" w:color="auto"/>
            </w:tcBorders>
            <w:shd w:val="clear" w:color="auto" w:fill="auto"/>
            <w:noWrap/>
            <w:vAlign w:val="center"/>
            <w:hideMark/>
          </w:tcPr>
          <w:p w14:paraId="7ED2342C"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539" w:type="dxa"/>
            <w:tcBorders>
              <w:top w:val="nil"/>
              <w:left w:val="nil"/>
              <w:bottom w:val="single" w:sz="4" w:space="0" w:color="auto"/>
              <w:right w:val="nil"/>
            </w:tcBorders>
            <w:shd w:val="clear" w:color="auto" w:fill="auto"/>
            <w:noWrap/>
            <w:vAlign w:val="center"/>
            <w:hideMark/>
          </w:tcPr>
          <w:p w14:paraId="61286685"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101</w:t>
            </w:r>
            <w:r w:rsidR="000979DC" w:rsidRPr="00F85178">
              <w:rPr>
                <w:rFonts w:eastAsia="Times New Roman"/>
                <w:szCs w:val="24"/>
                <w:lang w:eastAsia="cs-CZ"/>
              </w:rPr>
              <w:t>,</w:t>
            </w:r>
            <w:r w:rsidRPr="00F85178">
              <w:rPr>
                <w:rFonts w:eastAsia="Times New Roman"/>
                <w:szCs w:val="24"/>
                <w:lang w:eastAsia="cs-CZ"/>
              </w:rPr>
              <w:t>5 %</w:t>
            </w:r>
          </w:p>
        </w:tc>
      </w:tr>
      <w:tr w:rsidR="00F85178" w:rsidRPr="00F85178" w14:paraId="350710E6"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0EDBD2B7"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Plzeň</w:t>
            </w:r>
          </w:p>
        </w:tc>
        <w:tc>
          <w:tcPr>
            <w:tcW w:w="1041" w:type="dxa"/>
            <w:tcBorders>
              <w:top w:val="nil"/>
              <w:left w:val="nil"/>
              <w:bottom w:val="single" w:sz="4" w:space="0" w:color="auto"/>
              <w:right w:val="nil"/>
            </w:tcBorders>
            <w:shd w:val="clear" w:color="auto" w:fill="auto"/>
            <w:noWrap/>
            <w:vAlign w:val="bottom"/>
            <w:hideMark/>
          </w:tcPr>
          <w:p w14:paraId="222F7FFD"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31</w:t>
            </w:r>
            <w:r w:rsidR="00F04D6B" w:rsidRPr="00F85178">
              <w:rPr>
                <w:rFonts w:eastAsia="Times New Roman"/>
                <w:szCs w:val="24"/>
                <w:lang w:eastAsia="cs-CZ"/>
              </w:rPr>
              <w:t xml:space="preserve"> </w:t>
            </w:r>
            <w:r w:rsidRPr="00F85178">
              <w:rPr>
                <w:rFonts w:eastAsia="Times New Roman"/>
                <w:szCs w:val="24"/>
                <w:lang w:eastAsia="cs-CZ"/>
              </w:rPr>
              <w:t>182</w:t>
            </w:r>
          </w:p>
        </w:tc>
        <w:tc>
          <w:tcPr>
            <w:tcW w:w="836" w:type="dxa"/>
            <w:tcBorders>
              <w:top w:val="nil"/>
              <w:left w:val="nil"/>
              <w:bottom w:val="single" w:sz="4" w:space="0" w:color="auto"/>
              <w:right w:val="nil"/>
            </w:tcBorders>
            <w:shd w:val="clear" w:color="auto" w:fill="auto"/>
            <w:noWrap/>
            <w:vAlign w:val="center"/>
            <w:hideMark/>
          </w:tcPr>
          <w:p w14:paraId="134DC7A8"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016" w:type="dxa"/>
            <w:tcBorders>
              <w:top w:val="nil"/>
              <w:left w:val="single" w:sz="4" w:space="0" w:color="auto"/>
              <w:bottom w:val="single" w:sz="4" w:space="0" w:color="auto"/>
              <w:right w:val="nil"/>
            </w:tcBorders>
            <w:shd w:val="clear" w:color="auto" w:fill="auto"/>
            <w:noWrap/>
            <w:vAlign w:val="bottom"/>
            <w:hideMark/>
          </w:tcPr>
          <w:p w14:paraId="29F13B18"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30</w:t>
            </w:r>
            <w:r w:rsidR="00F04D6B" w:rsidRPr="00F85178">
              <w:rPr>
                <w:rFonts w:eastAsia="Times New Roman"/>
                <w:szCs w:val="24"/>
                <w:lang w:eastAsia="cs-CZ"/>
              </w:rPr>
              <w:t xml:space="preserve"> </w:t>
            </w:r>
            <w:r w:rsidRPr="00F85178">
              <w:rPr>
                <w:rFonts w:eastAsia="Times New Roman"/>
                <w:szCs w:val="24"/>
                <w:lang w:eastAsia="cs-CZ"/>
              </w:rPr>
              <w:t>145</w:t>
            </w:r>
          </w:p>
        </w:tc>
        <w:tc>
          <w:tcPr>
            <w:tcW w:w="836" w:type="dxa"/>
            <w:tcBorders>
              <w:top w:val="nil"/>
              <w:left w:val="nil"/>
              <w:bottom w:val="single" w:sz="4" w:space="0" w:color="auto"/>
              <w:right w:val="single" w:sz="4" w:space="0" w:color="auto"/>
            </w:tcBorders>
            <w:shd w:val="clear" w:color="auto" w:fill="auto"/>
            <w:noWrap/>
            <w:vAlign w:val="center"/>
            <w:hideMark/>
          </w:tcPr>
          <w:p w14:paraId="2674D100"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16" w:type="dxa"/>
            <w:tcBorders>
              <w:top w:val="nil"/>
              <w:left w:val="nil"/>
              <w:bottom w:val="single" w:sz="4" w:space="0" w:color="auto"/>
              <w:right w:val="nil"/>
            </w:tcBorders>
            <w:shd w:val="clear" w:color="auto" w:fill="auto"/>
            <w:noWrap/>
            <w:vAlign w:val="bottom"/>
            <w:hideMark/>
          </w:tcPr>
          <w:p w14:paraId="6A82B933"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9</w:t>
            </w:r>
            <w:r w:rsidR="00F04D6B" w:rsidRPr="00F85178">
              <w:rPr>
                <w:rFonts w:eastAsia="Times New Roman"/>
                <w:szCs w:val="24"/>
                <w:lang w:eastAsia="cs-CZ"/>
              </w:rPr>
              <w:t xml:space="preserve"> </w:t>
            </w:r>
            <w:r w:rsidRPr="00F85178">
              <w:rPr>
                <w:rFonts w:eastAsia="Times New Roman"/>
                <w:szCs w:val="24"/>
                <w:lang w:eastAsia="cs-CZ"/>
              </w:rPr>
              <w:t>849</w:t>
            </w:r>
          </w:p>
        </w:tc>
        <w:tc>
          <w:tcPr>
            <w:tcW w:w="836" w:type="dxa"/>
            <w:tcBorders>
              <w:top w:val="nil"/>
              <w:left w:val="nil"/>
              <w:bottom w:val="single" w:sz="4" w:space="0" w:color="auto"/>
              <w:right w:val="single" w:sz="4" w:space="0" w:color="auto"/>
            </w:tcBorders>
            <w:shd w:val="clear" w:color="auto" w:fill="auto"/>
            <w:noWrap/>
            <w:vAlign w:val="center"/>
            <w:hideMark/>
          </w:tcPr>
          <w:p w14:paraId="3407CF51"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539" w:type="dxa"/>
            <w:tcBorders>
              <w:top w:val="nil"/>
              <w:left w:val="nil"/>
              <w:bottom w:val="single" w:sz="4" w:space="0" w:color="auto"/>
              <w:right w:val="nil"/>
            </w:tcBorders>
            <w:shd w:val="clear" w:color="auto" w:fill="auto"/>
            <w:noWrap/>
            <w:vAlign w:val="center"/>
            <w:hideMark/>
          </w:tcPr>
          <w:p w14:paraId="2AA91E95"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96</w:t>
            </w:r>
            <w:r w:rsidR="000979DC" w:rsidRPr="00F85178">
              <w:rPr>
                <w:rFonts w:eastAsia="Times New Roman"/>
                <w:szCs w:val="24"/>
                <w:lang w:eastAsia="cs-CZ"/>
              </w:rPr>
              <w:t>,</w:t>
            </w:r>
            <w:r w:rsidRPr="00F85178">
              <w:rPr>
                <w:rFonts w:eastAsia="Times New Roman"/>
                <w:szCs w:val="24"/>
                <w:lang w:eastAsia="cs-CZ"/>
              </w:rPr>
              <w:t>7 %</w:t>
            </w:r>
          </w:p>
        </w:tc>
      </w:tr>
      <w:tr w:rsidR="00F85178" w:rsidRPr="00F85178" w14:paraId="2670944C"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6B200811"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Ústí n. Labem</w:t>
            </w:r>
          </w:p>
        </w:tc>
        <w:tc>
          <w:tcPr>
            <w:tcW w:w="1041" w:type="dxa"/>
            <w:tcBorders>
              <w:top w:val="nil"/>
              <w:left w:val="nil"/>
              <w:bottom w:val="single" w:sz="4" w:space="0" w:color="auto"/>
              <w:right w:val="nil"/>
            </w:tcBorders>
            <w:shd w:val="clear" w:color="auto" w:fill="auto"/>
            <w:noWrap/>
            <w:vAlign w:val="bottom"/>
            <w:hideMark/>
          </w:tcPr>
          <w:p w14:paraId="46E25D13"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49</w:t>
            </w:r>
            <w:r w:rsidR="00F04D6B" w:rsidRPr="00F85178">
              <w:rPr>
                <w:rFonts w:eastAsia="Times New Roman"/>
                <w:szCs w:val="24"/>
                <w:lang w:eastAsia="cs-CZ"/>
              </w:rPr>
              <w:t xml:space="preserve"> </w:t>
            </w:r>
            <w:r w:rsidRPr="00F85178">
              <w:rPr>
                <w:rFonts w:eastAsia="Times New Roman"/>
                <w:szCs w:val="24"/>
                <w:lang w:eastAsia="cs-CZ"/>
              </w:rPr>
              <w:t>056</w:t>
            </w:r>
          </w:p>
        </w:tc>
        <w:tc>
          <w:tcPr>
            <w:tcW w:w="836" w:type="dxa"/>
            <w:tcBorders>
              <w:top w:val="nil"/>
              <w:left w:val="nil"/>
              <w:bottom w:val="single" w:sz="4" w:space="0" w:color="auto"/>
              <w:right w:val="nil"/>
            </w:tcBorders>
            <w:shd w:val="clear" w:color="auto" w:fill="auto"/>
            <w:noWrap/>
            <w:vAlign w:val="center"/>
            <w:hideMark/>
          </w:tcPr>
          <w:p w14:paraId="75198721"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016" w:type="dxa"/>
            <w:tcBorders>
              <w:top w:val="nil"/>
              <w:left w:val="single" w:sz="4" w:space="0" w:color="auto"/>
              <w:bottom w:val="single" w:sz="4" w:space="0" w:color="auto"/>
              <w:right w:val="nil"/>
            </w:tcBorders>
            <w:shd w:val="clear" w:color="auto" w:fill="auto"/>
            <w:noWrap/>
            <w:vAlign w:val="bottom"/>
            <w:hideMark/>
          </w:tcPr>
          <w:p w14:paraId="6F61E609"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50</w:t>
            </w:r>
            <w:r w:rsidR="00F04D6B" w:rsidRPr="00F85178">
              <w:rPr>
                <w:rFonts w:eastAsia="Times New Roman"/>
                <w:szCs w:val="24"/>
                <w:lang w:eastAsia="cs-CZ"/>
              </w:rPr>
              <w:t xml:space="preserve"> </w:t>
            </w:r>
            <w:r w:rsidRPr="00F85178">
              <w:rPr>
                <w:rFonts w:eastAsia="Times New Roman"/>
                <w:szCs w:val="24"/>
                <w:lang w:eastAsia="cs-CZ"/>
              </w:rPr>
              <w:t>873</w:t>
            </w:r>
          </w:p>
        </w:tc>
        <w:tc>
          <w:tcPr>
            <w:tcW w:w="836" w:type="dxa"/>
            <w:tcBorders>
              <w:top w:val="nil"/>
              <w:left w:val="nil"/>
              <w:bottom w:val="single" w:sz="4" w:space="0" w:color="auto"/>
              <w:right w:val="single" w:sz="4" w:space="0" w:color="auto"/>
            </w:tcBorders>
            <w:shd w:val="clear" w:color="auto" w:fill="auto"/>
            <w:noWrap/>
            <w:vAlign w:val="center"/>
            <w:hideMark/>
          </w:tcPr>
          <w:p w14:paraId="19C2DA96"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16" w:type="dxa"/>
            <w:tcBorders>
              <w:top w:val="nil"/>
              <w:left w:val="nil"/>
              <w:bottom w:val="single" w:sz="4" w:space="0" w:color="auto"/>
              <w:right w:val="nil"/>
            </w:tcBorders>
            <w:shd w:val="clear" w:color="auto" w:fill="auto"/>
            <w:noWrap/>
            <w:vAlign w:val="bottom"/>
            <w:hideMark/>
          </w:tcPr>
          <w:p w14:paraId="634874F2"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23</w:t>
            </w:r>
            <w:r w:rsidR="00F04D6B" w:rsidRPr="00F85178">
              <w:rPr>
                <w:rFonts w:eastAsia="Times New Roman"/>
                <w:szCs w:val="24"/>
                <w:lang w:eastAsia="cs-CZ"/>
              </w:rPr>
              <w:t xml:space="preserve"> </w:t>
            </w:r>
            <w:r w:rsidRPr="00F85178">
              <w:rPr>
                <w:rFonts w:eastAsia="Times New Roman"/>
                <w:szCs w:val="24"/>
                <w:lang w:eastAsia="cs-CZ"/>
              </w:rPr>
              <w:t>542</w:t>
            </w:r>
          </w:p>
        </w:tc>
        <w:tc>
          <w:tcPr>
            <w:tcW w:w="836" w:type="dxa"/>
            <w:tcBorders>
              <w:top w:val="nil"/>
              <w:left w:val="nil"/>
              <w:bottom w:val="single" w:sz="4" w:space="0" w:color="auto"/>
              <w:right w:val="single" w:sz="4" w:space="0" w:color="auto"/>
            </w:tcBorders>
            <w:shd w:val="clear" w:color="auto" w:fill="auto"/>
            <w:noWrap/>
            <w:vAlign w:val="center"/>
            <w:hideMark/>
          </w:tcPr>
          <w:p w14:paraId="6DBB5A8D"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1539" w:type="dxa"/>
            <w:tcBorders>
              <w:top w:val="nil"/>
              <w:left w:val="nil"/>
              <w:bottom w:val="single" w:sz="4" w:space="0" w:color="auto"/>
              <w:right w:val="nil"/>
            </w:tcBorders>
            <w:shd w:val="clear" w:color="auto" w:fill="auto"/>
            <w:noWrap/>
            <w:vAlign w:val="center"/>
            <w:hideMark/>
          </w:tcPr>
          <w:p w14:paraId="478DCFFA"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103</w:t>
            </w:r>
            <w:r w:rsidR="000979DC" w:rsidRPr="00F85178">
              <w:rPr>
                <w:rFonts w:eastAsia="Times New Roman"/>
                <w:szCs w:val="24"/>
                <w:lang w:eastAsia="cs-CZ"/>
              </w:rPr>
              <w:t>,</w:t>
            </w:r>
            <w:r w:rsidRPr="00F85178">
              <w:rPr>
                <w:rFonts w:eastAsia="Times New Roman"/>
                <w:szCs w:val="24"/>
                <w:lang w:eastAsia="cs-CZ"/>
              </w:rPr>
              <w:t>7 %</w:t>
            </w:r>
          </w:p>
        </w:tc>
      </w:tr>
      <w:tr w:rsidR="00F85178" w:rsidRPr="00F85178" w14:paraId="61D947BC"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47F5DF5B"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Hr. Králové</w:t>
            </w:r>
          </w:p>
        </w:tc>
        <w:tc>
          <w:tcPr>
            <w:tcW w:w="1041" w:type="dxa"/>
            <w:tcBorders>
              <w:top w:val="nil"/>
              <w:left w:val="nil"/>
              <w:bottom w:val="single" w:sz="4" w:space="0" w:color="auto"/>
              <w:right w:val="nil"/>
            </w:tcBorders>
            <w:shd w:val="clear" w:color="auto" w:fill="auto"/>
            <w:noWrap/>
            <w:vAlign w:val="bottom"/>
            <w:hideMark/>
          </w:tcPr>
          <w:p w14:paraId="3E86854B"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27</w:t>
            </w:r>
            <w:r w:rsidR="00F04D6B" w:rsidRPr="00F85178">
              <w:rPr>
                <w:rFonts w:eastAsia="Times New Roman"/>
                <w:szCs w:val="24"/>
                <w:lang w:eastAsia="cs-CZ"/>
              </w:rPr>
              <w:t xml:space="preserve"> </w:t>
            </w:r>
            <w:r w:rsidRPr="00F85178">
              <w:rPr>
                <w:rFonts w:eastAsia="Times New Roman"/>
                <w:szCs w:val="24"/>
                <w:lang w:eastAsia="cs-CZ"/>
              </w:rPr>
              <w:t>491</w:t>
            </w:r>
          </w:p>
        </w:tc>
        <w:tc>
          <w:tcPr>
            <w:tcW w:w="836" w:type="dxa"/>
            <w:tcBorders>
              <w:top w:val="nil"/>
              <w:left w:val="nil"/>
              <w:bottom w:val="single" w:sz="4" w:space="0" w:color="auto"/>
              <w:right w:val="nil"/>
            </w:tcBorders>
            <w:shd w:val="clear" w:color="auto" w:fill="auto"/>
            <w:noWrap/>
            <w:vAlign w:val="center"/>
            <w:hideMark/>
          </w:tcPr>
          <w:p w14:paraId="49B462EA"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16" w:type="dxa"/>
            <w:tcBorders>
              <w:top w:val="nil"/>
              <w:left w:val="single" w:sz="4" w:space="0" w:color="auto"/>
              <w:bottom w:val="single" w:sz="4" w:space="0" w:color="auto"/>
              <w:right w:val="nil"/>
            </w:tcBorders>
            <w:shd w:val="clear" w:color="auto" w:fill="auto"/>
            <w:noWrap/>
            <w:vAlign w:val="bottom"/>
            <w:hideMark/>
          </w:tcPr>
          <w:p w14:paraId="28438E97"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27</w:t>
            </w:r>
            <w:r w:rsidR="00F04D6B" w:rsidRPr="00F85178">
              <w:rPr>
                <w:rFonts w:eastAsia="Times New Roman"/>
                <w:szCs w:val="24"/>
                <w:lang w:eastAsia="cs-CZ"/>
              </w:rPr>
              <w:t xml:space="preserve"> </w:t>
            </w:r>
            <w:r w:rsidRPr="00F85178">
              <w:rPr>
                <w:rFonts w:eastAsia="Times New Roman"/>
                <w:szCs w:val="24"/>
                <w:lang w:eastAsia="cs-CZ"/>
              </w:rPr>
              <w:t>911</w:t>
            </w:r>
          </w:p>
        </w:tc>
        <w:tc>
          <w:tcPr>
            <w:tcW w:w="836" w:type="dxa"/>
            <w:tcBorders>
              <w:top w:val="nil"/>
              <w:left w:val="nil"/>
              <w:bottom w:val="single" w:sz="4" w:space="0" w:color="auto"/>
              <w:right w:val="single" w:sz="4" w:space="0" w:color="auto"/>
            </w:tcBorders>
            <w:shd w:val="clear" w:color="auto" w:fill="auto"/>
            <w:noWrap/>
            <w:vAlign w:val="center"/>
            <w:hideMark/>
          </w:tcPr>
          <w:p w14:paraId="42C1F9B1"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016" w:type="dxa"/>
            <w:tcBorders>
              <w:top w:val="nil"/>
              <w:left w:val="nil"/>
              <w:bottom w:val="single" w:sz="4" w:space="0" w:color="auto"/>
              <w:right w:val="nil"/>
            </w:tcBorders>
            <w:shd w:val="clear" w:color="auto" w:fill="auto"/>
            <w:noWrap/>
            <w:vAlign w:val="bottom"/>
            <w:hideMark/>
          </w:tcPr>
          <w:p w14:paraId="2694D60A"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8</w:t>
            </w:r>
            <w:r w:rsidR="00F04D6B" w:rsidRPr="00F85178">
              <w:rPr>
                <w:rFonts w:eastAsia="Times New Roman"/>
                <w:szCs w:val="24"/>
                <w:lang w:eastAsia="cs-CZ"/>
              </w:rPr>
              <w:t xml:space="preserve"> </w:t>
            </w:r>
            <w:r w:rsidRPr="00F85178">
              <w:rPr>
                <w:rFonts w:eastAsia="Times New Roman"/>
                <w:szCs w:val="24"/>
                <w:lang w:eastAsia="cs-CZ"/>
              </w:rPr>
              <w:t>398</w:t>
            </w:r>
          </w:p>
        </w:tc>
        <w:tc>
          <w:tcPr>
            <w:tcW w:w="836" w:type="dxa"/>
            <w:tcBorders>
              <w:top w:val="nil"/>
              <w:left w:val="nil"/>
              <w:bottom w:val="single" w:sz="4" w:space="0" w:color="auto"/>
              <w:right w:val="single" w:sz="4" w:space="0" w:color="auto"/>
            </w:tcBorders>
            <w:shd w:val="clear" w:color="auto" w:fill="auto"/>
            <w:noWrap/>
            <w:vAlign w:val="center"/>
            <w:hideMark/>
          </w:tcPr>
          <w:p w14:paraId="36E41633"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539" w:type="dxa"/>
            <w:tcBorders>
              <w:top w:val="nil"/>
              <w:left w:val="nil"/>
              <w:bottom w:val="single" w:sz="4" w:space="0" w:color="auto"/>
              <w:right w:val="nil"/>
            </w:tcBorders>
            <w:shd w:val="clear" w:color="auto" w:fill="auto"/>
            <w:noWrap/>
            <w:vAlign w:val="center"/>
            <w:hideMark/>
          </w:tcPr>
          <w:p w14:paraId="673470D3"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101</w:t>
            </w:r>
            <w:r w:rsidR="000979DC" w:rsidRPr="00F85178">
              <w:rPr>
                <w:rFonts w:eastAsia="Times New Roman"/>
                <w:szCs w:val="24"/>
                <w:lang w:eastAsia="cs-CZ"/>
              </w:rPr>
              <w:t>,</w:t>
            </w:r>
            <w:r w:rsidRPr="00F85178">
              <w:rPr>
                <w:rFonts w:eastAsia="Times New Roman"/>
                <w:szCs w:val="24"/>
                <w:lang w:eastAsia="cs-CZ"/>
              </w:rPr>
              <w:t>5 %</w:t>
            </w:r>
          </w:p>
        </w:tc>
      </w:tr>
      <w:tr w:rsidR="00F85178" w:rsidRPr="00F85178" w14:paraId="7823FC71" w14:textId="77777777" w:rsidTr="006D2872">
        <w:trPr>
          <w:trHeight w:val="315"/>
        </w:trPr>
        <w:tc>
          <w:tcPr>
            <w:tcW w:w="2020" w:type="dxa"/>
            <w:tcBorders>
              <w:top w:val="nil"/>
              <w:left w:val="nil"/>
              <w:bottom w:val="single" w:sz="4" w:space="0" w:color="auto"/>
              <w:right w:val="nil"/>
            </w:tcBorders>
            <w:shd w:val="clear" w:color="auto" w:fill="auto"/>
            <w:noWrap/>
            <w:vAlign w:val="bottom"/>
            <w:hideMark/>
          </w:tcPr>
          <w:p w14:paraId="67A1E584"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Brno</w:t>
            </w:r>
          </w:p>
        </w:tc>
        <w:tc>
          <w:tcPr>
            <w:tcW w:w="1041" w:type="dxa"/>
            <w:tcBorders>
              <w:top w:val="nil"/>
              <w:left w:val="nil"/>
              <w:bottom w:val="single" w:sz="4" w:space="0" w:color="auto"/>
              <w:right w:val="nil"/>
            </w:tcBorders>
            <w:shd w:val="clear" w:color="auto" w:fill="auto"/>
            <w:noWrap/>
            <w:vAlign w:val="bottom"/>
            <w:hideMark/>
          </w:tcPr>
          <w:p w14:paraId="48EEDA36"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46</w:t>
            </w:r>
            <w:r w:rsidR="00F04D6B" w:rsidRPr="00F85178">
              <w:rPr>
                <w:rFonts w:eastAsia="Times New Roman"/>
                <w:szCs w:val="24"/>
                <w:lang w:eastAsia="cs-CZ"/>
              </w:rPr>
              <w:t xml:space="preserve"> </w:t>
            </w:r>
            <w:r w:rsidRPr="00F85178">
              <w:rPr>
                <w:rFonts w:eastAsia="Times New Roman"/>
                <w:szCs w:val="24"/>
                <w:lang w:eastAsia="cs-CZ"/>
              </w:rPr>
              <w:t>585</w:t>
            </w:r>
          </w:p>
        </w:tc>
        <w:tc>
          <w:tcPr>
            <w:tcW w:w="836" w:type="dxa"/>
            <w:tcBorders>
              <w:top w:val="nil"/>
              <w:left w:val="nil"/>
              <w:bottom w:val="single" w:sz="4" w:space="0" w:color="auto"/>
              <w:right w:val="nil"/>
            </w:tcBorders>
            <w:shd w:val="clear" w:color="auto" w:fill="auto"/>
            <w:noWrap/>
            <w:vAlign w:val="center"/>
            <w:hideMark/>
          </w:tcPr>
          <w:p w14:paraId="0E361A9E"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016" w:type="dxa"/>
            <w:tcBorders>
              <w:top w:val="nil"/>
              <w:left w:val="single" w:sz="4" w:space="0" w:color="auto"/>
              <w:bottom w:val="single" w:sz="4" w:space="0" w:color="auto"/>
              <w:right w:val="nil"/>
            </w:tcBorders>
            <w:shd w:val="clear" w:color="auto" w:fill="auto"/>
            <w:noWrap/>
            <w:vAlign w:val="bottom"/>
            <w:hideMark/>
          </w:tcPr>
          <w:p w14:paraId="4CA7E070"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47</w:t>
            </w:r>
            <w:r w:rsidR="00F04D6B" w:rsidRPr="00F85178">
              <w:rPr>
                <w:rFonts w:eastAsia="Times New Roman"/>
                <w:szCs w:val="24"/>
                <w:lang w:eastAsia="cs-CZ"/>
              </w:rPr>
              <w:t xml:space="preserve"> </w:t>
            </w:r>
            <w:r w:rsidRPr="00F85178">
              <w:rPr>
                <w:rFonts w:eastAsia="Times New Roman"/>
                <w:szCs w:val="24"/>
                <w:lang w:eastAsia="cs-CZ"/>
              </w:rPr>
              <w:t>838</w:t>
            </w:r>
          </w:p>
        </w:tc>
        <w:tc>
          <w:tcPr>
            <w:tcW w:w="836" w:type="dxa"/>
            <w:tcBorders>
              <w:top w:val="nil"/>
              <w:left w:val="nil"/>
              <w:bottom w:val="single" w:sz="4" w:space="0" w:color="auto"/>
              <w:right w:val="single" w:sz="4" w:space="0" w:color="auto"/>
            </w:tcBorders>
            <w:shd w:val="clear" w:color="auto" w:fill="auto"/>
            <w:noWrap/>
            <w:vAlign w:val="center"/>
            <w:hideMark/>
          </w:tcPr>
          <w:p w14:paraId="5F59F5A3"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016" w:type="dxa"/>
            <w:tcBorders>
              <w:top w:val="nil"/>
              <w:left w:val="nil"/>
              <w:bottom w:val="single" w:sz="4" w:space="0" w:color="auto"/>
              <w:right w:val="nil"/>
            </w:tcBorders>
            <w:shd w:val="clear" w:color="auto" w:fill="auto"/>
            <w:noWrap/>
            <w:vAlign w:val="bottom"/>
            <w:hideMark/>
          </w:tcPr>
          <w:p w14:paraId="19315CF6"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22</w:t>
            </w:r>
            <w:r w:rsidR="00F04D6B" w:rsidRPr="00F85178">
              <w:rPr>
                <w:rFonts w:eastAsia="Times New Roman"/>
                <w:szCs w:val="24"/>
                <w:lang w:eastAsia="cs-CZ"/>
              </w:rPr>
              <w:t xml:space="preserve"> </w:t>
            </w:r>
            <w:r w:rsidRPr="00F85178">
              <w:rPr>
                <w:rFonts w:eastAsia="Times New Roman"/>
                <w:szCs w:val="24"/>
                <w:lang w:eastAsia="cs-CZ"/>
              </w:rPr>
              <w:t>975</w:t>
            </w:r>
          </w:p>
        </w:tc>
        <w:tc>
          <w:tcPr>
            <w:tcW w:w="836" w:type="dxa"/>
            <w:tcBorders>
              <w:top w:val="nil"/>
              <w:left w:val="nil"/>
              <w:bottom w:val="single" w:sz="4" w:space="0" w:color="auto"/>
              <w:right w:val="single" w:sz="4" w:space="0" w:color="auto"/>
            </w:tcBorders>
            <w:shd w:val="clear" w:color="auto" w:fill="auto"/>
            <w:noWrap/>
            <w:vAlign w:val="center"/>
            <w:hideMark/>
          </w:tcPr>
          <w:p w14:paraId="15C80EAE"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539" w:type="dxa"/>
            <w:tcBorders>
              <w:top w:val="nil"/>
              <w:left w:val="nil"/>
              <w:bottom w:val="single" w:sz="4" w:space="0" w:color="auto"/>
              <w:right w:val="nil"/>
            </w:tcBorders>
            <w:shd w:val="clear" w:color="auto" w:fill="auto"/>
            <w:noWrap/>
            <w:vAlign w:val="center"/>
            <w:hideMark/>
          </w:tcPr>
          <w:p w14:paraId="36E7DD5D"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102</w:t>
            </w:r>
            <w:r w:rsidR="000979DC" w:rsidRPr="00F85178">
              <w:rPr>
                <w:rFonts w:eastAsia="Times New Roman"/>
                <w:szCs w:val="24"/>
                <w:lang w:eastAsia="cs-CZ"/>
              </w:rPr>
              <w:t>,</w:t>
            </w:r>
            <w:r w:rsidRPr="00F85178">
              <w:rPr>
                <w:rFonts w:eastAsia="Times New Roman"/>
                <w:szCs w:val="24"/>
                <w:lang w:eastAsia="cs-CZ"/>
              </w:rPr>
              <w:t>7 %</w:t>
            </w:r>
          </w:p>
        </w:tc>
      </w:tr>
      <w:tr w:rsidR="00F85178" w:rsidRPr="00F85178" w14:paraId="47A559ED" w14:textId="77777777" w:rsidTr="006D2872">
        <w:trPr>
          <w:trHeight w:val="330"/>
        </w:trPr>
        <w:tc>
          <w:tcPr>
            <w:tcW w:w="2020" w:type="dxa"/>
            <w:tcBorders>
              <w:top w:val="nil"/>
              <w:left w:val="nil"/>
              <w:bottom w:val="double" w:sz="6" w:space="0" w:color="auto"/>
              <w:right w:val="nil"/>
            </w:tcBorders>
            <w:shd w:val="clear" w:color="auto" w:fill="auto"/>
            <w:noWrap/>
            <w:vAlign w:val="bottom"/>
            <w:hideMark/>
          </w:tcPr>
          <w:p w14:paraId="17987C15" w14:textId="77777777" w:rsidR="006D2872" w:rsidRPr="00F85178" w:rsidRDefault="006D2872" w:rsidP="006D2872">
            <w:pPr>
              <w:spacing w:line="240" w:lineRule="auto"/>
              <w:jc w:val="left"/>
              <w:rPr>
                <w:rFonts w:eastAsia="Times New Roman"/>
                <w:szCs w:val="24"/>
                <w:lang w:eastAsia="cs-CZ"/>
              </w:rPr>
            </w:pPr>
            <w:r w:rsidRPr="00F85178">
              <w:rPr>
                <w:rFonts w:eastAsia="Times New Roman"/>
                <w:szCs w:val="24"/>
                <w:lang w:eastAsia="cs-CZ"/>
              </w:rPr>
              <w:t>KS Ostrava</w:t>
            </w:r>
          </w:p>
        </w:tc>
        <w:tc>
          <w:tcPr>
            <w:tcW w:w="1041" w:type="dxa"/>
            <w:tcBorders>
              <w:top w:val="nil"/>
              <w:left w:val="nil"/>
              <w:bottom w:val="double" w:sz="6" w:space="0" w:color="auto"/>
              <w:right w:val="nil"/>
            </w:tcBorders>
            <w:shd w:val="clear" w:color="auto" w:fill="auto"/>
            <w:noWrap/>
            <w:vAlign w:val="bottom"/>
            <w:hideMark/>
          </w:tcPr>
          <w:p w14:paraId="4FDCDD03"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52</w:t>
            </w:r>
            <w:r w:rsidR="00F04D6B" w:rsidRPr="00F85178">
              <w:rPr>
                <w:rFonts w:eastAsia="Times New Roman"/>
                <w:szCs w:val="24"/>
                <w:lang w:eastAsia="cs-CZ"/>
              </w:rPr>
              <w:t xml:space="preserve"> </w:t>
            </w:r>
            <w:r w:rsidRPr="00F85178">
              <w:rPr>
                <w:rFonts w:eastAsia="Times New Roman"/>
                <w:szCs w:val="24"/>
                <w:lang w:eastAsia="cs-CZ"/>
              </w:rPr>
              <w:t>902</w:t>
            </w:r>
          </w:p>
        </w:tc>
        <w:tc>
          <w:tcPr>
            <w:tcW w:w="836" w:type="dxa"/>
            <w:tcBorders>
              <w:top w:val="nil"/>
              <w:left w:val="nil"/>
              <w:bottom w:val="double" w:sz="6" w:space="0" w:color="auto"/>
              <w:right w:val="nil"/>
            </w:tcBorders>
            <w:shd w:val="clear" w:color="auto" w:fill="auto"/>
            <w:noWrap/>
            <w:vAlign w:val="center"/>
            <w:hideMark/>
          </w:tcPr>
          <w:p w14:paraId="67179C72"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16" w:type="dxa"/>
            <w:tcBorders>
              <w:top w:val="nil"/>
              <w:left w:val="single" w:sz="4" w:space="0" w:color="auto"/>
              <w:bottom w:val="double" w:sz="6" w:space="0" w:color="auto"/>
              <w:right w:val="nil"/>
            </w:tcBorders>
            <w:shd w:val="clear" w:color="auto" w:fill="auto"/>
            <w:noWrap/>
            <w:vAlign w:val="bottom"/>
            <w:hideMark/>
          </w:tcPr>
          <w:p w14:paraId="0FD9B1E2"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53</w:t>
            </w:r>
            <w:r w:rsidR="00F04D6B" w:rsidRPr="00F85178">
              <w:rPr>
                <w:rFonts w:eastAsia="Times New Roman"/>
                <w:szCs w:val="24"/>
                <w:lang w:eastAsia="cs-CZ"/>
              </w:rPr>
              <w:t xml:space="preserve"> </w:t>
            </w:r>
            <w:r w:rsidRPr="00F85178">
              <w:rPr>
                <w:rFonts w:eastAsia="Times New Roman"/>
                <w:szCs w:val="24"/>
                <w:lang w:eastAsia="cs-CZ"/>
              </w:rPr>
              <w:t>185</w:t>
            </w:r>
          </w:p>
        </w:tc>
        <w:tc>
          <w:tcPr>
            <w:tcW w:w="836" w:type="dxa"/>
            <w:tcBorders>
              <w:top w:val="nil"/>
              <w:left w:val="nil"/>
              <w:bottom w:val="double" w:sz="6" w:space="0" w:color="auto"/>
              <w:right w:val="single" w:sz="4" w:space="0" w:color="auto"/>
            </w:tcBorders>
            <w:shd w:val="clear" w:color="auto" w:fill="auto"/>
            <w:noWrap/>
            <w:vAlign w:val="center"/>
            <w:hideMark/>
          </w:tcPr>
          <w:p w14:paraId="2D89F73B"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16" w:type="dxa"/>
            <w:tcBorders>
              <w:top w:val="nil"/>
              <w:left w:val="nil"/>
              <w:bottom w:val="double" w:sz="6" w:space="0" w:color="auto"/>
              <w:right w:val="nil"/>
            </w:tcBorders>
            <w:shd w:val="clear" w:color="auto" w:fill="auto"/>
            <w:noWrap/>
            <w:vAlign w:val="bottom"/>
            <w:hideMark/>
          </w:tcPr>
          <w:p w14:paraId="20DE5AE4" w14:textId="77777777" w:rsidR="006D2872" w:rsidRPr="00F85178" w:rsidRDefault="006D2872" w:rsidP="00F04D6B">
            <w:pPr>
              <w:spacing w:line="240" w:lineRule="auto"/>
              <w:jc w:val="center"/>
              <w:rPr>
                <w:rFonts w:eastAsia="Times New Roman"/>
                <w:szCs w:val="24"/>
                <w:lang w:eastAsia="cs-CZ"/>
              </w:rPr>
            </w:pPr>
            <w:r w:rsidRPr="00F85178">
              <w:rPr>
                <w:rFonts w:eastAsia="Times New Roman"/>
                <w:szCs w:val="24"/>
                <w:lang w:eastAsia="cs-CZ"/>
              </w:rPr>
              <w:t>16</w:t>
            </w:r>
            <w:r w:rsidR="00F04D6B" w:rsidRPr="00F85178">
              <w:rPr>
                <w:rFonts w:eastAsia="Times New Roman"/>
                <w:szCs w:val="24"/>
                <w:lang w:eastAsia="cs-CZ"/>
              </w:rPr>
              <w:t xml:space="preserve"> </w:t>
            </w:r>
            <w:r w:rsidRPr="00F85178">
              <w:rPr>
                <w:rFonts w:eastAsia="Times New Roman"/>
                <w:szCs w:val="24"/>
                <w:lang w:eastAsia="cs-CZ"/>
              </w:rPr>
              <w:t>943</w:t>
            </w:r>
          </w:p>
        </w:tc>
        <w:tc>
          <w:tcPr>
            <w:tcW w:w="836" w:type="dxa"/>
            <w:tcBorders>
              <w:top w:val="nil"/>
              <w:left w:val="nil"/>
              <w:bottom w:val="double" w:sz="6" w:space="0" w:color="auto"/>
              <w:right w:val="single" w:sz="4" w:space="0" w:color="auto"/>
            </w:tcBorders>
            <w:shd w:val="clear" w:color="auto" w:fill="auto"/>
            <w:noWrap/>
            <w:vAlign w:val="center"/>
            <w:hideMark/>
          </w:tcPr>
          <w:p w14:paraId="0D51A91C" w14:textId="77777777" w:rsidR="006D2872" w:rsidRPr="00F85178" w:rsidRDefault="006D2872" w:rsidP="006D2872">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539" w:type="dxa"/>
            <w:tcBorders>
              <w:top w:val="nil"/>
              <w:left w:val="nil"/>
              <w:bottom w:val="nil"/>
              <w:right w:val="nil"/>
            </w:tcBorders>
            <w:shd w:val="clear" w:color="auto" w:fill="auto"/>
            <w:noWrap/>
            <w:vAlign w:val="center"/>
            <w:hideMark/>
          </w:tcPr>
          <w:p w14:paraId="10D14734" w14:textId="77777777" w:rsidR="006D2872" w:rsidRPr="00F85178" w:rsidRDefault="006D2872" w:rsidP="006D2872">
            <w:pPr>
              <w:spacing w:line="240" w:lineRule="auto"/>
              <w:jc w:val="center"/>
              <w:rPr>
                <w:rFonts w:eastAsia="Times New Roman"/>
                <w:szCs w:val="24"/>
                <w:lang w:eastAsia="cs-CZ"/>
              </w:rPr>
            </w:pPr>
            <w:r w:rsidRPr="00F85178">
              <w:rPr>
                <w:rFonts w:eastAsia="Times New Roman"/>
                <w:szCs w:val="24"/>
                <w:lang w:eastAsia="cs-CZ"/>
              </w:rPr>
              <w:t>100</w:t>
            </w:r>
            <w:r w:rsidR="000979DC" w:rsidRPr="00F85178">
              <w:rPr>
                <w:rFonts w:eastAsia="Times New Roman"/>
                <w:szCs w:val="24"/>
                <w:lang w:eastAsia="cs-CZ"/>
              </w:rPr>
              <w:t>,</w:t>
            </w:r>
            <w:r w:rsidRPr="00F85178">
              <w:rPr>
                <w:rFonts w:eastAsia="Times New Roman"/>
                <w:szCs w:val="24"/>
                <w:lang w:eastAsia="cs-CZ"/>
              </w:rPr>
              <w:t>5 %</w:t>
            </w:r>
          </w:p>
        </w:tc>
      </w:tr>
      <w:tr w:rsidR="006D2872" w:rsidRPr="00F85178" w14:paraId="1C1D7913" w14:textId="77777777" w:rsidTr="006D2872">
        <w:trPr>
          <w:trHeight w:val="345"/>
        </w:trPr>
        <w:tc>
          <w:tcPr>
            <w:tcW w:w="2020" w:type="dxa"/>
            <w:tcBorders>
              <w:top w:val="nil"/>
              <w:left w:val="nil"/>
              <w:bottom w:val="double" w:sz="6" w:space="0" w:color="auto"/>
              <w:right w:val="nil"/>
            </w:tcBorders>
            <w:shd w:val="clear" w:color="auto" w:fill="auto"/>
            <w:noWrap/>
            <w:vAlign w:val="bottom"/>
            <w:hideMark/>
          </w:tcPr>
          <w:p w14:paraId="2D77B03E" w14:textId="77777777" w:rsidR="006D2872" w:rsidRPr="00F85178" w:rsidRDefault="006D2872" w:rsidP="006D2872">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41" w:type="dxa"/>
            <w:tcBorders>
              <w:top w:val="nil"/>
              <w:left w:val="nil"/>
              <w:bottom w:val="double" w:sz="6" w:space="0" w:color="auto"/>
              <w:right w:val="nil"/>
            </w:tcBorders>
            <w:shd w:val="clear" w:color="auto" w:fill="auto"/>
            <w:noWrap/>
            <w:vAlign w:val="bottom"/>
            <w:hideMark/>
          </w:tcPr>
          <w:p w14:paraId="63B0F783"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347</w:t>
            </w:r>
            <w:r w:rsidR="00F04D6B" w:rsidRPr="00F85178">
              <w:rPr>
                <w:rFonts w:eastAsia="Times New Roman"/>
                <w:b/>
                <w:bCs/>
                <w:szCs w:val="24"/>
                <w:lang w:eastAsia="cs-CZ"/>
              </w:rPr>
              <w:t xml:space="preserve"> </w:t>
            </w:r>
            <w:r w:rsidRPr="00F85178">
              <w:rPr>
                <w:rFonts w:eastAsia="Times New Roman"/>
                <w:b/>
                <w:bCs/>
                <w:szCs w:val="24"/>
                <w:lang w:eastAsia="cs-CZ"/>
              </w:rPr>
              <w:t>809</w:t>
            </w:r>
          </w:p>
        </w:tc>
        <w:tc>
          <w:tcPr>
            <w:tcW w:w="836" w:type="dxa"/>
            <w:tcBorders>
              <w:top w:val="nil"/>
              <w:left w:val="nil"/>
              <w:bottom w:val="double" w:sz="6" w:space="0" w:color="auto"/>
              <w:right w:val="nil"/>
            </w:tcBorders>
            <w:shd w:val="clear" w:color="auto" w:fill="auto"/>
            <w:noWrap/>
            <w:vAlign w:val="center"/>
            <w:hideMark/>
          </w:tcPr>
          <w:p w14:paraId="17145740" w14:textId="77777777" w:rsidR="006D2872" w:rsidRPr="00F85178" w:rsidRDefault="006D2872" w:rsidP="006D2872">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1016" w:type="dxa"/>
            <w:tcBorders>
              <w:top w:val="nil"/>
              <w:left w:val="single" w:sz="4" w:space="0" w:color="auto"/>
              <w:bottom w:val="double" w:sz="6" w:space="0" w:color="auto"/>
              <w:right w:val="nil"/>
            </w:tcBorders>
            <w:shd w:val="clear" w:color="auto" w:fill="auto"/>
            <w:noWrap/>
            <w:vAlign w:val="bottom"/>
            <w:hideMark/>
          </w:tcPr>
          <w:p w14:paraId="0263F2FE"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351</w:t>
            </w:r>
            <w:r w:rsidR="00F04D6B" w:rsidRPr="00F85178">
              <w:rPr>
                <w:rFonts w:eastAsia="Times New Roman"/>
                <w:b/>
                <w:bCs/>
                <w:szCs w:val="24"/>
                <w:lang w:eastAsia="cs-CZ"/>
              </w:rPr>
              <w:t xml:space="preserve"> </w:t>
            </w:r>
            <w:r w:rsidRPr="00F85178">
              <w:rPr>
                <w:rFonts w:eastAsia="Times New Roman"/>
                <w:b/>
                <w:bCs/>
                <w:szCs w:val="24"/>
                <w:lang w:eastAsia="cs-CZ"/>
              </w:rPr>
              <w:t>297</w:t>
            </w:r>
          </w:p>
        </w:tc>
        <w:tc>
          <w:tcPr>
            <w:tcW w:w="836" w:type="dxa"/>
            <w:tcBorders>
              <w:top w:val="nil"/>
              <w:left w:val="nil"/>
              <w:bottom w:val="double" w:sz="6" w:space="0" w:color="auto"/>
              <w:right w:val="single" w:sz="4" w:space="0" w:color="auto"/>
            </w:tcBorders>
            <w:shd w:val="clear" w:color="auto" w:fill="auto"/>
            <w:noWrap/>
            <w:vAlign w:val="center"/>
            <w:hideMark/>
          </w:tcPr>
          <w:p w14:paraId="4F6DAB5A" w14:textId="77777777" w:rsidR="006D2872" w:rsidRPr="00F85178" w:rsidRDefault="006D2872" w:rsidP="006D2872">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1016" w:type="dxa"/>
            <w:tcBorders>
              <w:top w:val="nil"/>
              <w:left w:val="nil"/>
              <w:bottom w:val="double" w:sz="6" w:space="0" w:color="auto"/>
              <w:right w:val="nil"/>
            </w:tcBorders>
            <w:shd w:val="clear" w:color="auto" w:fill="auto"/>
            <w:noWrap/>
            <w:vAlign w:val="bottom"/>
            <w:hideMark/>
          </w:tcPr>
          <w:p w14:paraId="3D537490"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134</w:t>
            </w:r>
            <w:r w:rsidR="00F04D6B" w:rsidRPr="00F85178">
              <w:rPr>
                <w:rFonts w:eastAsia="Times New Roman"/>
                <w:b/>
                <w:bCs/>
                <w:szCs w:val="24"/>
                <w:lang w:eastAsia="cs-CZ"/>
              </w:rPr>
              <w:t xml:space="preserve"> </w:t>
            </w:r>
            <w:r w:rsidRPr="00F85178">
              <w:rPr>
                <w:rFonts w:eastAsia="Times New Roman"/>
                <w:b/>
                <w:bCs/>
                <w:szCs w:val="24"/>
                <w:lang w:eastAsia="cs-CZ"/>
              </w:rPr>
              <w:t>775</w:t>
            </w:r>
          </w:p>
        </w:tc>
        <w:tc>
          <w:tcPr>
            <w:tcW w:w="836" w:type="dxa"/>
            <w:tcBorders>
              <w:top w:val="nil"/>
              <w:left w:val="nil"/>
              <w:bottom w:val="double" w:sz="6" w:space="0" w:color="auto"/>
              <w:right w:val="single" w:sz="4" w:space="0" w:color="auto"/>
            </w:tcBorders>
            <w:shd w:val="clear" w:color="auto" w:fill="auto"/>
            <w:noWrap/>
            <w:vAlign w:val="center"/>
            <w:hideMark/>
          </w:tcPr>
          <w:p w14:paraId="45AB9320" w14:textId="77777777" w:rsidR="006D2872" w:rsidRPr="00F85178" w:rsidRDefault="006D2872" w:rsidP="006D2872">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1539" w:type="dxa"/>
            <w:tcBorders>
              <w:top w:val="double" w:sz="6" w:space="0" w:color="auto"/>
              <w:left w:val="nil"/>
              <w:bottom w:val="double" w:sz="6" w:space="0" w:color="auto"/>
              <w:right w:val="nil"/>
            </w:tcBorders>
            <w:shd w:val="clear" w:color="auto" w:fill="auto"/>
            <w:noWrap/>
            <w:vAlign w:val="center"/>
            <w:hideMark/>
          </w:tcPr>
          <w:p w14:paraId="62381228" w14:textId="77777777" w:rsidR="006D2872" w:rsidRPr="00F85178" w:rsidRDefault="006D2872" w:rsidP="006D2872">
            <w:pPr>
              <w:spacing w:line="240" w:lineRule="auto"/>
              <w:jc w:val="center"/>
              <w:rPr>
                <w:rFonts w:eastAsia="Times New Roman"/>
                <w:b/>
                <w:bCs/>
                <w:szCs w:val="24"/>
                <w:lang w:eastAsia="cs-CZ"/>
              </w:rPr>
            </w:pPr>
            <w:r w:rsidRPr="00F85178">
              <w:rPr>
                <w:rFonts w:eastAsia="Times New Roman"/>
                <w:b/>
                <w:bCs/>
                <w:szCs w:val="24"/>
                <w:lang w:eastAsia="cs-CZ"/>
              </w:rPr>
              <w:t>101</w:t>
            </w:r>
            <w:r w:rsidR="000979DC" w:rsidRPr="00F85178">
              <w:rPr>
                <w:rFonts w:eastAsia="Times New Roman"/>
                <w:b/>
                <w:bCs/>
                <w:szCs w:val="24"/>
                <w:lang w:eastAsia="cs-CZ"/>
              </w:rPr>
              <w:t>,</w:t>
            </w:r>
            <w:r w:rsidRPr="00F85178">
              <w:rPr>
                <w:rFonts w:eastAsia="Times New Roman"/>
                <w:b/>
                <w:bCs/>
                <w:szCs w:val="24"/>
                <w:lang w:eastAsia="cs-CZ"/>
              </w:rPr>
              <w:t>0 %</w:t>
            </w:r>
          </w:p>
        </w:tc>
      </w:tr>
    </w:tbl>
    <w:p w14:paraId="31BAA100" w14:textId="77777777" w:rsidR="006D2872" w:rsidRPr="00F85178" w:rsidRDefault="006D2872" w:rsidP="00E00E84"/>
    <w:p w14:paraId="5FBF4155" w14:textId="3B3CB95C" w:rsidR="00C95F73" w:rsidRPr="00F85178" w:rsidRDefault="005C706B" w:rsidP="00C95F73">
      <w:pPr>
        <w:pStyle w:val="OdstavecASR"/>
      </w:pPr>
      <w:r w:rsidRPr="00F85178">
        <w:t xml:space="preserve">Tabulka </w:t>
      </w:r>
      <w:r w:rsidRPr="00F85178">
        <w:rPr>
          <w:noProof/>
        </w:rPr>
        <w:t>8</w:t>
      </w:r>
      <w:r w:rsidR="00C95F73" w:rsidRPr="00F85178">
        <w:t xml:space="preserve"> zachycuje vyřizování věcí dle krajů v roce 201</w:t>
      </w:r>
      <w:r w:rsidR="00282BDB" w:rsidRPr="00F85178">
        <w:t>8</w:t>
      </w:r>
      <w:r w:rsidR="00C95F73" w:rsidRPr="00F85178">
        <w:t>. Počet napadlých, vyřízených a částečně i nevyřízených věci se odvíjí od velikosti soudu. Nelze tedy nijak porovnávat zatížení a výkonnost soudů bez toho, že budou data normalizována, tedy dokud nebude zohledněna velikost soudů. K tomu slouží dvě následující části této kapitoly. Z tohoto důvodu dále nezkoumáme jednotlivé okresní soudy pomocí kartogramu a krabicového grafu. Z tabulky lze vyčíst</w:t>
      </w:r>
      <w:r w:rsidR="009A6D53" w:rsidRPr="00F85178">
        <w:t xml:space="preserve">, že míra vyřizování v roce 2018 se za celou ČR v porovnání s rokem 2017 mírně snížila, což je trend pokračující již od roku 2016. Je to způsobeno vyšším nárůstem </w:t>
      </w:r>
      <w:r w:rsidR="00A07007" w:rsidRPr="00F85178">
        <w:t xml:space="preserve">v počtu </w:t>
      </w:r>
      <w:r w:rsidR="009A6D53" w:rsidRPr="00F85178">
        <w:t xml:space="preserve">příchozích </w:t>
      </w:r>
      <w:r w:rsidR="00C84A28" w:rsidRPr="00F85178">
        <w:t>věc</w:t>
      </w:r>
      <w:r w:rsidR="00C84A28">
        <w:t>í</w:t>
      </w:r>
      <w:r w:rsidR="00C84A28" w:rsidRPr="00F85178">
        <w:t xml:space="preserve"> </w:t>
      </w:r>
      <w:r w:rsidR="009A6D53" w:rsidRPr="00F85178">
        <w:t xml:space="preserve">než </w:t>
      </w:r>
      <w:r w:rsidR="00A07007" w:rsidRPr="00F85178">
        <w:t>v počtu věcí vyřízených</w:t>
      </w:r>
      <w:r w:rsidR="009A6D53" w:rsidRPr="00F85178">
        <w:t xml:space="preserve">. </w:t>
      </w:r>
      <w:r w:rsidR="00737048" w:rsidRPr="00F85178">
        <w:t>V roce 2018 se</w:t>
      </w:r>
      <w:r w:rsidR="00A07007" w:rsidRPr="00F85178">
        <w:t xml:space="preserve"> ale stále</w:t>
      </w:r>
      <w:r w:rsidR="00737048" w:rsidRPr="00F85178">
        <w:t xml:space="preserve"> podařilo v ČR vyřídit</w:t>
      </w:r>
      <w:r w:rsidR="00A07007" w:rsidRPr="00F85178">
        <w:t xml:space="preserve"> </w:t>
      </w:r>
      <w:r w:rsidR="00737048" w:rsidRPr="00F85178">
        <w:t>více věcí</w:t>
      </w:r>
      <w:r w:rsidR="00720CD3" w:rsidRPr="00F85178">
        <w:t>,</w:t>
      </w:r>
      <w:r w:rsidR="00A07007" w:rsidRPr="00F85178">
        <w:t xml:space="preserve"> než přišlo</w:t>
      </w:r>
      <w:r w:rsidR="00737048" w:rsidRPr="00F85178">
        <w:t>, takže počet nevyřízených věcí opět poklesl. To mělo za následek zlepšení ukazatele „disposition time“</w:t>
      </w:r>
      <w:r w:rsidR="00720CD3" w:rsidRPr="00F85178">
        <w:t>,</w:t>
      </w:r>
      <w:r w:rsidR="00737048" w:rsidRPr="00F85178">
        <w:t xml:space="preserve"> jak je ukázáno v kapitole 2.2.4 (jeho význam a výpočet viz příloha A – seznam použitých pojmů). </w:t>
      </w:r>
      <w:r w:rsidR="009A6D53" w:rsidRPr="00F85178">
        <w:t>A</w:t>
      </w:r>
      <w:r w:rsidR="00F04D6B" w:rsidRPr="00F85178">
        <w:t> </w:t>
      </w:r>
      <w:r w:rsidR="009A6D53" w:rsidRPr="00F85178">
        <w:t>jsou zde další zajímavé údaj</w:t>
      </w:r>
      <w:r w:rsidR="00324CFC">
        <w:t>e</w:t>
      </w:r>
      <w:r w:rsidR="00720CD3" w:rsidRPr="00F85178">
        <w:t>. N</w:t>
      </w:r>
      <w:r w:rsidR="00C95F73" w:rsidRPr="00F85178">
        <w:t>apříklad to, že míra vyřizování je u krajů s největšími délkami řízení (Ústí nad Labem, Brno) vyšší než 100 %. V případě soudů spadající pod KS v Ústí nad Labem i přes 11% růst v počtu příchozích věcí. Tento fakt spolu se snižující se délkou řízení ukazuje, že situace se v těchto krajích skutečně zlepšuje. Pouze okresní soudy spadající pod KS Plzeň nestíhaly v roce 2018 vyřizovat své příchozí věci, a proto byla míra vyřizování necelých 97</w:t>
      </w:r>
      <w:r w:rsidR="009A6D53" w:rsidRPr="00F85178">
        <w:t> </w:t>
      </w:r>
      <w:r w:rsidR="00C95F73" w:rsidRPr="00F85178">
        <w:t>%. Za pozornost dále také stojí nezanedbatelný růst počtu příchozích věcí soudů v Praze, ten byl ale více než dostatečně kompenzov</w:t>
      </w:r>
      <w:r w:rsidR="00A808A7" w:rsidRPr="00F85178">
        <w:t>án</w:t>
      </w:r>
      <w:r w:rsidR="00C95F73" w:rsidRPr="00F85178">
        <w:t xml:space="preserve"> r</w:t>
      </w:r>
      <w:r w:rsidR="00EF0B79">
        <w:t>ůstem v počtu věcí vyřízených.</w:t>
      </w:r>
    </w:p>
    <w:p w14:paraId="473A4CE5" w14:textId="77777777" w:rsidR="00A808A7" w:rsidRPr="00F85178" w:rsidRDefault="00A808A7" w:rsidP="00A808A7">
      <w:pPr>
        <w:pStyle w:val="Nadpis3"/>
        <w:rPr>
          <w:color w:val="auto"/>
        </w:rPr>
      </w:pPr>
      <w:bookmarkStart w:id="93" w:name="_Toc515871223"/>
      <w:bookmarkStart w:id="94" w:name="_Toc14076875"/>
      <w:r w:rsidRPr="00F85178">
        <w:rPr>
          <w:color w:val="auto"/>
        </w:rPr>
        <w:t>Vyřizování věcí v přepočtu na soudce</w:t>
      </w:r>
      <w:bookmarkEnd w:id="93"/>
      <w:bookmarkEnd w:id="94"/>
    </w:p>
    <w:p w14:paraId="22A4C010" w14:textId="77777777" w:rsidR="00A808A7" w:rsidRPr="00F85178" w:rsidRDefault="00A808A7" w:rsidP="00A808A7">
      <w:pPr>
        <w:pStyle w:val="OdstavecASR"/>
      </w:pPr>
      <w:r w:rsidRPr="00F85178">
        <w:t>Abychom mohli soudy mezi sebou porovnat, data z předchozí části jsme přepočetli na jednoho evidenčního soudce. Absolutní hodnoty zcela neodpovídají realitě, protože civilní úseky vyřizují i další agendy (největší z nich je agenda opatrovnická), a soudci mají tedy i jinou práci. Pro srovnání mezi soudy je ale tento přepočet zcela dostatečný. Změny tohoto ukazatele v čase není třeba uvádět, protože počet soudců je velmi stabilní, a časové řady jsou proto téměř totožné s časovými řadami v přechozí podkapitole. Srovnání soudů a krajů za rok 2018 uvádíme níže</w:t>
      </w:r>
      <w:r w:rsidR="00BD095B" w:rsidRPr="00F85178">
        <w:t xml:space="preserve"> a je možno konstatovat, že vývoj porovnání s předchozím rokem kopíruje situaci popsanou v tabulce 8</w:t>
      </w:r>
      <w:r w:rsidRPr="00F85178">
        <w:t>.</w:t>
      </w:r>
    </w:p>
    <w:p w14:paraId="2568FB9B" w14:textId="77777777" w:rsidR="005E6382" w:rsidRPr="00F85178" w:rsidRDefault="005E6382" w:rsidP="00A808A7">
      <w:pPr>
        <w:pStyle w:val="OdstavecASR"/>
      </w:pPr>
    </w:p>
    <w:p w14:paraId="47894253" w14:textId="77777777" w:rsidR="000979DC" w:rsidRPr="00F85178" w:rsidRDefault="000979DC" w:rsidP="000979DC">
      <w:pPr>
        <w:pStyle w:val="Podtitul"/>
        <w:rPr>
          <w:color w:val="auto"/>
        </w:rPr>
      </w:pPr>
      <w:bookmarkStart w:id="95" w:name="_Ref509301494"/>
      <w:bookmarkStart w:id="96" w:name="_Ref509301484"/>
      <w:bookmarkStart w:id="97" w:name="_Toc515871442"/>
      <w:bookmarkStart w:id="98" w:name="_Toc11133211"/>
      <w:bookmarkStart w:id="99" w:name="_Toc13837432"/>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9</w:t>
      </w:r>
      <w:r w:rsidRPr="00F85178">
        <w:rPr>
          <w:noProof/>
          <w:color w:val="auto"/>
        </w:rPr>
        <w:fldChar w:fldCharType="end"/>
      </w:r>
      <w:bookmarkEnd w:id="95"/>
      <w:r w:rsidRPr="00F85178">
        <w:rPr>
          <w:color w:val="auto"/>
        </w:rPr>
        <w:t>: OS – vyřizování civilních věcí na soudce dle krajů</w:t>
      </w:r>
      <w:bookmarkEnd w:id="96"/>
      <w:bookmarkEnd w:id="97"/>
      <w:bookmarkEnd w:id="98"/>
      <w:bookmarkEnd w:id="99"/>
    </w:p>
    <w:tbl>
      <w:tblPr>
        <w:tblW w:w="7600" w:type="dxa"/>
        <w:tblInd w:w="70" w:type="dxa"/>
        <w:tblCellMar>
          <w:left w:w="70" w:type="dxa"/>
          <w:right w:w="70" w:type="dxa"/>
        </w:tblCellMar>
        <w:tblLook w:val="04A0" w:firstRow="1" w:lastRow="0" w:firstColumn="1" w:lastColumn="0" w:noHBand="0" w:noVBand="1"/>
      </w:tblPr>
      <w:tblGrid>
        <w:gridCol w:w="2020"/>
        <w:gridCol w:w="1028"/>
        <w:gridCol w:w="887"/>
        <w:gridCol w:w="1027"/>
        <w:gridCol w:w="887"/>
        <w:gridCol w:w="1011"/>
        <w:gridCol w:w="740"/>
      </w:tblGrid>
      <w:tr w:rsidR="00F85178" w:rsidRPr="00F85178" w14:paraId="745BC942" w14:textId="77777777" w:rsidTr="000979DC">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7C23BE5"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0" w:type="dxa"/>
            <w:gridSpan w:val="6"/>
            <w:tcBorders>
              <w:top w:val="double" w:sz="6" w:space="0" w:color="auto"/>
              <w:left w:val="nil"/>
              <w:bottom w:val="nil"/>
              <w:right w:val="nil"/>
            </w:tcBorders>
            <w:shd w:val="clear" w:color="auto" w:fill="auto"/>
            <w:noWrap/>
            <w:vAlign w:val="center"/>
            <w:hideMark/>
          </w:tcPr>
          <w:p w14:paraId="7180C6E9"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3F1FC41A" w14:textId="77777777" w:rsidTr="000979DC">
        <w:trPr>
          <w:trHeight w:val="330"/>
        </w:trPr>
        <w:tc>
          <w:tcPr>
            <w:tcW w:w="2020" w:type="dxa"/>
            <w:vMerge/>
            <w:tcBorders>
              <w:top w:val="double" w:sz="6" w:space="0" w:color="auto"/>
              <w:left w:val="nil"/>
              <w:bottom w:val="double" w:sz="6" w:space="0" w:color="000000"/>
              <w:right w:val="nil"/>
            </w:tcBorders>
            <w:vAlign w:val="center"/>
            <w:hideMark/>
          </w:tcPr>
          <w:p w14:paraId="0044E97C" w14:textId="77777777" w:rsidR="000979DC" w:rsidRPr="00F85178" w:rsidRDefault="000979DC" w:rsidP="000979DC">
            <w:pPr>
              <w:spacing w:line="240" w:lineRule="auto"/>
              <w:jc w:val="left"/>
              <w:rPr>
                <w:rFonts w:eastAsia="Times New Roman"/>
                <w:b/>
                <w:bCs/>
                <w:szCs w:val="24"/>
                <w:lang w:eastAsia="cs-CZ"/>
              </w:rPr>
            </w:pPr>
          </w:p>
        </w:tc>
        <w:tc>
          <w:tcPr>
            <w:tcW w:w="1915" w:type="dxa"/>
            <w:gridSpan w:val="2"/>
            <w:tcBorders>
              <w:top w:val="nil"/>
              <w:left w:val="nil"/>
              <w:bottom w:val="double" w:sz="6" w:space="0" w:color="auto"/>
              <w:right w:val="nil"/>
            </w:tcBorders>
            <w:shd w:val="clear" w:color="auto" w:fill="auto"/>
            <w:noWrap/>
            <w:vAlign w:val="center"/>
            <w:hideMark/>
          </w:tcPr>
          <w:p w14:paraId="6EBDDAF0"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1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4851F6E"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51" w:type="dxa"/>
            <w:gridSpan w:val="2"/>
            <w:tcBorders>
              <w:top w:val="nil"/>
              <w:left w:val="nil"/>
              <w:bottom w:val="double" w:sz="6" w:space="0" w:color="auto"/>
              <w:right w:val="nil"/>
            </w:tcBorders>
            <w:shd w:val="clear" w:color="auto" w:fill="auto"/>
            <w:noWrap/>
            <w:vAlign w:val="center"/>
            <w:hideMark/>
          </w:tcPr>
          <w:p w14:paraId="02137297"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Nevyřízeno</w:t>
            </w:r>
          </w:p>
        </w:tc>
      </w:tr>
      <w:tr w:rsidR="00F85178" w:rsidRPr="00F85178" w14:paraId="4DF9BDBB" w14:textId="77777777" w:rsidTr="000979DC">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40B2EA98"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MS Praha</w:t>
            </w:r>
          </w:p>
        </w:tc>
        <w:tc>
          <w:tcPr>
            <w:tcW w:w="1028" w:type="dxa"/>
            <w:tcBorders>
              <w:top w:val="single" w:sz="4" w:space="0" w:color="auto"/>
              <w:left w:val="nil"/>
              <w:bottom w:val="single" w:sz="4" w:space="0" w:color="auto"/>
              <w:right w:val="nil"/>
            </w:tcBorders>
            <w:shd w:val="clear" w:color="auto" w:fill="auto"/>
            <w:noWrap/>
            <w:vAlign w:val="bottom"/>
            <w:hideMark/>
          </w:tcPr>
          <w:p w14:paraId="2ADEAF3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347,54</w:t>
            </w:r>
          </w:p>
        </w:tc>
        <w:tc>
          <w:tcPr>
            <w:tcW w:w="887" w:type="dxa"/>
            <w:tcBorders>
              <w:top w:val="single" w:sz="4" w:space="0" w:color="auto"/>
              <w:left w:val="nil"/>
              <w:bottom w:val="single" w:sz="4" w:space="0" w:color="auto"/>
              <w:right w:val="nil"/>
            </w:tcBorders>
            <w:shd w:val="clear" w:color="auto" w:fill="auto"/>
            <w:noWrap/>
            <w:vAlign w:val="center"/>
            <w:hideMark/>
          </w:tcPr>
          <w:p w14:paraId="3BF3F32C"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1027" w:type="dxa"/>
            <w:tcBorders>
              <w:top w:val="single" w:sz="4" w:space="0" w:color="auto"/>
              <w:left w:val="single" w:sz="4" w:space="0" w:color="auto"/>
              <w:bottom w:val="single" w:sz="4" w:space="0" w:color="auto"/>
              <w:right w:val="nil"/>
            </w:tcBorders>
            <w:shd w:val="clear" w:color="auto" w:fill="auto"/>
            <w:noWrap/>
            <w:vAlign w:val="bottom"/>
            <w:hideMark/>
          </w:tcPr>
          <w:p w14:paraId="18C4A8F1"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349,91</w:t>
            </w:r>
          </w:p>
        </w:tc>
        <w:tc>
          <w:tcPr>
            <w:tcW w:w="887" w:type="dxa"/>
            <w:tcBorders>
              <w:top w:val="single" w:sz="4" w:space="0" w:color="auto"/>
              <w:left w:val="nil"/>
              <w:bottom w:val="single" w:sz="4" w:space="0" w:color="auto"/>
              <w:right w:val="single" w:sz="4" w:space="0" w:color="auto"/>
            </w:tcBorders>
            <w:shd w:val="clear" w:color="auto" w:fill="auto"/>
            <w:noWrap/>
            <w:vAlign w:val="center"/>
            <w:hideMark/>
          </w:tcPr>
          <w:p w14:paraId="4B91E3BE"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+25 %</w:t>
            </w:r>
          </w:p>
        </w:tc>
        <w:tc>
          <w:tcPr>
            <w:tcW w:w="1011" w:type="dxa"/>
            <w:tcBorders>
              <w:top w:val="single" w:sz="4" w:space="0" w:color="auto"/>
              <w:left w:val="nil"/>
              <w:bottom w:val="single" w:sz="4" w:space="0" w:color="auto"/>
              <w:right w:val="nil"/>
            </w:tcBorders>
            <w:shd w:val="clear" w:color="auto" w:fill="auto"/>
            <w:noWrap/>
            <w:vAlign w:val="bottom"/>
            <w:hideMark/>
          </w:tcPr>
          <w:p w14:paraId="36DAC0B9"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166,09</w:t>
            </w:r>
          </w:p>
        </w:tc>
        <w:tc>
          <w:tcPr>
            <w:tcW w:w="740" w:type="dxa"/>
            <w:tcBorders>
              <w:top w:val="single" w:sz="4" w:space="0" w:color="auto"/>
              <w:left w:val="nil"/>
              <w:bottom w:val="single" w:sz="4" w:space="0" w:color="auto"/>
              <w:right w:val="nil"/>
            </w:tcBorders>
            <w:shd w:val="clear" w:color="auto" w:fill="auto"/>
            <w:noWrap/>
            <w:vAlign w:val="center"/>
            <w:hideMark/>
          </w:tcPr>
          <w:p w14:paraId="012044BD"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3A92FD92"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00F09C2F"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Praha</w:t>
            </w:r>
          </w:p>
        </w:tc>
        <w:tc>
          <w:tcPr>
            <w:tcW w:w="1028" w:type="dxa"/>
            <w:tcBorders>
              <w:top w:val="nil"/>
              <w:left w:val="nil"/>
              <w:bottom w:val="single" w:sz="4" w:space="0" w:color="auto"/>
              <w:right w:val="nil"/>
            </w:tcBorders>
            <w:shd w:val="clear" w:color="auto" w:fill="auto"/>
            <w:noWrap/>
            <w:vAlign w:val="bottom"/>
            <w:hideMark/>
          </w:tcPr>
          <w:p w14:paraId="29A46F92"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249,93</w:t>
            </w:r>
          </w:p>
        </w:tc>
        <w:tc>
          <w:tcPr>
            <w:tcW w:w="887" w:type="dxa"/>
            <w:tcBorders>
              <w:top w:val="nil"/>
              <w:left w:val="nil"/>
              <w:bottom w:val="single" w:sz="4" w:space="0" w:color="auto"/>
              <w:right w:val="nil"/>
            </w:tcBorders>
            <w:shd w:val="clear" w:color="auto" w:fill="auto"/>
            <w:noWrap/>
            <w:vAlign w:val="center"/>
            <w:hideMark/>
          </w:tcPr>
          <w:p w14:paraId="24590C3C"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27" w:type="dxa"/>
            <w:tcBorders>
              <w:top w:val="nil"/>
              <w:left w:val="single" w:sz="4" w:space="0" w:color="auto"/>
              <w:bottom w:val="single" w:sz="4" w:space="0" w:color="auto"/>
              <w:right w:val="nil"/>
            </w:tcBorders>
            <w:shd w:val="clear" w:color="auto" w:fill="auto"/>
            <w:noWrap/>
            <w:vAlign w:val="bottom"/>
            <w:hideMark/>
          </w:tcPr>
          <w:p w14:paraId="073710C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249,37</w:t>
            </w:r>
          </w:p>
        </w:tc>
        <w:tc>
          <w:tcPr>
            <w:tcW w:w="887" w:type="dxa"/>
            <w:tcBorders>
              <w:top w:val="nil"/>
              <w:left w:val="nil"/>
              <w:bottom w:val="single" w:sz="4" w:space="0" w:color="auto"/>
              <w:right w:val="single" w:sz="4" w:space="0" w:color="auto"/>
            </w:tcBorders>
            <w:shd w:val="clear" w:color="auto" w:fill="auto"/>
            <w:noWrap/>
            <w:vAlign w:val="center"/>
            <w:hideMark/>
          </w:tcPr>
          <w:p w14:paraId="668AB216"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11" w:type="dxa"/>
            <w:tcBorders>
              <w:top w:val="nil"/>
              <w:left w:val="nil"/>
              <w:bottom w:val="single" w:sz="4" w:space="0" w:color="auto"/>
              <w:right w:val="nil"/>
            </w:tcBorders>
            <w:shd w:val="clear" w:color="auto" w:fill="auto"/>
            <w:noWrap/>
            <w:vAlign w:val="bottom"/>
            <w:hideMark/>
          </w:tcPr>
          <w:p w14:paraId="71DEE2BF"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61,30</w:t>
            </w:r>
          </w:p>
        </w:tc>
        <w:tc>
          <w:tcPr>
            <w:tcW w:w="740" w:type="dxa"/>
            <w:tcBorders>
              <w:top w:val="nil"/>
              <w:left w:val="nil"/>
              <w:bottom w:val="single" w:sz="4" w:space="0" w:color="auto"/>
              <w:right w:val="nil"/>
            </w:tcBorders>
            <w:shd w:val="clear" w:color="auto" w:fill="auto"/>
            <w:noWrap/>
            <w:vAlign w:val="center"/>
            <w:hideMark/>
          </w:tcPr>
          <w:p w14:paraId="0EADBF5D"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11FD1C04"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34169904"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Č. Budějovice</w:t>
            </w:r>
          </w:p>
        </w:tc>
        <w:tc>
          <w:tcPr>
            <w:tcW w:w="1028" w:type="dxa"/>
            <w:tcBorders>
              <w:top w:val="nil"/>
              <w:left w:val="nil"/>
              <w:bottom w:val="single" w:sz="4" w:space="0" w:color="auto"/>
              <w:right w:val="nil"/>
            </w:tcBorders>
            <w:shd w:val="clear" w:color="auto" w:fill="auto"/>
            <w:noWrap/>
            <w:vAlign w:val="bottom"/>
            <w:hideMark/>
          </w:tcPr>
          <w:p w14:paraId="61F8F329"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245,08</w:t>
            </w:r>
          </w:p>
        </w:tc>
        <w:tc>
          <w:tcPr>
            <w:tcW w:w="887" w:type="dxa"/>
            <w:tcBorders>
              <w:top w:val="nil"/>
              <w:left w:val="nil"/>
              <w:bottom w:val="single" w:sz="4" w:space="0" w:color="auto"/>
              <w:right w:val="nil"/>
            </w:tcBorders>
            <w:shd w:val="clear" w:color="auto" w:fill="auto"/>
            <w:noWrap/>
            <w:vAlign w:val="center"/>
            <w:hideMark/>
          </w:tcPr>
          <w:p w14:paraId="26955B64"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27" w:type="dxa"/>
            <w:tcBorders>
              <w:top w:val="nil"/>
              <w:left w:val="single" w:sz="4" w:space="0" w:color="auto"/>
              <w:bottom w:val="single" w:sz="4" w:space="0" w:color="auto"/>
              <w:right w:val="nil"/>
            </w:tcBorders>
            <w:shd w:val="clear" w:color="auto" w:fill="auto"/>
            <w:noWrap/>
            <w:vAlign w:val="bottom"/>
            <w:hideMark/>
          </w:tcPr>
          <w:p w14:paraId="4ADFC998"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248,82</w:t>
            </w:r>
          </w:p>
        </w:tc>
        <w:tc>
          <w:tcPr>
            <w:tcW w:w="887" w:type="dxa"/>
            <w:tcBorders>
              <w:top w:val="nil"/>
              <w:left w:val="nil"/>
              <w:bottom w:val="single" w:sz="4" w:space="0" w:color="auto"/>
              <w:right w:val="single" w:sz="4" w:space="0" w:color="auto"/>
            </w:tcBorders>
            <w:shd w:val="clear" w:color="auto" w:fill="auto"/>
            <w:noWrap/>
            <w:vAlign w:val="center"/>
            <w:hideMark/>
          </w:tcPr>
          <w:p w14:paraId="0645A3E4"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11" w:type="dxa"/>
            <w:tcBorders>
              <w:top w:val="nil"/>
              <w:left w:val="nil"/>
              <w:bottom w:val="single" w:sz="4" w:space="0" w:color="auto"/>
              <w:right w:val="nil"/>
            </w:tcBorders>
            <w:shd w:val="clear" w:color="auto" w:fill="auto"/>
            <w:noWrap/>
            <w:vAlign w:val="bottom"/>
            <w:hideMark/>
          </w:tcPr>
          <w:p w14:paraId="38AD02DF"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45,18</w:t>
            </w:r>
          </w:p>
        </w:tc>
        <w:tc>
          <w:tcPr>
            <w:tcW w:w="740" w:type="dxa"/>
            <w:tcBorders>
              <w:top w:val="nil"/>
              <w:left w:val="nil"/>
              <w:bottom w:val="single" w:sz="4" w:space="0" w:color="auto"/>
              <w:right w:val="nil"/>
            </w:tcBorders>
            <w:shd w:val="clear" w:color="auto" w:fill="auto"/>
            <w:noWrap/>
            <w:vAlign w:val="center"/>
            <w:hideMark/>
          </w:tcPr>
          <w:p w14:paraId="605402D2"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23D56A31"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3628843E"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Plzeň</w:t>
            </w:r>
          </w:p>
        </w:tc>
        <w:tc>
          <w:tcPr>
            <w:tcW w:w="1028" w:type="dxa"/>
            <w:tcBorders>
              <w:top w:val="nil"/>
              <w:left w:val="nil"/>
              <w:bottom w:val="single" w:sz="4" w:space="0" w:color="auto"/>
              <w:right w:val="nil"/>
            </w:tcBorders>
            <w:shd w:val="clear" w:color="auto" w:fill="auto"/>
            <w:noWrap/>
            <w:vAlign w:val="bottom"/>
            <w:hideMark/>
          </w:tcPr>
          <w:p w14:paraId="4B66209B"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273,53</w:t>
            </w:r>
          </w:p>
        </w:tc>
        <w:tc>
          <w:tcPr>
            <w:tcW w:w="887" w:type="dxa"/>
            <w:tcBorders>
              <w:top w:val="nil"/>
              <w:left w:val="nil"/>
              <w:bottom w:val="single" w:sz="4" w:space="0" w:color="auto"/>
              <w:right w:val="nil"/>
            </w:tcBorders>
            <w:shd w:val="clear" w:color="auto" w:fill="auto"/>
            <w:noWrap/>
            <w:vAlign w:val="center"/>
            <w:hideMark/>
          </w:tcPr>
          <w:p w14:paraId="27FDAB3C"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027" w:type="dxa"/>
            <w:tcBorders>
              <w:top w:val="nil"/>
              <w:left w:val="single" w:sz="4" w:space="0" w:color="auto"/>
              <w:bottom w:val="single" w:sz="4" w:space="0" w:color="auto"/>
              <w:right w:val="nil"/>
            </w:tcBorders>
            <w:shd w:val="clear" w:color="auto" w:fill="auto"/>
            <w:noWrap/>
            <w:vAlign w:val="bottom"/>
            <w:hideMark/>
          </w:tcPr>
          <w:p w14:paraId="499ED6DE"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264,43</w:t>
            </w:r>
          </w:p>
        </w:tc>
        <w:tc>
          <w:tcPr>
            <w:tcW w:w="887" w:type="dxa"/>
            <w:tcBorders>
              <w:top w:val="nil"/>
              <w:left w:val="nil"/>
              <w:bottom w:val="single" w:sz="4" w:space="0" w:color="auto"/>
              <w:right w:val="single" w:sz="4" w:space="0" w:color="auto"/>
            </w:tcBorders>
            <w:shd w:val="clear" w:color="auto" w:fill="auto"/>
            <w:noWrap/>
            <w:vAlign w:val="center"/>
            <w:hideMark/>
          </w:tcPr>
          <w:p w14:paraId="6DA5D3B8"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11" w:type="dxa"/>
            <w:tcBorders>
              <w:top w:val="nil"/>
              <w:left w:val="nil"/>
              <w:bottom w:val="single" w:sz="4" w:space="0" w:color="auto"/>
              <w:right w:val="nil"/>
            </w:tcBorders>
            <w:shd w:val="clear" w:color="auto" w:fill="auto"/>
            <w:noWrap/>
            <w:vAlign w:val="bottom"/>
            <w:hideMark/>
          </w:tcPr>
          <w:p w14:paraId="0DB82837"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86,39</w:t>
            </w:r>
          </w:p>
        </w:tc>
        <w:tc>
          <w:tcPr>
            <w:tcW w:w="740" w:type="dxa"/>
            <w:tcBorders>
              <w:top w:val="nil"/>
              <w:left w:val="nil"/>
              <w:bottom w:val="single" w:sz="4" w:space="0" w:color="auto"/>
              <w:right w:val="nil"/>
            </w:tcBorders>
            <w:shd w:val="clear" w:color="auto" w:fill="auto"/>
            <w:noWrap/>
            <w:vAlign w:val="center"/>
            <w:hideMark/>
          </w:tcPr>
          <w:p w14:paraId="6CEB8EE2"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19914A84"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4D579777"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Ústí n. Labem</w:t>
            </w:r>
          </w:p>
        </w:tc>
        <w:tc>
          <w:tcPr>
            <w:tcW w:w="1028" w:type="dxa"/>
            <w:tcBorders>
              <w:top w:val="nil"/>
              <w:left w:val="nil"/>
              <w:bottom w:val="single" w:sz="4" w:space="0" w:color="auto"/>
              <w:right w:val="nil"/>
            </w:tcBorders>
            <w:shd w:val="clear" w:color="auto" w:fill="auto"/>
            <w:noWrap/>
            <w:vAlign w:val="bottom"/>
            <w:hideMark/>
          </w:tcPr>
          <w:p w14:paraId="345A9CE1"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256,84</w:t>
            </w:r>
          </w:p>
        </w:tc>
        <w:tc>
          <w:tcPr>
            <w:tcW w:w="887" w:type="dxa"/>
            <w:tcBorders>
              <w:top w:val="nil"/>
              <w:left w:val="nil"/>
              <w:bottom w:val="single" w:sz="4" w:space="0" w:color="auto"/>
              <w:right w:val="nil"/>
            </w:tcBorders>
            <w:shd w:val="clear" w:color="auto" w:fill="auto"/>
            <w:noWrap/>
            <w:vAlign w:val="center"/>
            <w:hideMark/>
          </w:tcPr>
          <w:p w14:paraId="134125C1"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027" w:type="dxa"/>
            <w:tcBorders>
              <w:top w:val="nil"/>
              <w:left w:val="single" w:sz="4" w:space="0" w:color="auto"/>
              <w:bottom w:val="single" w:sz="4" w:space="0" w:color="auto"/>
              <w:right w:val="nil"/>
            </w:tcBorders>
            <w:shd w:val="clear" w:color="auto" w:fill="auto"/>
            <w:noWrap/>
            <w:vAlign w:val="bottom"/>
            <w:hideMark/>
          </w:tcPr>
          <w:p w14:paraId="45521190"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266,35</w:t>
            </w:r>
          </w:p>
        </w:tc>
        <w:tc>
          <w:tcPr>
            <w:tcW w:w="887" w:type="dxa"/>
            <w:tcBorders>
              <w:top w:val="nil"/>
              <w:left w:val="nil"/>
              <w:bottom w:val="single" w:sz="4" w:space="0" w:color="auto"/>
              <w:right w:val="single" w:sz="4" w:space="0" w:color="auto"/>
            </w:tcBorders>
            <w:shd w:val="clear" w:color="auto" w:fill="auto"/>
            <w:noWrap/>
            <w:vAlign w:val="center"/>
            <w:hideMark/>
          </w:tcPr>
          <w:p w14:paraId="7878A0D8"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11" w:type="dxa"/>
            <w:tcBorders>
              <w:top w:val="nil"/>
              <w:left w:val="nil"/>
              <w:bottom w:val="single" w:sz="4" w:space="0" w:color="auto"/>
              <w:right w:val="nil"/>
            </w:tcBorders>
            <w:shd w:val="clear" w:color="auto" w:fill="auto"/>
            <w:noWrap/>
            <w:vAlign w:val="bottom"/>
            <w:hideMark/>
          </w:tcPr>
          <w:p w14:paraId="46BF6F0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123,26</w:t>
            </w:r>
          </w:p>
        </w:tc>
        <w:tc>
          <w:tcPr>
            <w:tcW w:w="740" w:type="dxa"/>
            <w:tcBorders>
              <w:top w:val="nil"/>
              <w:left w:val="nil"/>
              <w:bottom w:val="single" w:sz="4" w:space="0" w:color="auto"/>
              <w:right w:val="nil"/>
            </w:tcBorders>
            <w:shd w:val="clear" w:color="auto" w:fill="auto"/>
            <w:noWrap/>
            <w:vAlign w:val="center"/>
            <w:hideMark/>
          </w:tcPr>
          <w:p w14:paraId="39129956"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1757720E"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75E46E5C"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Hr. Králové</w:t>
            </w:r>
          </w:p>
        </w:tc>
        <w:tc>
          <w:tcPr>
            <w:tcW w:w="1028" w:type="dxa"/>
            <w:tcBorders>
              <w:top w:val="nil"/>
              <w:left w:val="nil"/>
              <w:bottom w:val="single" w:sz="4" w:space="0" w:color="auto"/>
              <w:right w:val="nil"/>
            </w:tcBorders>
            <w:shd w:val="clear" w:color="auto" w:fill="auto"/>
            <w:noWrap/>
            <w:vAlign w:val="bottom"/>
            <w:hideMark/>
          </w:tcPr>
          <w:p w14:paraId="576AB967"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214,77</w:t>
            </w:r>
          </w:p>
        </w:tc>
        <w:tc>
          <w:tcPr>
            <w:tcW w:w="887" w:type="dxa"/>
            <w:tcBorders>
              <w:top w:val="nil"/>
              <w:left w:val="nil"/>
              <w:bottom w:val="single" w:sz="4" w:space="0" w:color="auto"/>
              <w:right w:val="nil"/>
            </w:tcBorders>
            <w:shd w:val="clear" w:color="auto" w:fill="auto"/>
            <w:noWrap/>
            <w:vAlign w:val="center"/>
            <w:hideMark/>
          </w:tcPr>
          <w:p w14:paraId="34579988"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27" w:type="dxa"/>
            <w:tcBorders>
              <w:top w:val="nil"/>
              <w:left w:val="single" w:sz="4" w:space="0" w:color="auto"/>
              <w:bottom w:val="single" w:sz="4" w:space="0" w:color="auto"/>
              <w:right w:val="nil"/>
            </w:tcBorders>
            <w:shd w:val="clear" w:color="auto" w:fill="auto"/>
            <w:noWrap/>
            <w:vAlign w:val="bottom"/>
            <w:hideMark/>
          </w:tcPr>
          <w:p w14:paraId="1FA9CC9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218,05</w:t>
            </w:r>
          </w:p>
        </w:tc>
        <w:tc>
          <w:tcPr>
            <w:tcW w:w="887" w:type="dxa"/>
            <w:tcBorders>
              <w:top w:val="nil"/>
              <w:left w:val="nil"/>
              <w:bottom w:val="single" w:sz="4" w:space="0" w:color="auto"/>
              <w:right w:val="single" w:sz="4" w:space="0" w:color="auto"/>
            </w:tcBorders>
            <w:shd w:val="clear" w:color="auto" w:fill="auto"/>
            <w:noWrap/>
            <w:vAlign w:val="center"/>
            <w:hideMark/>
          </w:tcPr>
          <w:p w14:paraId="5019F8E5"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11" w:type="dxa"/>
            <w:tcBorders>
              <w:top w:val="nil"/>
              <w:left w:val="nil"/>
              <w:bottom w:val="single" w:sz="4" w:space="0" w:color="auto"/>
              <w:right w:val="nil"/>
            </w:tcBorders>
            <w:shd w:val="clear" w:color="auto" w:fill="auto"/>
            <w:noWrap/>
            <w:vAlign w:val="bottom"/>
            <w:hideMark/>
          </w:tcPr>
          <w:p w14:paraId="0F6E4CB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65,61</w:t>
            </w:r>
          </w:p>
        </w:tc>
        <w:tc>
          <w:tcPr>
            <w:tcW w:w="740" w:type="dxa"/>
            <w:tcBorders>
              <w:top w:val="nil"/>
              <w:left w:val="nil"/>
              <w:bottom w:val="single" w:sz="4" w:space="0" w:color="auto"/>
              <w:right w:val="nil"/>
            </w:tcBorders>
            <w:shd w:val="clear" w:color="auto" w:fill="auto"/>
            <w:noWrap/>
            <w:vAlign w:val="center"/>
            <w:hideMark/>
          </w:tcPr>
          <w:p w14:paraId="15812AE6"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F85178" w:rsidRPr="00F85178" w14:paraId="0E63A4CE" w14:textId="77777777" w:rsidTr="000979DC">
        <w:trPr>
          <w:trHeight w:val="315"/>
        </w:trPr>
        <w:tc>
          <w:tcPr>
            <w:tcW w:w="2020" w:type="dxa"/>
            <w:tcBorders>
              <w:top w:val="nil"/>
              <w:left w:val="nil"/>
              <w:bottom w:val="single" w:sz="4" w:space="0" w:color="auto"/>
              <w:right w:val="nil"/>
            </w:tcBorders>
            <w:shd w:val="clear" w:color="auto" w:fill="auto"/>
            <w:noWrap/>
            <w:vAlign w:val="bottom"/>
            <w:hideMark/>
          </w:tcPr>
          <w:p w14:paraId="10BF34EB"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Brno</w:t>
            </w:r>
          </w:p>
        </w:tc>
        <w:tc>
          <w:tcPr>
            <w:tcW w:w="1028" w:type="dxa"/>
            <w:tcBorders>
              <w:top w:val="nil"/>
              <w:left w:val="nil"/>
              <w:bottom w:val="single" w:sz="4" w:space="0" w:color="auto"/>
              <w:right w:val="nil"/>
            </w:tcBorders>
            <w:shd w:val="clear" w:color="auto" w:fill="auto"/>
            <w:noWrap/>
            <w:vAlign w:val="bottom"/>
            <w:hideMark/>
          </w:tcPr>
          <w:p w14:paraId="125DC6D5"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206,13</w:t>
            </w:r>
          </w:p>
        </w:tc>
        <w:tc>
          <w:tcPr>
            <w:tcW w:w="887" w:type="dxa"/>
            <w:tcBorders>
              <w:top w:val="nil"/>
              <w:left w:val="nil"/>
              <w:bottom w:val="single" w:sz="4" w:space="0" w:color="auto"/>
              <w:right w:val="nil"/>
            </w:tcBorders>
            <w:shd w:val="clear" w:color="auto" w:fill="auto"/>
            <w:noWrap/>
            <w:vAlign w:val="center"/>
            <w:hideMark/>
          </w:tcPr>
          <w:p w14:paraId="32A19A58"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027" w:type="dxa"/>
            <w:tcBorders>
              <w:top w:val="nil"/>
              <w:left w:val="single" w:sz="4" w:space="0" w:color="auto"/>
              <w:bottom w:val="single" w:sz="4" w:space="0" w:color="auto"/>
              <w:right w:val="nil"/>
            </w:tcBorders>
            <w:shd w:val="clear" w:color="auto" w:fill="auto"/>
            <w:noWrap/>
            <w:vAlign w:val="bottom"/>
            <w:hideMark/>
          </w:tcPr>
          <w:p w14:paraId="7CAAE7F3"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211,67</w:t>
            </w:r>
          </w:p>
        </w:tc>
        <w:tc>
          <w:tcPr>
            <w:tcW w:w="887" w:type="dxa"/>
            <w:tcBorders>
              <w:top w:val="nil"/>
              <w:left w:val="nil"/>
              <w:bottom w:val="single" w:sz="4" w:space="0" w:color="auto"/>
              <w:right w:val="single" w:sz="4" w:space="0" w:color="auto"/>
            </w:tcBorders>
            <w:shd w:val="clear" w:color="auto" w:fill="auto"/>
            <w:noWrap/>
            <w:vAlign w:val="center"/>
            <w:hideMark/>
          </w:tcPr>
          <w:p w14:paraId="43914824"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011" w:type="dxa"/>
            <w:tcBorders>
              <w:top w:val="nil"/>
              <w:left w:val="nil"/>
              <w:bottom w:val="single" w:sz="4" w:space="0" w:color="auto"/>
              <w:right w:val="nil"/>
            </w:tcBorders>
            <w:shd w:val="clear" w:color="auto" w:fill="auto"/>
            <w:noWrap/>
            <w:vAlign w:val="bottom"/>
            <w:hideMark/>
          </w:tcPr>
          <w:p w14:paraId="37897874"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101,66</w:t>
            </w:r>
          </w:p>
        </w:tc>
        <w:tc>
          <w:tcPr>
            <w:tcW w:w="740" w:type="dxa"/>
            <w:tcBorders>
              <w:top w:val="nil"/>
              <w:left w:val="nil"/>
              <w:bottom w:val="single" w:sz="4" w:space="0" w:color="auto"/>
              <w:right w:val="nil"/>
            </w:tcBorders>
            <w:shd w:val="clear" w:color="auto" w:fill="auto"/>
            <w:noWrap/>
            <w:vAlign w:val="center"/>
            <w:hideMark/>
          </w:tcPr>
          <w:p w14:paraId="2FDEB8C8"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6FB9A7C0" w14:textId="77777777" w:rsidTr="000979DC">
        <w:trPr>
          <w:trHeight w:val="330"/>
        </w:trPr>
        <w:tc>
          <w:tcPr>
            <w:tcW w:w="2020" w:type="dxa"/>
            <w:tcBorders>
              <w:top w:val="nil"/>
              <w:left w:val="nil"/>
              <w:bottom w:val="double" w:sz="6" w:space="0" w:color="auto"/>
              <w:right w:val="nil"/>
            </w:tcBorders>
            <w:shd w:val="clear" w:color="auto" w:fill="auto"/>
            <w:noWrap/>
            <w:vAlign w:val="bottom"/>
            <w:hideMark/>
          </w:tcPr>
          <w:p w14:paraId="1FB625A4" w14:textId="77777777" w:rsidR="000979DC" w:rsidRPr="00F85178" w:rsidRDefault="000979DC" w:rsidP="000979DC">
            <w:pPr>
              <w:spacing w:line="240" w:lineRule="auto"/>
              <w:jc w:val="left"/>
              <w:rPr>
                <w:rFonts w:eastAsia="Times New Roman"/>
                <w:szCs w:val="24"/>
                <w:lang w:eastAsia="cs-CZ"/>
              </w:rPr>
            </w:pPr>
            <w:r w:rsidRPr="00F85178">
              <w:rPr>
                <w:rFonts w:eastAsia="Times New Roman"/>
                <w:szCs w:val="24"/>
                <w:lang w:eastAsia="cs-CZ"/>
              </w:rPr>
              <w:t>KS Ostrava</w:t>
            </w:r>
          </w:p>
        </w:tc>
        <w:tc>
          <w:tcPr>
            <w:tcW w:w="1028" w:type="dxa"/>
            <w:tcBorders>
              <w:top w:val="nil"/>
              <w:left w:val="nil"/>
              <w:bottom w:val="double" w:sz="6" w:space="0" w:color="auto"/>
              <w:right w:val="nil"/>
            </w:tcBorders>
            <w:shd w:val="clear" w:color="auto" w:fill="auto"/>
            <w:noWrap/>
            <w:vAlign w:val="bottom"/>
            <w:hideMark/>
          </w:tcPr>
          <w:p w14:paraId="29CEBDE6"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215,93</w:t>
            </w:r>
          </w:p>
        </w:tc>
        <w:tc>
          <w:tcPr>
            <w:tcW w:w="887" w:type="dxa"/>
            <w:tcBorders>
              <w:top w:val="nil"/>
              <w:left w:val="nil"/>
              <w:bottom w:val="double" w:sz="6" w:space="0" w:color="auto"/>
              <w:right w:val="nil"/>
            </w:tcBorders>
            <w:shd w:val="clear" w:color="auto" w:fill="auto"/>
            <w:noWrap/>
            <w:vAlign w:val="center"/>
            <w:hideMark/>
          </w:tcPr>
          <w:p w14:paraId="7B57F8AB"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27" w:type="dxa"/>
            <w:tcBorders>
              <w:top w:val="nil"/>
              <w:left w:val="single" w:sz="4" w:space="0" w:color="auto"/>
              <w:bottom w:val="double" w:sz="6" w:space="0" w:color="auto"/>
              <w:right w:val="nil"/>
            </w:tcBorders>
            <w:shd w:val="clear" w:color="auto" w:fill="auto"/>
            <w:noWrap/>
            <w:vAlign w:val="bottom"/>
            <w:hideMark/>
          </w:tcPr>
          <w:p w14:paraId="78EBA956"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217,08</w:t>
            </w:r>
          </w:p>
        </w:tc>
        <w:tc>
          <w:tcPr>
            <w:tcW w:w="887" w:type="dxa"/>
            <w:tcBorders>
              <w:top w:val="nil"/>
              <w:left w:val="nil"/>
              <w:bottom w:val="double" w:sz="6" w:space="0" w:color="auto"/>
              <w:right w:val="single" w:sz="4" w:space="0" w:color="auto"/>
            </w:tcBorders>
            <w:shd w:val="clear" w:color="auto" w:fill="auto"/>
            <w:noWrap/>
            <w:vAlign w:val="center"/>
            <w:hideMark/>
          </w:tcPr>
          <w:p w14:paraId="03CC33C5"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11" w:type="dxa"/>
            <w:tcBorders>
              <w:top w:val="nil"/>
              <w:left w:val="nil"/>
              <w:bottom w:val="double" w:sz="6" w:space="0" w:color="auto"/>
              <w:right w:val="nil"/>
            </w:tcBorders>
            <w:shd w:val="clear" w:color="auto" w:fill="auto"/>
            <w:noWrap/>
            <w:vAlign w:val="bottom"/>
            <w:hideMark/>
          </w:tcPr>
          <w:p w14:paraId="4BEAB2DB" w14:textId="77777777" w:rsidR="000979DC" w:rsidRPr="00F85178" w:rsidRDefault="000979DC" w:rsidP="000979DC">
            <w:pPr>
              <w:spacing w:line="240" w:lineRule="auto"/>
              <w:jc w:val="center"/>
              <w:rPr>
                <w:rFonts w:eastAsia="Times New Roman"/>
                <w:szCs w:val="24"/>
                <w:lang w:eastAsia="cs-CZ"/>
              </w:rPr>
            </w:pPr>
            <w:r w:rsidRPr="00F85178">
              <w:rPr>
                <w:rFonts w:eastAsia="Times New Roman"/>
                <w:szCs w:val="24"/>
                <w:lang w:eastAsia="cs-CZ"/>
              </w:rPr>
              <w:t>69,16</w:t>
            </w:r>
          </w:p>
        </w:tc>
        <w:tc>
          <w:tcPr>
            <w:tcW w:w="740" w:type="dxa"/>
            <w:tcBorders>
              <w:top w:val="nil"/>
              <w:left w:val="nil"/>
              <w:bottom w:val="double" w:sz="6" w:space="0" w:color="auto"/>
              <w:right w:val="nil"/>
            </w:tcBorders>
            <w:shd w:val="clear" w:color="auto" w:fill="auto"/>
            <w:noWrap/>
            <w:vAlign w:val="center"/>
            <w:hideMark/>
          </w:tcPr>
          <w:p w14:paraId="05DC4E6F" w14:textId="77777777" w:rsidR="000979DC" w:rsidRPr="00F85178" w:rsidRDefault="000979DC" w:rsidP="000979DC">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0979DC" w:rsidRPr="00F85178" w14:paraId="44714F44" w14:textId="77777777" w:rsidTr="000979DC">
        <w:trPr>
          <w:trHeight w:val="345"/>
        </w:trPr>
        <w:tc>
          <w:tcPr>
            <w:tcW w:w="2020" w:type="dxa"/>
            <w:tcBorders>
              <w:top w:val="nil"/>
              <w:left w:val="nil"/>
              <w:bottom w:val="double" w:sz="6" w:space="0" w:color="auto"/>
              <w:right w:val="nil"/>
            </w:tcBorders>
            <w:shd w:val="clear" w:color="auto" w:fill="auto"/>
            <w:noWrap/>
            <w:vAlign w:val="bottom"/>
            <w:hideMark/>
          </w:tcPr>
          <w:p w14:paraId="40657021" w14:textId="77777777" w:rsidR="000979DC" w:rsidRPr="00F85178" w:rsidRDefault="000979DC" w:rsidP="000979D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28" w:type="dxa"/>
            <w:tcBorders>
              <w:top w:val="nil"/>
              <w:left w:val="nil"/>
              <w:bottom w:val="double" w:sz="6" w:space="0" w:color="auto"/>
              <w:right w:val="nil"/>
            </w:tcBorders>
            <w:shd w:val="clear" w:color="auto" w:fill="auto"/>
            <w:noWrap/>
            <w:vAlign w:val="center"/>
            <w:hideMark/>
          </w:tcPr>
          <w:p w14:paraId="0E8B73BD"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253,32</w:t>
            </w:r>
          </w:p>
        </w:tc>
        <w:tc>
          <w:tcPr>
            <w:tcW w:w="887" w:type="dxa"/>
            <w:tcBorders>
              <w:top w:val="nil"/>
              <w:left w:val="nil"/>
              <w:bottom w:val="double" w:sz="6" w:space="0" w:color="auto"/>
              <w:right w:val="nil"/>
            </w:tcBorders>
            <w:shd w:val="clear" w:color="auto" w:fill="auto"/>
            <w:noWrap/>
            <w:vAlign w:val="center"/>
            <w:hideMark/>
          </w:tcPr>
          <w:p w14:paraId="16E3D3A8" w14:textId="77777777" w:rsidR="000979DC" w:rsidRPr="00F85178" w:rsidRDefault="000979DC" w:rsidP="000979DC">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1027" w:type="dxa"/>
            <w:tcBorders>
              <w:top w:val="nil"/>
              <w:left w:val="single" w:sz="4" w:space="0" w:color="auto"/>
              <w:bottom w:val="double" w:sz="6" w:space="0" w:color="auto"/>
              <w:right w:val="nil"/>
            </w:tcBorders>
            <w:shd w:val="clear" w:color="auto" w:fill="auto"/>
            <w:noWrap/>
            <w:vAlign w:val="center"/>
            <w:hideMark/>
          </w:tcPr>
          <w:p w14:paraId="3D3B9E23"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255,86</w:t>
            </w:r>
          </w:p>
        </w:tc>
        <w:tc>
          <w:tcPr>
            <w:tcW w:w="887" w:type="dxa"/>
            <w:tcBorders>
              <w:top w:val="nil"/>
              <w:left w:val="nil"/>
              <w:bottom w:val="double" w:sz="6" w:space="0" w:color="auto"/>
              <w:right w:val="single" w:sz="4" w:space="0" w:color="auto"/>
            </w:tcBorders>
            <w:shd w:val="clear" w:color="auto" w:fill="auto"/>
            <w:noWrap/>
            <w:vAlign w:val="center"/>
            <w:hideMark/>
          </w:tcPr>
          <w:p w14:paraId="332E70D8" w14:textId="77777777" w:rsidR="000979DC" w:rsidRPr="00F85178" w:rsidRDefault="000979DC" w:rsidP="000979DC">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1011" w:type="dxa"/>
            <w:tcBorders>
              <w:top w:val="nil"/>
              <w:left w:val="nil"/>
              <w:bottom w:val="double" w:sz="6" w:space="0" w:color="auto"/>
              <w:right w:val="nil"/>
            </w:tcBorders>
            <w:shd w:val="clear" w:color="auto" w:fill="auto"/>
            <w:noWrap/>
            <w:vAlign w:val="center"/>
            <w:hideMark/>
          </w:tcPr>
          <w:p w14:paraId="17ABD6ED" w14:textId="77777777" w:rsidR="000979DC" w:rsidRPr="00F85178" w:rsidRDefault="000979DC" w:rsidP="000979DC">
            <w:pPr>
              <w:spacing w:line="240" w:lineRule="auto"/>
              <w:jc w:val="center"/>
              <w:rPr>
                <w:rFonts w:eastAsia="Times New Roman"/>
                <w:b/>
                <w:bCs/>
                <w:szCs w:val="24"/>
                <w:lang w:eastAsia="cs-CZ"/>
              </w:rPr>
            </w:pPr>
            <w:r w:rsidRPr="00F85178">
              <w:rPr>
                <w:rFonts w:eastAsia="Times New Roman"/>
                <w:b/>
                <w:bCs/>
                <w:szCs w:val="24"/>
                <w:lang w:eastAsia="cs-CZ"/>
              </w:rPr>
              <w:t>98,16</w:t>
            </w:r>
          </w:p>
        </w:tc>
        <w:tc>
          <w:tcPr>
            <w:tcW w:w="740" w:type="dxa"/>
            <w:tcBorders>
              <w:top w:val="nil"/>
              <w:left w:val="nil"/>
              <w:bottom w:val="double" w:sz="6" w:space="0" w:color="auto"/>
              <w:right w:val="nil"/>
            </w:tcBorders>
            <w:shd w:val="clear" w:color="auto" w:fill="auto"/>
            <w:noWrap/>
            <w:vAlign w:val="center"/>
            <w:hideMark/>
          </w:tcPr>
          <w:p w14:paraId="36610E60" w14:textId="77777777" w:rsidR="000979DC" w:rsidRPr="00F85178" w:rsidRDefault="000979DC" w:rsidP="000979DC">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r>
    </w:tbl>
    <w:p w14:paraId="49FACE1A" w14:textId="77777777" w:rsidR="000979DC" w:rsidRPr="00F85178" w:rsidRDefault="000979DC" w:rsidP="000979DC">
      <w:pPr>
        <w:pStyle w:val="Podtitul"/>
        <w:rPr>
          <w:color w:val="auto"/>
        </w:rPr>
      </w:pPr>
      <w:bookmarkStart w:id="100" w:name="_Toc515871336"/>
      <w:bookmarkStart w:id="101" w:name="_Toc11135072"/>
      <w:bookmarkStart w:id="102" w:name="_Toc13837504"/>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11</w:t>
      </w:r>
      <w:r w:rsidR="00EE0C8A" w:rsidRPr="00F85178">
        <w:rPr>
          <w:color w:val="auto"/>
        </w:rPr>
        <w:fldChar w:fldCharType="end"/>
      </w:r>
      <w:r w:rsidRPr="00F85178">
        <w:rPr>
          <w:color w:val="auto"/>
        </w:rPr>
        <w:t xml:space="preserve">: OS – počet nevyříz. </w:t>
      </w:r>
      <w:proofErr w:type="gramStart"/>
      <w:r w:rsidRPr="00F85178">
        <w:rPr>
          <w:color w:val="auto"/>
        </w:rPr>
        <w:t>civilních</w:t>
      </w:r>
      <w:proofErr w:type="gramEnd"/>
      <w:r w:rsidRPr="00F85178">
        <w:rPr>
          <w:color w:val="auto"/>
        </w:rPr>
        <w:t xml:space="preserve"> věcí na soudce u jednotlivých soudů</w:t>
      </w:r>
      <w:bookmarkEnd w:id="100"/>
      <w:bookmarkEnd w:id="101"/>
      <w:bookmarkEnd w:id="102"/>
    </w:p>
    <w:p w14:paraId="35C19296" w14:textId="77777777" w:rsidR="000979DC" w:rsidRPr="00F85178" w:rsidRDefault="00890295" w:rsidP="00C95F73">
      <w:pPr>
        <w:pStyle w:val="OdstavecASR"/>
      </w:pPr>
      <w:r>
        <w:rPr>
          <w:noProof/>
          <w:lang w:eastAsia="cs-CZ"/>
        </w:rPr>
        <w:drawing>
          <wp:inline distT="0" distB="0" distL="0" distR="0" wp14:anchorId="38914C20" wp14:editId="39222DE9">
            <wp:extent cx="5759450" cy="3329940"/>
            <wp:effectExtent l="0" t="0" r="0" b="0"/>
            <wp:docPr id="12" name="obráze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r>
        <w:rPr>
          <w:noProof/>
          <w:lang w:eastAsia="cs-CZ"/>
        </w:rPr>
        <w:drawing>
          <wp:anchor distT="0" distB="0" distL="114300" distR="114300" simplePos="0" relativeHeight="251654656" behindDoc="0" locked="0" layoutInCell="1" allowOverlap="1" wp14:anchorId="6F4805A7" wp14:editId="390DD8D8">
            <wp:simplePos x="0" y="0"/>
            <wp:positionH relativeFrom="column">
              <wp:posOffset>4483100</wp:posOffset>
            </wp:positionH>
            <wp:positionV relativeFrom="paragraph">
              <wp:posOffset>87630</wp:posOffset>
            </wp:positionV>
            <wp:extent cx="1231265" cy="899795"/>
            <wp:effectExtent l="0" t="0" r="0" b="0"/>
            <wp:wrapNone/>
            <wp:docPr id="120" name="Obrázek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7"/>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3126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167D8" w14:textId="77777777" w:rsidR="00351AEA" w:rsidRPr="00F85178" w:rsidRDefault="00351AEA" w:rsidP="00351AEA">
      <w:pPr>
        <w:pStyle w:val="OdstavecASR"/>
      </w:pPr>
      <w:r w:rsidRPr="00F85178">
        <w:t>Z tabulky je patrné, že soudy v Praze mají v přepočtu na soudce výrazně větší počet příchozích věcí než soudy v ostatních krajích. Také jich výrazně více vyřizují. Tento rozdíl v roce 2018 ještě narostl. Graf a tabulka dále ukazují, že mnoho nevyřízených věcí mají právě soudy spadající pod MS Praha. Je ale třeba poznamenat, že jimi vyřizovaná agenda je poměrně specifická a liší se od agendy ostatních krajů. To je velmi dobře vidět na vztahu mezi mediánovou délkou řízení a počtem nevyřízených věcí na soudce u OS pro Prahu 1. Tento soud vykázal v </w:t>
      </w:r>
      <w:r w:rsidR="002E3E86" w:rsidRPr="00F85178">
        <w:t>roce 2018</w:t>
      </w:r>
      <w:r w:rsidRPr="00F85178">
        <w:t xml:space="preserve"> největší počet nevyřízených věcí na soudce</w:t>
      </w:r>
      <w:r w:rsidR="006F59C5" w:rsidRPr="00F85178">
        <w:t>, ale velmi malou mediánovou délku řízení</w:t>
      </w:r>
      <w:r w:rsidRPr="00F85178">
        <w:t>.</w:t>
      </w:r>
    </w:p>
    <w:p w14:paraId="6C2C5CF6" w14:textId="77777777" w:rsidR="0032015B" w:rsidRDefault="002E3E86" w:rsidP="002E3E86">
      <w:pPr>
        <w:pStyle w:val="OdstavecASR"/>
      </w:pPr>
      <w:r w:rsidRPr="00F85178">
        <w:t>Obzvlášť vyčnívá OS Chomutov a v Praze pak Obvodní soudy pro Prahu 1, Prahu 7 a Prahu 2. Je však třeba opět zdůraznit, že agenda OS pro Prahu 1 se výrazně odlišuje od agendy ostatních soudů. Největší počet nevyřízených věcí na soudce tedy mají: OS pro Prahu 7 (306 věcí), OS pro Prahu 1 (269 věcí) a OS Chomutov (234 věcí). Jak jsme uvedli již dříve, situace v Severočeském a Jihomoravském kraji se postupně zlepšuje.</w:t>
      </w:r>
      <w:r w:rsidR="0016388E" w:rsidRPr="00F85178">
        <w:t xml:space="preserve"> S</w:t>
      </w:r>
      <w:r w:rsidRPr="00F85178">
        <w:t>oudy s nejmenším počtem nevyřízených věcí na soudce jsou</w:t>
      </w:r>
      <w:r w:rsidR="00FF4A0E">
        <w:t xml:space="preserve"> </w:t>
      </w:r>
      <w:r w:rsidR="00CA389B">
        <w:t xml:space="preserve">OS Náchod (23 věcí), </w:t>
      </w:r>
      <w:r w:rsidR="00FF4A0E">
        <w:t>OS Strakonice (</w:t>
      </w:r>
      <w:r w:rsidR="00CA389B">
        <w:t>34 věcí) a OS</w:t>
      </w:r>
      <w:r w:rsidRPr="00F85178">
        <w:t xml:space="preserve"> Kutná Hora (3</w:t>
      </w:r>
      <w:r w:rsidR="00CA389B">
        <w:t>5 věcí).</w:t>
      </w:r>
    </w:p>
    <w:p w14:paraId="2005E6BB" w14:textId="1DB60D63" w:rsidR="0016388E" w:rsidRPr="00F85178" w:rsidRDefault="0016388E" w:rsidP="0016388E">
      <w:pPr>
        <w:pStyle w:val="OdstavecASR"/>
      </w:pPr>
      <w:r w:rsidRPr="00F85178">
        <w:t>Graf 12 dále zobrazuje počet vyřízených věcí na soudce. Na první pohled se zdá, že soudy s vyšším počtem nevyřízených věcí na soudce (soudy v Praze a Severních Čechách) často vykazují více vyřízených věcí na soudce.</w:t>
      </w:r>
    </w:p>
    <w:p w14:paraId="1D714504" w14:textId="77777777" w:rsidR="000979DC" w:rsidRPr="00F85178" w:rsidRDefault="000979DC" w:rsidP="000979DC">
      <w:pPr>
        <w:pStyle w:val="Podtitul"/>
        <w:rPr>
          <w:color w:val="auto"/>
        </w:rPr>
      </w:pPr>
      <w:bookmarkStart w:id="103" w:name="_Ref509301520"/>
      <w:bookmarkStart w:id="104" w:name="_Toc515871337"/>
      <w:bookmarkStart w:id="105" w:name="_Toc11135073"/>
      <w:bookmarkStart w:id="106" w:name="_Toc13837505"/>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12</w:t>
      </w:r>
      <w:r w:rsidR="00EE0C8A" w:rsidRPr="00F85178">
        <w:rPr>
          <w:color w:val="auto"/>
        </w:rPr>
        <w:fldChar w:fldCharType="end"/>
      </w:r>
      <w:r w:rsidRPr="00F85178">
        <w:rPr>
          <w:color w:val="auto"/>
        </w:rPr>
        <w:t xml:space="preserve">: OS – počet vyřízených civilních věcí na soudce u jednotlivých </w:t>
      </w:r>
      <w:bookmarkEnd w:id="103"/>
      <w:r w:rsidRPr="00F85178">
        <w:rPr>
          <w:color w:val="auto"/>
        </w:rPr>
        <w:t>soudů</w:t>
      </w:r>
      <w:bookmarkEnd w:id="104"/>
      <w:bookmarkEnd w:id="105"/>
      <w:bookmarkEnd w:id="106"/>
    </w:p>
    <w:p w14:paraId="1D715CF5" w14:textId="73005BFB" w:rsidR="00C95F73" w:rsidRPr="00F85178" w:rsidRDefault="00D6763E" w:rsidP="00E00E84">
      <w:r>
        <w:rPr>
          <w:noProof/>
          <w:lang w:eastAsia="cs-CZ"/>
        </w:rPr>
        <w:drawing>
          <wp:anchor distT="0" distB="0" distL="114300" distR="114300" simplePos="0" relativeHeight="251653632" behindDoc="0" locked="0" layoutInCell="1" allowOverlap="1" wp14:anchorId="4FC5BD97" wp14:editId="3506ED76">
            <wp:simplePos x="0" y="0"/>
            <wp:positionH relativeFrom="column">
              <wp:posOffset>4481195</wp:posOffset>
            </wp:positionH>
            <wp:positionV relativeFrom="paragraph">
              <wp:posOffset>41966</wp:posOffset>
            </wp:positionV>
            <wp:extent cx="1231265" cy="899795"/>
            <wp:effectExtent l="0" t="0" r="6985" b="0"/>
            <wp:wrapNone/>
            <wp:docPr id="119" name="Obrázek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8"/>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231265" cy="8997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295">
        <w:rPr>
          <w:noProof/>
          <w:lang w:eastAsia="cs-CZ"/>
        </w:rPr>
        <w:drawing>
          <wp:inline distT="0" distB="0" distL="0" distR="0" wp14:anchorId="6344B600" wp14:editId="6FD5AEDB">
            <wp:extent cx="5759450" cy="3329940"/>
            <wp:effectExtent l="0" t="0" r="0" b="0"/>
            <wp:docPr id="13" name="obráze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2107E6D1" w14:textId="77777777" w:rsidR="006F59C5" w:rsidRPr="00F85178" w:rsidRDefault="006F59C5" w:rsidP="00E00E84"/>
    <w:p w14:paraId="472EA22A" w14:textId="77777777" w:rsidR="00363421" w:rsidRPr="00F85178" w:rsidRDefault="00363421" w:rsidP="00363421">
      <w:pPr>
        <w:pStyle w:val="OdstavecASR"/>
      </w:pPr>
      <w:r w:rsidRPr="00F85178">
        <w:t>Stejně jako u délek řízení je vhodné dále prozkoumat, jak se rozdíly mezi soudy měnily během let, což ukazuje krabicový graf níže. Stejně jako u délek řízení vidíme, že nejhorší situace (tedy největší rozdíly mezi soudy) existovala v roce 2013. Od té doby se situace postupně zlepšuje. Na rozdíl od délek řízení ale nedošlo ke zlepšení (zmenšení variability) mezi roky 2017 a 2018.</w:t>
      </w:r>
    </w:p>
    <w:p w14:paraId="630FEE9C" w14:textId="77777777" w:rsidR="0016388E" w:rsidRPr="00F85178" w:rsidRDefault="0016388E">
      <w:pPr>
        <w:spacing w:line="240" w:lineRule="auto"/>
        <w:jc w:val="left"/>
      </w:pPr>
    </w:p>
    <w:p w14:paraId="7541D034" w14:textId="77777777" w:rsidR="0016388E" w:rsidRPr="00F85178" w:rsidRDefault="0016388E" w:rsidP="0016388E">
      <w:pPr>
        <w:pStyle w:val="Podtitul"/>
        <w:rPr>
          <w:color w:val="auto"/>
        </w:rPr>
      </w:pPr>
      <w:bookmarkStart w:id="107" w:name="_Toc515871339"/>
      <w:bookmarkStart w:id="108" w:name="_Toc11135074"/>
      <w:bookmarkStart w:id="109" w:name="_Toc13837506"/>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13</w:t>
      </w:r>
      <w:r w:rsidR="00EE0C8A" w:rsidRPr="00F85178">
        <w:rPr>
          <w:color w:val="auto"/>
        </w:rPr>
        <w:fldChar w:fldCharType="end"/>
      </w:r>
      <w:r w:rsidRPr="00F85178">
        <w:rPr>
          <w:color w:val="auto"/>
        </w:rPr>
        <w:t>: OS – krabicové grafy, nevyřízené civilní věci na soudce</w:t>
      </w:r>
      <w:bookmarkEnd w:id="107"/>
      <w:bookmarkEnd w:id="108"/>
      <w:bookmarkEnd w:id="109"/>
    </w:p>
    <w:p w14:paraId="78DD4C8E" w14:textId="77777777" w:rsidR="00351AEA" w:rsidRPr="00F85178" w:rsidRDefault="00890295" w:rsidP="00E00E84">
      <w:r>
        <w:rPr>
          <w:noProof/>
          <w:lang w:eastAsia="cs-CZ"/>
        </w:rPr>
        <w:drawing>
          <wp:inline distT="0" distB="0" distL="0" distR="0" wp14:anchorId="5F77F83C" wp14:editId="187B0F1C">
            <wp:extent cx="5118100" cy="3746500"/>
            <wp:effectExtent l="0" t="0" r="0" b="0"/>
            <wp:docPr id="14" name="Obráze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CCED28E" w14:textId="77777777" w:rsidR="00871D51" w:rsidRPr="00F85178" w:rsidRDefault="00871D51" w:rsidP="00871D51">
      <w:pPr>
        <w:pStyle w:val="Nadpis3"/>
        <w:rPr>
          <w:color w:val="auto"/>
        </w:rPr>
      </w:pPr>
      <w:bookmarkStart w:id="110" w:name="_Ref509845712"/>
      <w:bookmarkStart w:id="111" w:name="_Ref510592105"/>
      <w:bookmarkStart w:id="112" w:name="_Toc515871224"/>
      <w:bookmarkStart w:id="113" w:name="_Toc14076876"/>
      <w:r w:rsidRPr="00F85178">
        <w:rPr>
          <w:color w:val="auto"/>
        </w:rPr>
        <w:t>Disposition time</w:t>
      </w:r>
      <w:r w:rsidRPr="00F85178">
        <w:rPr>
          <w:rStyle w:val="Znakapoznpodarou"/>
          <w:color w:val="auto"/>
        </w:rPr>
        <w:footnoteReference w:id="4"/>
      </w:r>
      <w:bookmarkEnd w:id="110"/>
      <w:bookmarkEnd w:id="111"/>
      <w:bookmarkEnd w:id="112"/>
      <w:bookmarkEnd w:id="113"/>
    </w:p>
    <w:p w14:paraId="05706BE1" w14:textId="77777777" w:rsidR="008E1083" w:rsidRPr="00F85178" w:rsidRDefault="008E1083" w:rsidP="008E1083">
      <w:pPr>
        <w:pStyle w:val="OdstavecASR"/>
      </w:pPr>
      <w:r w:rsidRPr="00F85178">
        <w:t>Disposition time je vypočítán podle metodiky CEPEJ</w:t>
      </w:r>
      <w:r w:rsidRPr="00F85178">
        <w:rPr>
          <w:rStyle w:val="Znakapoznpodarou"/>
        </w:rPr>
        <w:footnoteReference w:id="5"/>
      </w:r>
      <w:r w:rsidRPr="00F85178">
        <w:t xml:space="preserve"> jako (počet nevyřízených věcí na konci daného období) / (počet vyřízených věcí v daném období) × 365. Tento údaj tedy v podstatě ukazuje, za kolik dní by při stejném tempu soud dovyřídil všechny </w:t>
      </w:r>
      <w:r w:rsidR="00A22AFD" w:rsidRPr="00F85178">
        <w:t xml:space="preserve">nevyřízené </w:t>
      </w:r>
      <w:r w:rsidRPr="00F85178">
        <w:t>věci, které u něj dnes leží, kdyby k němu již žádné další nepřicházely. Nejedná se o délku řízení, jak by se mohlo podle názvu zdát. Délka řízení je vypočtena z jiného zdroje dat a jedná se o jiný ukazatel. Disposition time (DT) se od ní tedy může výrazně lišit. V případě DT je spíše než absolutní hodnoty důležité relativní srovnání mezi roky a soudy.</w:t>
      </w:r>
    </w:p>
    <w:p w14:paraId="44E7457E" w14:textId="77777777" w:rsidR="008E1083" w:rsidRPr="00F85178" w:rsidRDefault="008E1083" w:rsidP="008E1083">
      <w:pPr>
        <w:pStyle w:val="OdstavecASR"/>
      </w:pPr>
      <w:r w:rsidRPr="00F85178">
        <w:t>Účel DT je podobný jako u přepočtu věcí na jednoho soudce – tedy zohlednit velikost soudů. Mezi ukazateli je ale jeden podstatný rozdíl. Počet nevyřízených věcí na soudce se zaměřuje čistě na to, jak je daný soud zatížený, a u málo zatížených soudů tedy bude vždy vykazovat příznivé hodnoty. Na druhou stranu DT zohledňuje i počet vyřízených věcí a může tedy teoreticky vyjít vysoký i u soudů s malým počtem nevyřízených věcí, byť tomu tak většinou není.</w:t>
      </w:r>
    </w:p>
    <w:p w14:paraId="7761D9CC" w14:textId="77777777" w:rsidR="008E1083" w:rsidRPr="00F85178" w:rsidRDefault="008E1083" w:rsidP="008E1083">
      <w:pPr>
        <w:pStyle w:val="OdstavecASR"/>
      </w:pPr>
      <w:r w:rsidRPr="00F85178">
        <w:t>Oba ukazatele tak mají poměrně dobrou vypovídající hodnotu o vyřizování věcí u soudů, ale každý vypovídá o jiném aspektu této otázky. Srovnání grafů 11 a </w:t>
      </w:r>
      <w:r w:rsidR="00026DB8">
        <w:t>15</w:t>
      </w:r>
      <w:r w:rsidRPr="00F85178">
        <w:t xml:space="preserve"> ukazuje, že výsledky jednotlivých soudů v obou ukazatelích se mírně liší.</w:t>
      </w:r>
    </w:p>
    <w:p w14:paraId="7FED5DF1" w14:textId="77777777" w:rsidR="00322937" w:rsidRPr="00F85178" w:rsidRDefault="00322937" w:rsidP="008E1083">
      <w:pPr>
        <w:pStyle w:val="OdstavecASR"/>
      </w:pPr>
    </w:p>
    <w:p w14:paraId="5039EA0D" w14:textId="77777777" w:rsidR="00322937" w:rsidRPr="00F85178" w:rsidRDefault="00322937" w:rsidP="00322937">
      <w:pPr>
        <w:pStyle w:val="Podtitul"/>
        <w:rPr>
          <w:color w:val="auto"/>
        </w:rPr>
      </w:pPr>
      <w:bookmarkStart w:id="114" w:name="_Toc515871340"/>
      <w:bookmarkStart w:id="115" w:name="_Toc11135075"/>
      <w:bookmarkStart w:id="116" w:name="_Toc13837507"/>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14</w:t>
      </w:r>
      <w:r w:rsidR="00EE0C8A" w:rsidRPr="00F85178">
        <w:rPr>
          <w:color w:val="auto"/>
        </w:rPr>
        <w:fldChar w:fldCharType="end"/>
      </w:r>
      <w:r w:rsidRPr="00F85178">
        <w:rPr>
          <w:color w:val="auto"/>
        </w:rPr>
        <w:t>: OS – disposition time civilního řízení v letech 2008–201</w:t>
      </w:r>
      <w:bookmarkEnd w:id="114"/>
      <w:r w:rsidRPr="00F85178">
        <w:rPr>
          <w:color w:val="auto"/>
        </w:rPr>
        <w:t>8</w:t>
      </w:r>
      <w:bookmarkEnd w:id="115"/>
      <w:bookmarkEnd w:id="116"/>
    </w:p>
    <w:p w14:paraId="58D4C62B" w14:textId="77777777" w:rsidR="00322937" w:rsidRPr="00F85178" w:rsidRDefault="00890295">
      <w:pPr>
        <w:spacing w:line="240" w:lineRule="auto"/>
        <w:jc w:val="left"/>
      </w:pPr>
      <w:r>
        <w:rPr>
          <w:noProof/>
          <w:lang w:eastAsia="cs-CZ"/>
        </w:rPr>
        <w:drawing>
          <wp:inline distT="0" distB="0" distL="0" distR="0" wp14:anchorId="43FF5B92" wp14:editId="3668C4EF">
            <wp:extent cx="5118100" cy="3746500"/>
            <wp:effectExtent l="0" t="0" r="0" b="0"/>
            <wp:docPr id="130" name="Obráze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2"/>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5C34A77" w14:textId="77777777" w:rsidR="00322937" w:rsidRPr="00F85178" w:rsidRDefault="00322937" w:rsidP="00322937">
      <w:pPr>
        <w:pStyle w:val="OdstavecASR"/>
      </w:pPr>
      <w:r w:rsidRPr="00F85178">
        <w:t>Disposition time je samozřejmě silně ovlivněn změnami v nápadu a v počtu vyřízených věcí. Tyto změny jsou okomentovány v kapitole </w:t>
      </w:r>
      <w:r w:rsidR="005C706B" w:rsidRPr="00F85178">
        <w:t>2.2.2</w:t>
      </w:r>
      <w:r w:rsidRPr="00F85178">
        <w:t>. Důležitý je pokles DT v letech 2014–2016, a to i přes klesající nápad a počet vyřízených věcí. V roce 2017 došlo k mírnému nárůstu, protože počet vyřízených věcí klesl více než počet věcí nevyřízených. V roce 2018 DT klesl, protože se mírně zvýšil počet vyřízených věcí a trochu klesl počet věcí nevyřízených. Následující tabulka a graf opět ukazují srovnání mezi kraji a jednotlivými soudy v roce 2018.</w:t>
      </w:r>
    </w:p>
    <w:p w14:paraId="600CB82E" w14:textId="77777777" w:rsidR="007838B7" w:rsidRPr="00F85178" w:rsidRDefault="007838B7" w:rsidP="00770E8A">
      <w:pPr>
        <w:pStyle w:val="Podtitul"/>
        <w:rPr>
          <w:color w:val="auto"/>
        </w:rPr>
      </w:pPr>
      <w:bookmarkStart w:id="117" w:name="_Toc515871443"/>
      <w:bookmarkStart w:id="118" w:name="_Toc11133212"/>
      <w:bookmarkStart w:id="119" w:name="_Toc13837433"/>
      <w:r w:rsidRPr="00F85178">
        <w:rPr>
          <w:color w:val="auto"/>
        </w:rPr>
        <w:t xml:space="preserve">Tabulka </w:t>
      </w:r>
      <w:r w:rsidR="0064149B" w:rsidRPr="00F85178">
        <w:rPr>
          <w:noProof/>
          <w:color w:val="auto"/>
        </w:rPr>
        <w:fldChar w:fldCharType="begin"/>
      </w:r>
      <w:r w:rsidR="0064149B" w:rsidRPr="00F85178">
        <w:rPr>
          <w:noProof/>
          <w:color w:val="auto"/>
        </w:rPr>
        <w:instrText xml:space="preserve"> SEQ Tabulka \* ARABIC </w:instrText>
      </w:r>
      <w:r w:rsidR="0064149B" w:rsidRPr="00F85178">
        <w:rPr>
          <w:noProof/>
          <w:color w:val="auto"/>
        </w:rPr>
        <w:fldChar w:fldCharType="separate"/>
      </w:r>
      <w:r w:rsidR="00306940">
        <w:rPr>
          <w:noProof/>
          <w:color w:val="auto"/>
        </w:rPr>
        <w:t>10</w:t>
      </w:r>
      <w:r w:rsidR="0064149B" w:rsidRPr="00F85178">
        <w:rPr>
          <w:noProof/>
          <w:color w:val="auto"/>
        </w:rPr>
        <w:fldChar w:fldCharType="end"/>
      </w:r>
      <w:r w:rsidRPr="00F85178">
        <w:rPr>
          <w:color w:val="auto"/>
        </w:rPr>
        <w:t>: OS – disposition time v civilním řízení dle krajů</w:t>
      </w:r>
      <w:bookmarkEnd w:id="117"/>
      <w:bookmarkEnd w:id="118"/>
      <w:bookmarkEnd w:id="119"/>
    </w:p>
    <w:tbl>
      <w:tblPr>
        <w:tblW w:w="5020" w:type="dxa"/>
        <w:tblInd w:w="70" w:type="dxa"/>
        <w:tblCellMar>
          <w:left w:w="70" w:type="dxa"/>
          <w:right w:w="70" w:type="dxa"/>
        </w:tblCellMar>
        <w:tblLook w:val="04A0" w:firstRow="1" w:lastRow="0" w:firstColumn="1" w:lastColumn="0" w:noHBand="0" w:noVBand="1"/>
      </w:tblPr>
      <w:tblGrid>
        <w:gridCol w:w="2780"/>
        <w:gridCol w:w="955"/>
        <w:gridCol w:w="1285"/>
      </w:tblGrid>
      <w:tr w:rsidR="00F85178" w:rsidRPr="00F85178" w14:paraId="197A14B0" w14:textId="77777777" w:rsidTr="007838B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302ADC7" w14:textId="77777777" w:rsidR="007838B7" w:rsidRPr="00F85178" w:rsidRDefault="007838B7" w:rsidP="007838B7">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14:paraId="78D188CD" w14:textId="77777777" w:rsidR="007838B7" w:rsidRPr="00F85178" w:rsidRDefault="007838B7" w:rsidP="007838B7">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131A0BD8" w14:textId="77777777" w:rsidTr="007838B7">
        <w:trPr>
          <w:trHeight w:val="330"/>
        </w:trPr>
        <w:tc>
          <w:tcPr>
            <w:tcW w:w="2780" w:type="dxa"/>
            <w:tcBorders>
              <w:top w:val="nil"/>
              <w:left w:val="nil"/>
              <w:bottom w:val="single" w:sz="4" w:space="0" w:color="auto"/>
              <w:right w:val="nil"/>
            </w:tcBorders>
            <w:shd w:val="clear" w:color="auto" w:fill="auto"/>
            <w:noWrap/>
            <w:vAlign w:val="bottom"/>
            <w:hideMark/>
          </w:tcPr>
          <w:p w14:paraId="7B787349"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MS Praha</w:t>
            </w:r>
          </w:p>
        </w:tc>
        <w:tc>
          <w:tcPr>
            <w:tcW w:w="955" w:type="dxa"/>
            <w:tcBorders>
              <w:top w:val="nil"/>
              <w:left w:val="nil"/>
              <w:bottom w:val="single" w:sz="4" w:space="0" w:color="auto"/>
              <w:right w:val="nil"/>
            </w:tcBorders>
            <w:shd w:val="clear" w:color="auto" w:fill="auto"/>
            <w:noWrap/>
            <w:vAlign w:val="bottom"/>
            <w:hideMark/>
          </w:tcPr>
          <w:p w14:paraId="56EB9F12"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173</w:t>
            </w:r>
          </w:p>
        </w:tc>
        <w:tc>
          <w:tcPr>
            <w:tcW w:w="1285" w:type="dxa"/>
            <w:tcBorders>
              <w:top w:val="single" w:sz="4" w:space="0" w:color="auto"/>
              <w:left w:val="nil"/>
              <w:bottom w:val="single" w:sz="4" w:space="0" w:color="auto"/>
              <w:right w:val="nil"/>
            </w:tcBorders>
            <w:shd w:val="clear" w:color="auto" w:fill="auto"/>
            <w:noWrap/>
            <w:vAlign w:val="center"/>
            <w:hideMark/>
          </w:tcPr>
          <w:p w14:paraId="28425094"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-19 %</w:t>
            </w:r>
          </w:p>
        </w:tc>
      </w:tr>
      <w:tr w:rsidR="00F85178" w:rsidRPr="00F85178" w14:paraId="705CDC4E"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69451B48"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Praha</w:t>
            </w:r>
          </w:p>
        </w:tc>
        <w:tc>
          <w:tcPr>
            <w:tcW w:w="955" w:type="dxa"/>
            <w:tcBorders>
              <w:top w:val="nil"/>
              <w:left w:val="nil"/>
              <w:bottom w:val="single" w:sz="4" w:space="0" w:color="auto"/>
              <w:right w:val="nil"/>
            </w:tcBorders>
            <w:shd w:val="clear" w:color="auto" w:fill="auto"/>
            <w:noWrap/>
            <w:vAlign w:val="bottom"/>
            <w:hideMark/>
          </w:tcPr>
          <w:p w14:paraId="1B3493BE"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90</w:t>
            </w:r>
          </w:p>
        </w:tc>
        <w:tc>
          <w:tcPr>
            <w:tcW w:w="1285" w:type="dxa"/>
            <w:tcBorders>
              <w:top w:val="nil"/>
              <w:left w:val="nil"/>
              <w:bottom w:val="single" w:sz="4" w:space="0" w:color="auto"/>
              <w:right w:val="nil"/>
            </w:tcBorders>
            <w:shd w:val="clear" w:color="auto" w:fill="auto"/>
            <w:noWrap/>
            <w:vAlign w:val="center"/>
            <w:hideMark/>
          </w:tcPr>
          <w:p w14:paraId="4B1499CB"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6C8EE089"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357C9B31"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Č. Budějovice</w:t>
            </w:r>
          </w:p>
        </w:tc>
        <w:tc>
          <w:tcPr>
            <w:tcW w:w="955" w:type="dxa"/>
            <w:tcBorders>
              <w:top w:val="nil"/>
              <w:left w:val="nil"/>
              <w:bottom w:val="single" w:sz="4" w:space="0" w:color="auto"/>
              <w:right w:val="nil"/>
            </w:tcBorders>
            <w:shd w:val="clear" w:color="auto" w:fill="auto"/>
            <w:noWrap/>
            <w:vAlign w:val="bottom"/>
            <w:hideMark/>
          </w:tcPr>
          <w:p w14:paraId="085A6E36"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66</w:t>
            </w:r>
          </w:p>
        </w:tc>
        <w:tc>
          <w:tcPr>
            <w:tcW w:w="1285" w:type="dxa"/>
            <w:tcBorders>
              <w:top w:val="nil"/>
              <w:left w:val="nil"/>
              <w:bottom w:val="single" w:sz="4" w:space="0" w:color="auto"/>
              <w:right w:val="nil"/>
            </w:tcBorders>
            <w:shd w:val="clear" w:color="auto" w:fill="auto"/>
            <w:noWrap/>
            <w:vAlign w:val="center"/>
            <w:hideMark/>
          </w:tcPr>
          <w:p w14:paraId="1042C511"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20FF060C"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4048CCEC"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Plzeň</w:t>
            </w:r>
          </w:p>
        </w:tc>
        <w:tc>
          <w:tcPr>
            <w:tcW w:w="955" w:type="dxa"/>
            <w:tcBorders>
              <w:top w:val="nil"/>
              <w:left w:val="nil"/>
              <w:bottom w:val="single" w:sz="4" w:space="0" w:color="auto"/>
              <w:right w:val="nil"/>
            </w:tcBorders>
            <w:shd w:val="clear" w:color="auto" w:fill="auto"/>
            <w:noWrap/>
            <w:vAlign w:val="bottom"/>
            <w:hideMark/>
          </w:tcPr>
          <w:p w14:paraId="43EA5BF7"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119</w:t>
            </w:r>
          </w:p>
        </w:tc>
        <w:tc>
          <w:tcPr>
            <w:tcW w:w="1285" w:type="dxa"/>
            <w:tcBorders>
              <w:top w:val="nil"/>
              <w:left w:val="nil"/>
              <w:bottom w:val="single" w:sz="4" w:space="0" w:color="auto"/>
              <w:right w:val="nil"/>
            </w:tcBorders>
            <w:shd w:val="clear" w:color="auto" w:fill="auto"/>
            <w:noWrap/>
            <w:vAlign w:val="center"/>
            <w:hideMark/>
          </w:tcPr>
          <w:p w14:paraId="10D6F198"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1A1292C6"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7297CC2E"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Ústí n. Labem</w:t>
            </w:r>
          </w:p>
        </w:tc>
        <w:tc>
          <w:tcPr>
            <w:tcW w:w="955" w:type="dxa"/>
            <w:tcBorders>
              <w:top w:val="nil"/>
              <w:left w:val="nil"/>
              <w:bottom w:val="single" w:sz="4" w:space="0" w:color="auto"/>
              <w:right w:val="nil"/>
            </w:tcBorders>
            <w:shd w:val="clear" w:color="auto" w:fill="auto"/>
            <w:noWrap/>
            <w:vAlign w:val="bottom"/>
            <w:hideMark/>
          </w:tcPr>
          <w:p w14:paraId="4480E809"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169</w:t>
            </w:r>
          </w:p>
        </w:tc>
        <w:tc>
          <w:tcPr>
            <w:tcW w:w="1285" w:type="dxa"/>
            <w:tcBorders>
              <w:top w:val="nil"/>
              <w:left w:val="nil"/>
              <w:bottom w:val="single" w:sz="4" w:space="0" w:color="auto"/>
              <w:right w:val="nil"/>
            </w:tcBorders>
            <w:shd w:val="clear" w:color="auto" w:fill="auto"/>
            <w:noWrap/>
            <w:vAlign w:val="center"/>
            <w:hideMark/>
          </w:tcPr>
          <w:p w14:paraId="20528DB1"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48394EB9"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559576BE"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Hr. Králové</w:t>
            </w:r>
          </w:p>
        </w:tc>
        <w:tc>
          <w:tcPr>
            <w:tcW w:w="955" w:type="dxa"/>
            <w:tcBorders>
              <w:top w:val="nil"/>
              <w:left w:val="nil"/>
              <w:bottom w:val="single" w:sz="4" w:space="0" w:color="auto"/>
              <w:right w:val="nil"/>
            </w:tcBorders>
            <w:shd w:val="clear" w:color="auto" w:fill="auto"/>
            <w:noWrap/>
            <w:vAlign w:val="bottom"/>
            <w:hideMark/>
          </w:tcPr>
          <w:p w14:paraId="61F9356E"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110</w:t>
            </w:r>
          </w:p>
        </w:tc>
        <w:tc>
          <w:tcPr>
            <w:tcW w:w="1285" w:type="dxa"/>
            <w:tcBorders>
              <w:top w:val="nil"/>
              <w:left w:val="nil"/>
              <w:bottom w:val="single" w:sz="4" w:space="0" w:color="auto"/>
              <w:right w:val="nil"/>
            </w:tcBorders>
            <w:shd w:val="clear" w:color="auto" w:fill="auto"/>
            <w:noWrap/>
            <w:vAlign w:val="center"/>
            <w:hideMark/>
          </w:tcPr>
          <w:p w14:paraId="3083B812"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079F2741" w14:textId="77777777" w:rsidTr="007838B7">
        <w:trPr>
          <w:trHeight w:val="315"/>
        </w:trPr>
        <w:tc>
          <w:tcPr>
            <w:tcW w:w="2780" w:type="dxa"/>
            <w:tcBorders>
              <w:top w:val="nil"/>
              <w:left w:val="nil"/>
              <w:bottom w:val="single" w:sz="4" w:space="0" w:color="auto"/>
              <w:right w:val="nil"/>
            </w:tcBorders>
            <w:shd w:val="clear" w:color="auto" w:fill="auto"/>
            <w:noWrap/>
            <w:vAlign w:val="bottom"/>
            <w:hideMark/>
          </w:tcPr>
          <w:p w14:paraId="598DF449"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Brno</w:t>
            </w:r>
          </w:p>
        </w:tc>
        <w:tc>
          <w:tcPr>
            <w:tcW w:w="955" w:type="dxa"/>
            <w:tcBorders>
              <w:top w:val="nil"/>
              <w:left w:val="nil"/>
              <w:bottom w:val="single" w:sz="4" w:space="0" w:color="auto"/>
              <w:right w:val="nil"/>
            </w:tcBorders>
            <w:shd w:val="clear" w:color="auto" w:fill="auto"/>
            <w:noWrap/>
            <w:vAlign w:val="bottom"/>
            <w:hideMark/>
          </w:tcPr>
          <w:p w14:paraId="35E16FA2"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175</w:t>
            </w:r>
          </w:p>
        </w:tc>
        <w:tc>
          <w:tcPr>
            <w:tcW w:w="1285" w:type="dxa"/>
            <w:tcBorders>
              <w:top w:val="nil"/>
              <w:left w:val="nil"/>
              <w:bottom w:val="single" w:sz="4" w:space="0" w:color="auto"/>
              <w:right w:val="nil"/>
            </w:tcBorders>
            <w:shd w:val="clear" w:color="auto" w:fill="auto"/>
            <w:noWrap/>
            <w:vAlign w:val="center"/>
            <w:hideMark/>
          </w:tcPr>
          <w:p w14:paraId="24846EE6"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6AAE51DA" w14:textId="77777777" w:rsidTr="007838B7">
        <w:trPr>
          <w:trHeight w:val="330"/>
        </w:trPr>
        <w:tc>
          <w:tcPr>
            <w:tcW w:w="2780" w:type="dxa"/>
            <w:tcBorders>
              <w:top w:val="nil"/>
              <w:left w:val="nil"/>
              <w:bottom w:val="double" w:sz="6" w:space="0" w:color="auto"/>
              <w:right w:val="nil"/>
            </w:tcBorders>
            <w:shd w:val="clear" w:color="auto" w:fill="auto"/>
            <w:noWrap/>
            <w:vAlign w:val="bottom"/>
            <w:hideMark/>
          </w:tcPr>
          <w:p w14:paraId="7FB196D7" w14:textId="77777777" w:rsidR="007838B7" w:rsidRPr="00F85178" w:rsidRDefault="007838B7" w:rsidP="007838B7">
            <w:pPr>
              <w:spacing w:line="240" w:lineRule="auto"/>
              <w:jc w:val="left"/>
              <w:rPr>
                <w:rFonts w:eastAsia="Times New Roman"/>
                <w:szCs w:val="24"/>
                <w:lang w:eastAsia="cs-CZ"/>
              </w:rPr>
            </w:pPr>
            <w:r w:rsidRPr="00F85178">
              <w:rPr>
                <w:rFonts w:eastAsia="Times New Roman"/>
                <w:szCs w:val="24"/>
                <w:lang w:eastAsia="cs-CZ"/>
              </w:rPr>
              <w:t>KS Ostrava</w:t>
            </w:r>
          </w:p>
        </w:tc>
        <w:tc>
          <w:tcPr>
            <w:tcW w:w="955" w:type="dxa"/>
            <w:tcBorders>
              <w:top w:val="nil"/>
              <w:left w:val="nil"/>
              <w:bottom w:val="double" w:sz="6" w:space="0" w:color="auto"/>
              <w:right w:val="nil"/>
            </w:tcBorders>
            <w:shd w:val="clear" w:color="auto" w:fill="auto"/>
            <w:noWrap/>
            <w:vAlign w:val="bottom"/>
            <w:hideMark/>
          </w:tcPr>
          <w:p w14:paraId="5AF4B914" w14:textId="77777777" w:rsidR="007838B7" w:rsidRPr="00F85178" w:rsidRDefault="007838B7" w:rsidP="007838B7">
            <w:pPr>
              <w:spacing w:line="240" w:lineRule="auto"/>
              <w:jc w:val="center"/>
              <w:rPr>
                <w:rFonts w:eastAsia="Times New Roman"/>
                <w:szCs w:val="24"/>
                <w:lang w:eastAsia="cs-CZ"/>
              </w:rPr>
            </w:pPr>
            <w:r w:rsidRPr="00F85178">
              <w:rPr>
                <w:rFonts w:eastAsia="Times New Roman"/>
                <w:szCs w:val="24"/>
                <w:lang w:eastAsia="cs-CZ"/>
              </w:rPr>
              <w:t>116</w:t>
            </w:r>
          </w:p>
        </w:tc>
        <w:tc>
          <w:tcPr>
            <w:tcW w:w="1285" w:type="dxa"/>
            <w:tcBorders>
              <w:top w:val="nil"/>
              <w:left w:val="nil"/>
              <w:bottom w:val="double" w:sz="6" w:space="0" w:color="auto"/>
              <w:right w:val="nil"/>
            </w:tcBorders>
            <w:shd w:val="clear" w:color="auto" w:fill="auto"/>
            <w:noWrap/>
            <w:vAlign w:val="center"/>
            <w:hideMark/>
          </w:tcPr>
          <w:p w14:paraId="796D2195" w14:textId="77777777" w:rsidR="007838B7" w:rsidRPr="00F85178" w:rsidRDefault="007838B7" w:rsidP="007838B7">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5D7C6C14" w14:textId="77777777" w:rsidTr="007838B7">
        <w:trPr>
          <w:trHeight w:val="345"/>
        </w:trPr>
        <w:tc>
          <w:tcPr>
            <w:tcW w:w="2780" w:type="dxa"/>
            <w:tcBorders>
              <w:top w:val="nil"/>
              <w:left w:val="nil"/>
              <w:bottom w:val="double" w:sz="6" w:space="0" w:color="auto"/>
              <w:right w:val="nil"/>
            </w:tcBorders>
            <w:shd w:val="clear" w:color="auto" w:fill="auto"/>
            <w:noWrap/>
            <w:vAlign w:val="bottom"/>
            <w:hideMark/>
          </w:tcPr>
          <w:p w14:paraId="3C871ACC" w14:textId="77777777" w:rsidR="007838B7" w:rsidRPr="00F85178" w:rsidRDefault="007838B7" w:rsidP="007838B7">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955" w:type="dxa"/>
            <w:tcBorders>
              <w:top w:val="nil"/>
              <w:left w:val="nil"/>
              <w:bottom w:val="double" w:sz="6" w:space="0" w:color="auto"/>
              <w:right w:val="nil"/>
            </w:tcBorders>
            <w:shd w:val="clear" w:color="auto" w:fill="auto"/>
            <w:noWrap/>
            <w:vAlign w:val="bottom"/>
            <w:hideMark/>
          </w:tcPr>
          <w:p w14:paraId="261BCE97" w14:textId="77777777" w:rsidR="007838B7" w:rsidRPr="00F85178" w:rsidRDefault="007838B7" w:rsidP="007838B7">
            <w:pPr>
              <w:spacing w:line="240" w:lineRule="auto"/>
              <w:jc w:val="center"/>
              <w:rPr>
                <w:rFonts w:eastAsia="Times New Roman"/>
                <w:b/>
                <w:bCs/>
                <w:szCs w:val="24"/>
                <w:lang w:eastAsia="cs-CZ"/>
              </w:rPr>
            </w:pPr>
            <w:r w:rsidRPr="00F85178">
              <w:rPr>
                <w:rFonts w:eastAsia="Times New Roman"/>
                <w:b/>
                <w:bCs/>
                <w:szCs w:val="24"/>
                <w:lang w:eastAsia="cs-CZ"/>
              </w:rPr>
              <w:t>140</w:t>
            </w:r>
          </w:p>
        </w:tc>
        <w:tc>
          <w:tcPr>
            <w:tcW w:w="1285" w:type="dxa"/>
            <w:tcBorders>
              <w:top w:val="nil"/>
              <w:left w:val="nil"/>
              <w:bottom w:val="double" w:sz="6" w:space="0" w:color="auto"/>
              <w:right w:val="nil"/>
            </w:tcBorders>
            <w:shd w:val="clear" w:color="auto" w:fill="auto"/>
            <w:noWrap/>
            <w:vAlign w:val="center"/>
            <w:hideMark/>
          </w:tcPr>
          <w:p w14:paraId="13D13F77" w14:textId="77777777" w:rsidR="007838B7" w:rsidRPr="00F85178" w:rsidRDefault="007838B7" w:rsidP="007838B7">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r>
      <w:tr w:rsidR="00F85178" w:rsidRPr="00F85178" w14:paraId="6C82454F" w14:textId="77777777" w:rsidTr="007838B7">
        <w:trPr>
          <w:trHeight w:val="330"/>
        </w:trPr>
        <w:tc>
          <w:tcPr>
            <w:tcW w:w="2780" w:type="dxa"/>
            <w:tcBorders>
              <w:top w:val="nil"/>
              <w:left w:val="nil"/>
              <w:bottom w:val="nil"/>
              <w:right w:val="nil"/>
            </w:tcBorders>
            <w:shd w:val="clear" w:color="auto" w:fill="auto"/>
            <w:noWrap/>
            <w:vAlign w:val="bottom"/>
            <w:hideMark/>
          </w:tcPr>
          <w:p w14:paraId="094B2FC8" w14:textId="77777777" w:rsidR="007838B7" w:rsidRPr="00F85178" w:rsidRDefault="007838B7" w:rsidP="007838B7">
            <w:pPr>
              <w:spacing w:line="240" w:lineRule="auto"/>
              <w:jc w:val="right"/>
              <w:rPr>
                <w:rFonts w:eastAsia="Times New Roman"/>
                <w:b/>
                <w:bCs/>
                <w:sz w:val="20"/>
                <w:szCs w:val="20"/>
                <w:lang w:eastAsia="cs-CZ"/>
              </w:rPr>
            </w:pPr>
          </w:p>
        </w:tc>
        <w:tc>
          <w:tcPr>
            <w:tcW w:w="955" w:type="dxa"/>
            <w:tcBorders>
              <w:top w:val="nil"/>
              <w:left w:val="nil"/>
              <w:bottom w:val="nil"/>
              <w:right w:val="nil"/>
            </w:tcBorders>
            <w:shd w:val="clear" w:color="auto" w:fill="auto"/>
            <w:noWrap/>
            <w:vAlign w:val="bottom"/>
            <w:hideMark/>
          </w:tcPr>
          <w:p w14:paraId="2474D071" w14:textId="77777777" w:rsidR="007838B7" w:rsidRPr="00F85178" w:rsidRDefault="007838B7" w:rsidP="007838B7">
            <w:pPr>
              <w:spacing w:line="240" w:lineRule="auto"/>
              <w:jc w:val="left"/>
              <w:rPr>
                <w:rFonts w:ascii="Times New Roman" w:eastAsia="Times New Roman" w:hAnsi="Times New Roman"/>
                <w:sz w:val="20"/>
                <w:szCs w:val="20"/>
                <w:lang w:eastAsia="cs-CZ"/>
              </w:rPr>
            </w:pPr>
          </w:p>
        </w:tc>
        <w:tc>
          <w:tcPr>
            <w:tcW w:w="1285" w:type="dxa"/>
            <w:tcBorders>
              <w:top w:val="nil"/>
              <w:left w:val="nil"/>
              <w:bottom w:val="nil"/>
              <w:right w:val="nil"/>
            </w:tcBorders>
            <w:shd w:val="clear" w:color="auto" w:fill="auto"/>
            <w:noWrap/>
            <w:vAlign w:val="bottom"/>
            <w:hideMark/>
          </w:tcPr>
          <w:p w14:paraId="306D4F27" w14:textId="77777777" w:rsidR="007838B7" w:rsidRPr="00F85178" w:rsidRDefault="007838B7" w:rsidP="007838B7">
            <w:pPr>
              <w:spacing w:line="240" w:lineRule="auto"/>
              <w:jc w:val="left"/>
              <w:rPr>
                <w:rFonts w:ascii="Times New Roman" w:eastAsia="Times New Roman" w:hAnsi="Times New Roman"/>
                <w:sz w:val="20"/>
                <w:szCs w:val="20"/>
                <w:lang w:eastAsia="cs-CZ"/>
              </w:rPr>
            </w:pPr>
          </w:p>
        </w:tc>
      </w:tr>
    </w:tbl>
    <w:p w14:paraId="5CA9E61A" w14:textId="77777777" w:rsidR="007838B7" w:rsidRPr="00F85178" w:rsidRDefault="007838B7" w:rsidP="007838B7">
      <w:pPr>
        <w:pStyle w:val="OdstavecASR"/>
      </w:pPr>
      <w:r w:rsidRPr="00F85178">
        <w:t>Závěry jsou celkem podobné jako u předchozích ukazatelů. Rozdíly nejsou dány počtem vyřízených věcí, ale velkým počtem nevyřízených věcí u soudů, které spadají pod KS Ústí nad Labem, KS Brno a MS Praha (v těchto krajích je DT nejvyšší). U obvodních soudů spadajících pod MS Praha se na poklesu ukazatele disposition time projevuje výrazný růst v počtu vyřízených věcí oproti roku 2017.</w:t>
      </w:r>
    </w:p>
    <w:p w14:paraId="7CED5DC4" w14:textId="77777777" w:rsidR="007838B7" w:rsidRPr="00F85178" w:rsidRDefault="007838B7" w:rsidP="007838B7">
      <w:pPr>
        <w:pStyle w:val="Podtitul"/>
        <w:rPr>
          <w:color w:val="auto"/>
        </w:rPr>
      </w:pPr>
      <w:bookmarkStart w:id="120" w:name="_Toc515871341"/>
      <w:bookmarkStart w:id="121" w:name="_Toc11135076"/>
      <w:bookmarkStart w:id="122" w:name="_Toc13837508"/>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15</w:t>
      </w:r>
      <w:r w:rsidR="00EE0C8A" w:rsidRPr="00F85178">
        <w:rPr>
          <w:color w:val="auto"/>
        </w:rPr>
        <w:fldChar w:fldCharType="end"/>
      </w:r>
      <w:r w:rsidRPr="00F85178">
        <w:rPr>
          <w:color w:val="auto"/>
        </w:rPr>
        <w:t>: OS – disposition time civilního řízení u jednotlivých soudů</w:t>
      </w:r>
      <w:bookmarkEnd w:id="120"/>
      <w:bookmarkEnd w:id="121"/>
      <w:bookmarkEnd w:id="122"/>
    </w:p>
    <w:p w14:paraId="39331EBE" w14:textId="77777777" w:rsidR="008E1083" w:rsidRPr="00F85178" w:rsidRDefault="00890295" w:rsidP="007838B7">
      <w:pPr>
        <w:pStyle w:val="OdstavecASR"/>
      </w:pPr>
      <w:r>
        <w:rPr>
          <w:noProof/>
          <w:lang w:eastAsia="cs-CZ"/>
        </w:rPr>
        <w:drawing>
          <wp:anchor distT="0" distB="0" distL="114300" distR="114300" simplePos="0" relativeHeight="251666944" behindDoc="0" locked="0" layoutInCell="1" allowOverlap="1" wp14:anchorId="6C57D6F1" wp14:editId="2B0CC590">
            <wp:simplePos x="0" y="0"/>
            <wp:positionH relativeFrom="margin">
              <wp:posOffset>4514906</wp:posOffset>
            </wp:positionH>
            <wp:positionV relativeFrom="paragraph">
              <wp:posOffset>69850</wp:posOffset>
            </wp:positionV>
            <wp:extent cx="1207135" cy="883920"/>
            <wp:effectExtent l="0" t="0" r="0" b="0"/>
            <wp:wrapNone/>
            <wp:docPr id="118"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07135" cy="88392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5AB747B0" wp14:editId="4445FFE8">
            <wp:extent cx="5759450" cy="3329940"/>
            <wp:effectExtent l="0" t="0" r="0" b="0"/>
            <wp:docPr id="129" name="Obrázek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6"/>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792F2048" w14:textId="77777777" w:rsidR="00871D51" w:rsidRPr="00F85178" w:rsidRDefault="00322937" w:rsidP="00322937">
      <w:pPr>
        <w:pStyle w:val="Podtitul"/>
        <w:rPr>
          <w:color w:val="auto"/>
        </w:rPr>
      </w:pPr>
      <w:bookmarkStart w:id="123" w:name="_Toc515871342"/>
      <w:bookmarkStart w:id="124" w:name="_Toc11135077"/>
      <w:bookmarkStart w:id="125" w:name="_Toc13837509"/>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16</w:t>
      </w:r>
      <w:r w:rsidR="00EE0C8A" w:rsidRPr="00F85178">
        <w:rPr>
          <w:color w:val="auto"/>
        </w:rPr>
        <w:fldChar w:fldCharType="end"/>
      </w:r>
      <w:r w:rsidRPr="00F85178">
        <w:rPr>
          <w:color w:val="auto"/>
        </w:rPr>
        <w:t>: OS – krabicové grafy, DT civilního řízení</w:t>
      </w:r>
      <w:bookmarkEnd w:id="123"/>
      <w:bookmarkEnd w:id="124"/>
      <w:bookmarkEnd w:id="125"/>
    </w:p>
    <w:p w14:paraId="1FF67261" w14:textId="77777777" w:rsidR="00322937" w:rsidRPr="00F85178" w:rsidRDefault="00890295" w:rsidP="00E00E84">
      <w:r>
        <w:rPr>
          <w:noProof/>
          <w:lang w:eastAsia="cs-CZ"/>
        </w:rPr>
        <w:drawing>
          <wp:inline distT="0" distB="0" distL="0" distR="0" wp14:anchorId="4C774BD6" wp14:editId="17A52171">
            <wp:extent cx="5118100" cy="3746500"/>
            <wp:effectExtent l="0" t="0" r="0" b="0"/>
            <wp:docPr id="17" name="Obráze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0"/>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C8EAF68" w14:textId="77777777" w:rsidR="00322937" w:rsidRPr="00F85178" w:rsidRDefault="00322937" w:rsidP="00E00E84"/>
    <w:p w14:paraId="364F91E4" w14:textId="77777777" w:rsidR="0032015B" w:rsidRDefault="00367FDC" w:rsidP="00367FDC">
      <w:pPr>
        <w:pStyle w:val="OdstavecASR"/>
      </w:pPr>
      <w:r w:rsidRPr="00F85178">
        <w:t>Na krabicových grafech vidíme, že variabilita DT se zde v roce 2018 mírně snížila. Především se přiblížily dvě zbývající odlehlé hodnoty.</w:t>
      </w:r>
    </w:p>
    <w:p w14:paraId="305B88E0" w14:textId="7CF74CF0" w:rsidR="00367FDC" w:rsidRPr="00F85178" w:rsidRDefault="00367FDC" w:rsidP="00367FDC">
      <w:pPr>
        <w:pStyle w:val="OdstavecASR"/>
      </w:pPr>
      <w:r w:rsidRPr="00F85178">
        <w:t>Na základě přechozích ukazatelů můžeme shrnout, že celkově se situace v civilním řízení u okresních soudů za několik posledních let výrazně zlepšila – výrazně klesl počet nevyřízených věcí i délky řízení. Ty jsou dokonce nejnižší za celé sledované období. To je dáno především zmenšováním rozdílů mezi soudy, tj. zlepšováním situace u nejpomalejších a nejzatíženější soudů.</w:t>
      </w:r>
      <w:r w:rsidR="00E832DC" w:rsidRPr="00F85178">
        <w:t xml:space="preserve"> Zlepšování situace se ale pomalu zpomalovalo a mezi situací v roce 2017 a situací v roce 2018 již není vidět příliš velký rozdíl.</w:t>
      </w:r>
    </w:p>
    <w:p w14:paraId="429ECCB2" w14:textId="77777777" w:rsidR="00E832DC" w:rsidRPr="00F85178" w:rsidRDefault="00E832DC" w:rsidP="00E832DC">
      <w:pPr>
        <w:pStyle w:val="OdstavecASR"/>
      </w:pPr>
      <w:r w:rsidRPr="00F85178">
        <w:t>Objevují se ale i určitá negativa – již dva roky za sebou stoupl počet věcí, které nebyly vyřízeny déle než 3 roky. Případné vyřízení těchto věcí může mírně negativně ovlivnit vykázanou délku řízení v dalších letech.</w:t>
      </w:r>
    </w:p>
    <w:p w14:paraId="611FA1E7" w14:textId="77777777" w:rsidR="0085193B" w:rsidRPr="00F85178" w:rsidRDefault="0085193B" w:rsidP="0085193B">
      <w:pPr>
        <w:pStyle w:val="Nadpis3"/>
        <w:rPr>
          <w:color w:val="auto"/>
        </w:rPr>
      </w:pPr>
      <w:bookmarkStart w:id="126" w:name="_Ref509563330"/>
      <w:bookmarkStart w:id="127" w:name="_Toc515871225"/>
      <w:bookmarkStart w:id="128" w:name="_Toc14076877"/>
      <w:r w:rsidRPr="00F85178">
        <w:rPr>
          <w:color w:val="auto"/>
        </w:rPr>
        <w:t>Další statistiky</w:t>
      </w:r>
      <w:bookmarkEnd w:id="126"/>
      <w:bookmarkEnd w:id="127"/>
      <w:bookmarkEnd w:id="128"/>
    </w:p>
    <w:p w14:paraId="15930193" w14:textId="77777777" w:rsidR="0085193B" w:rsidRPr="00F85178" w:rsidRDefault="0085193B" w:rsidP="0085193B">
      <w:pPr>
        <w:pStyle w:val="OdstavecASR"/>
      </w:pPr>
      <w:r w:rsidRPr="00F85178">
        <w:t>Kromě výše uvedených ukazatelů výkonnosti soudů sleduje Ministerstvo spravedlnosti řadu dalších ukazatelů. Tato podkapitola se věnuje čtyřem příkladům, a to míře odvolání, míře změny rozsudku, výši přiznaných nároků a dále uvádí nejběžnější předměty sporu.</w:t>
      </w:r>
    </w:p>
    <w:p w14:paraId="43B01209" w14:textId="77777777" w:rsidR="0085193B" w:rsidRPr="00F85178" w:rsidRDefault="0085193B" w:rsidP="0085193B">
      <w:pPr>
        <w:pStyle w:val="OdstavecASR"/>
      </w:pPr>
      <w:r w:rsidRPr="00F85178">
        <w:t>Data byla získána ze statistických listů a byla omezena stejným způsobem jako u délky řízení. Zkoumáme tedy pouze agendu C bez rozkazního řízení.</w:t>
      </w:r>
    </w:p>
    <w:p w14:paraId="54B0AE7F" w14:textId="77777777" w:rsidR="00E832DC" w:rsidRPr="00F85178" w:rsidRDefault="009217AA" w:rsidP="00367FDC">
      <w:pPr>
        <w:pStyle w:val="OdstavecASR"/>
      </w:pPr>
      <w:r w:rsidRPr="00F85178">
        <w:t>Míra odvolání udává, jak často podávají účastníci sporu odvolání. Závisí na mnoha faktorech, jako je například složení agendy soudu nebo charakteristiky účastníků sporu. Do určité míry může vypovídat o složitosti sporů, neboť u velmi jednoduchých sporů (typicky s procesně pasivní žalovanou stranou) je podání odvolání méně pravděpodobné. Výpočty zahrnují i věci, ve kterých odvolací soud zrušil rozhodnutí soudu I. stupně a věc mu vrátil. Následně již odvolání podáno nebylo.</w:t>
      </w:r>
    </w:p>
    <w:p w14:paraId="19232611" w14:textId="77777777" w:rsidR="007D03A9" w:rsidRPr="00F85178" w:rsidRDefault="007D03A9" w:rsidP="007D03A9">
      <w:pPr>
        <w:pStyle w:val="Podtitul"/>
        <w:rPr>
          <w:color w:val="auto"/>
        </w:rPr>
      </w:pPr>
      <w:bookmarkStart w:id="129" w:name="_Toc515871444"/>
      <w:bookmarkStart w:id="130" w:name="_Toc11133213"/>
      <w:bookmarkStart w:id="131" w:name="_Toc1383743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11</w:t>
      </w:r>
      <w:r w:rsidRPr="00F85178">
        <w:rPr>
          <w:noProof/>
          <w:color w:val="auto"/>
        </w:rPr>
        <w:fldChar w:fldCharType="end"/>
      </w:r>
      <w:r w:rsidRPr="00F85178">
        <w:rPr>
          <w:color w:val="auto"/>
        </w:rPr>
        <w:t>: OS – míra odvolání dle krajů v civilním řízení</w:t>
      </w:r>
      <w:bookmarkEnd w:id="129"/>
      <w:bookmarkEnd w:id="130"/>
      <w:bookmarkEnd w:id="131"/>
    </w:p>
    <w:tbl>
      <w:tblPr>
        <w:tblW w:w="5020" w:type="dxa"/>
        <w:tblInd w:w="70" w:type="dxa"/>
        <w:tblCellMar>
          <w:left w:w="70" w:type="dxa"/>
          <w:right w:w="70" w:type="dxa"/>
        </w:tblCellMar>
        <w:tblLook w:val="04A0" w:firstRow="1" w:lastRow="0" w:firstColumn="1" w:lastColumn="0" w:noHBand="0" w:noVBand="1"/>
      </w:tblPr>
      <w:tblGrid>
        <w:gridCol w:w="2780"/>
        <w:gridCol w:w="955"/>
        <w:gridCol w:w="1285"/>
      </w:tblGrid>
      <w:tr w:rsidR="00F85178" w:rsidRPr="00F85178" w14:paraId="25B0E9AE" w14:textId="77777777" w:rsidTr="0027793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4780B2D" w14:textId="77777777" w:rsidR="007D03A9" w:rsidRPr="00F85178" w:rsidRDefault="007D03A9" w:rsidP="00277937">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2240" w:type="dxa"/>
            <w:gridSpan w:val="2"/>
            <w:tcBorders>
              <w:top w:val="double" w:sz="6" w:space="0" w:color="auto"/>
              <w:left w:val="nil"/>
              <w:bottom w:val="double" w:sz="6" w:space="0" w:color="auto"/>
              <w:right w:val="nil"/>
            </w:tcBorders>
            <w:shd w:val="clear" w:color="auto" w:fill="auto"/>
            <w:noWrap/>
            <w:vAlign w:val="center"/>
            <w:hideMark/>
          </w:tcPr>
          <w:p w14:paraId="3C51B59C" w14:textId="77777777" w:rsidR="007D03A9" w:rsidRPr="00F85178" w:rsidRDefault="007D03A9" w:rsidP="00277937">
            <w:pPr>
              <w:spacing w:line="240" w:lineRule="auto"/>
              <w:jc w:val="center"/>
              <w:rPr>
                <w:rFonts w:eastAsia="Times New Roman"/>
                <w:b/>
                <w:bCs/>
                <w:szCs w:val="24"/>
                <w:lang w:eastAsia="cs-CZ"/>
              </w:rPr>
            </w:pPr>
            <w:r w:rsidRPr="00F85178">
              <w:rPr>
                <w:rFonts w:eastAsia="Times New Roman"/>
                <w:b/>
                <w:bCs/>
                <w:szCs w:val="24"/>
                <w:lang w:eastAsia="cs-CZ"/>
              </w:rPr>
              <w:t>Míra odvolání</w:t>
            </w:r>
          </w:p>
        </w:tc>
      </w:tr>
      <w:tr w:rsidR="00F85178" w:rsidRPr="00F85178" w14:paraId="6B5B1FD3" w14:textId="77777777" w:rsidTr="00277937">
        <w:trPr>
          <w:trHeight w:val="330"/>
        </w:trPr>
        <w:tc>
          <w:tcPr>
            <w:tcW w:w="2780" w:type="dxa"/>
            <w:tcBorders>
              <w:top w:val="nil"/>
              <w:left w:val="nil"/>
              <w:bottom w:val="single" w:sz="4" w:space="0" w:color="auto"/>
              <w:right w:val="nil"/>
            </w:tcBorders>
            <w:shd w:val="clear" w:color="auto" w:fill="auto"/>
            <w:noWrap/>
            <w:vAlign w:val="bottom"/>
            <w:hideMark/>
          </w:tcPr>
          <w:p w14:paraId="0F01810B"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MS Praha</w:t>
            </w:r>
          </w:p>
        </w:tc>
        <w:tc>
          <w:tcPr>
            <w:tcW w:w="955" w:type="dxa"/>
            <w:tcBorders>
              <w:top w:val="nil"/>
              <w:left w:val="nil"/>
              <w:bottom w:val="single" w:sz="4" w:space="0" w:color="auto"/>
              <w:right w:val="nil"/>
            </w:tcBorders>
            <w:shd w:val="clear" w:color="auto" w:fill="auto"/>
            <w:noWrap/>
            <w:vAlign w:val="bottom"/>
            <w:hideMark/>
          </w:tcPr>
          <w:p w14:paraId="47C04BC0" w14:textId="77777777" w:rsidR="00692B0F" w:rsidRPr="00F85178" w:rsidRDefault="00692B0F" w:rsidP="00692B0F">
            <w:pPr>
              <w:spacing w:line="240" w:lineRule="auto"/>
              <w:jc w:val="center"/>
              <w:rPr>
                <w:rFonts w:eastAsia="Times New Roman"/>
                <w:szCs w:val="24"/>
                <w:lang w:eastAsia="cs-CZ"/>
              </w:rPr>
            </w:pPr>
            <w:r w:rsidRPr="00F85178">
              <w:t>10,59 %</w:t>
            </w:r>
          </w:p>
        </w:tc>
        <w:tc>
          <w:tcPr>
            <w:tcW w:w="1285" w:type="dxa"/>
            <w:tcBorders>
              <w:top w:val="single" w:sz="4" w:space="0" w:color="auto"/>
              <w:left w:val="nil"/>
              <w:bottom w:val="single" w:sz="4" w:space="0" w:color="auto"/>
              <w:right w:val="nil"/>
            </w:tcBorders>
            <w:shd w:val="clear" w:color="auto" w:fill="auto"/>
            <w:noWrap/>
            <w:vAlign w:val="center"/>
            <w:hideMark/>
          </w:tcPr>
          <w:p w14:paraId="3726ECE7" w14:textId="459FFADE"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1</w:t>
            </w:r>
            <w:r w:rsidR="005E6382" w:rsidRPr="00C57D5E">
              <w:rPr>
                <w:sz w:val="20"/>
                <w:szCs w:val="24"/>
              </w:rPr>
              <w:t>,</w:t>
            </w:r>
            <w:r w:rsidR="00692B0F" w:rsidRPr="00C57D5E">
              <w:rPr>
                <w:sz w:val="20"/>
                <w:szCs w:val="24"/>
              </w:rPr>
              <w:t>2 p. b.</w:t>
            </w:r>
          </w:p>
        </w:tc>
      </w:tr>
      <w:tr w:rsidR="00F85178" w:rsidRPr="00F85178" w14:paraId="1DBCD5EE"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21E0CD8D"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Praha</w:t>
            </w:r>
          </w:p>
        </w:tc>
        <w:tc>
          <w:tcPr>
            <w:tcW w:w="955" w:type="dxa"/>
            <w:tcBorders>
              <w:top w:val="nil"/>
              <w:left w:val="nil"/>
              <w:bottom w:val="single" w:sz="4" w:space="0" w:color="auto"/>
              <w:right w:val="nil"/>
            </w:tcBorders>
            <w:shd w:val="clear" w:color="auto" w:fill="auto"/>
            <w:noWrap/>
            <w:vAlign w:val="bottom"/>
            <w:hideMark/>
          </w:tcPr>
          <w:p w14:paraId="483A6347" w14:textId="77777777" w:rsidR="00692B0F" w:rsidRPr="00F85178" w:rsidRDefault="00692B0F" w:rsidP="00692B0F">
            <w:pPr>
              <w:spacing w:line="240" w:lineRule="auto"/>
              <w:jc w:val="center"/>
              <w:rPr>
                <w:rFonts w:eastAsia="Times New Roman"/>
                <w:szCs w:val="24"/>
                <w:lang w:eastAsia="cs-CZ"/>
              </w:rPr>
            </w:pPr>
            <w:r w:rsidRPr="00F85178">
              <w:t>6,41 %</w:t>
            </w:r>
          </w:p>
        </w:tc>
        <w:tc>
          <w:tcPr>
            <w:tcW w:w="1285" w:type="dxa"/>
            <w:tcBorders>
              <w:top w:val="nil"/>
              <w:left w:val="nil"/>
              <w:bottom w:val="single" w:sz="4" w:space="0" w:color="auto"/>
              <w:right w:val="nil"/>
            </w:tcBorders>
            <w:shd w:val="clear" w:color="auto" w:fill="auto"/>
            <w:noWrap/>
            <w:vAlign w:val="center"/>
            <w:hideMark/>
          </w:tcPr>
          <w:p w14:paraId="02FF7875" w14:textId="186A3BD8"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1</w:t>
            </w:r>
            <w:r w:rsidR="005E6382" w:rsidRPr="00C57D5E">
              <w:rPr>
                <w:sz w:val="20"/>
                <w:szCs w:val="24"/>
              </w:rPr>
              <w:t>,</w:t>
            </w:r>
            <w:r w:rsidR="00EF0B79">
              <w:rPr>
                <w:sz w:val="20"/>
                <w:szCs w:val="24"/>
              </w:rPr>
              <w:t>2 p. b.</w:t>
            </w:r>
          </w:p>
        </w:tc>
      </w:tr>
      <w:tr w:rsidR="00F85178" w:rsidRPr="00F85178" w14:paraId="5073F762"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7067D27E"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Č. Budějovice</w:t>
            </w:r>
          </w:p>
        </w:tc>
        <w:tc>
          <w:tcPr>
            <w:tcW w:w="955" w:type="dxa"/>
            <w:tcBorders>
              <w:top w:val="nil"/>
              <w:left w:val="nil"/>
              <w:bottom w:val="single" w:sz="4" w:space="0" w:color="auto"/>
              <w:right w:val="nil"/>
            </w:tcBorders>
            <w:shd w:val="clear" w:color="auto" w:fill="auto"/>
            <w:noWrap/>
            <w:vAlign w:val="bottom"/>
            <w:hideMark/>
          </w:tcPr>
          <w:p w14:paraId="5A03241B" w14:textId="77777777" w:rsidR="00692B0F" w:rsidRPr="00F85178" w:rsidRDefault="00692B0F" w:rsidP="00692B0F">
            <w:pPr>
              <w:spacing w:line="240" w:lineRule="auto"/>
              <w:jc w:val="center"/>
              <w:rPr>
                <w:rFonts w:eastAsia="Times New Roman"/>
                <w:szCs w:val="24"/>
                <w:lang w:eastAsia="cs-CZ"/>
              </w:rPr>
            </w:pPr>
            <w:r w:rsidRPr="00F85178">
              <w:t>7,03 %</w:t>
            </w:r>
          </w:p>
        </w:tc>
        <w:tc>
          <w:tcPr>
            <w:tcW w:w="1285" w:type="dxa"/>
            <w:tcBorders>
              <w:top w:val="nil"/>
              <w:left w:val="nil"/>
              <w:bottom w:val="single" w:sz="4" w:space="0" w:color="auto"/>
              <w:right w:val="nil"/>
            </w:tcBorders>
            <w:shd w:val="clear" w:color="auto" w:fill="auto"/>
            <w:noWrap/>
            <w:vAlign w:val="center"/>
            <w:hideMark/>
          </w:tcPr>
          <w:p w14:paraId="458D1539" w14:textId="49A8CE9A"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1</w:t>
            </w:r>
            <w:r w:rsidR="005E6382" w:rsidRPr="00C57D5E">
              <w:rPr>
                <w:sz w:val="20"/>
                <w:szCs w:val="24"/>
              </w:rPr>
              <w:t>,</w:t>
            </w:r>
            <w:r w:rsidR="00692B0F" w:rsidRPr="00C57D5E">
              <w:rPr>
                <w:sz w:val="20"/>
                <w:szCs w:val="24"/>
              </w:rPr>
              <w:t>5 p. b.</w:t>
            </w:r>
          </w:p>
        </w:tc>
      </w:tr>
      <w:tr w:rsidR="00F85178" w:rsidRPr="00F85178" w14:paraId="30092941"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0BE655FA"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Plzeň</w:t>
            </w:r>
          </w:p>
        </w:tc>
        <w:tc>
          <w:tcPr>
            <w:tcW w:w="955" w:type="dxa"/>
            <w:tcBorders>
              <w:top w:val="nil"/>
              <w:left w:val="nil"/>
              <w:bottom w:val="single" w:sz="4" w:space="0" w:color="auto"/>
              <w:right w:val="nil"/>
            </w:tcBorders>
            <w:shd w:val="clear" w:color="auto" w:fill="auto"/>
            <w:noWrap/>
            <w:vAlign w:val="bottom"/>
            <w:hideMark/>
          </w:tcPr>
          <w:p w14:paraId="1E7D1676" w14:textId="77777777" w:rsidR="00692B0F" w:rsidRPr="00F85178" w:rsidRDefault="00692B0F" w:rsidP="00692B0F">
            <w:pPr>
              <w:spacing w:line="240" w:lineRule="auto"/>
              <w:jc w:val="center"/>
              <w:rPr>
                <w:rFonts w:eastAsia="Times New Roman"/>
                <w:szCs w:val="24"/>
                <w:lang w:eastAsia="cs-CZ"/>
              </w:rPr>
            </w:pPr>
            <w:r w:rsidRPr="00F85178">
              <w:t>5,24 %</w:t>
            </w:r>
          </w:p>
        </w:tc>
        <w:tc>
          <w:tcPr>
            <w:tcW w:w="1285" w:type="dxa"/>
            <w:tcBorders>
              <w:top w:val="nil"/>
              <w:left w:val="nil"/>
              <w:bottom w:val="single" w:sz="4" w:space="0" w:color="auto"/>
              <w:right w:val="nil"/>
            </w:tcBorders>
            <w:shd w:val="clear" w:color="auto" w:fill="auto"/>
            <w:noWrap/>
            <w:vAlign w:val="center"/>
            <w:hideMark/>
          </w:tcPr>
          <w:p w14:paraId="3FD38103" w14:textId="7519BB46"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2</w:t>
            </w:r>
            <w:r w:rsidR="005E6382" w:rsidRPr="00C57D5E">
              <w:rPr>
                <w:sz w:val="20"/>
                <w:szCs w:val="24"/>
              </w:rPr>
              <w:t>,</w:t>
            </w:r>
            <w:r w:rsidR="00692B0F" w:rsidRPr="00C57D5E">
              <w:rPr>
                <w:sz w:val="20"/>
                <w:szCs w:val="24"/>
              </w:rPr>
              <w:t>6 p. b.</w:t>
            </w:r>
          </w:p>
        </w:tc>
      </w:tr>
      <w:tr w:rsidR="00F85178" w:rsidRPr="00F85178" w14:paraId="50C6B9AE"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6A80824B"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Ústí n. Labem</w:t>
            </w:r>
          </w:p>
        </w:tc>
        <w:tc>
          <w:tcPr>
            <w:tcW w:w="955" w:type="dxa"/>
            <w:tcBorders>
              <w:top w:val="nil"/>
              <w:left w:val="nil"/>
              <w:bottom w:val="single" w:sz="4" w:space="0" w:color="auto"/>
              <w:right w:val="nil"/>
            </w:tcBorders>
            <w:shd w:val="clear" w:color="auto" w:fill="auto"/>
            <w:noWrap/>
            <w:vAlign w:val="bottom"/>
            <w:hideMark/>
          </w:tcPr>
          <w:p w14:paraId="5F1375B9" w14:textId="77777777" w:rsidR="00692B0F" w:rsidRPr="00F85178" w:rsidRDefault="00692B0F" w:rsidP="00692B0F">
            <w:pPr>
              <w:spacing w:line="240" w:lineRule="auto"/>
              <w:jc w:val="center"/>
              <w:rPr>
                <w:rFonts w:eastAsia="Times New Roman"/>
                <w:szCs w:val="24"/>
                <w:lang w:eastAsia="cs-CZ"/>
              </w:rPr>
            </w:pPr>
            <w:r w:rsidRPr="00F85178">
              <w:t>5,60 %</w:t>
            </w:r>
          </w:p>
        </w:tc>
        <w:tc>
          <w:tcPr>
            <w:tcW w:w="1285" w:type="dxa"/>
            <w:tcBorders>
              <w:top w:val="nil"/>
              <w:left w:val="nil"/>
              <w:bottom w:val="single" w:sz="4" w:space="0" w:color="auto"/>
              <w:right w:val="nil"/>
            </w:tcBorders>
            <w:shd w:val="clear" w:color="auto" w:fill="auto"/>
            <w:noWrap/>
            <w:vAlign w:val="center"/>
            <w:hideMark/>
          </w:tcPr>
          <w:p w14:paraId="08982B6D" w14:textId="62A6E9CE"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1</w:t>
            </w:r>
            <w:r w:rsidR="005E6382" w:rsidRPr="00C57D5E">
              <w:rPr>
                <w:sz w:val="20"/>
                <w:szCs w:val="24"/>
              </w:rPr>
              <w:t>,</w:t>
            </w:r>
            <w:r w:rsidR="00692B0F" w:rsidRPr="00C57D5E">
              <w:rPr>
                <w:sz w:val="20"/>
                <w:szCs w:val="24"/>
              </w:rPr>
              <w:t>1 p. b.</w:t>
            </w:r>
          </w:p>
        </w:tc>
      </w:tr>
      <w:tr w:rsidR="00F85178" w:rsidRPr="00F85178" w14:paraId="69A8DEFF"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72CE342E"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Hr. Králové</w:t>
            </w:r>
          </w:p>
        </w:tc>
        <w:tc>
          <w:tcPr>
            <w:tcW w:w="955" w:type="dxa"/>
            <w:tcBorders>
              <w:top w:val="nil"/>
              <w:left w:val="nil"/>
              <w:bottom w:val="single" w:sz="4" w:space="0" w:color="auto"/>
              <w:right w:val="nil"/>
            </w:tcBorders>
            <w:shd w:val="clear" w:color="auto" w:fill="auto"/>
            <w:noWrap/>
            <w:vAlign w:val="bottom"/>
            <w:hideMark/>
          </w:tcPr>
          <w:p w14:paraId="6BB4BF18" w14:textId="77777777" w:rsidR="00692B0F" w:rsidRPr="00F85178" w:rsidRDefault="00692B0F" w:rsidP="00692B0F">
            <w:pPr>
              <w:spacing w:line="240" w:lineRule="auto"/>
              <w:jc w:val="center"/>
              <w:rPr>
                <w:rFonts w:eastAsia="Times New Roman"/>
                <w:szCs w:val="24"/>
                <w:lang w:eastAsia="cs-CZ"/>
              </w:rPr>
            </w:pPr>
            <w:r w:rsidRPr="00F85178">
              <w:t>8,28 %</w:t>
            </w:r>
          </w:p>
        </w:tc>
        <w:tc>
          <w:tcPr>
            <w:tcW w:w="1285" w:type="dxa"/>
            <w:tcBorders>
              <w:top w:val="nil"/>
              <w:left w:val="nil"/>
              <w:bottom w:val="single" w:sz="4" w:space="0" w:color="auto"/>
              <w:right w:val="nil"/>
            </w:tcBorders>
            <w:shd w:val="clear" w:color="auto" w:fill="auto"/>
            <w:noWrap/>
            <w:vAlign w:val="center"/>
            <w:hideMark/>
          </w:tcPr>
          <w:p w14:paraId="1013FBA0" w14:textId="01F3D347"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2</w:t>
            </w:r>
            <w:r w:rsidR="005E6382" w:rsidRPr="00C57D5E">
              <w:rPr>
                <w:sz w:val="20"/>
                <w:szCs w:val="24"/>
              </w:rPr>
              <w:t>,</w:t>
            </w:r>
            <w:r w:rsidR="00692B0F" w:rsidRPr="00C57D5E">
              <w:rPr>
                <w:sz w:val="20"/>
                <w:szCs w:val="24"/>
              </w:rPr>
              <w:t>0 p. b.</w:t>
            </w:r>
          </w:p>
        </w:tc>
      </w:tr>
      <w:tr w:rsidR="00F85178" w:rsidRPr="00F85178" w14:paraId="784D4A3B" w14:textId="77777777" w:rsidTr="00277937">
        <w:trPr>
          <w:trHeight w:val="315"/>
        </w:trPr>
        <w:tc>
          <w:tcPr>
            <w:tcW w:w="2780" w:type="dxa"/>
            <w:tcBorders>
              <w:top w:val="nil"/>
              <w:left w:val="nil"/>
              <w:bottom w:val="single" w:sz="4" w:space="0" w:color="auto"/>
              <w:right w:val="nil"/>
            </w:tcBorders>
            <w:shd w:val="clear" w:color="auto" w:fill="auto"/>
            <w:noWrap/>
            <w:vAlign w:val="bottom"/>
            <w:hideMark/>
          </w:tcPr>
          <w:p w14:paraId="0E7FCD7B"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Brno</w:t>
            </w:r>
          </w:p>
        </w:tc>
        <w:tc>
          <w:tcPr>
            <w:tcW w:w="955" w:type="dxa"/>
            <w:tcBorders>
              <w:top w:val="nil"/>
              <w:left w:val="nil"/>
              <w:bottom w:val="single" w:sz="4" w:space="0" w:color="auto"/>
              <w:right w:val="nil"/>
            </w:tcBorders>
            <w:shd w:val="clear" w:color="auto" w:fill="auto"/>
            <w:noWrap/>
            <w:vAlign w:val="bottom"/>
            <w:hideMark/>
          </w:tcPr>
          <w:p w14:paraId="57FAB04A" w14:textId="77777777" w:rsidR="00692B0F" w:rsidRPr="00F85178" w:rsidRDefault="00692B0F" w:rsidP="00692B0F">
            <w:pPr>
              <w:spacing w:line="240" w:lineRule="auto"/>
              <w:jc w:val="center"/>
              <w:rPr>
                <w:rFonts w:eastAsia="Times New Roman"/>
                <w:szCs w:val="24"/>
                <w:lang w:eastAsia="cs-CZ"/>
              </w:rPr>
            </w:pPr>
            <w:r w:rsidRPr="00F85178">
              <w:t>9,61 %</w:t>
            </w:r>
          </w:p>
        </w:tc>
        <w:tc>
          <w:tcPr>
            <w:tcW w:w="1285" w:type="dxa"/>
            <w:tcBorders>
              <w:top w:val="nil"/>
              <w:left w:val="nil"/>
              <w:bottom w:val="single" w:sz="4" w:space="0" w:color="auto"/>
              <w:right w:val="nil"/>
            </w:tcBorders>
            <w:shd w:val="clear" w:color="auto" w:fill="auto"/>
            <w:noWrap/>
            <w:vAlign w:val="center"/>
            <w:hideMark/>
          </w:tcPr>
          <w:p w14:paraId="4749E119" w14:textId="5F57C9E6"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0</w:t>
            </w:r>
            <w:r w:rsidR="005E6382" w:rsidRPr="00C57D5E">
              <w:rPr>
                <w:sz w:val="20"/>
                <w:szCs w:val="24"/>
              </w:rPr>
              <w:t>,</w:t>
            </w:r>
            <w:r w:rsidR="00692B0F" w:rsidRPr="00C57D5E">
              <w:rPr>
                <w:sz w:val="20"/>
                <w:szCs w:val="24"/>
              </w:rPr>
              <w:t>5 p. b.</w:t>
            </w:r>
          </w:p>
        </w:tc>
      </w:tr>
      <w:tr w:rsidR="00F85178" w:rsidRPr="00F85178" w14:paraId="1B12FE97" w14:textId="77777777" w:rsidTr="00277937">
        <w:trPr>
          <w:trHeight w:val="330"/>
        </w:trPr>
        <w:tc>
          <w:tcPr>
            <w:tcW w:w="2780" w:type="dxa"/>
            <w:tcBorders>
              <w:top w:val="nil"/>
              <w:left w:val="nil"/>
              <w:bottom w:val="double" w:sz="6" w:space="0" w:color="auto"/>
              <w:right w:val="nil"/>
            </w:tcBorders>
            <w:shd w:val="clear" w:color="auto" w:fill="auto"/>
            <w:noWrap/>
            <w:vAlign w:val="bottom"/>
            <w:hideMark/>
          </w:tcPr>
          <w:p w14:paraId="4825A495" w14:textId="77777777" w:rsidR="00692B0F" w:rsidRPr="00F85178" w:rsidRDefault="00692B0F" w:rsidP="00692B0F">
            <w:pPr>
              <w:spacing w:line="240" w:lineRule="auto"/>
              <w:jc w:val="left"/>
              <w:rPr>
                <w:rFonts w:eastAsia="Times New Roman"/>
                <w:szCs w:val="24"/>
                <w:lang w:eastAsia="cs-CZ"/>
              </w:rPr>
            </w:pPr>
            <w:r w:rsidRPr="00F85178">
              <w:rPr>
                <w:rFonts w:eastAsia="Times New Roman"/>
                <w:szCs w:val="24"/>
                <w:lang w:eastAsia="cs-CZ"/>
              </w:rPr>
              <w:t>KS Ostrava</w:t>
            </w:r>
          </w:p>
        </w:tc>
        <w:tc>
          <w:tcPr>
            <w:tcW w:w="955" w:type="dxa"/>
            <w:tcBorders>
              <w:top w:val="nil"/>
              <w:left w:val="nil"/>
              <w:bottom w:val="double" w:sz="6" w:space="0" w:color="auto"/>
              <w:right w:val="nil"/>
            </w:tcBorders>
            <w:shd w:val="clear" w:color="auto" w:fill="auto"/>
            <w:noWrap/>
            <w:vAlign w:val="bottom"/>
            <w:hideMark/>
          </w:tcPr>
          <w:p w14:paraId="6727B860" w14:textId="77777777" w:rsidR="00692B0F" w:rsidRPr="00F85178" w:rsidRDefault="00692B0F" w:rsidP="00692B0F">
            <w:pPr>
              <w:spacing w:line="240" w:lineRule="auto"/>
              <w:jc w:val="center"/>
              <w:rPr>
                <w:rFonts w:eastAsia="Times New Roman"/>
                <w:szCs w:val="24"/>
                <w:lang w:eastAsia="cs-CZ"/>
              </w:rPr>
            </w:pPr>
            <w:r w:rsidRPr="00F85178">
              <w:t>5,26 %</w:t>
            </w:r>
          </w:p>
        </w:tc>
        <w:tc>
          <w:tcPr>
            <w:tcW w:w="1285" w:type="dxa"/>
            <w:tcBorders>
              <w:top w:val="nil"/>
              <w:left w:val="nil"/>
              <w:bottom w:val="double" w:sz="6" w:space="0" w:color="auto"/>
              <w:right w:val="nil"/>
            </w:tcBorders>
            <w:shd w:val="clear" w:color="auto" w:fill="auto"/>
            <w:noWrap/>
            <w:vAlign w:val="center"/>
            <w:hideMark/>
          </w:tcPr>
          <w:p w14:paraId="79D92951" w14:textId="247B9AA9" w:rsidR="00692B0F" w:rsidRPr="00C57D5E" w:rsidRDefault="00731FF8" w:rsidP="00EF0B79">
            <w:pPr>
              <w:spacing w:line="240" w:lineRule="auto"/>
              <w:jc w:val="center"/>
              <w:rPr>
                <w:rFonts w:eastAsia="Times New Roman"/>
                <w:sz w:val="20"/>
                <w:szCs w:val="24"/>
                <w:lang w:eastAsia="cs-CZ"/>
              </w:rPr>
            </w:pPr>
            <w:r w:rsidRPr="00C57D5E">
              <w:rPr>
                <w:sz w:val="20"/>
                <w:szCs w:val="24"/>
              </w:rPr>
              <w:t>-</w:t>
            </w:r>
            <w:r w:rsidR="00692B0F" w:rsidRPr="00C57D5E">
              <w:rPr>
                <w:sz w:val="20"/>
                <w:szCs w:val="24"/>
              </w:rPr>
              <w:t>0</w:t>
            </w:r>
            <w:r w:rsidR="005E6382" w:rsidRPr="00C57D5E">
              <w:rPr>
                <w:sz w:val="20"/>
                <w:szCs w:val="24"/>
              </w:rPr>
              <w:t>,</w:t>
            </w:r>
            <w:r w:rsidR="00692B0F" w:rsidRPr="00C57D5E">
              <w:rPr>
                <w:sz w:val="20"/>
                <w:szCs w:val="24"/>
              </w:rPr>
              <w:t>8 p. b.</w:t>
            </w:r>
          </w:p>
        </w:tc>
      </w:tr>
      <w:tr w:rsidR="00F85178" w:rsidRPr="00F85178" w14:paraId="6B12B5E5" w14:textId="77777777" w:rsidTr="00277937">
        <w:trPr>
          <w:trHeight w:val="345"/>
        </w:trPr>
        <w:tc>
          <w:tcPr>
            <w:tcW w:w="2780" w:type="dxa"/>
            <w:tcBorders>
              <w:top w:val="nil"/>
              <w:left w:val="nil"/>
              <w:bottom w:val="double" w:sz="6" w:space="0" w:color="auto"/>
              <w:right w:val="nil"/>
            </w:tcBorders>
            <w:shd w:val="clear" w:color="auto" w:fill="auto"/>
            <w:noWrap/>
            <w:vAlign w:val="bottom"/>
            <w:hideMark/>
          </w:tcPr>
          <w:p w14:paraId="42BDAB91" w14:textId="77777777" w:rsidR="00692B0F" w:rsidRPr="00F85178" w:rsidRDefault="00692B0F" w:rsidP="00692B0F">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955" w:type="dxa"/>
            <w:tcBorders>
              <w:top w:val="nil"/>
              <w:left w:val="nil"/>
              <w:bottom w:val="double" w:sz="6" w:space="0" w:color="auto"/>
              <w:right w:val="nil"/>
            </w:tcBorders>
            <w:shd w:val="clear" w:color="auto" w:fill="auto"/>
            <w:noWrap/>
            <w:vAlign w:val="bottom"/>
            <w:hideMark/>
          </w:tcPr>
          <w:p w14:paraId="016BA2CF" w14:textId="77777777" w:rsidR="00692B0F" w:rsidRPr="00F85178" w:rsidRDefault="00692B0F" w:rsidP="00692B0F">
            <w:pPr>
              <w:spacing w:line="240" w:lineRule="auto"/>
              <w:jc w:val="center"/>
              <w:rPr>
                <w:rFonts w:eastAsia="Times New Roman"/>
                <w:b/>
                <w:bCs/>
                <w:szCs w:val="24"/>
                <w:lang w:eastAsia="cs-CZ"/>
              </w:rPr>
            </w:pPr>
            <w:r w:rsidRPr="00F85178">
              <w:rPr>
                <w:b/>
                <w:bCs/>
              </w:rPr>
              <w:t>7,76 %</w:t>
            </w:r>
          </w:p>
        </w:tc>
        <w:tc>
          <w:tcPr>
            <w:tcW w:w="1285" w:type="dxa"/>
            <w:tcBorders>
              <w:top w:val="nil"/>
              <w:left w:val="nil"/>
              <w:bottom w:val="double" w:sz="6" w:space="0" w:color="auto"/>
              <w:right w:val="nil"/>
            </w:tcBorders>
            <w:shd w:val="clear" w:color="auto" w:fill="auto"/>
            <w:noWrap/>
            <w:vAlign w:val="center"/>
            <w:hideMark/>
          </w:tcPr>
          <w:p w14:paraId="19519D78" w14:textId="6AF359E9" w:rsidR="00692B0F" w:rsidRPr="00C57D5E" w:rsidRDefault="00731FF8" w:rsidP="00EF0B79">
            <w:pPr>
              <w:spacing w:line="240" w:lineRule="auto"/>
              <w:jc w:val="center"/>
              <w:rPr>
                <w:rFonts w:eastAsia="Times New Roman"/>
                <w:b/>
                <w:bCs/>
                <w:sz w:val="20"/>
                <w:szCs w:val="24"/>
                <w:lang w:eastAsia="cs-CZ"/>
              </w:rPr>
            </w:pPr>
            <w:r w:rsidRPr="00C57D5E">
              <w:rPr>
                <w:b/>
                <w:bCs/>
                <w:sz w:val="20"/>
                <w:szCs w:val="24"/>
              </w:rPr>
              <w:t>-</w:t>
            </w:r>
            <w:r w:rsidR="00692B0F" w:rsidRPr="00C57D5E">
              <w:rPr>
                <w:b/>
                <w:bCs/>
                <w:sz w:val="20"/>
                <w:szCs w:val="24"/>
              </w:rPr>
              <w:t>0</w:t>
            </w:r>
            <w:r w:rsidR="005E6382" w:rsidRPr="00C57D5E">
              <w:rPr>
                <w:b/>
                <w:bCs/>
                <w:sz w:val="20"/>
                <w:szCs w:val="24"/>
              </w:rPr>
              <w:t>,</w:t>
            </w:r>
            <w:r w:rsidR="00692B0F" w:rsidRPr="00C57D5E">
              <w:rPr>
                <w:b/>
                <w:bCs/>
                <w:sz w:val="20"/>
                <w:szCs w:val="24"/>
              </w:rPr>
              <w:t>6 p. b.</w:t>
            </w:r>
          </w:p>
        </w:tc>
      </w:tr>
      <w:tr w:rsidR="00F85178" w:rsidRPr="00F85178" w14:paraId="6D5F23A7" w14:textId="77777777" w:rsidTr="00277937">
        <w:trPr>
          <w:trHeight w:val="330"/>
        </w:trPr>
        <w:tc>
          <w:tcPr>
            <w:tcW w:w="2780" w:type="dxa"/>
            <w:tcBorders>
              <w:top w:val="nil"/>
              <w:left w:val="nil"/>
              <w:bottom w:val="nil"/>
              <w:right w:val="nil"/>
            </w:tcBorders>
            <w:shd w:val="clear" w:color="auto" w:fill="auto"/>
            <w:noWrap/>
            <w:vAlign w:val="bottom"/>
            <w:hideMark/>
          </w:tcPr>
          <w:p w14:paraId="47D90B76" w14:textId="77777777" w:rsidR="007D03A9" w:rsidRPr="00F85178" w:rsidRDefault="007D03A9" w:rsidP="00277937">
            <w:pPr>
              <w:spacing w:line="240" w:lineRule="auto"/>
              <w:jc w:val="right"/>
              <w:rPr>
                <w:rFonts w:eastAsia="Times New Roman"/>
                <w:b/>
                <w:bCs/>
                <w:sz w:val="20"/>
                <w:szCs w:val="20"/>
                <w:lang w:eastAsia="cs-CZ"/>
              </w:rPr>
            </w:pPr>
          </w:p>
        </w:tc>
        <w:tc>
          <w:tcPr>
            <w:tcW w:w="955" w:type="dxa"/>
            <w:tcBorders>
              <w:top w:val="nil"/>
              <w:left w:val="nil"/>
              <w:bottom w:val="nil"/>
              <w:right w:val="nil"/>
            </w:tcBorders>
            <w:shd w:val="clear" w:color="auto" w:fill="auto"/>
            <w:noWrap/>
            <w:vAlign w:val="bottom"/>
            <w:hideMark/>
          </w:tcPr>
          <w:p w14:paraId="6C999A70" w14:textId="77777777" w:rsidR="007D03A9" w:rsidRPr="00F85178" w:rsidRDefault="007D03A9" w:rsidP="00277937">
            <w:pPr>
              <w:spacing w:line="240" w:lineRule="auto"/>
              <w:jc w:val="left"/>
              <w:rPr>
                <w:rFonts w:ascii="Times New Roman" w:eastAsia="Times New Roman" w:hAnsi="Times New Roman"/>
                <w:sz w:val="20"/>
                <w:szCs w:val="20"/>
                <w:lang w:eastAsia="cs-CZ"/>
              </w:rPr>
            </w:pPr>
          </w:p>
        </w:tc>
        <w:tc>
          <w:tcPr>
            <w:tcW w:w="1285" w:type="dxa"/>
            <w:tcBorders>
              <w:top w:val="nil"/>
              <w:left w:val="nil"/>
              <w:bottom w:val="nil"/>
              <w:right w:val="nil"/>
            </w:tcBorders>
            <w:shd w:val="clear" w:color="auto" w:fill="auto"/>
            <w:noWrap/>
            <w:vAlign w:val="bottom"/>
            <w:hideMark/>
          </w:tcPr>
          <w:p w14:paraId="5BC69C18" w14:textId="77777777" w:rsidR="007D03A9" w:rsidRPr="00F85178" w:rsidRDefault="007D03A9" w:rsidP="00277937">
            <w:pPr>
              <w:spacing w:line="240" w:lineRule="auto"/>
              <w:jc w:val="left"/>
              <w:rPr>
                <w:rFonts w:ascii="Times New Roman" w:eastAsia="Times New Roman" w:hAnsi="Times New Roman"/>
                <w:sz w:val="20"/>
                <w:szCs w:val="20"/>
                <w:lang w:eastAsia="cs-CZ"/>
              </w:rPr>
            </w:pPr>
          </w:p>
        </w:tc>
      </w:tr>
    </w:tbl>
    <w:p w14:paraId="75E79CD3" w14:textId="77777777" w:rsidR="007D03A9" w:rsidRPr="00F85178" w:rsidRDefault="007D03A9" w:rsidP="00692B0F">
      <w:pPr>
        <w:pStyle w:val="OdstavecASR"/>
      </w:pPr>
      <w:r w:rsidRPr="00F85178">
        <w:t xml:space="preserve">Míra odvolání je nejvyšší v Praze a Jihomoravském kraji a nejnižší v Západočeském a Moravskoslezském kraji. Z tabulky lze dále vyčíst, že míra odvolání zdaleka není </w:t>
      </w:r>
      <w:r w:rsidR="00692B0F" w:rsidRPr="00F85178">
        <w:t>úplně stabilní</w:t>
      </w:r>
      <w:r w:rsidRPr="00F85178">
        <w:t>. Změny v jednotlivých kraj</w:t>
      </w:r>
      <w:r w:rsidR="00DE2124" w:rsidRPr="00F85178">
        <w:t>ích</w:t>
      </w:r>
      <w:r w:rsidRPr="00F85178">
        <w:t xml:space="preserve"> </w:t>
      </w:r>
      <w:r w:rsidR="00DE2124" w:rsidRPr="00F85178">
        <w:t xml:space="preserve">jsou </w:t>
      </w:r>
      <w:r w:rsidRPr="00F85178">
        <w:t xml:space="preserve">oproti loňskému roku </w:t>
      </w:r>
      <w:r w:rsidR="00692B0F" w:rsidRPr="00F85178">
        <w:t>často větší než 10 %.</w:t>
      </w:r>
      <w:r w:rsidRPr="00F85178">
        <w:t xml:space="preserve"> </w:t>
      </w:r>
      <w:r w:rsidR="00692B0F" w:rsidRPr="00F85178">
        <w:t>Zde je třeba upozornit, že změny jsou v tabulce uvedeny v procentních bodech. Tedy například celková míra odvolání meziročně klesla z 8,36 % na 7,76 %, což je pokles o 0,6 procentního bodu (tento údaje je v tabulce) nebo také o 7</w:t>
      </w:r>
      <w:r w:rsidR="005E6382" w:rsidRPr="00F85178">
        <w:t> </w:t>
      </w:r>
      <w:r w:rsidR="00692B0F" w:rsidRPr="00F85178">
        <w:t>%.</w:t>
      </w:r>
      <w:r w:rsidRPr="00F85178">
        <w:t xml:space="preserve"> Z jednotlivých okresních soudů byla v roce 201</w:t>
      </w:r>
      <w:r w:rsidR="00692B0F" w:rsidRPr="00F85178">
        <w:t>8</w:t>
      </w:r>
      <w:r w:rsidRPr="00F85178">
        <w:t xml:space="preserve"> nejvyš</w:t>
      </w:r>
      <w:r w:rsidR="00692B0F" w:rsidRPr="00F85178">
        <w:t>ší míra odvolání u OS Praha 2 (34</w:t>
      </w:r>
      <w:r w:rsidRPr="00F85178">
        <w:t>,</w:t>
      </w:r>
      <w:r w:rsidR="00692B0F" w:rsidRPr="00F85178">
        <w:t>27</w:t>
      </w:r>
      <w:r w:rsidRPr="00F85178">
        <w:t> %), OS Semily (</w:t>
      </w:r>
      <w:r w:rsidR="00692B0F" w:rsidRPr="00F85178">
        <w:t>13,28</w:t>
      </w:r>
      <w:r w:rsidRPr="00F85178">
        <w:t> %)</w:t>
      </w:r>
      <w:r w:rsidR="00692B0F" w:rsidRPr="00F85178">
        <w:t xml:space="preserve"> a OS pro Prahu 7</w:t>
      </w:r>
      <w:r w:rsidR="00DE2124" w:rsidRPr="00F85178">
        <w:t xml:space="preserve"> </w:t>
      </w:r>
      <w:r w:rsidR="00692B0F" w:rsidRPr="00F85178">
        <w:t>(12</w:t>
      </w:r>
      <w:r w:rsidR="005E6382" w:rsidRPr="00F85178">
        <w:t>,</w:t>
      </w:r>
      <w:r w:rsidR="00692B0F" w:rsidRPr="00F85178">
        <w:t xml:space="preserve">30 %). Obzvlášť vysoká míra odvolání u OS Praha 2 má své odůvodnění. Tento soud je totiž specializovaný a velkou část jeho agendy tvoří spory týkající se odpovědnosti státu a územních samosprávných celků za škodu způsobenou při výkonu veřejné moci podle zákona č. 82/1998 Sb., například spory o náhradu škody způsobené nesprávným úředním postupem nebo nepřiměřenou délkou soudního řízení. Míra odvolání je v těchto sporech velmi vysoká – přibližně 60 %. Nejnižší je míra odvolání u OS Beroun (2,85 %), OS </w:t>
      </w:r>
      <w:r w:rsidR="009301BE" w:rsidRPr="00F85178">
        <w:t>Kutná Hora</w:t>
      </w:r>
      <w:r w:rsidR="00692B0F" w:rsidRPr="00F85178">
        <w:t xml:space="preserve"> (</w:t>
      </w:r>
      <w:r w:rsidR="009301BE" w:rsidRPr="00F85178">
        <w:t>2,92</w:t>
      </w:r>
      <w:r w:rsidR="00692B0F" w:rsidRPr="00F85178">
        <w:t xml:space="preserve"> %) a OS </w:t>
      </w:r>
      <w:r w:rsidR="009301BE" w:rsidRPr="00F85178">
        <w:t>Karviná (2,94</w:t>
      </w:r>
      <w:r w:rsidR="00692B0F" w:rsidRPr="00F85178">
        <w:t> %).</w:t>
      </w:r>
    </w:p>
    <w:p w14:paraId="51783EDE" w14:textId="77777777" w:rsidR="00692B0F" w:rsidRPr="00F85178" w:rsidRDefault="00692B0F" w:rsidP="00692B0F">
      <w:pPr>
        <w:pStyle w:val="Podtitul"/>
        <w:rPr>
          <w:color w:val="auto"/>
        </w:rPr>
      </w:pPr>
      <w:bookmarkStart w:id="132" w:name="_Toc515871343"/>
      <w:bookmarkStart w:id="133" w:name="_Toc11135078"/>
      <w:bookmarkStart w:id="134" w:name="_Toc13837510"/>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17</w:t>
      </w:r>
      <w:r w:rsidR="00EE0C8A" w:rsidRPr="00F85178">
        <w:rPr>
          <w:color w:val="auto"/>
        </w:rPr>
        <w:fldChar w:fldCharType="end"/>
      </w:r>
      <w:r w:rsidRPr="00F85178">
        <w:rPr>
          <w:color w:val="auto"/>
        </w:rPr>
        <w:t>: OS – míra odvolání u jednotlivých soudů v civilním řízení</w:t>
      </w:r>
      <w:bookmarkEnd w:id="132"/>
      <w:bookmarkEnd w:id="133"/>
      <w:bookmarkEnd w:id="134"/>
    </w:p>
    <w:p w14:paraId="0D109A00" w14:textId="77777777" w:rsidR="007D03A9" w:rsidRPr="00F85178" w:rsidRDefault="00890295" w:rsidP="007D03A9">
      <w:r>
        <w:rPr>
          <w:noProof/>
          <w:lang w:eastAsia="cs-CZ"/>
        </w:rPr>
        <w:drawing>
          <wp:anchor distT="0" distB="0" distL="114300" distR="114300" simplePos="0" relativeHeight="251648512" behindDoc="0" locked="0" layoutInCell="1" allowOverlap="1" wp14:anchorId="3500B794" wp14:editId="260F4BBE">
            <wp:simplePos x="0" y="0"/>
            <wp:positionH relativeFrom="column">
              <wp:posOffset>4441246</wp:posOffset>
            </wp:positionH>
            <wp:positionV relativeFrom="paragraph">
              <wp:posOffset>27940</wp:posOffset>
            </wp:positionV>
            <wp:extent cx="1288415" cy="942975"/>
            <wp:effectExtent l="0" t="0" r="6985" b="9525"/>
            <wp:wrapNone/>
            <wp:docPr id="117" name="Obráze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88415" cy="9429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581C3FC6" wp14:editId="4EC76279">
            <wp:extent cx="5759450" cy="3329940"/>
            <wp:effectExtent l="0" t="0" r="0" b="0"/>
            <wp:docPr id="18" name="Obráze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1"/>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50F0B330" w14:textId="77777777" w:rsidR="00203DBF" w:rsidRPr="00F85178" w:rsidRDefault="00203DBF" w:rsidP="00203DBF">
      <w:pPr>
        <w:pStyle w:val="OdstavecASR"/>
      </w:pPr>
      <w:r w:rsidRPr="00F85178">
        <w:t>Dalším sledovaným ukazatelem je míra změny rozsudku. Jedná se o podíl věcí v procentech, ve kterých odvolací soud na podkladě odvolání změnil rozhodnutí soudu I. stupně. Jako změna rozsudku jsou započítány i případy, kdy bylo rozhodnutí soudu I. stupně u odvolacího soudu zrušeno nebo vráceno soudu I. stupně.</w:t>
      </w:r>
    </w:p>
    <w:p w14:paraId="3D171353" w14:textId="77777777" w:rsidR="00203DBF" w:rsidRPr="00F85178" w:rsidRDefault="00203DBF" w:rsidP="00203DBF">
      <w:pPr>
        <w:pStyle w:val="Podtitul"/>
        <w:rPr>
          <w:color w:val="auto"/>
        </w:rPr>
      </w:pPr>
      <w:bookmarkStart w:id="135" w:name="_Toc515871445"/>
      <w:bookmarkStart w:id="136" w:name="_Toc11133214"/>
      <w:bookmarkStart w:id="137" w:name="_Toc1383743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12</w:t>
      </w:r>
      <w:r w:rsidRPr="00F85178">
        <w:rPr>
          <w:noProof/>
          <w:color w:val="auto"/>
        </w:rPr>
        <w:fldChar w:fldCharType="end"/>
      </w:r>
      <w:r w:rsidRPr="00F85178">
        <w:rPr>
          <w:color w:val="auto"/>
        </w:rPr>
        <w:t>: OS – míra změny rozsudku dle krajů v civilním řízení</w:t>
      </w:r>
      <w:bookmarkEnd w:id="135"/>
      <w:bookmarkEnd w:id="136"/>
      <w:bookmarkEnd w:id="137"/>
    </w:p>
    <w:tbl>
      <w:tblPr>
        <w:tblW w:w="5920" w:type="dxa"/>
        <w:tblInd w:w="70" w:type="dxa"/>
        <w:tblCellMar>
          <w:left w:w="70" w:type="dxa"/>
          <w:right w:w="70" w:type="dxa"/>
        </w:tblCellMar>
        <w:tblLook w:val="04A0" w:firstRow="1" w:lastRow="0" w:firstColumn="1" w:lastColumn="0" w:noHBand="0" w:noVBand="1"/>
      </w:tblPr>
      <w:tblGrid>
        <w:gridCol w:w="2480"/>
        <w:gridCol w:w="1637"/>
        <w:gridCol w:w="1803"/>
      </w:tblGrid>
      <w:tr w:rsidR="00F85178" w:rsidRPr="00F85178" w14:paraId="209971D4" w14:textId="77777777" w:rsidTr="00203DBF">
        <w:trPr>
          <w:trHeight w:val="345"/>
        </w:trPr>
        <w:tc>
          <w:tcPr>
            <w:tcW w:w="2480" w:type="dxa"/>
            <w:tcBorders>
              <w:top w:val="double" w:sz="6" w:space="0" w:color="auto"/>
              <w:left w:val="nil"/>
              <w:bottom w:val="double" w:sz="6" w:space="0" w:color="auto"/>
              <w:right w:val="nil"/>
            </w:tcBorders>
            <w:shd w:val="clear" w:color="auto" w:fill="auto"/>
            <w:noWrap/>
            <w:vAlign w:val="center"/>
            <w:hideMark/>
          </w:tcPr>
          <w:p w14:paraId="394D3DA8" w14:textId="77777777" w:rsidR="00203DBF" w:rsidRPr="00F85178" w:rsidRDefault="00203DBF" w:rsidP="00203DBF">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3440" w:type="dxa"/>
            <w:gridSpan w:val="2"/>
            <w:tcBorders>
              <w:top w:val="double" w:sz="6" w:space="0" w:color="auto"/>
              <w:left w:val="nil"/>
              <w:bottom w:val="double" w:sz="6" w:space="0" w:color="auto"/>
              <w:right w:val="nil"/>
            </w:tcBorders>
            <w:shd w:val="clear" w:color="auto" w:fill="auto"/>
            <w:noWrap/>
            <w:vAlign w:val="center"/>
            <w:hideMark/>
          </w:tcPr>
          <w:p w14:paraId="63431C16" w14:textId="77777777" w:rsidR="00203DBF" w:rsidRPr="00F85178" w:rsidRDefault="00203DBF" w:rsidP="00203DBF">
            <w:pPr>
              <w:spacing w:line="240" w:lineRule="auto"/>
              <w:jc w:val="center"/>
              <w:rPr>
                <w:rFonts w:eastAsia="Times New Roman"/>
                <w:b/>
                <w:bCs/>
                <w:szCs w:val="24"/>
                <w:lang w:eastAsia="cs-CZ"/>
              </w:rPr>
            </w:pPr>
            <w:r w:rsidRPr="00F85178">
              <w:rPr>
                <w:rFonts w:eastAsia="Times New Roman"/>
                <w:b/>
                <w:bCs/>
                <w:szCs w:val="24"/>
                <w:lang w:eastAsia="cs-CZ"/>
              </w:rPr>
              <w:t>Míra změny rozsudku</w:t>
            </w:r>
          </w:p>
        </w:tc>
      </w:tr>
      <w:tr w:rsidR="00F85178" w:rsidRPr="00F85178" w14:paraId="18D40B28" w14:textId="77777777" w:rsidTr="00203DBF">
        <w:trPr>
          <w:trHeight w:val="330"/>
        </w:trPr>
        <w:tc>
          <w:tcPr>
            <w:tcW w:w="2480" w:type="dxa"/>
            <w:tcBorders>
              <w:top w:val="nil"/>
              <w:left w:val="nil"/>
              <w:bottom w:val="single" w:sz="4" w:space="0" w:color="auto"/>
              <w:right w:val="nil"/>
            </w:tcBorders>
            <w:shd w:val="clear" w:color="auto" w:fill="auto"/>
            <w:noWrap/>
            <w:vAlign w:val="bottom"/>
            <w:hideMark/>
          </w:tcPr>
          <w:p w14:paraId="39B092D4"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MS Praha</w:t>
            </w:r>
          </w:p>
        </w:tc>
        <w:tc>
          <w:tcPr>
            <w:tcW w:w="1637" w:type="dxa"/>
            <w:tcBorders>
              <w:top w:val="nil"/>
              <w:left w:val="nil"/>
              <w:bottom w:val="single" w:sz="4" w:space="0" w:color="auto"/>
              <w:right w:val="nil"/>
            </w:tcBorders>
            <w:shd w:val="clear" w:color="auto" w:fill="auto"/>
            <w:noWrap/>
            <w:vAlign w:val="bottom"/>
            <w:hideMark/>
          </w:tcPr>
          <w:p w14:paraId="45FDAD6D"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38,1 %</w:t>
            </w:r>
          </w:p>
        </w:tc>
        <w:tc>
          <w:tcPr>
            <w:tcW w:w="1803" w:type="dxa"/>
            <w:tcBorders>
              <w:top w:val="single" w:sz="4" w:space="0" w:color="auto"/>
              <w:left w:val="nil"/>
              <w:bottom w:val="single" w:sz="4" w:space="0" w:color="auto"/>
              <w:right w:val="nil"/>
            </w:tcBorders>
            <w:shd w:val="clear" w:color="auto" w:fill="auto"/>
            <w:noWrap/>
            <w:vAlign w:val="center"/>
            <w:hideMark/>
          </w:tcPr>
          <w:p w14:paraId="2FF30358"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4,9 p. b.</w:t>
            </w:r>
          </w:p>
        </w:tc>
      </w:tr>
      <w:tr w:rsidR="00F85178" w:rsidRPr="00F85178" w14:paraId="2C833F21"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19BCBC40"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Praha</w:t>
            </w:r>
          </w:p>
        </w:tc>
        <w:tc>
          <w:tcPr>
            <w:tcW w:w="1637" w:type="dxa"/>
            <w:tcBorders>
              <w:top w:val="nil"/>
              <w:left w:val="nil"/>
              <w:bottom w:val="single" w:sz="4" w:space="0" w:color="auto"/>
              <w:right w:val="nil"/>
            </w:tcBorders>
            <w:shd w:val="clear" w:color="auto" w:fill="auto"/>
            <w:noWrap/>
            <w:vAlign w:val="bottom"/>
            <w:hideMark/>
          </w:tcPr>
          <w:p w14:paraId="788E97FF"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49,4 %</w:t>
            </w:r>
          </w:p>
        </w:tc>
        <w:tc>
          <w:tcPr>
            <w:tcW w:w="1803" w:type="dxa"/>
            <w:tcBorders>
              <w:top w:val="nil"/>
              <w:left w:val="nil"/>
              <w:bottom w:val="single" w:sz="4" w:space="0" w:color="auto"/>
              <w:right w:val="nil"/>
            </w:tcBorders>
            <w:shd w:val="clear" w:color="auto" w:fill="auto"/>
            <w:noWrap/>
            <w:vAlign w:val="center"/>
            <w:hideMark/>
          </w:tcPr>
          <w:p w14:paraId="116A0D0C"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2,7 p. b.</w:t>
            </w:r>
          </w:p>
        </w:tc>
      </w:tr>
      <w:tr w:rsidR="00F85178" w:rsidRPr="00F85178" w14:paraId="05DA7A69"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4219B08D"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Č. Budějovice</w:t>
            </w:r>
          </w:p>
        </w:tc>
        <w:tc>
          <w:tcPr>
            <w:tcW w:w="1637" w:type="dxa"/>
            <w:tcBorders>
              <w:top w:val="nil"/>
              <w:left w:val="nil"/>
              <w:bottom w:val="single" w:sz="4" w:space="0" w:color="auto"/>
              <w:right w:val="nil"/>
            </w:tcBorders>
            <w:shd w:val="clear" w:color="auto" w:fill="auto"/>
            <w:noWrap/>
            <w:vAlign w:val="bottom"/>
            <w:hideMark/>
          </w:tcPr>
          <w:p w14:paraId="6E96E9B6"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48,7 %</w:t>
            </w:r>
          </w:p>
        </w:tc>
        <w:tc>
          <w:tcPr>
            <w:tcW w:w="1803" w:type="dxa"/>
            <w:tcBorders>
              <w:top w:val="nil"/>
              <w:left w:val="nil"/>
              <w:bottom w:val="single" w:sz="4" w:space="0" w:color="auto"/>
              <w:right w:val="nil"/>
            </w:tcBorders>
            <w:shd w:val="clear" w:color="auto" w:fill="auto"/>
            <w:noWrap/>
            <w:vAlign w:val="center"/>
            <w:hideMark/>
          </w:tcPr>
          <w:p w14:paraId="2E90D8D0"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0,1 p. b.</w:t>
            </w:r>
          </w:p>
        </w:tc>
      </w:tr>
      <w:tr w:rsidR="00F85178" w:rsidRPr="00F85178" w14:paraId="4F677A07"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2996AF44"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Plzeň</w:t>
            </w:r>
          </w:p>
        </w:tc>
        <w:tc>
          <w:tcPr>
            <w:tcW w:w="1637" w:type="dxa"/>
            <w:tcBorders>
              <w:top w:val="nil"/>
              <w:left w:val="nil"/>
              <w:bottom w:val="single" w:sz="4" w:space="0" w:color="auto"/>
              <w:right w:val="nil"/>
            </w:tcBorders>
            <w:shd w:val="clear" w:color="auto" w:fill="auto"/>
            <w:noWrap/>
            <w:vAlign w:val="bottom"/>
            <w:hideMark/>
          </w:tcPr>
          <w:p w14:paraId="14CE821F"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51,3 %</w:t>
            </w:r>
          </w:p>
        </w:tc>
        <w:tc>
          <w:tcPr>
            <w:tcW w:w="1803" w:type="dxa"/>
            <w:tcBorders>
              <w:top w:val="nil"/>
              <w:left w:val="nil"/>
              <w:bottom w:val="single" w:sz="4" w:space="0" w:color="auto"/>
              <w:right w:val="nil"/>
            </w:tcBorders>
            <w:shd w:val="clear" w:color="auto" w:fill="auto"/>
            <w:noWrap/>
            <w:vAlign w:val="center"/>
            <w:hideMark/>
          </w:tcPr>
          <w:p w14:paraId="51629E80"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10,1 p. b.</w:t>
            </w:r>
          </w:p>
        </w:tc>
      </w:tr>
      <w:tr w:rsidR="00F85178" w:rsidRPr="00F85178" w14:paraId="398DA24A"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4FC13D1A"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Ústí n. Labem</w:t>
            </w:r>
          </w:p>
        </w:tc>
        <w:tc>
          <w:tcPr>
            <w:tcW w:w="1637" w:type="dxa"/>
            <w:tcBorders>
              <w:top w:val="nil"/>
              <w:left w:val="nil"/>
              <w:bottom w:val="single" w:sz="4" w:space="0" w:color="auto"/>
              <w:right w:val="nil"/>
            </w:tcBorders>
            <w:shd w:val="clear" w:color="auto" w:fill="auto"/>
            <w:noWrap/>
            <w:vAlign w:val="bottom"/>
            <w:hideMark/>
          </w:tcPr>
          <w:p w14:paraId="4351F120"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52,7 %</w:t>
            </w:r>
          </w:p>
        </w:tc>
        <w:tc>
          <w:tcPr>
            <w:tcW w:w="1803" w:type="dxa"/>
            <w:tcBorders>
              <w:top w:val="nil"/>
              <w:left w:val="nil"/>
              <w:bottom w:val="single" w:sz="4" w:space="0" w:color="auto"/>
              <w:right w:val="nil"/>
            </w:tcBorders>
            <w:shd w:val="clear" w:color="auto" w:fill="auto"/>
            <w:noWrap/>
            <w:vAlign w:val="center"/>
            <w:hideMark/>
          </w:tcPr>
          <w:p w14:paraId="399C3AEE"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1,7 p. b.</w:t>
            </w:r>
          </w:p>
        </w:tc>
      </w:tr>
      <w:tr w:rsidR="00F85178" w:rsidRPr="00F85178" w14:paraId="610B9999"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0997C4F5"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Hr. Králové</w:t>
            </w:r>
          </w:p>
        </w:tc>
        <w:tc>
          <w:tcPr>
            <w:tcW w:w="1637" w:type="dxa"/>
            <w:tcBorders>
              <w:top w:val="nil"/>
              <w:left w:val="nil"/>
              <w:bottom w:val="single" w:sz="4" w:space="0" w:color="auto"/>
              <w:right w:val="nil"/>
            </w:tcBorders>
            <w:shd w:val="clear" w:color="auto" w:fill="auto"/>
            <w:noWrap/>
            <w:vAlign w:val="bottom"/>
            <w:hideMark/>
          </w:tcPr>
          <w:p w14:paraId="1E6B96D7"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38,4 %</w:t>
            </w:r>
          </w:p>
        </w:tc>
        <w:tc>
          <w:tcPr>
            <w:tcW w:w="1803" w:type="dxa"/>
            <w:tcBorders>
              <w:top w:val="nil"/>
              <w:left w:val="nil"/>
              <w:bottom w:val="single" w:sz="4" w:space="0" w:color="auto"/>
              <w:right w:val="nil"/>
            </w:tcBorders>
            <w:shd w:val="clear" w:color="auto" w:fill="auto"/>
            <w:noWrap/>
            <w:vAlign w:val="center"/>
            <w:hideMark/>
          </w:tcPr>
          <w:p w14:paraId="2086738D"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3,0 p. b.</w:t>
            </w:r>
          </w:p>
        </w:tc>
      </w:tr>
      <w:tr w:rsidR="00F85178" w:rsidRPr="00F85178" w14:paraId="64BBE280" w14:textId="77777777" w:rsidTr="00203DBF">
        <w:trPr>
          <w:trHeight w:val="315"/>
        </w:trPr>
        <w:tc>
          <w:tcPr>
            <w:tcW w:w="2480" w:type="dxa"/>
            <w:tcBorders>
              <w:top w:val="nil"/>
              <w:left w:val="nil"/>
              <w:bottom w:val="single" w:sz="4" w:space="0" w:color="auto"/>
              <w:right w:val="nil"/>
            </w:tcBorders>
            <w:shd w:val="clear" w:color="auto" w:fill="auto"/>
            <w:noWrap/>
            <w:vAlign w:val="bottom"/>
            <w:hideMark/>
          </w:tcPr>
          <w:p w14:paraId="15107753"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Brno</w:t>
            </w:r>
          </w:p>
        </w:tc>
        <w:tc>
          <w:tcPr>
            <w:tcW w:w="1637" w:type="dxa"/>
            <w:tcBorders>
              <w:top w:val="nil"/>
              <w:left w:val="nil"/>
              <w:bottom w:val="single" w:sz="4" w:space="0" w:color="auto"/>
              <w:right w:val="nil"/>
            </w:tcBorders>
            <w:shd w:val="clear" w:color="auto" w:fill="auto"/>
            <w:noWrap/>
            <w:vAlign w:val="bottom"/>
            <w:hideMark/>
          </w:tcPr>
          <w:p w14:paraId="33BE5E7B"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45,6 %</w:t>
            </w:r>
          </w:p>
        </w:tc>
        <w:tc>
          <w:tcPr>
            <w:tcW w:w="1803" w:type="dxa"/>
            <w:tcBorders>
              <w:top w:val="nil"/>
              <w:left w:val="nil"/>
              <w:bottom w:val="single" w:sz="4" w:space="0" w:color="auto"/>
              <w:right w:val="nil"/>
            </w:tcBorders>
            <w:shd w:val="clear" w:color="auto" w:fill="auto"/>
            <w:noWrap/>
            <w:vAlign w:val="center"/>
            <w:hideMark/>
          </w:tcPr>
          <w:p w14:paraId="293B586C"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5,5 p. b.</w:t>
            </w:r>
          </w:p>
        </w:tc>
      </w:tr>
      <w:tr w:rsidR="00F85178" w:rsidRPr="00F85178" w14:paraId="65C895A8" w14:textId="77777777" w:rsidTr="00203DBF">
        <w:trPr>
          <w:trHeight w:val="330"/>
        </w:trPr>
        <w:tc>
          <w:tcPr>
            <w:tcW w:w="2480" w:type="dxa"/>
            <w:tcBorders>
              <w:top w:val="nil"/>
              <w:left w:val="nil"/>
              <w:bottom w:val="double" w:sz="6" w:space="0" w:color="auto"/>
              <w:right w:val="nil"/>
            </w:tcBorders>
            <w:shd w:val="clear" w:color="auto" w:fill="auto"/>
            <w:noWrap/>
            <w:vAlign w:val="bottom"/>
            <w:hideMark/>
          </w:tcPr>
          <w:p w14:paraId="16ED3C58" w14:textId="77777777" w:rsidR="00203DBF" w:rsidRPr="00F85178" w:rsidRDefault="00203DBF" w:rsidP="00203DBF">
            <w:pPr>
              <w:spacing w:line="240" w:lineRule="auto"/>
              <w:jc w:val="left"/>
              <w:rPr>
                <w:rFonts w:eastAsia="Times New Roman"/>
                <w:szCs w:val="24"/>
                <w:lang w:eastAsia="cs-CZ"/>
              </w:rPr>
            </w:pPr>
            <w:r w:rsidRPr="00F85178">
              <w:rPr>
                <w:rFonts w:eastAsia="Times New Roman"/>
                <w:szCs w:val="24"/>
                <w:lang w:eastAsia="cs-CZ"/>
              </w:rPr>
              <w:t>KS Ostrava</w:t>
            </w:r>
          </w:p>
        </w:tc>
        <w:tc>
          <w:tcPr>
            <w:tcW w:w="1637" w:type="dxa"/>
            <w:tcBorders>
              <w:top w:val="nil"/>
              <w:left w:val="nil"/>
              <w:bottom w:val="double" w:sz="6" w:space="0" w:color="auto"/>
              <w:right w:val="nil"/>
            </w:tcBorders>
            <w:shd w:val="clear" w:color="auto" w:fill="auto"/>
            <w:noWrap/>
            <w:vAlign w:val="bottom"/>
            <w:hideMark/>
          </w:tcPr>
          <w:p w14:paraId="2630A867" w14:textId="77777777" w:rsidR="00203DBF" w:rsidRPr="00F85178" w:rsidRDefault="00203DBF" w:rsidP="00203DBF">
            <w:pPr>
              <w:spacing w:line="240" w:lineRule="auto"/>
              <w:jc w:val="center"/>
              <w:rPr>
                <w:rFonts w:eastAsia="Times New Roman"/>
                <w:szCs w:val="24"/>
                <w:lang w:eastAsia="cs-CZ"/>
              </w:rPr>
            </w:pPr>
            <w:r w:rsidRPr="00F85178">
              <w:rPr>
                <w:rFonts w:eastAsia="Times New Roman"/>
                <w:szCs w:val="24"/>
                <w:lang w:eastAsia="cs-CZ"/>
              </w:rPr>
              <w:t>46,7 %</w:t>
            </w:r>
          </w:p>
        </w:tc>
        <w:tc>
          <w:tcPr>
            <w:tcW w:w="1803" w:type="dxa"/>
            <w:tcBorders>
              <w:top w:val="nil"/>
              <w:left w:val="nil"/>
              <w:bottom w:val="double" w:sz="6" w:space="0" w:color="auto"/>
              <w:right w:val="nil"/>
            </w:tcBorders>
            <w:shd w:val="clear" w:color="auto" w:fill="auto"/>
            <w:noWrap/>
            <w:vAlign w:val="center"/>
            <w:hideMark/>
          </w:tcPr>
          <w:p w14:paraId="33B9463E" w14:textId="77777777" w:rsidR="00203DBF" w:rsidRPr="00C57D5E" w:rsidRDefault="00096015" w:rsidP="00203DBF">
            <w:pPr>
              <w:spacing w:line="240" w:lineRule="auto"/>
              <w:jc w:val="center"/>
              <w:rPr>
                <w:rFonts w:eastAsia="Times New Roman"/>
                <w:sz w:val="20"/>
                <w:szCs w:val="24"/>
                <w:lang w:eastAsia="cs-CZ"/>
              </w:rPr>
            </w:pPr>
            <w:r w:rsidRPr="00C57D5E">
              <w:rPr>
                <w:rFonts w:eastAsia="Times New Roman"/>
                <w:sz w:val="20"/>
                <w:szCs w:val="24"/>
                <w:lang w:eastAsia="cs-CZ"/>
              </w:rPr>
              <w:t>+</w:t>
            </w:r>
            <w:r w:rsidR="00203DBF" w:rsidRPr="00C57D5E">
              <w:rPr>
                <w:rFonts w:eastAsia="Times New Roman"/>
                <w:sz w:val="20"/>
                <w:szCs w:val="24"/>
                <w:lang w:eastAsia="cs-CZ"/>
              </w:rPr>
              <w:t>5,9 p. b.</w:t>
            </w:r>
          </w:p>
        </w:tc>
      </w:tr>
      <w:tr w:rsidR="00F85178" w:rsidRPr="00F85178" w14:paraId="41BC3BDC" w14:textId="77777777" w:rsidTr="00203DBF">
        <w:trPr>
          <w:trHeight w:val="345"/>
        </w:trPr>
        <w:tc>
          <w:tcPr>
            <w:tcW w:w="2480" w:type="dxa"/>
            <w:tcBorders>
              <w:top w:val="double" w:sz="6" w:space="0" w:color="auto"/>
              <w:left w:val="nil"/>
              <w:bottom w:val="double" w:sz="4" w:space="0" w:color="auto"/>
              <w:right w:val="nil"/>
            </w:tcBorders>
            <w:shd w:val="clear" w:color="auto" w:fill="auto"/>
            <w:noWrap/>
            <w:vAlign w:val="bottom"/>
            <w:hideMark/>
          </w:tcPr>
          <w:p w14:paraId="5B2245C4" w14:textId="77777777" w:rsidR="00203DBF" w:rsidRPr="00F85178" w:rsidRDefault="00203DBF" w:rsidP="00203DBF">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637" w:type="dxa"/>
            <w:tcBorders>
              <w:top w:val="nil"/>
              <w:left w:val="nil"/>
              <w:bottom w:val="double" w:sz="6" w:space="0" w:color="auto"/>
              <w:right w:val="nil"/>
            </w:tcBorders>
            <w:shd w:val="clear" w:color="auto" w:fill="auto"/>
            <w:noWrap/>
            <w:vAlign w:val="bottom"/>
            <w:hideMark/>
          </w:tcPr>
          <w:p w14:paraId="4CDB5415" w14:textId="77777777" w:rsidR="00203DBF" w:rsidRPr="00F85178" w:rsidRDefault="00203DBF" w:rsidP="00203DBF">
            <w:pPr>
              <w:spacing w:line="240" w:lineRule="auto"/>
              <w:jc w:val="center"/>
              <w:rPr>
                <w:rFonts w:eastAsia="Times New Roman"/>
                <w:b/>
                <w:bCs/>
                <w:szCs w:val="24"/>
                <w:lang w:eastAsia="cs-CZ"/>
              </w:rPr>
            </w:pPr>
            <w:r w:rsidRPr="00F85178">
              <w:rPr>
                <w:rFonts w:eastAsia="Times New Roman"/>
                <w:b/>
                <w:bCs/>
                <w:szCs w:val="24"/>
                <w:lang w:eastAsia="cs-CZ"/>
              </w:rPr>
              <w:t>43,8 %</w:t>
            </w:r>
          </w:p>
        </w:tc>
        <w:tc>
          <w:tcPr>
            <w:tcW w:w="1803" w:type="dxa"/>
            <w:tcBorders>
              <w:top w:val="nil"/>
              <w:left w:val="nil"/>
              <w:bottom w:val="double" w:sz="6" w:space="0" w:color="auto"/>
              <w:right w:val="nil"/>
            </w:tcBorders>
            <w:shd w:val="clear" w:color="auto" w:fill="auto"/>
            <w:noWrap/>
            <w:vAlign w:val="center"/>
            <w:hideMark/>
          </w:tcPr>
          <w:p w14:paraId="15358857" w14:textId="77777777" w:rsidR="00203DBF" w:rsidRPr="00C57D5E" w:rsidRDefault="00096015" w:rsidP="00203DBF">
            <w:pPr>
              <w:spacing w:line="240" w:lineRule="auto"/>
              <w:jc w:val="center"/>
              <w:rPr>
                <w:rFonts w:eastAsia="Times New Roman"/>
                <w:b/>
                <w:bCs/>
                <w:sz w:val="20"/>
                <w:szCs w:val="24"/>
                <w:lang w:eastAsia="cs-CZ"/>
              </w:rPr>
            </w:pPr>
            <w:r w:rsidRPr="00C57D5E">
              <w:rPr>
                <w:rFonts w:eastAsia="Times New Roman"/>
                <w:b/>
                <w:bCs/>
                <w:sz w:val="20"/>
                <w:szCs w:val="24"/>
                <w:lang w:eastAsia="cs-CZ"/>
              </w:rPr>
              <w:t>+</w:t>
            </w:r>
            <w:r w:rsidR="00203DBF" w:rsidRPr="00C57D5E">
              <w:rPr>
                <w:rFonts w:eastAsia="Times New Roman"/>
                <w:b/>
                <w:bCs/>
                <w:sz w:val="20"/>
                <w:szCs w:val="24"/>
                <w:lang w:eastAsia="cs-CZ"/>
              </w:rPr>
              <w:t>1,8 p. b.</w:t>
            </w:r>
          </w:p>
        </w:tc>
      </w:tr>
    </w:tbl>
    <w:p w14:paraId="6D5140FC" w14:textId="77777777" w:rsidR="00203DBF" w:rsidRPr="00F85178" w:rsidRDefault="00203DBF" w:rsidP="00367FDC">
      <w:pPr>
        <w:pStyle w:val="OdstavecASR"/>
      </w:pPr>
    </w:p>
    <w:p w14:paraId="6136EA1F" w14:textId="77777777" w:rsidR="00367FDC" w:rsidRPr="00F85178" w:rsidRDefault="00367FDC">
      <w:pPr>
        <w:spacing w:line="240" w:lineRule="auto"/>
        <w:jc w:val="left"/>
      </w:pPr>
    </w:p>
    <w:p w14:paraId="12C09ABB" w14:textId="77777777" w:rsidR="00367FDC" w:rsidRPr="00F85178" w:rsidRDefault="00692B0F" w:rsidP="00692B0F">
      <w:pPr>
        <w:pStyle w:val="Podtitul"/>
        <w:rPr>
          <w:color w:val="auto"/>
        </w:rPr>
      </w:pPr>
      <w:bookmarkStart w:id="138" w:name="_Toc515871344"/>
      <w:bookmarkStart w:id="139" w:name="_Toc11135079"/>
      <w:bookmarkStart w:id="140" w:name="_Toc13837511"/>
      <w:r w:rsidRPr="00F85178">
        <w:rPr>
          <w:color w:val="auto"/>
        </w:rPr>
        <w:t xml:space="preserve">Graf </w:t>
      </w:r>
      <w:r w:rsidR="00EE0C8A" w:rsidRPr="00F85178">
        <w:rPr>
          <w:color w:val="auto"/>
        </w:rPr>
        <w:fldChar w:fldCharType="begin"/>
      </w:r>
      <w:r w:rsidR="00EE0C8A" w:rsidRPr="00F85178">
        <w:rPr>
          <w:color w:val="auto"/>
        </w:rPr>
        <w:instrText xml:space="preserve"> SEQ Graf \* ARABIC </w:instrText>
      </w:r>
      <w:r w:rsidR="00EE0C8A" w:rsidRPr="00F85178">
        <w:rPr>
          <w:color w:val="auto"/>
        </w:rPr>
        <w:fldChar w:fldCharType="separate"/>
      </w:r>
      <w:r w:rsidR="00306940">
        <w:rPr>
          <w:noProof/>
          <w:color w:val="auto"/>
        </w:rPr>
        <w:t>18</w:t>
      </w:r>
      <w:r w:rsidR="00EE0C8A" w:rsidRPr="00F85178">
        <w:rPr>
          <w:color w:val="auto"/>
        </w:rPr>
        <w:fldChar w:fldCharType="end"/>
      </w:r>
      <w:r w:rsidRPr="00F85178">
        <w:rPr>
          <w:color w:val="auto"/>
        </w:rPr>
        <w:t>: OS – míra změny rozsudku u jednotlivých soudů v civilním řízení</w:t>
      </w:r>
      <w:bookmarkEnd w:id="138"/>
      <w:bookmarkEnd w:id="139"/>
      <w:bookmarkEnd w:id="140"/>
    </w:p>
    <w:p w14:paraId="01FCA7E4" w14:textId="77777777" w:rsidR="00692B0F" w:rsidRPr="00F85178" w:rsidRDefault="00890295" w:rsidP="00367FDC">
      <w:pPr>
        <w:pStyle w:val="OdstavecASR"/>
      </w:pPr>
      <w:r>
        <w:rPr>
          <w:noProof/>
          <w:lang w:eastAsia="cs-CZ"/>
        </w:rPr>
        <w:drawing>
          <wp:anchor distT="0" distB="0" distL="114300" distR="114300" simplePos="0" relativeHeight="251652608" behindDoc="0" locked="0" layoutInCell="1" allowOverlap="1" wp14:anchorId="5219AA1A" wp14:editId="6C25A17F">
            <wp:simplePos x="0" y="0"/>
            <wp:positionH relativeFrom="column">
              <wp:posOffset>4464741</wp:posOffset>
            </wp:positionH>
            <wp:positionV relativeFrom="paragraph">
              <wp:posOffset>69850</wp:posOffset>
            </wp:positionV>
            <wp:extent cx="1249680" cy="914400"/>
            <wp:effectExtent l="0" t="0" r="7620" b="0"/>
            <wp:wrapNone/>
            <wp:docPr id="116"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5"/>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1249680" cy="914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2B40DE6B" wp14:editId="72A16F88">
            <wp:extent cx="5759450" cy="3329940"/>
            <wp:effectExtent l="0" t="0" r="0" b="0"/>
            <wp:docPr id="19" name="Obráze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54C192E5" w14:textId="77777777" w:rsidR="00096015" w:rsidRPr="00F85178" w:rsidRDefault="00B14B12" w:rsidP="00096015">
      <w:pPr>
        <w:pStyle w:val="OdstavecASR"/>
      </w:pPr>
      <w:r w:rsidRPr="00F85178">
        <w:t xml:space="preserve">Míra změny rozsudku je nejnižší v Praze a v Královehradeckém kraji. </w:t>
      </w:r>
      <w:r w:rsidR="00096015" w:rsidRPr="00F85178">
        <w:t xml:space="preserve">Z okresních soudů mají nejnižší míru změny rozsudku OS pro Prahu 3 (20,73 %), OS Beroun (21,74 %) a OS Hradec Králové (24,46 %). Na druhém konci se nacházejí OS </w:t>
      </w:r>
      <w:r w:rsidR="0009387E" w:rsidRPr="00F85178">
        <w:t>Tachov</w:t>
      </w:r>
      <w:r w:rsidR="00096015" w:rsidRPr="00F85178">
        <w:t xml:space="preserve"> (7</w:t>
      </w:r>
      <w:r w:rsidR="0009387E" w:rsidRPr="00F85178">
        <w:t>6,19</w:t>
      </w:r>
      <w:r w:rsidR="00096015" w:rsidRPr="00F85178">
        <w:t xml:space="preserve"> %), OS </w:t>
      </w:r>
      <w:r w:rsidR="0009387E" w:rsidRPr="00F85178">
        <w:t>Domažlice (67,39</w:t>
      </w:r>
      <w:r w:rsidR="00096015" w:rsidRPr="00F85178">
        <w:t> %) a OS </w:t>
      </w:r>
      <w:r w:rsidR="0009387E" w:rsidRPr="00F85178">
        <w:t>Jindřichův Hradec (66,67</w:t>
      </w:r>
      <w:r w:rsidR="00096015" w:rsidRPr="00F85178">
        <w:t> %).</w:t>
      </w:r>
    </w:p>
    <w:p w14:paraId="083EB473" w14:textId="77777777" w:rsidR="0032015B" w:rsidRDefault="004B2586" w:rsidP="004B2586">
      <w:pPr>
        <w:pStyle w:val="OdstavecASR"/>
      </w:pPr>
      <w:bookmarkStart w:id="141" w:name="Celkova_mira_zmeny_rozs_OS"/>
      <w:bookmarkEnd w:id="141"/>
      <w:r w:rsidRPr="00F85178">
        <w:t xml:space="preserve">Vynásobením míry odvolání a míry změny rozsudku dostaneme podíl věcí, ve kterých odvolací soud nakonec změnil rozhodnutí soudu I. stupně ke všem prvostupňovým rozhodnutím. Tento ukazatel budeme nazývat </w:t>
      </w:r>
      <w:r w:rsidRPr="00F85178">
        <w:rPr>
          <w:i/>
        </w:rPr>
        <w:t>míra celkové změny rozsudku</w:t>
      </w:r>
      <w:r w:rsidRPr="00F85178">
        <w:t>. Tato míra se v</w:t>
      </w:r>
      <w:r w:rsidR="00C8288A" w:rsidRPr="00F85178">
        <w:t> </w:t>
      </w:r>
      <w:r w:rsidRPr="00F85178">
        <w:t>roce</w:t>
      </w:r>
      <w:r w:rsidR="00C8288A" w:rsidRPr="00F85178">
        <w:t xml:space="preserve"> 2016 rovnala 8,56% </w:t>
      </w:r>
      <w:r w:rsidR="005E6382" w:rsidRPr="00F85178">
        <w:t>×</w:t>
      </w:r>
      <w:r w:rsidR="00C8288A" w:rsidRPr="00F85178">
        <w:t xml:space="preserve"> 42,77% = 3,66%, v roce</w:t>
      </w:r>
      <w:r w:rsidRPr="00F85178">
        <w:t xml:space="preserve"> 2017 </w:t>
      </w:r>
      <w:r w:rsidR="00C8288A" w:rsidRPr="00F85178">
        <w:t xml:space="preserve">byla </w:t>
      </w:r>
      <w:r w:rsidRPr="00F85178">
        <w:t xml:space="preserve">8,36 % × 41,96 % </w:t>
      </w:r>
      <w:r w:rsidRPr="00F85178">
        <w:rPr>
          <w:rFonts w:ascii="Cambria Math" w:hAnsi="Cambria Math" w:cs="Cambria Math"/>
        </w:rPr>
        <w:t>≐</w:t>
      </w:r>
      <w:r w:rsidRPr="00F85178">
        <w:t xml:space="preserve"> 3,51 %, v roce 2018 </w:t>
      </w:r>
      <w:r w:rsidR="00C8288A" w:rsidRPr="00F85178">
        <w:t>7</w:t>
      </w:r>
      <w:r w:rsidRPr="00F85178">
        <w:t xml:space="preserve">,76 % × 43,8 % </w:t>
      </w:r>
      <w:r w:rsidRPr="00F85178">
        <w:rPr>
          <w:rFonts w:ascii="Cambria Math" w:hAnsi="Cambria Math" w:cs="Cambria Math"/>
        </w:rPr>
        <w:t>≐</w:t>
      </w:r>
      <w:r w:rsidRPr="00F85178">
        <w:t xml:space="preserve"> </w:t>
      </w:r>
      <w:r w:rsidR="00C8288A" w:rsidRPr="00F85178">
        <w:t>3,39</w:t>
      </w:r>
      <w:r w:rsidRPr="00F85178">
        <w:t xml:space="preserve">. </w:t>
      </w:r>
      <w:r w:rsidR="00C8288A" w:rsidRPr="00F85178">
        <w:t xml:space="preserve">Míra celkové změny rozsudku se </w:t>
      </w:r>
      <w:r w:rsidR="00A07007" w:rsidRPr="00F85178">
        <w:t xml:space="preserve">tedy </w:t>
      </w:r>
      <w:r w:rsidR="00C8288A" w:rsidRPr="00F85178">
        <w:t xml:space="preserve">během posledních let postupně </w:t>
      </w:r>
      <w:r w:rsidR="00A07007" w:rsidRPr="00F85178">
        <w:t xml:space="preserve">velmi mírně </w:t>
      </w:r>
      <w:r w:rsidR="00C8288A" w:rsidRPr="00F85178">
        <w:t>snižuje</w:t>
      </w:r>
      <w:r w:rsidR="00A07007" w:rsidRPr="00F85178">
        <w:t>.</w:t>
      </w:r>
    </w:p>
    <w:p w14:paraId="5E8EFA1F" w14:textId="259CB7AA" w:rsidR="00A57A41" w:rsidRPr="00F85178" w:rsidRDefault="00012A15" w:rsidP="00012A15">
      <w:pPr>
        <w:pStyle w:val="OdstavecASR"/>
      </w:pPr>
      <w:r w:rsidRPr="00F85178">
        <w:t>V loňské verzi publikace jsme se krátce podívali na výši přiznaných nároků. Přiznané nároky budou zkoumány i letos, nicméně pro změnu budou zobrazeny jiným způsobem</w:t>
      </w:r>
      <w:r w:rsidR="00DE2124" w:rsidRPr="00F85178">
        <w:t>, a to</w:t>
      </w:r>
      <w:r w:rsidR="007C1BD8" w:rsidRPr="00F85178">
        <w:t xml:space="preserve"> </w:t>
      </w:r>
      <w:r w:rsidR="00AA5F73" w:rsidRPr="00F85178">
        <w:t>pomocí kumulativní četnosti. Na svislé ose j</w:t>
      </w:r>
      <w:r w:rsidR="00A07007" w:rsidRPr="00F85178">
        <w:t>e</w:t>
      </w:r>
      <w:r w:rsidR="00AA5F73" w:rsidRPr="00F85178">
        <w:t xml:space="preserve"> </w:t>
      </w:r>
      <w:r w:rsidR="00A07007" w:rsidRPr="00F85178">
        <w:t>za</w:t>
      </w:r>
      <w:r w:rsidR="00AA5F73" w:rsidRPr="00F85178">
        <w:t xml:space="preserve">nesena kumulativní </w:t>
      </w:r>
      <w:r w:rsidR="00A07007" w:rsidRPr="00F85178">
        <w:t xml:space="preserve">četnost </w:t>
      </w:r>
      <w:r w:rsidR="00EC030C" w:rsidRPr="00F85178">
        <w:t>(např. 50</w:t>
      </w:r>
      <w:r w:rsidR="00DE2124" w:rsidRPr="00F85178">
        <w:t xml:space="preserve"> </w:t>
      </w:r>
      <w:r w:rsidR="00EC030C" w:rsidRPr="00F85178">
        <w:t xml:space="preserve">% odpovídá </w:t>
      </w:r>
      <w:proofErr w:type="gramStart"/>
      <w:r w:rsidR="00EC030C" w:rsidRPr="00F85178">
        <w:t>číslu</w:t>
      </w:r>
      <w:r w:rsidR="005E6382" w:rsidRPr="00F85178">
        <w:t> </w:t>
      </w:r>
      <w:r w:rsidR="00E16954">
        <w:t>.</w:t>
      </w:r>
      <w:r w:rsidR="00EC030C" w:rsidRPr="00F85178">
        <w:t>5)</w:t>
      </w:r>
      <w:r w:rsidR="00AA5F73" w:rsidRPr="00F85178">
        <w:t>,</w:t>
      </w:r>
      <w:r w:rsidR="00A07007" w:rsidRPr="00F85178">
        <w:t xml:space="preserve"> </w:t>
      </w:r>
      <w:r w:rsidR="00AA5F73" w:rsidRPr="00F85178">
        <w:t>na</w:t>
      </w:r>
      <w:proofErr w:type="gramEnd"/>
      <w:r w:rsidR="00AA5F73" w:rsidRPr="00F85178">
        <w:t xml:space="preserve"> vodorovné ose </w:t>
      </w:r>
      <w:r w:rsidR="00A07007" w:rsidRPr="00F85178">
        <w:t xml:space="preserve">jsou částky v </w:t>
      </w:r>
      <w:r w:rsidR="00AA5F73" w:rsidRPr="00F85178">
        <w:t xml:space="preserve">Kč. Kumulativní </w:t>
      </w:r>
      <w:r w:rsidR="00A07007" w:rsidRPr="00F85178">
        <w:t>četnost</w:t>
      </w:r>
      <w:r w:rsidR="00AA5F73" w:rsidRPr="00F85178">
        <w:t xml:space="preserve"> </w:t>
      </w:r>
      <w:r w:rsidR="00EC030C" w:rsidRPr="00F85178">
        <w:t>umožňuj</w:t>
      </w:r>
      <w:r w:rsidR="00A07007" w:rsidRPr="00F85178">
        <w:t>e</w:t>
      </w:r>
      <w:r w:rsidR="00EC030C" w:rsidRPr="00F85178">
        <w:t xml:space="preserve"> přehledněji odečítat</w:t>
      </w:r>
      <w:r w:rsidR="00DE2124" w:rsidRPr="00F85178">
        <w:t>,</w:t>
      </w:r>
      <w:r w:rsidR="00EC030C" w:rsidRPr="00F85178">
        <w:t xml:space="preserve"> kolik </w:t>
      </w:r>
      <w:r w:rsidR="00DE2124" w:rsidRPr="00F85178">
        <w:t xml:space="preserve">procent </w:t>
      </w:r>
      <w:r w:rsidR="00EC030C" w:rsidRPr="00F85178">
        <w:t xml:space="preserve">nároků se pohybuje </w:t>
      </w:r>
      <w:r w:rsidR="00A07007" w:rsidRPr="00F85178">
        <w:t>do</w:t>
      </w:r>
      <w:r w:rsidR="00EC030C" w:rsidRPr="00F85178">
        <w:t> jaké část</w:t>
      </w:r>
      <w:r w:rsidR="00A07007" w:rsidRPr="00F85178">
        <w:t>ky</w:t>
      </w:r>
      <w:r w:rsidR="00EC030C" w:rsidRPr="00F85178">
        <w:t xml:space="preserve"> (např. 30</w:t>
      </w:r>
      <w:r w:rsidR="00DE2124" w:rsidRPr="00F85178">
        <w:t xml:space="preserve"> </w:t>
      </w:r>
      <w:r w:rsidR="00EC030C" w:rsidRPr="00F85178">
        <w:t xml:space="preserve">% </w:t>
      </w:r>
      <w:r w:rsidR="00A07007" w:rsidRPr="00F85178">
        <w:t xml:space="preserve">přiznaných nároků v roce </w:t>
      </w:r>
      <w:r w:rsidR="00EC030C" w:rsidRPr="00F85178">
        <w:t>2018</w:t>
      </w:r>
      <w:r w:rsidR="005E6382" w:rsidRPr="00F85178">
        <w:t xml:space="preserve"> v Praze bylo </w:t>
      </w:r>
      <w:r w:rsidR="00A07007" w:rsidRPr="00F85178">
        <w:t xml:space="preserve">do </w:t>
      </w:r>
      <w:r w:rsidR="00EC030C" w:rsidRPr="00F85178">
        <w:t>4</w:t>
      </w:r>
      <w:r w:rsidR="005E6382" w:rsidRPr="00F85178">
        <w:t> </w:t>
      </w:r>
      <w:r w:rsidR="00EC030C" w:rsidRPr="00F85178">
        <w:t xml:space="preserve">000 Kč). </w:t>
      </w:r>
      <w:r w:rsidR="00867F3A" w:rsidRPr="00F85178">
        <w:t>Budeme srovnávat Prahu a zbytek ČR v letech 2017 a 2018. Využijeme k tomu tzv. ECDF</w:t>
      </w:r>
      <w:r w:rsidR="00867F3A" w:rsidRPr="00F85178">
        <w:rPr>
          <w:rStyle w:val="Znakapoznpodarou"/>
        </w:rPr>
        <w:footnoteReference w:id="6"/>
      </w:r>
      <w:r w:rsidR="00867F3A" w:rsidRPr="00F85178">
        <w:t>.</w:t>
      </w:r>
      <w:r w:rsidRPr="00F85178">
        <w:t xml:space="preserve"> </w:t>
      </w:r>
      <w:r w:rsidR="00867F3A" w:rsidRPr="00F85178">
        <w:t xml:space="preserve">Na grafu níže je zobrazena kumulativní četnost výše přiznaných nároků v Praze a zbytku ČR v letech 2017 a 2018. </w:t>
      </w:r>
      <w:r w:rsidR="00A57A41" w:rsidRPr="00F85178">
        <w:t>Pro lepší pochopení grafu bude nejjednodušší uvést několik věcí, které lze z grafu vyčíst:</w:t>
      </w:r>
    </w:p>
    <w:p w14:paraId="2E1E6C60" w14:textId="03A0ECA2" w:rsidR="00A57A41" w:rsidRPr="00F85178" w:rsidRDefault="00A57A41" w:rsidP="00A57A41">
      <w:pPr>
        <w:pStyle w:val="OdstavecASR"/>
        <w:numPr>
          <w:ilvl w:val="0"/>
          <w:numId w:val="32"/>
        </w:numPr>
      </w:pPr>
      <w:r w:rsidRPr="00F85178">
        <w:t>Na první pohled je vidět, že v Praze jsou přiznávány vyšší nároky než ve zbytku ČR. To lze poznat tak, že křivky pro zbytek ČR jsou „vyšší“ (méně zakřivené) než křivky pro MS Praha.</w:t>
      </w:r>
      <w:r w:rsidR="00AA5F73" w:rsidRPr="00F85178">
        <w:t xml:space="preserve"> Např. 60</w:t>
      </w:r>
      <w:r w:rsidR="00DE2124" w:rsidRPr="00F85178">
        <w:t xml:space="preserve"> </w:t>
      </w:r>
      <w:r w:rsidR="00AA5F73" w:rsidRPr="00F85178">
        <w:t xml:space="preserve">% nároků v ČR v roce 2018 se </w:t>
      </w:r>
      <w:r w:rsidR="00EC030C" w:rsidRPr="00F85178">
        <w:t>pohybovalo</w:t>
      </w:r>
      <w:r w:rsidR="00AA5F73" w:rsidRPr="00F85178">
        <w:t xml:space="preserve"> </w:t>
      </w:r>
      <w:r w:rsidR="00A07007" w:rsidRPr="00F85178">
        <w:t>do</w:t>
      </w:r>
      <w:r w:rsidR="00AA5F73" w:rsidRPr="00F85178">
        <w:t xml:space="preserve"> 7</w:t>
      </w:r>
      <w:r w:rsidR="00A07007" w:rsidRPr="00F85178">
        <w:t> 000 nebo</w:t>
      </w:r>
      <w:r w:rsidR="00AA5F73" w:rsidRPr="00F85178">
        <w:t xml:space="preserve"> 8</w:t>
      </w:r>
      <w:r w:rsidR="00EC030C" w:rsidRPr="00F85178">
        <w:t xml:space="preserve"> </w:t>
      </w:r>
      <w:r w:rsidR="00AA5F73" w:rsidRPr="00F85178">
        <w:t xml:space="preserve">000 Kč (na vodorovné ose si na červené křivce </w:t>
      </w:r>
      <w:r w:rsidR="00DE2124" w:rsidRPr="00F85178">
        <w:t xml:space="preserve">najdeme </w:t>
      </w:r>
      <w:r w:rsidR="00AA5F73" w:rsidRPr="00F85178">
        <w:t xml:space="preserve">hodnotu v Kč odpovídající </w:t>
      </w:r>
      <w:proofErr w:type="gramStart"/>
      <w:r w:rsidR="00AA5F73" w:rsidRPr="00F85178">
        <w:t xml:space="preserve">číslu </w:t>
      </w:r>
      <w:r w:rsidR="00A07007" w:rsidRPr="00F85178">
        <w:t>.</w:t>
      </w:r>
      <w:r w:rsidR="00AA5F73" w:rsidRPr="00F85178">
        <w:t>6 na</w:t>
      </w:r>
      <w:proofErr w:type="gramEnd"/>
      <w:r w:rsidR="00AA5F73" w:rsidRPr="00F85178">
        <w:t xml:space="preserve"> svislé ose)</w:t>
      </w:r>
      <w:r w:rsidR="00DE2124" w:rsidRPr="00F85178">
        <w:t>,</w:t>
      </w:r>
      <w:r w:rsidR="00AA5F73" w:rsidRPr="00F85178">
        <w:t xml:space="preserve"> zatímco na plné </w:t>
      </w:r>
      <w:r w:rsidR="002B4FCE">
        <w:t xml:space="preserve">modré </w:t>
      </w:r>
      <w:r w:rsidR="00EC030C" w:rsidRPr="00F85178">
        <w:t>křivce</w:t>
      </w:r>
      <w:r w:rsidR="00AA5F73" w:rsidRPr="00F85178">
        <w:t xml:space="preserve"> pro MS Praha 2018 odpovídá číslu </w:t>
      </w:r>
      <w:r w:rsidR="00A07007" w:rsidRPr="00F85178">
        <w:t>.</w:t>
      </w:r>
      <w:r w:rsidR="00AA5F73" w:rsidRPr="00F85178">
        <w:t>6 hodnota okolo</w:t>
      </w:r>
      <w:r w:rsidR="00A07007" w:rsidRPr="00F85178">
        <w:t xml:space="preserve"> </w:t>
      </w:r>
      <w:r w:rsidR="00EC030C" w:rsidRPr="00F85178">
        <w:t>13 000 Kč, tj. 60</w:t>
      </w:r>
      <w:r w:rsidR="00DE2124" w:rsidRPr="00F85178">
        <w:t xml:space="preserve"> </w:t>
      </w:r>
      <w:r w:rsidR="00EC030C" w:rsidRPr="00F85178">
        <w:t xml:space="preserve">% nároků v Praze se pohybovalo </w:t>
      </w:r>
      <w:r w:rsidR="00A07007" w:rsidRPr="00F85178">
        <w:t>do</w:t>
      </w:r>
      <w:r w:rsidR="00EC030C" w:rsidRPr="00F85178">
        <w:t xml:space="preserve"> 13 000 Kč.</w:t>
      </w:r>
    </w:p>
    <w:p w14:paraId="6030750A" w14:textId="77777777" w:rsidR="00A57A41" w:rsidRPr="00F85178" w:rsidRDefault="00A57A41" w:rsidP="00A57A41">
      <w:pPr>
        <w:pStyle w:val="OdstavecASR"/>
        <w:numPr>
          <w:ilvl w:val="0"/>
          <w:numId w:val="32"/>
        </w:numPr>
      </w:pPr>
      <w:r w:rsidRPr="00F85178">
        <w:t>Zatímco u zbytku ČR se distribuce výše přiznaných nároků příliš nezměnila, v Praze přiznané nároky výrazně poklesly.</w:t>
      </w:r>
    </w:p>
    <w:p w14:paraId="3E06FC7D" w14:textId="77777777" w:rsidR="00A57A41" w:rsidRPr="00F85178" w:rsidRDefault="00A57A41" w:rsidP="00A57A41">
      <w:pPr>
        <w:pStyle w:val="OdstavecASR"/>
        <w:numPr>
          <w:ilvl w:val="0"/>
          <w:numId w:val="32"/>
        </w:numPr>
      </w:pPr>
      <w:r w:rsidRPr="00F85178">
        <w:t xml:space="preserve">Z grafu lze dále vyčíst, že medián </w:t>
      </w:r>
      <w:r w:rsidR="00AA5F73" w:rsidRPr="00F85178">
        <w:t>(tj. 50</w:t>
      </w:r>
      <w:r w:rsidR="00DE2124" w:rsidRPr="00F85178">
        <w:t xml:space="preserve"> </w:t>
      </w:r>
      <w:r w:rsidR="00AA5F73" w:rsidRPr="00F85178">
        <w:t>%</w:t>
      </w:r>
      <w:r w:rsidR="00EC030C" w:rsidRPr="00F85178">
        <w:t xml:space="preserve"> vyjádřeno na svislé ose </w:t>
      </w:r>
      <w:proofErr w:type="gramStart"/>
      <w:r w:rsidR="00EC030C" w:rsidRPr="00F85178">
        <w:t xml:space="preserve">číslem </w:t>
      </w:r>
      <w:r w:rsidR="00A07007" w:rsidRPr="00F85178">
        <w:t>.</w:t>
      </w:r>
      <w:r w:rsidR="00EC030C" w:rsidRPr="00F85178">
        <w:t>5</w:t>
      </w:r>
      <w:r w:rsidR="00AA5F73" w:rsidRPr="00F85178">
        <w:t xml:space="preserve">) </w:t>
      </w:r>
      <w:r w:rsidRPr="00F85178">
        <w:t>výše</w:t>
      </w:r>
      <w:proofErr w:type="gramEnd"/>
      <w:r w:rsidRPr="00F85178">
        <w:t xml:space="preserve"> přiznané částky byl u obvodních soudů v Praze asi 12 000 Kč (ve skutečnosti (12 449 Kč) v roce 2018 a někde mezi 7 000 a 8 000 Kč v roce 2017 (ve skutečnosti 7</w:t>
      </w:r>
      <w:r w:rsidR="00DE2124" w:rsidRPr="00F85178">
        <w:t xml:space="preserve"> </w:t>
      </w:r>
      <w:r w:rsidRPr="00F85178">
        <w:t>572 Kč). U zbytku ČR byl medián vyšší než 5</w:t>
      </w:r>
      <w:r w:rsidR="00DE2124" w:rsidRPr="00F85178">
        <w:t xml:space="preserve"> </w:t>
      </w:r>
      <w:r w:rsidRPr="00F85178">
        <w:t>000 Kč s tím, že byl o něco větší v roce 2018. Ve skutečnosti byl medián 5 125 Kč, respektive 5 990 Kč.</w:t>
      </w:r>
    </w:p>
    <w:p w14:paraId="2D112AEB" w14:textId="77777777" w:rsidR="00EE0C8A" w:rsidRPr="00F85178" w:rsidRDefault="00A57A41" w:rsidP="00A57A41">
      <w:pPr>
        <w:pStyle w:val="OdstavecASR"/>
        <w:numPr>
          <w:ilvl w:val="0"/>
          <w:numId w:val="32"/>
        </w:numPr>
      </w:pPr>
      <w:r w:rsidRPr="00F85178">
        <w:t>Přibližně 22 % přiznaných nároků u obvodních soudů v Praze v roce 2017 bylo vyšších než 50 000 Kč, v roce 2018 to bylo méně – asi 18 %. Ve zbytku ČR to bylo v obou letech odhadem jen asi 10 % věcí.</w:t>
      </w:r>
    </w:p>
    <w:p w14:paraId="06A8353E" w14:textId="77777777" w:rsidR="00EE0C8A" w:rsidRPr="00F85178" w:rsidRDefault="00EE0C8A" w:rsidP="00EE0C8A">
      <w:pPr>
        <w:pStyle w:val="Podtitul"/>
        <w:rPr>
          <w:color w:val="auto"/>
        </w:rPr>
      </w:pPr>
      <w:bookmarkStart w:id="142" w:name="_Toc11135080"/>
      <w:bookmarkStart w:id="143" w:name="_Toc13837512"/>
      <w:r w:rsidRPr="00F85178">
        <w:rPr>
          <w:color w:val="auto"/>
        </w:rPr>
        <w:t xml:space="preserve">Graf </w:t>
      </w:r>
      <w:r w:rsidR="0067217C" w:rsidRPr="00F85178">
        <w:rPr>
          <w:noProof/>
          <w:color w:val="auto"/>
        </w:rPr>
        <w:fldChar w:fldCharType="begin"/>
      </w:r>
      <w:r w:rsidR="0067217C" w:rsidRPr="00F85178">
        <w:rPr>
          <w:noProof/>
          <w:color w:val="auto"/>
        </w:rPr>
        <w:instrText xml:space="preserve"> SEQ Graf \* ARABIC </w:instrText>
      </w:r>
      <w:r w:rsidR="0067217C" w:rsidRPr="00F85178">
        <w:rPr>
          <w:noProof/>
          <w:color w:val="auto"/>
        </w:rPr>
        <w:fldChar w:fldCharType="separate"/>
      </w:r>
      <w:r w:rsidR="00306940">
        <w:rPr>
          <w:noProof/>
          <w:color w:val="auto"/>
        </w:rPr>
        <w:t>19</w:t>
      </w:r>
      <w:r w:rsidR="0067217C" w:rsidRPr="00F85178">
        <w:rPr>
          <w:noProof/>
          <w:color w:val="auto"/>
        </w:rPr>
        <w:fldChar w:fldCharType="end"/>
      </w:r>
      <w:r w:rsidRPr="00F85178">
        <w:rPr>
          <w:color w:val="auto"/>
        </w:rPr>
        <w:t>: OS – výše přiznaných nároků, kumulativní četnost</w:t>
      </w:r>
      <w:bookmarkEnd w:id="142"/>
      <w:bookmarkEnd w:id="143"/>
    </w:p>
    <w:p w14:paraId="7E0F4404" w14:textId="77777777" w:rsidR="00EE0C8A" w:rsidRPr="00F85178" w:rsidRDefault="00890295" w:rsidP="00EE0C8A">
      <w:pPr>
        <w:pStyle w:val="OdstavecASR"/>
        <w:keepNext/>
      </w:pPr>
      <w:r>
        <w:rPr>
          <w:noProof/>
          <w:lang w:eastAsia="cs-CZ"/>
        </w:rPr>
        <w:drawing>
          <wp:inline distT="0" distB="0" distL="0" distR="0" wp14:anchorId="3640AB3E" wp14:editId="69F646A8">
            <wp:extent cx="5118100" cy="3739515"/>
            <wp:effectExtent l="0" t="0" r="0" b="0"/>
            <wp:docPr id="20" name="Obrázek 27" descr="Z:\Annual Statistical Report\za rok 2018\Grafy\OS\Kumul_distibuce_naroky.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ázek 27" descr="Z:\Annual Statistical Report\za rok 2018\Grafy\OS\Kumul_distibuce_naroky.png"/>
                    <pic:cNvPicPr>
                      <a:picLocks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118100" cy="3739515"/>
                    </a:xfrm>
                    <a:prstGeom prst="rect">
                      <a:avLst/>
                    </a:prstGeom>
                    <a:noFill/>
                    <a:ln>
                      <a:noFill/>
                    </a:ln>
                  </pic:spPr>
                </pic:pic>
              </a:graphicData>
            </a:graphic>
          </wp:inline>
        </w:drawing>
      </w:r>
    </w:p>
    <w:p w14:paraId="2AB14C02" w14:textId="77777777" w:rsidR="00322937" w:rsidRPr="00F85178" w:rsidRDefault="00322937" w:rsidP="00E00E84"/>
    <w:p w14:paraId="6EBDBA9F" w14:textId="77777777" w:rsidR="005E40E4" w:rsidRPr="00F85178" w:rsidRDefault="00A57A41" w:rsidP="00A57A41">
      <w:pPr>
        <w:pStyle w:val="OdstavecASR"/>
        <w:rPr>
          <w:highlight w:val="yellow"/>
        </w:rPr>
      </w:pPr>
      <w:r w:rsidRPr="00F85178">
        <w:t>Nakonec se podíváme na nejčastější spory, které soudy musí řešit. Znovu upozorňujeme, že tato data jsou očištěna o rozkazní řízení</w:t>
      </w:r>
      <w:r w:rsidR="00DE2124" w:rsidRPr="00F85178">
        <w:t>,</w:t>
      </w:r>
      <w:r w:rsidR="00D0253D" w:rsidRPr="00F85178">
        <w:t xml:space="preserve"> a je možno konstatovat, že na úrovni OS není </w:t>
      </w:r>
      <w:r w:rsidR="00A07007" w:rsidRPr="00F85178">
        <w:t xml:space="preserve">jeden konkrétní </w:t>
      </w:r>
      <w:r w:rsidR="00D0253D" w:rsidRPr="00F85178">
        <w:t>druh sporu dominantní (na rozdíl od KS, viz tabulka</w:t>
      </w:r>
      <w:r w:rsidR="005F71FA">
        <w:t xml:space="preserve"> </w:t>
      </w:r>
      <w:r w:rsidR="005E72E6">
        <w:t>40</w:t>
      </w:r>
      <w:r w:rsidR="00D0253D" w:rsidRPr="00F85178">
        <w:t>)</w:t>
      </w:r>
      <w:r w:rsidR="005E40E4" w:rsidRPr="00F85178">
        <w:t>.</w:t>
      </w:r>
    </w:p>
    <w:p w14:paraId="7FAD540D" w14:textId="77777777" w:rsidR="005E40E4" w:rsidRPr="00F85178" w:rsidRDefault="005E40E4" w:rsidP="00A57A41">
      <w:pPr>
        <w:pStyle w:val="OdstavecASR"/>
        <w:rPr>
          <w:highlight w:val="yellow"/>
        </w:rPr>
      </w:pPr>
    </w:p>
    <w:p w14:paraId="377E8550" w14:textId="77777777" w:rsidR="005E40E4" w:rsidRPr="00F85178" w:rsidRDefault="005E40E4" w:rsidP="00A57A41">
      <w:pPr>
        <w:pStyle w:val="OdstavecASR"/>
        <w:rPr>
          <w:highlight w:val="yellow"/>
        </w:rPr>
      </w:pPr>
    </w:p>
    <w:p w14:paraId="0BCD1B04" w14:textId="77777777" w:rsidR="00A57A41" w:rsidRPr="00F85178" w:rsidRDefault="00A57A41" w:rsidP="00A57A41">
      <w:pPr>
        <w:pStyle w:val="OdstavecASR"/>
      </w:pPr>
    </w:p>
    <w:p w14:paraId="569230D5" w14:textId="77777777" w:rsidR="00A57A41" w:rsidRPr="00F85178" w:rsidRDefault="00A57A41" w:rsidP="00A57A41">
      <w:pPr>
        <w:pStyle w:val="Podtitul"/>
        <w:rPr>
          <w:color w:val="auto"/>
        </w:rPr>
      </w:pPr>
      <w:bookmarkStart w:id="144" w:name="_Toc515871447"/>
      <w:bookmarkStart w:id="145" w:name="_Toc11133215"/>
      <w:bookmarkStart w:id="146" w:name="_Toc13837436"/>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13</w:t>
      </w:r>
      <w:r w:rsidRPr="00F85178">
        <w:rPr>
          <w:noProof/>
          <w:color w:val="auto"/>
        </w:rPr>
        <w:fldChar w:fldCharType="end"/>
      </w:r>
      <w:r w:rsidRPr="00F85178">
        <w:rPr>
          <w:color w:val="auto"/>
        </w:rPr>
        <w:t>: OS – nejčastější spory v civilním řízení</w:t>
      </w:r>
      <w:bookmarkEnd w:id="144"/>
      <w:bookmarkEnd w:id="145"/>
      <w:bookmarkEnd w:id="146"/>
    </w:p>
    <w:tbl>
      <w:tblPr>
        <w:tblW w:w="6980" w:type="dxa"/>
        <w:tblInd w:w="70" w:type="dxa"/>
        <w:tblCellMar>
          <w:left w:w="70" w:type="dxa"/>
          <w:right w:w="70" w:type="dxa"/>
        </w:tblCellMar>
        <w:tblLook w:val="04A0" w:firstRow="1" w:lastRow="0" w:firstColumn="1" w:lastColumn="0" w:noHBand="0" w:noVBand="1"/>
      </w:tblPr>
      <w:tblGrid>
        <w:gridCol w:w="5920"/>
        <w:gridCol w:w="1060"/>
      </w:tblGrid>
      <w:tr w:rsidR="00F85178" w:rsidRPr="00F85178" w14:paraId="722F1FD1" w14:textId="77777777" w:rsidTr="00A57A41">
        <w:trPr>
          <w:trHeight w:val="345"/>
        </w:trPr>
        <w:tc>
          <w:tcPr>
            <w:tcW w:w="5920" w:type="dxa"/>
            <w:tcBorders>
              <w:top w:val="double" w:sz="6" w:space="0" w:color="auto"/>
              <w:left w:val="nil"/>
              <w:bottom w:val="double" w:sz="6" w:space="0" w:color="auto"/>
              <w:right w:val="nil"/>
            </w:tcBorders>
            <w:shd w:val="clear" w:color="auto" w:fill="auto"/>
            <w:noWrap/>
            <w:vAlign w:val="center"/>
            <w:hideMark/>
          </w:tcPr>
          <w:p w14:paraId="4168470D" w14:textId="77777777" w:rsidR="00A57A41" w:rsidRPr="00F85178" w:rsidRDefault="00A57A41" w:rsidP="00A57A41">
            <w:pPr>
              <w:spacing w:line="240" w:lineRule="auto"/>
              <w:jc w:val="center"/>
              <w:rPr>
                <w:rFonts w:eastAsia="Times New Roman"/>
                <w:b/>
                <w:bCs/>
                <w:szCs w:val="24"/>
                <w:lang w:eastAsia="cs-CZ"/>
              </w:rPr>
            </w:pPr>
            <w:r w:rsidRPr="00F85178">
              <w:rPr>
                <w:rFonts w:eastAsia="Times New Roman"/>
                <w:b/>
                <w:bCs/>
                <w:szCs w:val="24"/>
                <w:lang w:eastAsia="cs-CZ"/>
              </w:rPr>
              <w:t>Předmět sporu</w:t>
            </w:r>
          </w:p>
        </w:tc>
        <w:tc>
          <w:tcPr>
            <w:tcW w:w="1060" w:type="dxa"/>
            <w:tcBorders>
              <w:top w:val="double" w:sz="6" w:space="0" w:color="auto"/>
              <w:left w:val="nil"/>
              <w:bottom w:val="double" w:sz="6" w:space="0" w:color="auto"/>
              <w:right w:val="nil"/>
            </w:tcBorders>
            <w:shd w:val="clear" w:color="auto" w:fill="auto"/>
            <w:noWrap/>
            <w:vAlign w:val="center"/>
            <w:hideMark/>
          </w:tcPr>
          <w:p w14:paraId="587A983C" w14:textId="77777777" w:rsidR="00A57A41" w:rsidRPr="00F85178" w:rsidRDefault="00A57A41" w:rsidP="00A57A41">
            <w:pPr>
              <w:spacing w:line="240" w:lineRule="auto"/>
              <w:jc w:val="center"/>
              <w:rPr>
                <w:rFonts w:eastAsia="Times New Roman"/>
                <w:b/>
                <w:bCs/>
                <w:szCs w:val="24"/>
                <w:lang w:eastAsia="cs-CZ"/>
              </w:rPr>
            </w:pPr>
            <w:r w:rsidRPr="00F85178">
              <w:rPr>
                <w:rFonts w:eastAsia="Times New Roman"/>
                <w:b/>
                <w:bCs/>
                <w:szCs w:val="24"/>
                <w:lang w:eastAsia="cs-CZ"/>
              </w:rPr>
              <w:t>Podíl v %</w:t>
            </w:r>
          </w:p>
        </w:tc>
      </w:tr>
      <w:tr w:rsidR="00F85178" w:rsidRPr="00F85178" w14:paraId="25124D53" w14:textId="77777777" w:rsidTr="00A57A41">
        <w:trPr>
          <w:trHeight w:val="330"/>
        </w:trPr>
        <w:tc>
          <w:tcPr>
            <w:tcW w:w="5920" w:type="dxa"/>
            <w:tcBorders>
              <w:top w:val="single" w:sz="4" w:space="0" w:color="auto"/>
              <w:left w:val="nil"/>
              <w:bottom w:val="single" w:sz="4" w:space="0" w:color="auto"/>
              <w:right w:val="nil"/>
            </w:tcBorders>
            <w:shd w:val="clear" w:color="auto" w:fill="auto"/>
            <w:noWrap/>
            <w:vAlign w:val="bottom"/>
            <w:hideMark/>
          </w:tcPr>
          <w:p w14:paraId="14E495F5"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Spory z přepravy osob</w:t>
            </w:r>
          </w:p>
        </w:tc>
        <w:tc>
          <w:tcPr>
            <w:tcW w:w="1060" w:type="dxa"/>
            <w:tcBorders>
              <w:top w:val="nil"/>
              <w:left w:val="nil"/>
              <w:bottom w:val="single" w:sz="4" w:space="0" w:color="auto"/>
              <w:right w:val="nil"/>
            </w:tcBorders>
            <w:shd w:val="clear" w:color="auto" w:fill="auto"/>
            <w:noWrap/>
            <w:vAlign w:val="bottom"/>
            <w:hideMark/>
          </w:tcPr>
          <w:p w14:paraId="20598364"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16,96</w:t>
            </w:r>
          </w:p>
        </w:tc>
      </w:tr>
      <w:tr w:rsidR="00F85178" w:rsidRPr="00F85178" w14:paraId="7992CF43" w14:textId="77777777" w:rsidTr="00A57A41">
        <w:trPr>
          <w:trHeight w:val="315"/>
        </w:trPr>
        <w:tc>
          <w:tcPr>
            <w:tcW w:w="5920" w:type="dxa"/>
            <w:tcBorders>
              <w:top w:val="nil"/>
              <w:left w:val="nil"/>
              <w:bottom w:val="single" w:sz="4" w:space="0" w:color="auto"/>
              <w:right w:val="nil"/>
            </w:tcBorders>
            <w:shd w:val="clear" w:color="auto" w:fill="auto"/>
            <w:noWrap/>
            <w:vAlign w:val="bottom"/>
            <w:hideMark/>
          </w:tcPr>
          <w:p w14:paraId="4A2D3342"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Placení pojistného</w:t>
            </w:r>
          </w:p>
        </w:tc>
        <w:tc>
          <w:tcPr>
            <w:tcW w:w="1060" w:type="dxa"/>
            <w:tcBorders>
              <w:top w:val="nil"/>
              <w:left w:val="nil"/>
              <w:bottom w:val="single" w:sz="4" w:space="0" w:color="auto"/>
              <w:right w:val="nil"/>
            </w:tcBorders>
            <w:shd w:val="clear" w:color="auto" w:fill="auto"/>
            <w:noWrap/>
            <w:vAlign w:val="bottom"/>
            <w:hideMark/>
          </w:tcPr>
          <w:p w14:paraId="4314371B"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15,60</w:t>
            </w:r>
          </w:p>
        </w:tc>
      </w:tr>
      <w:tr w:rsidR="00F85178" w:rsidRPr="00F85178" w14:paraId="693C5F8A" w14:textId="77777777" w:rsidTr="00A57A41">
        <w:trPr>
          <w:trHeight w:val="315"/>
        </w:trPr>
        <w:tc>
          <w:tcPr>
            <w:tcW w:w="5920" w:type="dxa"/>
            <w:tcBorders>
              <w:top w:val="nil"/>
              <w:left w:val="nil"/>
              <w:bottom w:val="single" w:sz="4" w:space="0" w:color="auto"/>
              <w:right w:val="nil"/>
            </w:tcBorders>
            <w:shd w:val="clear" w:color="auto" w:fill="auto"/>
            <w:noWrap/>
            <w:vAlign w:val="bottom"/>
            <w:hideMark/>
          </w:tcPr>
          <w:p w14:paraId="10262FFC"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Spory z úvěru u nebankovních institucí</w:t>
            </w:r>
          </w:p>
        </w:tc>
        <w:tc>
          <w:tcPr>
            <w:tcW w:w="1060" w:type="dxa"/>
            <w:tcBorders>
              <w:top w:val="nil"/>
              <w:left w:val="nil"/>
              <w:bottom w:val="single" w:sz="4" w:space="0" w:color="auto"/>
              <w:right w:val="nil"/>
            </w:tcBorders>
            <w:shd w:val="clear" w:color="auto" w:fill="auto"/>
            <w:noWrap/>
            <w:vAlign w:val="bottom"/>
            <w:hideMark/>
          </w:tcPr>
          <w:p w14:paraId="240B86BA"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14,24</w:t>
            </w:r>
          </w:p>
        </w:tc>
      </w:tr>
      <w:tr w:rsidR="00F85178" w:rsidRPr="00F85178" w14:paraId="6263635C" w14:textId="77777777" w:rsidTr="00A57A41">
        <w:trPr>
          <w:trHeight w:val="315"/>
        </w:trPr>
        <w:tc>
          <w:tcPr>
            <w:tcW w:w="5920" w:type="dxa"/>
            <w:tcBorders>
              <w:top w:val="nil"/>
              <w:left w:val="nil"/>
              <w:bottom w:val="single" w:sz="4" w:space="0" w:color="auto"/>
              <w:right w:val="nil"/>
            </w:tcBorders>
            <w:shd w:val="clear" w:color="auto" w:fill="auto"/>
            <w:noWrap/>
            <w:vAlign w:val="bottom"/>
            <w:hideMark/>
          </w:tcPr>
          <w:p w14:paraId="4C2A2665"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 xml:space="preserve">Spory ze zápůjčky </w:t>
            </w:r>
          </w:p>
        </w:tc>
        <w:tc>
          <w:tcPr>
            <w:tcW w:w="1060" w:type="dxa"/>
            <w:tcBorders>
              <w:top w:val="nil"/>
              <w:left w:val="nil"/>
              <w:bottom w:val="single" w:sz="4" w:space="0" w:color="auto"/>
              <w:right w:val="nil"/>
            </w:tcBorders>
            <w:shd w:val="clear" w:color="auto" w:fill="auto"/>
            <w:noWrap/>
            <w:vAlign w:val="bottom"/>
            <w:hideMark/>
          </w:tcPr>
          <w:p w14:paraId="080FD4CD"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8,74</w:t>
            </w:r>
          </w:p>
        </w:tc>
      </w:tr>
      <w:tr w:rsidR="00F85178" w:rsidRPr="00F85178" w14:paraId="70C8A147" w14:textId="77777777" w:rsidTr="00A57A41">
        <w:trPr>
          <w:trHeight w:val="315"/>
        </w:trPr>
        <w:tc>
          <w:tcPr>
            <w:tcW w:w="5920" w:type="dxa"/>
            <w:tcBorders>
              <w:top w:val="nil"/>
              <w:left w:val="nil"/>
              <w:bottom w:val="single" w:sz="4" w:space="0" w:color="auto"/>
              <w:right w:val="nil"/>
            </w:tcBorders>
            <w:shd w:val="clear" w:color="auto" w:fill="auto"/>
            <w:noWrap/>
            <w:vAlign w:val="bottom"/>
            <w:hideMark/>
          </w:tcPr>
          <w:p w14:paraId="19E7A4AE"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Spory z úvěru u bankovních institucí</w:t>
            </w:r>
          </w:p>
        </w:tc>
        <w:tc>
          <w:tcPr>
            <w:tcW w:w="1060" w:type="dxa"/>
            <w:tcBorders>
              <w:top w:val="nil"/>
              <w:left w:val="nil"/>
              <w:bottom w:val="single" w:sz="4" w:space="0" w:color="auto"/>
              <w:right w:val="nil"/>
            </w:tcBorders>
            <w:shd w:val="clear" w:color="auto" w:fill="auto"/>
            <w:noWrap/>
            <w:vAlign w:val="bottom"/>
            <w:hideMark/>
          </w:tcPr>
          <w:p w14:paraId="66A55C09"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8,63</w:t>
            </w:r>
          </w:p>
        </w:tc>
      </w:tr>
      <w:tr w:rsidR="00A57A41" w:rsidRPr="00F85178" w14:paraId="1A222CE7" w14:textId="77777777" w:rsidTr="00A57A41">
        <w:trPr>
          <w:trHeight w:val="330"/>
        </w:trPr>
        <w:tc>
          <w:tcPr>
            <w:tcW w:w="5920" w:type="dxa"/>
            <w:tcBorders>
              <w:top w:val="nil"/>
              <w:left w:val="nil"/>
              <w:bottom w:val="double" w:sz="6" w:space="0" w:color="auto"/>
              <w:right w:val="nil"/>
            </w:tcBorders>
            <w:shd w:val="clear" w:color="auto" w:fill="auto"/>
            <w:noWrap/>
            <w:vAlign w:val="bottom"/>
            <w:hideMark/>
          </w:tcPr>
          <w:p w14:paraId="5BE02318" w14:textId="77777777" w:rsidR="00A57A41" w:rsidRPr="00F85178" w:rsidRDefault="00A57A41" w:rsidP="00A57A41">
            <w:pPr>
              <w:spacing w:line="240" w:lineRule="auto"/>
              <w:jc w:val="left"/>
              <w:rPr>
                <w:rFonts w:eastAsia="Times New Roman"/>
                <w:szCs w:val="24"/>
                <w:lang w:eastAsia="cs-CZ"/>
              </w:rPr>
            </w:pPr>
            <w:r w:rsidRPr="00F85178">
              <w:rPr>
                <w:rFonts w:eastAsia="Times New Roman"/>
                <w:szCs w:val="24"/>
                <w:lang w:eastAsia="cs-CZ"/>
              </w:rPr>
              <w:t>Úhrady za dodávky elektrické energie, plynu nebo tepla</w:t>
            </w:r>
          </w:p>
        </w:tc>
        <w:tc>
          <w:tcPr>
            <w:tcW w:w="1060" w:type="dxa"/>
            <w:tcBorders>
              <w:top w:val="nil"/>
              <w:left w:val="nil"/>
              <w:bottom w:val="double" w:sz="6" w:space="0" w:color="auto"/>
              <w:right w:val="nil"/>
            </w:tcBorders>
            <w:shd w:val="clear" w:color="auto" w:fill="auto"/>
            <w:noWrap/>
            <w:vAlign w:val="bottom"/>
            <w:hideMark/>
          </w:tcPr>
          <w:p w14:paraId="40AF24C3" w14:textId="77777777" w:rsidR="00A57A41" w:rsidRPr="00F85178" w:rsidRDefault="00A57A41" w:rsidP="00A57A41">
            <w:pPr>
              <w:spacing w:line="240" w:lineRule="auto"/>
              <w:jc w:val="center"/>
              <w:rPr>
                <w:rFonts w:eastAsia="Times New Roman"/>
                <w:szCs w:val="24"/>
                <w:lang w:eastAsia="cs-CZ"/>
              </w:rPr>
            </w:pPr>
            <w:r w:rsidRPr="00F85178">
              <w:rPr>
                <w:rFonts w:eastAsia="Times New Roman"/>
                <w:szCs w:val="24"/>
                <w:lang w:eastAsia="cs-CZ"/>
              </w:rPr>
              <w:t>7,35</w:t>
            </w:r>
          </w:p>
        </w:tc>
      </w:tr>
    </w:tbl>
    <w:p w14:paraId="2C214826" w14:textId="77777777" w:rsidR="0020179A" w:rsidRPr="00F85178" w:rsidRDefault="0020179A" w:rsidP="0020179A">
      <w:pPr>
        <w:pStyle w:val="OdstavecASR"/>
      </w:pPr>
    </w:p>
    <w:p w14:paraId="13D9B66B" w14:textId="77777777" w:rsidR="00A57A41" w:rsidRPr="00F85178" w:rsidRDefault="00A57A41" w:rsidP="0020179A">
      <w:pPr>
        <w:pStyle w:val="OdstavecASR"/>
      </w:pPr>
      <w:r w:rsidRPr="00F85178">
        <w:t>Zde uvedené druhy sporů tvoří více než 70 % pravomocně skončených věcí v této agendě. Je zjevné, že se většinou jedná o úhradu dlužné částky za pojistné, energie, za jízdu na černo, splátky úvěrů apod. Tyto druhy sporů bychom očekávali spíše u rozkazního řízení. Zdá se však, že často nekončí pravomocným platebním rozkazem, tudíž přechází do klasického civilního řízení (většinou po podaném odporu nebo po zrušení platebního rozkazu z důvodu jeho nedoručitelnosti). Bližší pohled na data potvrzuje výše uvedený předpoklad – asi 89 % těchto sporů bylo zahájeno návrhem na vydání elektronického platebního rozkazu.</w:t>
      </w:r>
    </w:p>
    <w:p w14:paraId="2237EDD5" w14:textId="77777777" w:rsidR="00890295" w:rsidRDefault="00DF0B5D" w:rsidP="006D7033">
      <w:pPr>
        <w:pStyle w:val="OdstavecASR"/>
      </w:pPr>
      <w:r w:rsidRPr="00F85178">
        <w:t>Složení agendy je v zásadě neměnné, zcela stejné typy sporů byly nejčastější i například v loňském roce. Mírně se mění pouze jejich podíl na celkovém počtu pravomocně skončených věcí.</w:t>
      </w:r>
    </w:p>
    <w:p w14:paraId="56ABB861" w14:textId="77777777" w:rsidR="00890295" w:rsidRDefault="00890295">
      <w:pPr>
        <w:spacing w:line="240" w:lineRule="auto"/>
        <w:jc w:val="left"/>
      </w:pPr>
      <w:r>
        <w:br w:type="page"/>
      </w:r>
    </w:p>
    <w:p w14:paraId="14CD3D54" w14:textId="77777777" w:rsidR="00DF0B5D" w:rsidRPr="00F85178" w:rsidRDefault="00DF0B5D" w:rsidP="00890295">
      <w:pPr>
        <w:pStyle w:val="Nadpis2"/>
      </w:pPr>
      <w:bookmarkStart w:id="147" w:name="_Toc515871226"/>
      <w:bookmarkStart w:id="148" w:name="_Toc14076878"/>
      <w:r w:rsidRPr="00F85178">
        <w:t>Civilní agenda – elektronické rozkazní řízení</w:t>
      </w:r>
      <w:bookmarkEnd w:id="147"/>
      <w:bookmarkEnd w:id="148"/>
    </w:p>
    <w:p w14:paraId="20B67C0F" w14:textId="77777777" w:rsidR="00DF0B5D" w:rsidRPr="00F85178" w:rsidRDefault="00DF0B5D" w:rsidP="00DF0B5D">
      <w:pPr>
        <w:pStyle w:val="OdstavecASR"/>
      </w:pPr>
      <w:r w:rsidRPr="00F85178">
        <w:t xml:space="preserve">Jak jsme uvedli v úvodu </w:t>
      </w:r>
      <w:proofErr w:type="gramStart"/>
      <w:r w:rsidRPr="00F85178">
        <w:t xml:space="preserve">kapitoly </w:t>
      </w:r>
      <w:r w:rsidR="00362DE7" w:rsidRPr="00F85178">
        <w:rPr>
          <w:b/>
          <w:bCs/>
          <w:highlight w:val="yellow"/>
        </w:rPr>
        <w:fldChar w:fldCharType="begin"/>
      </w:r>
      <w:r w:rsidR="00362DE7" w:rsidRPr="00F85178">
        <w:instrText xml:space="preserve"> REF _Ref9425277 \r \h </w:instrText>
      </w:r>
      <w:r w:rsidR="00362DE7" w:rsidRPr="00F85178">
        <w:rPr>
          <w:b/>
          <w:bCs/>
          <w:highlight w:val="yellow"/>
        </w:rPr>
      </w:r>
      <w:r w:rsidR="00362DE7" w:rsidRPr="00F85178">
        <w:rPr>
          <w:b/>
          <w:bCs/>
          <w:highlight w:val="yellow"/>
        </w:rPr>
        <w:fldChar w:fldCharType="separate"/>
      </w:r>
      <w:r w:rsidR="00306940">
        <w:t>2.2</w:t>
      </w:r>
      <w:r w:rsidR="00362DE7" w:rsidRPr="00F85178">
        <w:rPr>
          <w:b/>
          <w:bCs/>
          <w:highlight w:val="yellow"/>
        </w:rPr>
        <w:fldChar w:fldCharType="end"/>
      </w:r>
      <w:r w:rsidRPr="00F85178">
        <w:t>, zkoumaná</w:t>
      </w:r>
      <w:proofErr w:type="gramEnd"/>
      <w:r w:rsidRPr="00F85178">
        <w:t xml:space="preserve"> data jsme očistili právě o rozkazní řízení. Tato data ale samozřejmě mají svou informační hodnotu, proto je analyzujeme v této části.</w:t>
      </w:r>
    </w:p>
    <w:p w14:paraId="13C21C4D" w14:textId="77777777" w:rsidR="00DF0B5D" w:rsidRPr="00F85178" w:rsidRDefault="00DF0B5D" w:rsidP="00DF0B5D">
      <w:pPr>
        <w:pStyle w:val="OdstavecASR"/>
      </w:pPr>
      <w:r w:rsidRPr="00F85178">
        <w:t>Jedná se o civilní řízení ve zkrácené formě, jehož cílem je skončení věcí vydáním platebního rozkazu. V této zprávě označujeme jen ta civilní řízení, která jsou zahájena návrhem žalobce na vydání platebního rozkazu. Platební rozkaz se vydává bez slyšení žalované strany a řízení jím může být skončeno jen tehdy, nepodá-li proti němu žalovaná strana odpor. Neskončí-li řízení pravomocným platebním rozkazem, přechází do klasického civilního řízení.</w:t>
      </w:r>
    </w:p>
    <w:p w14:paraId="18C46914" w14:textId="77777777" w:rsidR="00DF0B5D" w:rsidRPr="00F85178" w:rsidRDefault="00DF0B5D" w:rsidP="00DF0B5D">
      <w:pPr>
        <w:pStyle w:val="OdstavecASR"/>
      </w:pPr>
      <w:r w:rsidRPr="00F85178">
        <w:t xml:space="preserve">Ale ne všechna data, o která byla očištěna </w:t>
      </w:r>
      <w:proofErr w:type="gramStart"/>
      <w:r w:rsidRPr="00F85178">
        <w:t>kapitola </w:t>
      </w:r>
      <w:r w:rsidR="002E433F" w:rsidRPr="00F85178">
        <w:rPr>
          <w:bCs/>
        </w:rPr>
        <w:fldChar w:fldCharType="begin"/>
      </w:r>
      <w:r w:rsidR="002E433F" w:rsidRPr="00F85178">
        <w:rPr>
          <w:bCs/>
        </w:rPr>
        <w:instrText xml:space="preserve"> REF _Ref10553167 \r \h  \* MERGEFORMAT </w:instrText>
      </w:r>
      <w:r w:rsidR="002E433F" w:rsidRPr="00F85178">
        <w:rPr>
          <w:bCs/>
        </w:rPr>
      </w:r>
      <w:r w:rsidR="002E433F" w:rsidRPr="00F85178">
        <w:rPr>
          <w:bCs/>
        </w:rPr>
        <w:fldChar w:fldCharType="separate"/>
      </w:r>
      <w:r w:rsidR="00306940">
        <w:rPr>
          <w:bCs/>
        </w:rPr>
        <w:t>2.2</w:t>
      </w:r>
      <w:r w:rsidR="002E433F" w:rsidRPr="00F85178">
        <w:rPr>
          <w:bCs/>
        </w:rPr>
        <w:fldChar w:fldCharType="end"/>
      </w:r>
      <w:r w:rsidRPr="00F85178">
        <w:t>, zde</w:t>
      </w:r>
      <w:proofErr w:type="gramEnd"/>
      <w:r w:rsidRPr="00F85178">
        <w:t xml:space="preserve"> zahrnujeme. Občanské soudní řízení zná celkem čtyři typy platebních rozkazů, ale okresních soudů se týkají jen tři z nich, a to „běžný“ platební rozkaz, elektronický platební rozkaz a evropský platební rozkaz. Čtvrtý typ, kterým je směnečný (šekový) platební rozkaz, vydávají jen krajské soudy. Pro každý typ platí jiné podmínky a postupy. Dále ve statistickém sledování rozkazního řízení proběhlo v letech 2009 až 2013 nejvíce změn. V časových řadách by se tak objevovaly výkyvy způsobené právě změnami ve statistikách a došlo by tak ke zkreslení. Z tohoto důvodu se tato kapitola zabývá pouze elektronickým platebním rozkazem od roku 2013, protože od tohoto roku se již neudály žádné významné změny a všechny návrhy na vydání elektronického platebního rozkazu se evidují v rejstříku EPR.</w:t>
      </w:r>
    </w:p>
    <w:p w14:paraId="78D45C28" w14:textId="77777777" w:rsidR="0032015B" w:rsidRDefault="00074575" w:rsidP="00DF0B5D">
      <w:pPr>
        <w:pStyle w:val="OdstavecASR"/>
      </w:pPr>
      <w:r w:rsidRPr="00F85178">
        <w:t xml:space="preserve">Dalším důvodem, proč byl vybrán rejstřík EPR, je ten, že tvoří největší část agendy rozkazního řízení (např. v roce </w:t>
      </w:r>
      <w:r w:rsidR="00F96006">
        <w:t>2018</w:t>
      </w:r>
      <w:r w:rsidRPr="00F85178">
        <w:t xml:space="preserve"> činí podíl EPR 87,07 % z návrhů na vydání platebního rozkazu u OS). V předchozích letech bylo podíl obdobný.</w:t>
      </w:r>
    </w:p>
    <w:p w14:paraId="0E522DB8" w14:textId="689D6263" w:rsidR="00415D2C" w:rsidRPr="00F85178" w:rsidRDefault="00415D2C" w:rsidP="00415D2C">
      <w:pPr>
        <w:pStyle w:val="Nadpis3"/>
        <w:rPr>
          <w:color w:val="auto"/>
        </w:rPr>
      </w:pPr>
      <w:bookmarkStart w:id="149" w:name="_Toc515871227"/>
      <w:bookmarkStart w:id="150" w:name="_Toc14076879"/>
      <w:r w:rsidRPr="00F85178">
        <w:rPr>
          <w:color w:val="auto"/>
        </w:rPr>
        <w:t>Délka řízení</w:t>
      </w:r>
      <w:bookmarkEnd w:id="149"/>
      <w:bookmarkEnd w:id="150"/>
    </w:p>
    <w:p w14:paraId="01B091D6" w14:textId="77777777" w:rsidR="00415D2C" w:rsidRPr="00F85178" w:rsidRDefault="00415D2C" w:rsidP="00415D2C">
      <w:pPr>
        <w:pStyle w:val="OdstavecASR"/>
      </w:pPr>
      <w:r w:rsidRPr="00F85178">
        <w:t>Platí stejné poznámky jako v přechozí kapitole, délky řízení zjišťujeme ze statistických listů a délky řízení uvádíme v kalendářních dnech ode dne nápadu do dne konečného rozhodnutí soudem I.</w:t>
      </w:r>
      <w:r w:rsidR="003547EB" w:rsidRPr="00F85178">
        <w:t> </w:t>
      </w:r>
      <w:r w:rsidRPr="00F85178">
        <w:t>stupně.</w:t>
      </w:r>
    </w:p>
    <w:p w14:paraId="6DD775BD" w14:textId="77777777" w:rsidR="00074575" w:rsidRPr="00F85178" w:rsidRDefault="00074575" w:rsidP="00074575">
      <w:pPr>
        <w:pStyle w:val="Podtitul"/>
        <w:rPr>
          <w:color w:val="auto"/>
        </w:rPr>
      </w:pPr>
      <w:bookmarkStart w:id="151" w:name="_Toc515871346"/>
      <w:bookmarkStart w:id="152" w:name="_Toc11135081"/>
      <w:bookmarkStart w:id="153" w:name="_Toc1383751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20</w:t>
      </w:r>
      <w:r w:rsidRPr="00F85178">
        <w:rPr>
          <w:color w:val="auto"/>
        </w:rPr>
        <w:fldChar w:fldCharType="end"/>
      </w:r>
      <w:r w:rsidRPr="00F85178">
        <w:rPr>
          <w:color w:val="auto"/>
        </w:rPr>
        <w:t xml:space="preserve">: OS – délka civilního el. </w:t>
      </w:r>
      <w:proofErr w:type="gramStart"/>
      <w:r w:rsidRPr="00F85178">
        <w:rPr>
          <w:color w:val="auto"/>
        </w:rPr>
        <w:t>rozkazního</w:t>
      </w:r>
      <w:proofErr w:type="gramEnd"/>
      <w:r w:rsidRPr="00F85178">
        <w:rPr>
          <w:color w:val="auto"/>
        </w:rPr>
        <w:t xml:space="preserve"> řízení v letech 2013–201</w:t>
      </w:r>
      <w:bookmarkEnd w:id="151"/>
      <w:r w:rsidR="005C706B" w:rsidRPr="00F85178">
        <w:rPr>
          <w:color w:val="auto"/>
        </w:rPr>
        <w:t>8</w:t>
      </w:r>
      <w:bookmarkEnd w:id="152"/>
      <w:bookmarkEnd w:id="153"/>
    </w:p>
    <w:p w14:paraId="7DCCB9F0" w14:textId="77777777" w:rsidR="00A57A41" w:rsidRPr="00F85178" w:rsidRDefault="00890295" w:rsidP="00A57A41">
      <w:pPr>
        <w:pStyle w:val="OdstavecASR"/>
      </w:pPr>
      <w:r>
        <w:rPr>
          <w:noProof/>
          <w:lang w:eastAsia="cs-CZ"/>
        </w:rPr>
        <w:drawing>
          <wp:inline distT="0" distB="0" distL="0" distR="0" wp14:anchorId="280192C5" wp14:editId="5F684D15">
            <wp:extent cx="5118100" cy="3746500"/>
            <wp:effectExtent l="0" t="0" r="0" b="0"/>
            <wp:docPr id="21" name="Obráze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2061AB5" w14:textId="77777777" w:rsidR="00322937" w:rsidRPr="00F85178" w:rsidRDefault="00074575" w:rsidP="00074575">
      <w:pPr>
        <w:pStyle w:val="Podtitul"/>
        <w:rPr>
          <w:color w:val="auto"/>
        </w:rPr>
      </w:pPr>
      <w:bookmarkStart w:id="154" w:name="_Toc515871448"/>
      <w:bookmarkStart w:id="155" w:name="_Toc11133216"/>
      <w:bookmarkStart w:id="156" w:name="_Toc1383743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14</w:t>
      </w:r>
      <w:r w:rsidRPr="00F85178">
        <w:rPr>
          <w:noProof/>
          <w:color w:val="auto"/>
        </w:rPr>
        <w:fldChar w:fldCharType="end"/>
      </w:r>
      <w:r w:rsidRPr="00F85178">
        <w:rPr>
          <w:color w:val="auto"/>
        </w:rPr>
        <w:t xml:space="preserve">: OS – délky el. </w:t>
      </w:r>
      <w:proofErr w:type="gramStart"/>
      <w:r w:rsidRPr="00F85178">
        <w:rPr>
          <w:color w:val="auto"/>
        </w:rPr>
        <w:t>rozkazního</w:t>
      </w:r>
      <w:proofErr w:type="gramEnd"/>
      <w:r w:rsidRPr="00F85178">
        <w:rPr>
          <w:color w:val="auto"/>
        </w:rPr>
        <w:t xml:space="preserve"> civilního řízení dle krajů</w:t>
      </w:r>
      <w:bookmarkEnd w:id="154"/>
      <w:bookmarkEnd w:id="155"/>
      <w:bookmarkEnd w:id="156"/>
    </w:p>
    <w:tbl>
      <w:tblPr>
        <w:tblW w:w="8800" w:type="dxa"/>
        <w:tblInd w:w="70" w:type="dxa"/>
        <w:tblCellMar>
          <w:left w:w="70" w:type="dxa"/>
          <w:right w:w="70" w:type="dxa"/>
        </w:tblCellMar>
        <w:tblLook w:val="04A0" w:firstRow="1" w:lastRow="0" w:firstColumn="1" w:lastColumn="0" w:noHBand="0" w:noVBand="1"/>
      </w:tblPr>
      <w:tblGrid>
        <w:gridCol w:w="2320"/>
        <w:gridCol w:w="671"/>
        <w:gridCol w:w="1489"/>
        <w:gridCol w:w="671"/>
        <w:gridCol w:w="1489"/>
        <w:gridCol w:w="671"/>
        <w:gridCol w:w="1489"/>
      </w:tblGrid>
      <w:tr w:rsidR="00F85178" w:rsidRPr="00F85178" w14:paraId="4D52B397" w14:textId="77777777" w:rsidTr="00074575">
        <w:trPr>
          <w:trHeight w:val="330"/>
        </w:trPr>
        <w:tc>
          <w:tcPr>
            <w:tcW w:w="2320" w:type="dxa"/>
            <w:vMerge w:val="restart"/>
            <w:tcBorders>
              <w:top w:val="double" w:sz="6" w:space="0" w:color="auto"/>
              <w:left w:val="nil"/>
              <w:bottom w:val="double" w:sz="6" w:space="0" w:color="000000"/>
              <w:right w:val="nil"/>
            </w:tcBorders>
            <w:shd w:val="clear" w:color="auto" w:fill="auto"/>
            <w:noWrap/>
            <w:vAlign w:val="center"/>
            <w:hideMark/>
          </w:tcPr>
          <w:p w14:paraId="2F3B6899" w14:textId="77777777" w:rsidR="00074575" w:rsidRPr="00F85178" w:rsidRDefault="00074575" w:rsidP="00074575">
            <w:pPr>
              <w:spacing w:line="240" w:lineRule="auto"/>
              <w:jc w:val="left"/>
              <w:rPr>
                <w:rFonts w:eastAsia="Times New Roman"/>
                <w:b/>
                <w:bCs/>
                <w:szCs w:val="24"/>
                <w:lang w:eastAsia="cs-CZ"/>
              </w:rPr>
            </w:pPr>
            <w:r w:rsidRPr="00F85178">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15287D11"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67D74DD7" w14:textId="77777777" w:rsidTr="00074575">
        <w:trPr>
          <w:trHeight w:val="330"/>
        </w:trPr>
        <w:tc>
          <w:tcPr>
            <w:tcW w:w="2320" w:type="dxa"/>
            <w:vMerge/>
            <w:tcBorders>
              <w:top w:val="double" w:sz="6" w:space="0" w:color="auto"/>
              <w:left w:val="nil"/>
              <w:bottom w:val="double" w:sz="6" w:space="0" w:color="000000"/>
              <w:right w:val="nil"/>
            </w:tcBorders>
            <w:vAlign w:val="center"/>
            <w:hideMark/>
          </w:tcPr>
          <w:p w14:paraId="78C08D75" w14:textId="77777777" w:rsidR="00074575" w:rsidRPr="00F85178" w:rsidRDefault="00074575" w:rsidP="00074575">
            <w:pPr>
              <w:spacing w:line="240" w:lineRule="auto"/>
              <w:jc w:val="left"/>
              <w:rPr>
                <w:rFonts w:eastAsia="Times New Roman"/>
                <w:b/>
                <w:bCs/>
                <w:szCs w:val="24"/>
                <w:lang w:eastAsia="cs-CZ"/>
              </w:rPr>
            </w:pPr>
          </w:p>
        </w:tc>
        <w:tc>
          <w:tcPr>
            <w:tcW w:w="2160" w:type="dxa"/>
            <w:gridSpan w:val="2"/>
            <w:tcBorders>
              <w:top w:val="nil"/>
              <w:left w:val="nil"/>
              <w:bottom w:val="double" w:sz="6" w:space="0" w:color="auto"/>
              <w:right w:val="nil"/>
            </w:tcBorders>
            <w:shd w:val="clear" w:color="auto" w:fill="auto"/>
            <w:noWrap/>
            <w:vAlign w:val="center"/>
            <w:hideMark/>
          </w:tcPr>
          <w:p w14:paraId="0DFFA709"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216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3B7BC8B"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2160" w:type="dxa"/>
            <w:gridSpan w:val="2"/>
            <w:tcBorders>
              <w:top w:val="nil"/>
              <w:left w:val="nil"/>
              <w:bottom w:val="double" w:sz="6" w:space="0" w:color="auto"/>
              <w:right w:val="nil"/>
            </w:tcBorders>
            <w:shd w:val="clear" w:color="auto" w:fill="auto"/>
            <w:noWrap/>
            <w:vAlign w:val="center"/>
            <w:hideMark/>
          </w:tcPr>
          <w:p w14:paraId="5AC8E3C8"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55A63592" w14:textId="77777777" w:rsidTr="00074575">
        <w:trPr>
          <w:trHeight w:val="330"/>
        </w:trPr>
        <w:tc>
          <w:tcPr>
            <w:tcW w:w="2320" w:type="dxa"/>
            <w:tcBorders>
              <w:top w:val="single" w:sz="4" w:space="0" w:color="auto"/>
              <w:left w:val="nil"/>
              <w:bottom w:val="single" w:sz="4" w:space="0" w:color="auto"/>
              <w:right w:val="nil"/>
            </w:tcBorders>
            <w:shd w:val="clear" w:color="auto" w:fill="auto"/>
            <w:noWrap/>
            <w:vAlign w:val="bottom"/>
            <w:hideMark/>
          </w:tcPr>
          <w:p w14:paraId="49D2174F"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MS Praha</w:t>
            </w:r>
          </w:p>
        </w:tc>
        <w:tc>
          <w:tcPr>
            <w:tcW w:w="671" w:type="dxa"/>
            <w:tcBorders>
              <w:top w:val="single" w:sz="4" w:space="0" w:color="auto"/>
              <w:left w:val="nil"/>
              <w:bottom w:val="single" w:sz="4" w:space="0" w:color="auto"/>
              <w:right w:val="nil"/>
            </w:tcBorders>
            <w:shd w:val="clear" w:color="auto" w:fill="auto"/>
            <w:noWrap/>
            <w:vAlign w:val="bottom"/>
            <w:hideMark/>
          </w:tcPr>
          <w:p w14:paraId="1BD50240"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33</w:t>
            </w:r>
          </w:p>
        </w:tc>
        <w:tc>
          <w:tcPr>
            <w:tcW w:w="1489" w:type="dxa"/>
            <w:tcBorders>
              <w:top w:val="single" w:sz="4" w:space="0" w:color="auto"/>
              <w:left w:val="nil"/>
              <w:bottom w:val="single" w:sz="4" w:space="0" w:color="auto"/>
              <w:right w:val="nil"/>
            </w:tcBorders>
            <w:shd w:val="clear" w:color="auto" w:fill="auto"/>
            <w:noWrap/>
            <w:vAlign w:val="center"/>
            <w:hideMark/>
          </w:tcPr>
          <w:p w14:paraId="55C40ED7" w14:textId="1FAA29EE"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+27 %</w:t>
            </w:r>
          </w:p>
        </w:tc>
        <w:tc>
          <w:tcPr>
            <w:tcW w:w="671" w:type="dxa"/>
            <w:tcBorders>
              <w:top w:val="nil"/>
              <w:left w:val="single" w:sz="4" w:space="0" w:color="auto"/>
              <w:bottom w:val="single" w:sz="4" w:space="0" w:color="auto"/>
              <w:right w:val="nil"/>
            </w:tcBorders>
            <w:shd w:val="clear" w:color="auto" w:fill="auto"/>
            <w:noWrap/>
            <w:vAlign w:val="bottom"/>
            <w:hideMark/>
          </w:tcPr>
          <w:p w14:paraId="5D7A33C8"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20</w:t>
            </w:r>
          </w:p>
        </w:tc>
        <w:tc>
          <w:tcPr>
            <w:tcW w:w="1489" w:type="dxa"/>
            <w:tcBorders>
              <w:top w:val="nil"/>
              <w:left w:val="nil"/>
              <w:bottom w:val="single" w:sz="4" w:space="0" w:color="auto"/>
              <w:right w:val="single" w:sz="4" w:space="0" w:color="auto"/>
            </w:tcBorders>
            <w:shd w:val="clear" w:color="auto" w:fill="auto"/>
            <w:noWrap/>
            <w:vAlign w:val="center"/>
            <w:hideMark/>
          </w:tcPr>
          <w:p w14:paraId="34216C27" w14:textId="7929C405"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+18 %</w:t>
            </w:r>
          </w:p>
        </w:tc>
        <w:tc>
          <w:tcPr>
            <w:tcW w:w="671" w:type="dxa"/>
            <w:tcBorders>
              <w:top w:val="single" w:sz="4" w:space="0" w:color="auto"/>
              <w:left w:val="nil"/>
              <w:bottom w:val="single" w:sz="4" w:space="0" w:color="auto"/>
              <w:right w:val="nil"/>
            </w:tcBorders>
            <w:shd w:val="clear" w:color="auto" w:fill="auto"/>
            <w:noWrap/>
            <w:vAlign w:val="bottom"/>
            <w:hideMark/>
          </w:tcPr>
          <w:p w14:paraId="013EEE9C"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81</w:t>
            </w:r>
          </w:p>
        </w:tc>
        <w:tc>
          <w:tcPr>
            <w:tcW w:w="1489" w:type="dxa"/>
            <w:tcBorders>
              <w:top w:val="single" w:sz="4" w:space="0" w:color="auto"/>
              <w:left w:val="nil"/>
              <w:bottom w:val="single" w:sz="4" w:space="0" w:color="auto"/>
              <w:right w:val="nil"/>
            </w:tcBorders>
            <w:shd w:val="clear" w:color="auto" w:fill="auto"/>
            <w:noWrap/>
            <w:vAlign w:val="center"/>
            <w:hideMark/>
          </w:tcPr>
          <w:p w14:paraId="6654935D" w14:textId="6F8BBCFF"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+59 %</w:t>
            </w:r>
          </w:p>
        </w:tc>
      </w:tr>
      <w:tr w:rsidR="00F85178" w:rsidRPr="00F85178" w14:paraId="5ECE664B"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6461FEB9"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Praha</w:t>
            </w:r>
          </w:p>
        </w:tc>
        <w:tc>
          <w:tcPr>
            <w:tcW w:w="671" w:type="dxa"/>
            <w:tcBorders>
              <w:top w:val="nil"/>
              <w:left w:val="nil"/>
              <w:bottom w:val="single" w:sz="4" w:space="0" w:color="auto"/>
              <w:right w:val="nil"/>
            </w:tcBorders>
            <w:shd w:val="clear" w:color="auto" w:fill="auto"/>
            <w:noWrap/>
            <w:vAlign w:val="bottom"/>
            <w:hideMark/>
          </w:tcPr>
          <w:p w14:paraId="1E75F380"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16</w:t>
            </w:r>
          </w:p>
        </w:tc>
        <w:tc>
          <w:tcPr>
            <w:tcW w:w="1489" w:type="dxa"/>
            <w:tcBorders>
              <w:top w:val="nil"/>
              <w:left w:val="nil"/>
              <w:bottom w:val="single" w:sz="4" w:space="0" w:color="auto"/>
              <w:right w:val="nil"/>
            </w:tcBorders>
            <w:shd w:val="clear" w:color="auto" w:fill="auto"/>
            <w:noWrap/>
            <w:vAlign w:val="center"/>
            <w:hideMark/>
          </w:tcPr>
          <w:p w14:paraId="2E0B2561" w14:textId="266AE5FF"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+7 %</w:t>
            </w:r>
          </w:p>
        </w:tc>
        <w:tc>
          <w:tcPr>
            <w:tcW w:w="671" w:type="dxa"/>
            <w:tcBorders>
              <w:top w:val="nil"/>
              <w:left w:val="single" w:sz="4" w:space="0" w:color="auto"/>
              <w:bottom w:val="single" w:sz="4" w:space="0" w:color="auto"/>
              <w:right w:val="nil"/>
            </w:tcBorders>
            <w:shd w:val="clear" w:color="auto" w:fill="auto"/>
            <w:noWrap/>
            <w:vAlign w:val="bottom"/>
            <w:hideMark/>
          </w:tcPr>
          <w:p w14:paraId="7CA5D6B2"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9</w:t>
            </w:r>
          </w:p>
        </w:tc>
        <w:tc>
          <w:tcPr>
            <w:tcW w:w="1489" w:type="dxa"/>
            <w:tcBorders>
              <w:top w:val="nil"/>
              <w:left w:val="nil"/>
              <w:bottom w:val="single" w:sz="4" w:space="0" w:color="auto"/>
              <w:right w:val="single" w:sz="4" w:space="0" w:color="auto"/>
            </w:tcBorders>
            <w:shd w:val="clear" w:color="auto" w:fill="auto"/>
            <w:noWrap/>
            <w:vAlign w:val="center"/>
            <w:hideMark/>
          </w:tcPr>
          <w:p w14:paraId="012A706A" w14:textId="2E86A47E"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671" w:type="dxa"/>
            <w:tcBorders>
              <w:top w:val="nil"/>
              <w:left w:val="nil"/>
              <w:bottom w:val="single" w:sz="4" w:space="0" w:color="auto"/>
              <w:right w:val="nil"/>
            </w:tcBorders>
            <w:shd w:val="clear" w:color="auto" w:fill="auto"/>
            <w:noWrap/>
            <w:vAlign w:val="bottom"/>
            <w:hideMark/>
          </w:tcPr>
          <w:p w14:paraId="54274ED3"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34</w:t>
            </w:r>
          </w:p>
        </w:tc>
        <w:tc>
          <w:tcPr>
            <w:tcW w:w="1489" w:type="dxa"/>
            <w:tcBorders>
              <w:top w:val="nil"/>
              <w:left w:val="nil"/>
              <w:bottom w:val="single" w:sz="4" w:space="0" w:color="auto"/>
              <w:right w:val="nil"/>
            </w:tcBorders>
            <w:shd w:val="clear" w:color="auto" w:fill="auto"/>
            <w:noWrap/>
            <w:vAlign w:val="center"/>
            <w:hideMark/>
          </w:tcPr>
          <w:p w14:paraId="0307D6F7" w14:textId="6F88AB44"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14E00069"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2F373DAA"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Č. Budějovice</w:t>
            </w:r>
          </w:p>
        </w:tc>
        <w:tc>
          <w:tcPr>
            <w:tcW w:w="671" w:type="dxa"/>
            <w:tcBorders>
              <w:top w:val="nil"/>
              <w:left w:val="nil"/>
              <w:bottom w:val="single" w:sz="4" w:space="0" w:color="auto"/>
              <w:right w:val="nil"/>
            </w:tcBorders>
            <w:shd w:val="clear" w:color="auto" w:fill="auto"/>
            <w:noWrap/>
            <w:vAlign w:val="bottom"/>
            <w:hideMark/>
          </w:tcPr>
          <w:p w14:paraId="75457B3F"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17</w:t>
            </w:r>
          </w:p>
        </w:tc>
        <w:tc>
          <w:tcPr>
            <w:tcW w:w="1489" w:type="dxa"/>
            <w:tcBorders>
              <w:top w:val="nil"/>
              <w:left w:val="nil"/>
              <w:bottom w:val="single" w:sz="4" w:space="0" w:color="auto"/>
              <w:right w:val="nil"/>
            </w:tcBorders>
            <w:shd w:val="clear" w:color="auto" w:fill="auto"/>
            <w:noWrap/>
            <w:vAlign w:val="center"/>
            <w:hideMark/>
          </w:tcPr>
          <w:p w14:paraId="05960D96" w14:textId="003040D3"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671" w:type="dxa"/>
            <w:tcBorders>
              <w:top w:val="nil"/>
              <w:left w:val="single" w:sz="4" w:space="0" w:color="auto"/>
              <w:bottom w:val="single" w:sz="4" w:space="0" w:color="auto"/>
              <w:right w:val="nil"/>
            </w:tcBorders>
            <w:shd w:val="clear" w:color="auto" w:fill="auto"/>
            <w:noWrap/>
            <w:vAlign w:val="bottom"/>
            <w:hideMark/>
          </w:tcPr>
          <w:p w14:paraId="6893E3F8"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9</w:t>
            </w:r>
          </w:p>
        </w:tc>
        <w:tc>
          <w:tcPr>
            <w:tcW w:w="1489" w:type="dxa"/>
            <w:tcBorders>
              <w:top w:val="nil"/>
              <w:left w:val="nil"/>
              <w:bottom w:val="single" w:sz="4" w:space="0" w:color="auto"/>
              <w:right w:val="single" w:sz="4" w:space="0" w:color="auto"/>
            </w:tcBorders>
            <w:shd w:val="clear" w:color="auto" w:fill="auto"/>
            <w:noWrap/>
            <w:vAlign w:val="center"/>
            <w:hideMark/>
          </w:tcPr>
          <w:p w14:paraId="0C9D8EF1" w14:textId="3C8BE79A"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671" w:type="dxa"/>
            <w:tcBorders>
              <w:top w:val="nil"/>
              <w:left w:val="nil"/>
              <w:bottom w:val="single" w:sz="4" w:space="0" w:color="auto"/>
              <w:right w:val="nil"/>
            </w:tcBorders>
            <w:shd w:val="clear" w:color="auto" w:fill="auto"/>
            <w:noWrap/>
            <w:vAlign w:val="bottom"/>
            <w:hideMark/>
          </w:tcPr>
          <w:p w14:paraId="138171F8"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36</w:t>
            </w:r>
          </w:p>
        </w:tc>
        <w:tc>
          <w:tcPr>
            <w:tcW w:w="1489" w:type="dxa"/>
            <w:tcBorders>
              <w:top w:val="nil"/>
              <w:left w:val="nil"/>
              <w:bottom w:val="single" w:sz="4" w:space="0" w:color="auto"/>
              <w:right w:val="nil"/>
            </w:tcBorders>
            <w:shd w:val="clear" w:color="auto" w:fill="auto"/>
            <w:noWrap/>
            <w:vAlign w:val="center"/>
            <w:hideMark/>
          </w:tcPr>
          <w:p w14:paraId="67FDF655" w14:textId="7CF39A37"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08FA0EE2"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707C7457"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Plzeň</w:t>
            </w:r>
          </w:p>
        </w:tc>
        <w:tc>
          <w:tcPr>
            <w:tcW w:w="671" w:type="dxa"/>
            <w:tcBorders>
              <w:top w:val="nil"/>
              <w:left w:val="nil"/>
              <w:bottom w:val="single" w:sz="4" w:space="0" w:color="auto"/>
              <w:right w:val="nil"/>
            </w:tcBorders>
            <w:shd w:val="clear" w:color="auto" w:fill="auto"/>
            <w:noWrap/>
            <w:vAlign w:val="bottom"/>
            <w:hideMark/>
          </w:tcPr>
          <w:p w14:paraId="71881049"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20</w:t>
            </w:r>
          </w:p>
        </w:tc>
        <w:tc>
          <w:tcPr>
            <w:tcW w:w="1489" w:type="dxa"/>
            <w:tcBorders>
              <w:top w:val="nil"/>
              <w:left w:val="nil"/>
              <w:bottom w:val="single" w:sz="4" w:space="0" w:color="auto"/>
              <w:right w:val="nil"/>
            </w:tcBorders>
            <w:shd w:val="clear" w:color="auto" w:fill="auto"/>
            <w:noWrap/>
            <w:vAlign w:val="center"/>
            <w:hideMark/>
          </w:tcPr>
          <w:p w14:paraId="0BE5A2E7" w14:textId="38D4CB6D"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-5 %</w:t>
            </w:r>
          </w:p>
        </w:tc>
        <w:tc>
          <w:tcPr>
            <w:tcW w:w="671" w:type="dxa"/>
            <w:tcBorders>
              <w:top w:val="nil"/>
              <w:left w:val="single" w:sz="4" w:space="0" w:color="auto"/>
              <w:bottom w:val="single" w:sz="4" w:space="0" w:color="auto"/>
              <w:right w:val="nil"/>
            </w:tcBorders>
            <w:shd w:val="clear" w:color="auto" w:fill="auto"/>
            <w:noWrap/>
            <w:vAlign w:val="bottom"/>
            <w:hideMark/>
          </w:tcPr>
          <w:p w14:paraId="03A73E6E"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11</w:t>
            </w:r>
          </w:p>
        </w:tc>
        <w:tc>
          <w:tcPr>
            <w:tcW w:w="1489" w:type="dxa"/>
            <w:tcBorders>
              <w:top w:val="nil"/>
              <w:left w:val="nil"/>
              <w:bottom w:val="single" w:sz="4" w:space="0" w:color="auto"/>
              <w:right w:val="single" w:sz="4" w:space="0" w:color="auto"/>
            </w:tcBorders>
            <w:shd w:val="clear" w:color="auto" w:fill="auto"/>
            <w:noWrap/>
            <w:vAlign w:val="center"/>
            <w:hideMark/>
          </w:tcPr>
          <w:p w14:paraId="4212B284" w14:textId="37C5E6C4"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+0 %</w:t>
            </w:r>
          </w:p>
        </w:tc>
        <w:tc>
          <w:tcPr>
            <w:tcW w:w="671" w:type="dxa"/>
            <w:tcBorders>
              <w:top w:val="nil"/>
              <w:left w:val="nil"/>
              <w:bottom w:val="single" w:sz="4" w:space="0" w:color="auto"/>
              <w:right w:val="nil"/>
            </w:tcBorders>
            <w:shd w:val="clear" w:color="auto" w:fill="auto"/>
            <w:noWrap/>
            <w:vAlign w:val="bottom"/>
            <w:hideMark/>
          </w:tcPr>
          <w:p w14:paraId="62574067"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45</w:t>
            </w:r>
          </w:p>
        </w:tc>
        <w:tc>
          <w:tcPr>
            <w:tcW w:w="1489" w:type="dxa"/>
            <w:tcBorders>
              <w:top w:val="nil"/>
              <w:left w:val="nil"/>
              <w:bottom w:val="single" w:sz="4" w:space="0" w:color="auto"/>
              <w:right w:val="nil"/>
            </w:tcBorders>
            <w:shd w:val="clear" w:color="auto" w:fill="auto"/>
            <w:noWrap/>
            <w:vAlign w:val="center"/>
            <w:hideMark/>
          </w:tcPr>
          <w:p w14:paraId="484E9013" w14:textId="736B9A61"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-2 %</w:t>
            </w:r>
          </w:p>
        </w:tc>
      </w:tr>
      <w:tr w:rsidR="00F85178" w:rsidRPr="00F85178" w14:paraId="2039C838"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7C19AFBE"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Ústí n. Labem</w:t>
            </w:r>
          </w:p>
        </w:tc>
        <w:tc>
          <w:tcPr>
            <w:tcW w:w="671" w:type="dxa"/>
            <w:tcBorders>
              <w:top w:val="nil"/>
              <w:left w:val="nil"/>
              <w:bottom w:val="single" w:sz="4" w:space="0" w:color="auto"/>
              <w:right w:val="nil"/>
            </w:tcBorders>
            <w:shd w:val="clear" w:color="auto" w:fill="auto"/>
            <w:noWrap/>
            <w:vAlign w:val="bottom"/>
            <w:hideMark/>
          </w:tcPr>
          <w:p w14:paraId="0077FC58"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34</w:t>
            </w:r>
          </w:p>
        </w:tc>
        <w:tc>
          <w:tcPr>
            <w:tcW w:w="1489" w:type="dxa"/>
            <w:tcBorders>
              <w:top w:val="nil"/>
              <w:left w:val="nil"/>
              <w:bottom w:val="single" w:sz="4" w:space="0" w:color="auto"/>
              <w:right w:val="nil"/>
            </w:tcBorders>
            <w:shd w:val="clear" w:color="auto" w:fill="auto"/>
            <w:noWrap/>
            <w:vAlign w:val="center"/>
            <w:hideMark/>
          </w:tcPr>
          <w:p w14:paraId="16187A3D" w14:textId="73EC9B2A"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671" w:type="dxa"/>
            <w:tcBorders>
              <w:top w:val="nil"/>
              <w:left w:val="single" w:sz="4" w:space="0" w:color="auto"/>
              <w:bottom w:val="single" w:sz="4" w:space="0" w:color="auto"/>
              <w:right w:val="nil"/>
            </w:tcBorders>
            <w:shd w:val="clear" w:color="auto" w:fill="auto"/>
            <w:noWrap/>
            <w:vAlign w:val="bottom"/>
            <w:hideMark/>
          </w:tcPr>
          <w:p w14:paraId="44162777"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18</w:t>
            </w:r>
          </w:p>
        </w:tc>
        <w:tc>
          <w:tcPr>
            <w:tcW w:w="1489" w:type="dxa"/>
            <w:tcBorders>
              <w:top w:val="nil"/>
              <w:left w:val="nil"/>
              <w:bottom w:val="single" w:sz="4" w:space="0" w:color="auto"/>
              <w:right w:val="single" w:sz="4" w:space="0" w:color="auto"/>
            </w:tcBorders>
            <w:shd w:val="clear" w:color="auto" w:fill="auto"/>
            <w:noWrap/>
            <w:vAlign w:val="center"/>
            <w:hideMark/>
          </w:tcPr>
          <w:p w14:paraId="20F4D324" w14:textId="30FEBF07"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-5 %</w:t>
            </w:r>
          </w:p>
        </w:tc>
        <w:tc>
          <w:tcPr>
            <w:tcW w:w="671" w:type="dxa"/>
            <w:tcBorders>
              <w:top w:val="nil"/>
              <w:left w:val="nil"/>
              <w:bottom w:val="single" w:sz="4" w:space="0" w:color="auto"/>
              <w:right w:val="nil"/>
            </w:tcBorders>
            <w:shd w:val="clear" w:color="auto" w:fill="auto"/>
            <w:noWrap/>
            <w:vAlign w:val="bottom"/>
            <w:hideMark/>
          </w:tcPr>
          <w:p w14:paraId="6B54D235"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74</w:t>
            </w:r>
          </w:p>
        </w:tc>
        <w:tc>
          <w:tcPr>
            <w:tcW w:w="1489" w:type="dxa"/>
            <w:tcBorders>
              <w:top w:val="nil"/>
              <w:left w:val="nil"/>
              <w:bottom w:val="single" w:sz="4" w:space="0" w:color="auto"/>
              <w:right w:val="nil"/>
            </w:tcBorders>
            <w:shd w:val="clear" w:color="auto" w:fill="auto"/>
            <w:noWrap/>
            <w:vAlign w:val="center"/>
            <w:hideMark/>
          </w:tcPr>
          <w:p w14:paraId="30113C0F" w14:textId="3E110A58"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2864F230"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63C2CBBB"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Hr. Králové</w:t>
            </w:r>
          </w:p>
        </w:tc>
        <w:tc>
          <w:tcPr>
            <w:tcW w:w="671" w:type="dxa"/>
            <w:tcBorders>
              <w:top w:val="nil"/>
              <w:left w:val="nil"/>
              <w:bottom w:val="single" w:sz="4" w:space="0" w:color="auto"/>
              <w:right w:val="nil"/>
            </w:tcBorders>
            <w:shd w:val="clear" w:color="auto" w:fill="auto"/>
            <w:noWrap/>
            <w:vAlign w:val="bottom"/>
            <w:hideMark/>
          </w:tcPr>
          <w:p w14:paraId="430EB866"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20</w:t>
            </w:r>
          </w:p>
        </w:tc>
        <w:tc>
          <w:tcPr>
            <w:tcW w:w="1489" w:type="dxa"/>
            <w:tcBorders>
              <w:top w:val="nil"/>
              <w:left w:val="nil"/>
              <w:bottom w:val="single" w:sz="4" w:space="0" w:color="auto"/>
              <w:right w:val="nil"/>
            </w:tcBorders>
            <w:shd w:val="clear" w:color="auto" w:fill="auto"/>
            <w:noWrap/>
            <w:vAlign w:val="center"/>
            <w:hideMark/>
          </w:tcPr>
          <w:p w14:paraId="26C4F760" w14:textId="23D9B0D3"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671" w:type="dxa"/>
            <w:tcBorders>
              <w:top w:val="nil"/>
              <w:left w:val="single" w:sz="4" w:space="0" w:color="auto"/>
              <w:bottom w:val="single" w:sz="4" w:space="0" w:color="auto"/>
              <w:right w:val="nil"/>
            </w:tcBorders>
            <w:shd w:val="clear" w:color="auto" w:fill="auto"/>
            <w:noWrap/>
            <w:vAlign w:val="bottom"/>
            <w:hideMark/>
          </w:tcPr>
          <w:p w14:paraId="6D52DAF0"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11</w:t>
            </w:r>
          </w:p>
        </w:tc>
        <w:tc>
          <w:tcPr>
            <w:tcW w:w="1489" w:type="dxa"/>
            <w:tcBorders>
              <w:top w:val="nil"/>
              <w:left w:val="nil"/>
              <w:bottom w:val="single" w:sz="4" w:space="0" w:color="auto"/>
              <w:right w:val="single" w:sz="4" w:space="0" w:color="auto"/>
            </w:tcBorders>
            <w:shd w:val="clear" w:color="auto" w:fill="auto"/>
            <w:noWrap/>
            <w:vAlign w:val="center"/>
            <w:hideMark/>
          </w:tcPr>
          <w:p w14:paraId="1EA62AD1" w14:textId="070EB76C"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671" w:type="dxa"/>
            <w:tcBorders>
              <w:top w:val="nil"/>
              <w:left w:val="nil"/>
              <w:bottom w:val="single" w:sz="4" w:space="0" w:color="auto"/>
              <w:right w:val="nil"/>
            </w:tcBorders>
            <w:shd w:val="clear" w:color="auto" w:fill="auto"/>
            <w:noWrap/>
            <w:vAlign w:val="bottom"/>
            <w:hideMark/>
          </w:tcPr>
          <w:p w14:paraId="67C550B1"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43</w:t>
            </w:r>
          </w:p>
        </w:tc>
        <w:tc>
          <w:tcPr>
            <w:tcW w:w="1489" w:type="dxa"/>
            <w:tcBorders>
              <w:top w:val="nil"/>
              <w:left w:val="nil"/>
              <w:bottom w:val="single" w:sz="4" w:space="0" w:color="auto"/>
              <w:right w:val="nil"/>
            </w:tcBorders>
            <w:shd w:val="clear" w:color="auto" w:fill="auto"/>
            <w:noWrap/>
            <w:vAlign w:val="center"/>
            <w:hideMark/>
          </w:tcPr>
          <w:p w14:paraId="17B57C0E" w14:textId="7F1DFE29"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325B75D8" w14:textId="77777777" w:rsidTr="00074575">
        <w:trPr>
          <w:trHeight w:val="315"/>
        </w:trPr>
        <w:tc>
          <w:tcPr>
            <w:tcW w:w="2320" w:type="dxa"/>
            <w:tcBorders>
              <w:top w:val="nil"/>
              <w:left w:val="nil"/>
              <w:bottom w:val="single" w:sz="4" w:space="0" w:color="auto"/>
              <w:right w:val="nil"/>
            </w:tcBorders>
            <w:shd w:val="clear" w:color="auto" w:fill="auto"/>
            <w:noWrap/>
            <w:vAlign w:val="bottom"/>
            <w:hideMark/>
          </w:tcPr>
          <w:p w14:paraId="43ABF1C1"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Brno</w:t>
            </w:r>
          </w:p>
        </w:tc>
        <w:tc>
          <w:tcPr>
            <w:tcW w:w="671" w:type="dxa"/>
            <w:tcBorders>
              <w:top w:val="nil"/>
              <w:left w:val="nil"/>
              <w:bottom w:val="single" w:sz="4" w:space="0" w:color="auto"/>
              <w:right w:val="nil"/>
            </w:tcBorders>
            <w:shd w:val="clear" w:color="auto" w:fill="auto"/>
            <w:noWrap/>
            <w:vAlign w:val="bottom"/>
            <w:hideMark/>
          </w:tcPr>
          <w:p w14:paraId="36665C8B"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43</w:t>
            </w:r>
          </w:p>
        </w:tc>
        <w:tc>
          <w:tcPr>
            <w:tcW w:w="1489" w:type="dxa"/>
            <w:tcBorders>
              <w:top w:val="nil"/>
              <w:left w:val="nil"/>
              <w:bottom w:val="single" w:sz="4" w:space="0" w:color="auto"/>
              <w:right w:val="nil"/>
            </w:tcBorders>
            <w:shd w:val="clear" w:color="auto" w:fill="auto"/>
            <w:noWrap/>
            <w:vAlign w:val="center"/>
            <w:hideMark/>
          </w:tcPr>
          <w:p w14:paraId="0FF91BC3" w14:textId="3D634471"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671" w:type="dxa"/>
            <w:tcBorders>
              <w:top w:val="nil"/>
              <w:left w:val="single" w:sz="4" w:space="0" w:color="auto"/>
              <w:bottom w:val="single" w:sz="4" w:space="0" w:color="auto"/>
              <w:right w:val="nil"/>
            </w:tcBorders>
            <w:shd w:val="clear" w:color="auto" w:fill="auto"/>
            <w:noWrap/>
            <w:vAlign w:val="bottom"/>
            <w:hideMark/>
          </w:tcPr>
          <w:p w14:paraId="62AAC474"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26</w:t>
            </w:r>
          </w:p>
        </w:tc>
        <w:tc>
          <w:tcPr>
            <w:tcW w:w="1489" w:type="dxa"/>
            <w:tcBorders>
              <w:top w:val="nil"/>
              <w:left w:val="nil"/>
              <w:bottom w:val="single" w:sz="4" w:space="0" w:color="auto"/>
              <w:right w:val="single" w:sz="4" w:space="0" w:color="auto"/>
            </w:tcBorders>
            <w:shd w:val="clear" w:color="auto" w:fill="auto"/>
            <w:noWrap/>
            <w:vAlign w:val="center"/>
            <w:hideMark/>
          </w:tcPr>
          <w:p w14:paraId="4C3F9452" w14:textId="2DC12D77"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+30 %</w:t>
            </w:r>
          </w:p>
        </w:tc>
        <w:tc>
          <w:tcPr>
            <w:tcW w:w="671" w:type="dxa"/>
            <w:tcBorders>
              <w:top w:val="nil"/>
              <w:left w:val="nil"/>
              <w:bottom w:val="single" w:sz="4" w:space="0" w:color="auto"/>
              <w:right w:val="nil"/>
            </w:tcBorders>
            <w:shd w:val="clear" w:color="auto" w:fill="auto"/>
            <w:noWrap/>
            <w:vAlign w:val="bottom"/>
            <w:hideMark/>
          </w:tcPr>
          <w:p w14:paraId="3E29E322"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90</w:t>
            </w:r>
          </w:p>
        </w:tc>
        <w:tc>
          <w:tcPr>
            <w:tcW w:w="1489" w:type="dxa"/>
            <w:tcBorders>
              <w:top w:val="nil"/>
              <w:left w:val="nil"/>
              <w:bottom w:val="single" w:sz="4" w:space="0" w:color="auto"/>
              <w:right w:val="nil"/>
            </w:tcBorders>
            <w:shd w:val="clear" w:color="auto" w:fill="auto"/>
            <w:noWrap/>
            <w:vAlign w:val="center"/>
            <w:hideMark/>
          </w:tcPr>
          <w:p w14:paraId="67FB64EB" w14:textId="1CAA2D6D"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59A68569" w14:textId="77777777" w:rsidTr="00074575">
        <w:trPr>
          <w:trHeight w:val="330"/>
        </w:trPr>
        <w:tc>
          <w:tcPr>
            <w:tcW w:w="2320" w:type="dxa"/>
            <w:tcBorders>
              <w:top w:val="nil"/>
              <w:left w:val="nil"/>
              <w:bottom w:val="double" w:sz="6" w:space="0" w:color="auto"/>
              <w:right w:val="nil"/>
            </w:tcBorders>
            <w:shd w:val="clear" w:color="auto" w:fill="auto"/>
            <w:noWrap/>
            <w:vAlign w:val="bottom"/>
            <w:hideMark/>
          </w:tcPr>
          <w:p w14:paraId="79C4BD93" w14:textId="77777777" w:rsidR="00074575" w:rsidRPr="00F85178" w:rsidRDefault="00074575" w:rsidP="00074575">
            <w:pPr>
              <w:spacing w:line="240" w:lineRule="auto"/>
              <w:jc w:val="left"/>
              <w:rPr>
                <w:rFonts w:eastAsia="Times New Roman"/>
                <w:szCs w:val="24"/>
                <w:lang w:eastAsia="cs-CZ"/>
              </w:rPr>
            </w:pPr>
            <w:r w:rsidRPr="00F85178">
              <w:rPr>
                <w:rFonts w:eastAsia="Times New Roman"/>
                <w:szCs w:val="24"/>
                <w:lang w:eastAsia="cs-CZ"/>
              </w:rPr>
              <w:t>KS Ostrava</w:t>
            </w:r>
          </w:p>
        </w:tc>
        <w:tc>
          <w:tcPr>
            <w:tcW w:w="671" w:type="dxa"/>
            <w:tcBorders>
              <w:top w:val="nil"/>
              <w:left w:val="nil"/>
              <w:bottom w:val="double" w:sz="6" w:space="0" w:color="auto"/>
              <w:right w:val="nil"/>
            </w:tcBorders>
            <w:shd w:val="clear" w:color="auto" w:fill="auto"/>
            <w:noWrap/>
            <w:vAlign w:val="bottom"/>
            <w:hideMark/>
          </w:tcPr>
          <w:p w14:paraId="0BA9B601"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25</w:t>
            </w:r>
          </w:p>
        </w:tc>
        <w:tc>
          <w:tcPr>
            <w:tcW w:w="1489" w:type="dxa"/>
            <w:tcBorders>
              <w:top w:val="nil"/>
              <w:left w:val="nil"/>
              <w:bottom w:val="double" w:sz="6" w:space="0" w:color="auto"/>
              <w:right w:val="nil"/>
            </w:tcBorders>
            <w:shd w:val="clear" w:color="auto" w:fill="auto"/>
            <w:noWrap/>
            <w:vAlign w:val="center"/>
            <w:hideMark/>
          </w:tcPr>
          <w:p w14:paraId="08B7F2BF" w14:textId="191445A8" w:rsidR="00074575" w:rsidRPr="00F85178" w:rsidRDefault="00074575" w:rsidP="00EF0B79">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671" w:type="dxa"/>
            <w:tcBorders>
              <w:top w:val="nil"/>
              <w:left w:val="single" w:sz="4" w:space="0" w:color="auto"/>
              <w:bottom w:val="double" w:sz="6" w:space="0" w:color="auto"/>
              <w:right w:val="nil"/>
            </w:tcBorders>
            <w:shd w:val="clear" w:color="auto" w:fill="auto"/>
            <w:noWrap/>
            <w:vAlign w:val="bottom"/>
            <w:hideMark/>
          </w:tcPr>
          <w:p w14:paraId="13E84D93"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14</w:t>
            </w:r>
          </w:p>
        </w:tc>
        <w:tc>
          <w:tcPr>
            <w:tcW w:w="1489" w:type="dxa"/>
            <w:tcBorders>
              <w:top w:val="nil"/>
              <w:left w:val="nil"/>
              <w:bottom w:val="double" w:sz="6" w:space="0" w:color="auto"/>
              <w:right w:val="single" w:sz="4" w:space="0" w:color="auto"/>
            </w:tcBorders>
            <w:shd w:val="clear" w:color="auto" w:fill="auto"/>
            <w:noWrap/>
            <w:vAlign w:val="center"/>
            <w:hideMark/>
          </w:tcPr>
          <w:p w14:paraId="51F4BF1E" w14:textId="5351981F"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+0 %</w:t>
            </w:r>
          </w:p>
        </w:tc>
        <w:tc>
          <w:tcPr>
            <w:tcW w:w="671" w:type="dxa"/>
            <w:tcBorders>
              <w:top w:val="nil"/>
              <w:left w:val="nil"/>
              <w:bottom w:val="double" w:sz="6" w:space="0" w:color="auto"/>
              <w:right w:val="nil"/>
            </w:tcBorders>
            <w:shd w:val="clear" w:color="auto" w:fill="auto"/>
            <w:noWrap/>
            <w:vAlign w:val="bottom"/>
            <w:hideMark/>
          </w:tcPr>
          <w:p w14:paraId="3554BD03" w14:textId="77777777" w:rsidR="00074575" w:rsidRPr="00F85178" w:rsidRDefault="00074575" w:rsidP="00074575">
            <w:pPr>
              <w:spacing w:line="240" w:lineRule="auto"/>
              <w:jc w:val="center"/>
              <w:rPr>
                <w:rFonts w:eastAsia="Times New Roman"/>
                <w:szCs w:val="24"/>
                <w:lang w:eastAsia="cs-CZ"/>
              </w:rPr>
            </w:pPr>
            <w:r w:rsidRPr="00F85178">
              <w:rPr>
                <w:rFonts w:eastAsia="Times New Roman"/>
                <w:szCs w:val="24"/>
                <w:lang w:eastAsia="cs-CZ"/>
              </w:rPr>
              <w:t>51</w:t>
            </w:r>
          </w:p>
        </w:tc>
        <w:tc>
          <w:tcPr>
            <w:tcW w:w="1489" w:type="dxa"/>
            <w:tcBorders>
              <w:top w:val="nil"/>
              <w:left w:val="nil"/>
              <w:bottom w:val="double" w:sz="6" w:space="0" w:color="auto"/>
              <w:right w:val="nil"/>
            </w:tcBorders>
            <w:shd w:val="clear" w:color="auto" w:fill="auto"/>
            <w:noWrap/>
            <w:vAlign w:val="center"/>
            <w:hideMark/>
          </w:tcPr>
          <w:p w14:paraId="0EE3F123" w14:textId="1CF7B6EF" w:rsidR="00074575"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+4 %</w:t>
            </w:r>
          </w:p>
        </w:tc>
      </w:tr>
      <w:tr w:rsidR="00074575" w:rsidRPr="00F85178" w14:paraId="58399B76" w14:textId="77777777" w:rsidTr="00074575">
        <w:trPr>
          <w:trHeight w:val="345"/>
        </w:trPr>
        <w:tc>
          <w:tcPr>
            <w:tcW w:w="2320" w:type="dxa"/>
            <w:tcBorders>
              <w:top w:val="nil"/>
              <w:left w:val="nil"/>
              <w:bottom w:val="double" w:sz="6" w:space="0" w:color="auto"/>
              <w:right w:val="nil"/>
            </w:tcBorders>
            <w:shd w:val="clear" w:color="auto" w:fill="auto"/>
            <w:noWrap/>
            <w:vAlign w:val="bottom"/>
            <w:hideMark/>
          </w:tcPr>
          <w:p w14:paraId="6458E1BD" w14:textId="77777777" w:rsidR="00074575" w:rsidRPr="00F85178" w:rsidRDefault="00074575" w:rsidP="00074575">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71" w:type="dxa"/>
            <w:tcBorders>
              <w:top w:val="nil"/>
              <w:left w:val="nil"/>
              <w:bottom w:val="double" w:sz="6" w:space="0" w:color="auto"/>
              <w:right w:val="nil"/>
            </w:tcBorders>
            <w:shd w:val="clear" w:color="auto" w:fill="auto"/>
            <w:noWrap/>
            <w:vAlign w:val="bottom"/>
            <w:hideMark/>
          </w:tcPr>
          <w:p w14:paraId="40D8EC46"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28</w:t>
            </w:r>
          </w:p>
        </w:tc>
        <w:tc>
          <w:tcPr>
            <w:tcW w:w="1489" w:type="dxa"/>
            <w:tcBorders>
              <w:top w:val="nil"/>
              <w:left w:val="nil"/>
              <w:bottom w:val="double" w:sz="6" w:space="0" w:color="auto"/>
              <w:right w:val="nil"/>
            </w:tcBorders>
            <w:shd w:val="clear" w:color="auto" w:fill="auto"/>
            <w:noWrap/>
            <w:vAlign w:val="center"/>
            <w:hideMark/>
          </w:tcPr>
          <w:p w14:paraId="5CED0063" w14:textId="3D95B084" w:rsidR="00074575" w:rsidRPr="00F85178" w:rsidRDefault="00074575"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671" w:type="dxa"/>
            <w:tcBorders>
              <w:top w:val="nil"/>
              <w:left w:val="single" w:sz="4" w:space="0" w:color="auto"/>
              <w:bottom w:val="double" w:sz="6" w:space="0" w:color="auto"/>
              <w:right w:val="nil"/>
            </w:tcBorders>
            <w:shd w:val="clear" w:color="auto" w:fill="auto"/>
            <w:noWrap/>
            <w:vAlign w:val="bottom"/>
            <w:hideMark/>
          </w:tcPr>
          <w:p w14:paraId="0B34B055"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14</w:t>
            </w:r>
          </w:p>
        </w:tc>
        <w:tc>
          <w:tcPr>
            <w:tcW w:w="1489" w:type="dxa"/>
            <w:tcBorders>
              <w:top w:val="nil"/>
              <w:left w:val="nil"/>
              <w:bottom w:val="double" w:sz="6" w:space="0" w:color="auto"/>
              <w:right w:val="single" w:sz="4" w:space="0" w:color="auto"/>
            </w:tcBorders>
            <w:shd w:val="clear" w:color="auto" w:fill="auto"/>
            <w:noWrap/>
            <w:vAlign w:val="center"/>
            <w:hideMark/>
          </w:tcPr>
          <w:p w14:paraId="7F5D6299" w14:textId="1B237FE3" w:rsidR="00074575" w:rsidRPr="00F85178" w:rsidRDefault="00074575"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+0 %</w:t>
            </w:r>
          </w:p>
        </w:tc>
        <w:tc>
          <w:tcPr>
            <w:tcW w:w="671" w:type="dxa"/>
            <w:tcBorders>
              <w:top w:val="nil"/>
              <w:left w:val="nil"/>
              <w:bottom w:val="double" w:sz="6" w:space="0" w:color="auto"/>
              <w:right w:val="nil"/>
            </w:tcBorders>
            <w:shd w:val="clear" w:color="auto" w:fill="auto"/>
            <w:noWrap/>
            <w:vAlign w:val="bottom"/>
            <w:hideMark/>
          </w:tcPr>
          <w:p w14:paraId="3C9C90DA" w14:textId="77777777" w:rsidR="00074575" w:rsidRPr="00F85178" w:rsidRDefault="00074575" w:rsidP="00074575">
            <w:pPr>
              <w:spacing w:line="240" w:lineRule="auto"/>
              <w:jc w:val="center"/>
              <w:rPr>
                <w:rFonts w:eastAsia="Times New Roman"/>
                <w:b/>
                <w:bCs/>
                <w:szCs w:val="24"/>
                <w:lang w:eastAsia="cs-CZ"/>
              </w:rPr>
            </w:pPr>
            <w:r w:rsidRPr="00F85178">
              <w:rPr>
                <w:rFonts w:eastAsia="Times New Roman"/>
                <w:b/>
                <w:bCs/>
                <w:szCs w:val="24"/>
                <w:lang w:eastAsia="cs-CZ"/>
              </w:rPr>
              <w:t>62</w:t>
            </w:r>
          </w:p>
        </w:tc>
        <w:tc>
          <w:tcPr>
            <w:tcW w:w="1489" w:type="dxa"/>
            <w:tcBorders>
              <w:top w:val="nil"/>
              <w:left w:val="nil"/>
              <w:bottom w:val="double" w:sz="6" w:space="0" w:color="auto"/>
              <w:right w:val="nil"/>
            </w:tcBorders>
            <w:shd w:val="clear" w:color="auto" w:fill="auto"/>
            <w:noWrap/>
            <w:vAlign w:val="center"/>
            <w:hideMark/>
          </w:tcPr>
          <w:p w14:paraId="5D6DCC0B" w14:textId="2E0F2B92" w:rsidR="00074575" w:rsidRPr="00F85178" w:rsidRDefault="00074575"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+15 %</w:t>
            </w:r>
          </w:p>
        </w:tc>
      </w:tr>
    </w:tbl>
    <w:p w14:paraId="350DD310" w14:textId="77777777" w:rsidR="00074575" w:rsidRPr="00F85178" w:rsidRDefault="00074575" w:rsidP="00E00E84"/>
    <w:p w14:paraId="6E66D471" w14:textId="77777777" w:rsidR="00770E8A" w:rsidRPr="00F85178" w:rsidRDefault="00770E8A" w:rsidP="00770E8A">
      <w:r w:rsidRPr="00F85178">
        <w:t xml:space="preserve">Délky řízení jsou řádově nižší než u klasického civilního řízení (rejstřík C). Například mediánová délka řízení v roce 2017 byla v klasickém civilním řízení 176 dnů, v elektronickém rozkazním řízení byla pouze 14 dnů. To je asi třináctkrát méně. To samozřejmě plyne z již diskutované výrazně nižší obtížnosti agendy EPR. Z toho pak plynou i nižší absolutní rozdíly mezi jednotlivými soudy a kraji. Mezi nejrychlejšími soudy ve Středočeském kraji a nejpomalejšími soudy v Jihomoravském kraji je rozdíl pouze 17 dnů v mediánové délce řízení a 27 dnů v průměrné délce řízení. Z jednotlivých soudů je nejrychlejší OS Plzeň-sever (medián 6 dnů) a nejpomalejší OS pro Prahu </w:t>
      </w:r>
      <w:r w:rsidR="00F96006">
        <w:t xml:space="preserve">7 </w:t>
      </w:r>
      <w:r w:rsidRPr="00F85178">
        <w:t>(73 dnů), což je značně odlehlá hodnota.</w:t>
      </w:r>
    </w:p>
    <w:p w14:paraId="79F0E5C3" w14:textId="30B6B026" w:rsidR="00770E8A" w:rsidRPr="00F85178" w:rsidRDefault="00770E8A" w:rsidP="00770E8A">
      <w:r w:rsidRPr="00F85178">
        <w:t>Z výše uvedeného také plyne menší variabilita v absolutních číslech mezi roky. V tabulce je vidět, že u většiny krajů došlo k velmi malé relativní změně</w:t>
      </w:r>
      <w:r w:rsidR="00E01276">
        <w:t xml:space="preserve"> </w:t>
      </w:r>
      <w:r w:rsidR="0097385D">
        <w:t xml:space="preserve">ve </w:t>
      </w:r>
      <w:r w:rsidR="00E01276">
        <w:t>všech ukazatelích</w:t>
      </w:r>
      <w:r w:rsidRPr="00F85178">
        <w:t xml:space="preserve">. Někde je </w:t>
      </w:r>
      <w:r w:rsidR="001F3721">
        <w:t>procentní</w:t>
      </w:r>
      <w:r w:rsidR="001F3721" w:rsidRPr="00F85178">
        <w:t xml:space="preserve"> </w:t>
      </w:r>
      <w:r w:rsidRPr="00F85178">
        <w:t>změna celkem velká (MS</w:t>
      </w:r>
      <w:r w:rsidR="002E433F" w:rsidRPr="00F85178">
        <w:t> </w:t>
      </w:r>
      <w:r w:rsidRPr="00F85178">
        <w:t>Praha, medián KS Brno), řádově se ale také většinou jedná o dny.</w:t>
      </w:r>
    </w:p>
    <w:p w14:paraId="29AB6DA4" w14:textId="77777777" w:rsidR="00770E8A" w:rsidRPr="00F85178" w:rsidRDefault="00770E8A" w:rsidP="00770E8A">
      <w:pPr>
        <w:pStyle w:val="OdstavecASR"/>
      </w:pPr>
      <w:r w:rsidRPr="00F85178">
        <w:t>Ještě zbývá poznamenat, že rychlost vyřizování dle krajů v zásadě odpovídá rychlosti vyřizování v klasickém civilním řízení (absolutní hodnoty jsou ale daleko menší). Tj. nejnižší délky řízení vykazují soudy, které spadají pod KS Praha a KS České Budějovice. Naopak nejvyšší délky řízení jsou u soudů, které spadají pod KS Ústí nad Labem a KS Brno.</w:t>
      </w:r>
    </w:p>
    <w:p w14:paraId="3099F389" w14:textId="77777777" w:rsidR="00770E8A" w:rsidRPr="00F85178" w:rsidRDefault="00770E8A" w:rsidP="00770E8A">
      <w:pPr>
        <w:pStyle w:val="Nadpis3"/>
        <w:rPr>
          <w:color w:val="auto"/>
        </w:rPr>
      </w:pPr>
      <w:bookmarkStart w:id="157" w:name="_Toc515871228"/>
      <w:bookmarkStart w:id="158" w:name="_Toc14076880"/>
      <w:r w:rsidRPr="00F85178">
        <w:rPr>
          <w:color w:val="auto"/>
        </w:rPr>
        <w:t>Vyřizování věcí</w:t>
      </w:r>
      <w:bookmarkEnd w:id="157"/>
      <w:bookmarkEnd w:id="158"/>
    </w:p>
    <w:p w14:paraId="1D20A923" w14:textId="77777777" w:rsidR="00770E8A" w:rsidRPr="00F85178" w:rsidRDefault="00770E8A" w:rsidP="00770E8A">
      <w:pPr>
        <w:pStyle w:val="OdstavecASR"/>
      </w:pPr>
      <w:r w:rsidRPr="00F85178">
        <w:t>Graf níže znázorňuje časovou řadu vyřizování věcí v ČR a </w:t>
      </w:r>
      <w:r w:rsidR="00424730">
        <w:t xml:space="preserve">tabulka </w:t>
      </w:r>
      <w:r w:rsidRPr="00F85178">
        <w:t>průřezová data po krajích za rok 2018. Poměr počtu nevyřízených věcí k počtu vyřízených věcí (nebo k nápadu) je velmi nízký. To opět ukazuje, že tato agenda je mnohem jednodušší než klasické civilní řízení, a soudy tak nemají téměř žádné potíže s jejím vyřizováním.</w:t>
      </w:r>
    </w:p>
    <w:p w14:paraId="09055971" w14:textId="77777777" w:rsidR="00770E8A" w:rsidRPr="00F85178" w:rsidRDefault="00381B0D" w:rsidP="00381B0D">
      <w:pPr>
        <w:pStyle w:val="Podtitul"/>
        <w:rPr>
          <w:color w:val="auto"/>
        </w:rPr>
      </w:pPr>
      <w:bookmarkStart w:id="159" w:name="_Toc515871347"/>
      <w:bookmarkStart w:id="160" w:name="_Toc11135082"/>
      <w:bookmarkStart w:id="161" w:name="_Toc1383751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21</w:t>
      </w:r>
      <w:r w:rsidRPr="00F85178">
        <w:rPr>
          <w:color w:val="auto"/>
        </w:rPr>
        <w:fldChar w:fldCharType="end"/>
      </w:r>
      <w:r w:rsidRPr="00F85178">
        <w:rPr>
          <w:color w:val="auto"/>
        </w:rPr>
        <w:t>: OS – vyřizování věcí v rejstříku EPR v letech 2013–201</w:t>
      </w:r>
      <w:bookmarkEnd w:id="159"/>
      <w:r w:rsidRPr="00F85178">
        <w:rPr>
          <w:color w:val="auto"/>
        </w:rPr>
        <w:t>8</w:t>
      </w:r>
      <w:bookmarkEnd w:id="160"/>
      <w:bookmarkEnd w:id="161"/>
    </w:p>
    <w:p w14:paraId="2D450098" w14:textId="77777777" w:rsidR="00381B0D" w:rsidRPr="00F85178" w:rsidRDefault="00890295" w:rsidP="00770E8A">
      <w:r>
        <w:rPr>
          <w:noProof/>
          <w:lang w:eastAsia="cs-CZ"/>
        </w:rPr>
        <w:drawing>
          <wp:inline distT="0" distB="0" distL="0" distR="0" wp14:anchorId="3F61FD57" wp14:editId="2D40BCDC">
            <wp:extent cx="5118100" cy="3746500"/>
            <wp:effectExtent l="0" t="0" r="0" b="0"/>
            <wp:docPr id="22" name="Obráze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B349811" w14:textId="77777777" w:rsidR="00EA501F" w:rsidRPr="00F85178" w:rsidRDefault="00213EC6" w:rsidP="00EA501F">
      <w:pPr>
        <w:pStyle w:val="OdstavecASR"/>
      </w:pPr>
      <w:r w:rsidRPr="00F85178">
        <w:t>Je jasně vidět, že s vyřizováním této agendy nemají soudy žádné potíže. Cože je vidět mimo jiné i</w:t>
      </w:r>
      <w:r w:rsidR="003547EB" w:rsidRPr="00F85178">
        <w:t> </w:t>
      </w:r>
      <w:r w:rsidRPr="00F85178">
        <w:t>na poměru počtu nevyříjených věcí k počtu vyřízených věcí či k nápadu.</w:t>
      </w:r>
    </w:p>
    <w:p w14:paraId="3BBA9DA4" w14:textId="77777777" w:rsidR="00EA501F" w:rsidRPr="00F85178" w:rsidRDefault="00EA501F">
      <w:pPr>
        <w:spacing w:line="240" w:lineRule="auto"/>
        <w:jc w:val="left"/>
      </w:pPr>
      <w:r w:rsidRPr="00F85178">
        <w:br w:type="page"/>
      </w:r>
    </w:p>
    <w:p w14:paraId="013E71C7" w14:textId="77777777" w:rsidR="00EA501F" w:rsidRPr="00F85178" w:rsidRDefault="00EA501F" w:rsidP="00EA501F">
      <w:pPr>
        <w:pStyle w:val="Podtitul"/>
        <w:rPr>
          <w:color w:val="auto"/>
        </w:rPr>
      </w:pPr>
      <w:bookmarkStart w:id="162" w:name="_Toc515871449"/>
      <w:bookmarkStart w:id="163" w:name="_Toc11133217"/>
      <w:bookmarkStart w:id="164" w:name="_Toc1383743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15</w:t>
      </w:r>
      <w:r w:rsidRPr="00F85178">
        <w:rPr>
          <w:noProof/>
          <w:color w:val="auto"/>
        </w:rPr>
        <w:fldChar w:fldCharType="end"/>
      </w:r>
      <w:r w:rsidRPr="00F85178">
        <w:rPr>
          <w:color w:val="auto"/>
        </w:rPr>
        <w:t>: OS – vyřizování věcí v rejstříku EPR dle krajů</w:t>
      </w:r>
      <w:bookmarkEnd w:id="162"/>
      <w:bookmarkEnd w:id="163"/>
      <w:bookmarkEnd w:id="164"/>
    </w:p>
    <w:tbl>
      <w:tblPr>
        <w:tblW w:w="9140" w:type="dxa"/>
        <w:tblInd w:w="70" w:type="dxa"/>
        <w:tblCellMar>
          <w:left w:w="70" w:type="dxa"/>
          <w:right w:w="70" w:type="dxa"/>
        </w:tblCellMar>
        <w:tblLook w:val="04A0" w:firstRow="1" w:lastRow="0" w:firstColumn="1" w:lastColumn="0" w:noHBand="0" w:noVBand="1"/>
      </w:tblPr>
      <w:tblGrid>
        <w:gridCol w:w="2020"/>
        <w:gridCol w:w="1074"/>
        <w:gridCol w:w="861"/>
        <w:gridCol w:w="1021"/>
        <w:gridCol w:w="861"/>
        <w:gridCol w:w="902"/>
        <w:gridCol w:w="861"/>
        <w:gridCol w:w="1540"/>
      </w:tblGrid>
      <w:tr w:rsidR="00F85178" w:rsidRPr="00F85178" w14:paraId="379BAC64" w14:textId="77777777" w:rsidTr="00EA501F">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39F808F"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2913E0AB"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7A9EC294"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53332848" w14:textId="77777777" w:rsidTr="00EA501F">
        <w:trPr>
          <w:trHeight w:val="330"/>
        </w:trPr>
        <w:tc>
          <w:tcPr>
            <w:tcW w:w="2020" w:type="dxa"/>
            <w:vMerge/>
            <w:tcBorders>
              <w:top w:val="double" w:sz="6" w:space="0" w:color="auto"/>
              <w:left w:val="nil"/>
              <w:bottom w:val="double" w:sz="6" w:space="0" w:color="000000"/>
              <w:right w:val="nil"/>
            </w:tcBorders>
            <w:vAlign w:val="center"/>
            <w:hideMark/>
          </w:tcPr>
          <w:p w14:paraId="6A313F48" w14:textId="77777777" w:rsidR="00EA501F" w:rsidRPr="00F85178" w:rsidRDefault="00EA501F" w:rsidP="00EA501F">
            <w:pPr>
              <w:spacing w:line="240" w:lineRule="auto"/>
              <w:jc w:val="left"/>
              <w:rPr>
                <w:rFonts w:eastAsia="Times New Roman"/>
                <w:b/>
                <w:bCs/>
                <w:szCs w:val="24"/>
                <w:lang w:eastAsia="cs-CZ"/>
              </w:rPr>
            </w:pPr>
          </w:p>
        </w:tc>
        <w:tc>
          <w:tcPr>
            <w:tcW w:w="1935" w:type="dxa"/>
            <w:gridSpan w:val="2"/>
            <w:tcBorders>
              <w:top w:val="nil"/>
              <w:left w:val="nil"/>
              <w:bottom w:val="double" w:sz="6" w:space="0" w:color="auto"/>
              <w:right w:val="nil"/>
            </w:tcBorders>
            <w:shd w:val="clear" w:color="auto" w:fill="auto"/>
            <w:noWrap/>
            <w:vAlign w:val="center"/>
            <w:hideMark/>
          </w:tcPr>
          <w:p w14:paraId="7E55ADE1"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8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7FC9330"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63" w:type="dxa"/>
            <w:gridSpan w:val="2"/>
            <w:tcBorders>
              <w:top w:val="nil"/>
              <w:left w:val="nil"/>
              <w:bottom w:val="double" w:sz="6" w:space="0" w:color="auto"/>
              <w:right w:val="single" w:sz="4" w:space="0" w:color="000000"/>
            </w:tcBorders>
            <w:shd w:val="clear" w:color="auto" w:fill="auto"/>
            <w:noWrap/>
            <w:vAlign w:val="center"/>
            <w:hideMark/>
          </w:tcPr>
          <w:p w14:paraId="6FA77B6A"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07368FB1" w14:textId="77777777" w:rsidR="00EA501F" w:rsidRPr="00F85178" w:rsidRDefault="00EA501F" w:rsidP="00EA501F">
            <w:pPr>
              <w:spacing w:line="240" w:lineRule="auto"/>
              <w:jc w:val="left"/>
              <w:rPr>
                <w:rFonts w:eastAsia="Times New Roman"/>
                <w:b/>
                <w:bCs/>
                <w:szCs w:val="24"/>
                <w:lang w:eastAsia="cs-CZ"/>
              </w:rPr>
            </w:pPr>
          </w:p>
        </w:tc>
      </w:tr>
      <w:tr w:rsidR="00F85178" w:rsidRPr="00F85178" w14:paraId="150F2D7A" w14:textId="77777777" w:rsidTr="00EA501F">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6C9D27B9"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MS Praha</w:t>
            </w:r>
          </w:p>
        </w:tc>
        <w:tc>
          <w:tcPr>
            <w:tcW w:w="1074" w:type="dxa"/>
            <w:tcBorders>
              <w:top w:val="single" w:sz="4" w:space="0" w:color="auto"/>
              <w:left w:val="nil"/>
              <w:bottom w:val="single" w:sz="4" w:space="0" w:color="auto"/>
              <w:right w:val="nil"/>
            </w:tcBorders>
            <w:shd w:val="clear" w:color="auto" w:fill="auto"/>
            <w:noWrap/>
            <w:vAlign w:val="bottom"/>
            <w:hideMark/>
          </w:tcPr>
          <w:p w14:paraId="6409CEAE"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59</w:t>
            </w:r>
            <w:r w:rsidR="002E433F" w:rsidRPr="00F85178">
              <w:rPr>
                <w:rFonts w:eastAsia="Times New Roman"/>
                <w:szCs w:val="24"/>
                <w:lang w:eastAsia="cs-CZ"/>
              </w:rPr>
              <w:t xml:space="preserve"> </w:t>
            </w:r>
            <w:r w:rsidRPr="00F85178">
              <w:rPr>
                <w:rFonts w:eastAsia="Times New Roman"/>
                <w:szCs w:val="24"/>
                <w:lang w:eastAsia="cs-CZ"/>
              </w:rPr>
              <w:t>694</w:t>
            </w:r>
          </w:p>
        </w:tc>
        <w:tc>
          <w:tcPr>
            <w:tcW w:w="861" w:type="dxa"/>
            <w:tcBorders>
              <w:top w:val="single" w:sz="4" w:space="0" w:color="auto"/>
              <w:left w:val="nil"/>
              <w:bottom w:val="single" w:sz="4" w:space="0" w:color="auto"/>
              <w:right w:val="nil"/>
            </w:tcBorders>
            <w:shd w:val="clear" w:color="auto" w:fill="auto"/>
            <w:noWrap/>
            <w:vAlign w:val="center"/>
            <w:hideMark/>
          </w:tcPr>
          <w:p w14:paraId="674AC765"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21" w:type="dxa"/>
            <w:tcBorders>
              <w:top w:val="single" w:sz="4" w:space="0" w:color="auto"/>
              <w:left w:val="single" w:sz="4" w:space="0" w:color="auto"/>
              <w:bottom w:val="single" w:sz="4" w:space="0" w:color="auto"/>
              <w:right w:val="nil"/>
            </w:tcBorders>
            <w:shd w:val="clear" w:color="auto" w:fill="auto"/>
            <w:noWrap/>
            <w:vAlign w:val="bottom"/>
            <w:hideMark/>
          </w:tcPr>
          <w:p w14:paraId="3AD053E5"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61</w:t>
            </w:r>
            <w:r w:rsidR="002E433F" w:rsidRPr="00F85178">
              <w:rPr>
                <w:rFonts w:eastAsia="Times New Roman"/>
                <w:szCs w:val="24"/>
                <w:lang w:eastAsia="cs-CZ"/>
              </w:rPr>
              <w:t xml:space="preserve"> </w:t>
            </w:r>
            <w:r w:rsidRPr="00F85178">
              <w:rPr>
                <w:rFonts w:eastAsia="Times New Roman"/>
                <w:szCs w:val="24"/>
                <w:lang w:eastAsia="cs-CZ"/>
              </w:rPr>
              <w:t>564</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652F48BD"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02" w:type="dxa"/>
            <w:tcBorders>
              <w:top w:val="single" w:sz="4" w:space="0" w:color="auto"/>
              <w:left w:val="nil"/>
              <w:bottom w:val="single" w:sz="4" w:space="0" w:color="auto"/>
              <w:right w:val="nil"/>
            </w:tcBorders>
            <w:shd w:val="clear" w:color="auto" w:fill="auto"/>
            <w:noWrap/>
            <w:vAlign w:val="bottom"/>
            <w:hideMark/>
          </w:tcPr>
          <w:p w14:paraId="62065E9D"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3</w:t>
            </w:r>
            <w:r w:rsidR="002E433F" w:rsidRPr="00F85178">
              <w:rPr>
                <w:rFonts w:eastAsia="Times New Roman"/>
                <w:szCs w:val="24"/>
                <w:lang w:eastAsia="cs-CZ"/>
              </w:rPr>
              <w:t xml:space="preserve"> </w:t>
            </w:r>
            <w:r w:rsidRPr="00F85178">
              <w:rPr>
                <w:rFonts w:eastAsia="Times New Roman"/>
                <w:szCs w:val="24"/>
                <w:lang w:eastAsia="cs-CZ"/>
              </w:rPr>
              <w:t>399</w:t>
            </w:r>
          </w:p>
        </w:tc>
        <w:tc>
          <w:tcPr>
            <w:tcW w:w="861" w:type="dxa"/>
            <w:tcBorders>
              <w:top w:val="single" w:sz="4" w:space="0" w:color="auto"/>
              <w:left w:val="nil"/>
              <w:bottom w:val="single" w:sz="4" w:space="0" w:color="auto"/>
              <w:right w:val="single" w:sz="4" w:space="0" w:color="auto"/>
            </w:tcBorders>
            <w:shd w:val="clear" w:color="auto" w:fill="auto"/>
            <w:noWrap/>
            <w:vAlign w:val="center"/>
            <w:hideMark/>
          </w:tcPr>
          <w:p w14:paraId="296892B7"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-35 %</w:t>
            </w:r>
          </w:p>
        </w:tc>
        <w:tc>
          <w:tcPr>
            <w:tcW w:w="1540" w:type="dxa"/>
            <w:tcBorders>
              <w:top w:val="nil"/>
              <w:left w:val="nil"/>
              <w:bottom w:val="single" w:sz="4" w:space="0" w:color="auto"/>
              <w:right w:val="nil"/>
            </w:tcBorders>
            <w:shd w:val="clear" w:color="auto" w:fill="auto"/>
            <w:noWrap/>
            <w:vAlign w:val="center"/>
            <w:hideMark/>
          </w:tcPr>
          <w:p w14:paraId="2BD13C9D"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103</w:t>
            </w:r>
            <w:r w:rsidR="002E433F" w:rsidRPr="00F85178">
              <w:rPr>
                <w:rFonts w:eastAsia="Times New Roman"/>
                <w:szCs w:val="24"/>
                <w:lang w:eastAsia="cs-CZ"/>
              </w:rPr>
              <w:t>,</w:t>
            </w:r>
            <w:r w:rsidRPr="00F85178">
              <w:rPr>
                <w:rFonts w:eastAsia="Times New Roman"/>
                <w:szCs w:val="24"/>
                <w:lang w:eastAsia="cs-CZ"/>
              </w:rPr>
              <w:t>1 %</w:t>
            </w:r>
          </w:p>
        </w:tc>
      </w:tr>
      <w:tr w:rsidR="00F85178" w:rsidRPr="00F85178" w14:paraId="604FBE00"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02505E04"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Praha</w:t>
            </w:r>
          </w:p>
        </w:tc>
        <w:tc>
          <w:tcPr>
            <w:tcW w:w="1074" w:type="dxa"/>
            <w:tcBorders>
              <w:top w:val="nil"/>
              <w:left w:val="nil"/>
              <w:bottom w:val="single" w:sz="4" w:space="0" w:color="auto"/>
              <w:right w:val="nil"/>
            </w:tcBorders>
            <w:shd w:val="clear" w:color="auto" w:fill="auto"/>
            <w:noWrap/>
            <w:vAlign w:val="bottom"/>
            <w:hideMark/>
          </w:tcPr>
          <w:p w14:paraId="603377DF"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37</w:t>
            </w:r>
            <w:r w:rsidR="002E433F" w:rsidRPr="00F85178">
              <w:rPr>
                <w:rFonts w:eastAsia="Times New Roman"/>
                <w:szCs w:val="24"/>
                <w:lang w:eastAsia="cs-CZ"/>
              </w:rPr>
              <w:t xml:space="preserve"> </w:t>
            </w:r>
            <w:r w:rsidRPr="00F85178">
              <w:rPr>
                <w:rFonts w:eastAsia="Times New Roman"/>
                <w:szCs w:val="24"/>
                <w:lang w:eastAsia="cs-CZ"/>
              </w:rPr>
              <w:t>210</w:t>
            </w:r>
          </w:p>
        </w:tc>
        <w:tc>
          <w:tcPr>
            <w:tcW w:w="861" w:type="dxa"/>
            <w:tcBorders>
              <w:top w:val="nil"/>
              <w:left w:val="nil"/>
              <w:bottom w:val="single" w:sz="4" w:space="0" w:color="auto"/>
              <w:right w:val="nil"/>
            </w:tcBorders>
            <w:shd w:val="clear" w:color="auto" w:fill="auto"/>
            <w:noWrap/>
            <w:vAlign w:val="center"/>
            <w:hideMark/>
          </w:tcPr>
          <w:p w14:paraId="318A9D9A"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021" w:type="dxa"/>
            <w:tcBorders>
              <w:top w:val="nil"/>
              <w:left w:val="single" w:sz="4" w:space="0" w:color="auto"/>
              <w:bottom w:val="single" w:sz="4" w:space="0" w:color="auto"/>
              <w:right w:val="nil"/>
            </w:tcBorders>
            <w:shd w:val="clear" w:color="auto" w:fill="auto"/>
            <w:noWrap/>
            <w:vAlign w:val="bottom"/>
            <w:hideMark/>
          </w:tcPr>
          <w:p w14:paraId="2DCCE387"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37</w:t>
            </w:r>
            <w:r w:rsidR="002E433F" w:rsidRPr="00F85178">
              <w:rPr>
                <w:rFonts w:eastAsia="Times New Roman"/>
                <w:szCs w:val="24"/>
                <w:lang w:eastAsia="cs-CZ"/>
              </w:rPr>
              <w:t xml:space="preserve"> </w:t>
            </w:r>
            <w:r w:rsidRPr="00F85178">
              <w:rPr>
                <w:rFonts w:eastAsia="Times New Roman"/>
                <w:szCs w:val="24"/>
                <w:lang w:eastAsia="cs-CZ"/>
              </w:rPr>
              <w:t>276</w:t>
            </w:r>
          </w:p>
        </w:tc>
        <w:tc>
          <w:tcPr>
            <w:tcW w:w="861" w:type="dxa"/>
            <w:tcBorders>
              <w:top w:val="nil"/>
              <w:left w:val="nil"/>
              <w:bottom w:val="single" w:sz="4" w:space="0" w:color="auto"/>
              <w:right w:val="single" w:sz="4" w:space="0" w:color="auto"/>
            </w:tcBorders>
            <w:shd w:val="clear" w:color="auto" w:fill="auto"/>
            <w:noWrap/>
            <w:vAlign w:val="center"/>
            <w:hideMark/>
          </w:tcPr>
          <w:p w14:paraId="28418FEE"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902" w:type="dxa"/>
            <w:tcBorders>
              <w:top w:val="nil"/>
              <w:left w:val="nil"/>
              <w:bottom w:val="single" w:sz="4" w:space="0" w:color="auto"/>
              <w:right w:val="nil"/>
            </w:tcBorders>
            <w:shd w:val="clear" w:color="auto" w:fill="auto"/>
            <w:noWrap/>
            <w:vAlign w:val="bottom"/>
            <w:hideMark/>
          </w:tcPr>
          <w:p w14:paraId="763B67C9"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037</w:t>
            </w:r>
          </w:p>
        </w:tc>
        <w:tc>
          <w:tcPr>
            <w:tcW w:w="861" w:type="dxa"/>
            <w:tcBorders>
              <w:top w:val="nil"/>
              <w:left w:val="nil"/>
              <w:bottom w:val="single" w:sz="4" w:space="0" w:color="auto"/>
              <w:right w:val="single" w:sz="4" w:space="0" w:color="auto"/>
            </w:tcBorders>
            <w:shd w:val="clear" w:color="auto" w:fill="auto"/>
            <w:noWrap/>
            <w:vAlign w:val="center"/>
            <w:hideMark/>
          </w:tcPr>
          <w:p w14:paraId="6009916A"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540" w:type="dxa"/>
            <w:tcBorders>
              <w:top w:val="nil"/>
              <w:left w:val="nil"/>
              <w:bottom w:val="single" w:sz="4" w:space="0" w:color="auto"/>
              <w:right w:val="nil"/>
            </w:tcBorders>
            <w:shd w:val="clear" w:color="auto" w:fill="auto"/>
            <w:noWrap/>
            <w:vAlign w:val="center"/>
            <w:hideMark/>
          </w:tcPr>
          <w:p w14:paraId="6A1C7209"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100</w:t>
            </w:r>
            <w:r w:rsidR="002E433F" w:rsidRPr="00F85178">
              <w:rPr>
                <w:rFonts w:eastAsia="Times New Roman"/>
                <w:szCs w:val="24"/>
                <w:lang w:eastAsia="cs-CZ"/>
              </w:rPr>
              <w:t>,</w:t>
            </w:r>
            <w:r w:rsidRPr="00F85178">
              <w:rPr>
                <w:rFonts w:eastAsia="Times New Roman"/>
                <w:szCs w:val="24"/>
                <w:lang w:eastAsia="cs-CZ"/>
              </w:rPr>
              <w:t>2 %</w:t>
            </w:r>
          </w:p>
        </w:tc>
      </w:tr>
      <w:tr w:rsidR="00F85178" w:rsidRPr="00F85178" w14:paraId="4CB2A041"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6E38F411"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Č. Budějovice</w:t>
            </w:r>
          </w:p>
        </w:tc>
        <w:tc>
          <w:tcPr>
            <w:tcW w:w="1074" w:type="dxa"/>
            <w:tcBorders>
              <w:top w:val="nil"/>
              <w:left w:val="nil"/>
              <w:bottom w:val="single" w:sz="4" w:space="0" w:color="auto"/>
              <w:right w:val="nil"/>
            </w:tcBorders>
            <w:shd w:val="clear" w:color="auto" w:fill="auto"/>
            <w:noWrap/>
            <w:vAlign w:val="bottom"/>
            <w:hideMark/>
          </w:tcPr>
          <w:p w14:paraId="19F829DD"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18</w:t>
            </w:r>
            <w:r w:rsidR="002E433F" w:rsidRPr="00F85178">
              <w:rPr>
                <w:rFonts w:eastAsia="Times New Roman"/>
                <w:szCs w:val="24"/>
                <w:lang w:eastAsia="cs-CZ"/>
              </w:rPr>
              <w:t xml:space="preserve"> </w:t>
            </w:r>
            <w:r w:rsidRPr="00F85178">
              <w:rPr>
                <w:rFonts w:eastAsia="Times New Roman"/>
                <w:szCs w:val="24"/>
                <w:lang w:eastAsia="cs-CZ"/>
              </w:rPr>
              <w:t>549</w:t>
            </w:r>
          </w:p>
        </w:tc>
        <w:tc>
          <w:tcPr>
            <w:tcW w:w="861" w:type="dxa"/>
            <w:tcBorders>
              <w:top w:val="nil"/>
              <w:left w:val="nil"/>
              <w:bottom w:val="single" w:sz="4" w:space="0" w:color="auto"/>
              <w:right w:val="nil"/>
            </w:tcBorders>
            <w:shd w:val="clear" w:color="auto" w:fill="auto"/>
            <w:noWrap/>
            <w:vAlign w:val="center"/>
            <w:hideMark/>
          </w:tcPr>
          <w:p w14:paraId="606AB629"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21" w:type="dxa"/>
            <w:tcBorders>
              <w:top w:val="nil"/>
              <w:left w:val="single" w:sz="4" w:space="0" w:color="auto"/>
              <w:bottom w:val="single" w:sz="4" w:space="0" w:color="auto"/>
              <w:right w:val="nil"/>
            </w:tcBorders>
            <w:shd w:val="clear" w:color="auto" w:fill="auto"/>
            <w:noWrap/>
            <w:vAlign w:val="bottom"/>
            <w:hideMark/>
          </w:tcPr>
          <w:p w14:paraId="78DB298B"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19</w:t>
            </w:r>
            <w:r w:rsidR="002E433F" w:rsidRPr="00F85178">
              <w:rPr>
                <w:rFonts w:eastAsia="Times New Roman"/>
                <w:szCs w:val="24"/>
                <w:lang w:eastAsia="cs-CZ"/>
              </w:rPr>
              <w:t xml:space="preserve"> </w:t>
            </w:r>
            <w:r w:rsidRPr="00F85178">
              <w:rPr>
                <w:rFonts w:eastAsia="Times New Roman"/>
                <w:szCs w:val="24"/>
                <w:lang w:eastAsia="cs-CZ"/>
              </w:rPr>
              <w:t>020</w:t>
            </w:r>
          </w:p>
        </w:tc>
        <w:tc>
          <w:tcPr>
            <w:tcW w:w="861" w:type="dxa"/>
            <w:tcBorders>
              <w:top w:val="nil"/>
              <w:left w:val="nil"/>
              <w:bottom w:val="single" w:sz="4" w:space="0" w:color="auto"/>
              <w:right w:val="single" w:sz="4" w:space="0" w:color="auto"/>
            </w:tcBorders>
            <w:shd w:val="clear" w:color="auto" w:fill="auto"/>
            <w:noWrap/>
            <w:vAlign w:val="center"/>
            <w:hideMark/>
          </w:tcPr>
          <w:p w14:paraId="0AD5B3DC"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902" w:type="dxa"/>
            <w:tcBorders>
              <w:top w:val="nil"/>
              <w:left w:val="nil"/>
              <w:bottom w:val="single" w:sz="4" w:space="0" w:color="auto"/>
              <w:right w:val="nil"/>
            </w:tcBorders>
            <w:shd w:val="clear" w:color="auto" w:fill="auto"/>
            <w:noWrap/>
            <w:vAlign w:val="bottom"/>
            <w:hideMark/>
          </w:tcPr>
          <w:p w14:paraId="4361A3DD"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626</w:t>
            </w:r>
          </w:p>
        </w:tc>
        <w:tc>
          <w:tcPr>
            <w:tcW w:w="861" w:type="dxa"/>
            <w:tcBorders>
              <w:top w:val="nil"/>
              <w:left w:val="nil"/>
              <w:bottom w:val="single" w:sz="4" w:space="0" w:color="auto"/>
              <w:right w:val="single" w:sz="4" w:space="0" w:color="auto"/>
            </w:tcBorders>
            <w:shd w:val="clear" w:color="auto" w:fill="auto"/>
            <w:noWrap/>
            <w:vAlign w:val="center"/>
            <w:hideMark/>
          </w:tcPr>
          <w:p w14:paraId="13D81DD2"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-43 %</w:t>
            </w:r>
          </w:p>
        </w:tc>
        <w:tc>
          <w:tcPr>
            <w:tcW w:w="1540" w:type="dxa"/>
            <w:tcBorders>
              <w:top w:val="nil"/>
              <w:left w:val="nil"/>
              <w:bottom w:val="single" w:sz="4" w:space="0" w:color="auto"/>
              <w:right w:val="nil"/>
            </w:tcBorders>
            <w:shd w:val="clear" w:color="auto" w:fill="auto"/>
            <w:noWrap/>
            <w:vAlign w:val="center"/>
            <w:hideMark/>
          </w:tcPr>
          <w:p w14:paraId="64FCAE2B"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102</w:t>
            </w:r>
            <w:r w:rsidR="002E433F" w:rsidRPr="00F85178">
              <w:rPr>
                <w:rFonts w:eastAsia="Times New Roman"/>
                <w:szCs w:val="24"/>
                <w:lang w:eastAsia="cs-CZ"/>
              </w:rPr>
              <w:t>,</w:t>
            </w:r>
            <w:r w:rsidRPr="00F85178">
              <w:rPr>
                <w:rFonts w:eastAsia="Times New Roman"/>
                <w:szCs w:val="24"/>
                <w:lang w:eastAsia="cs-CZ"/>
              </w:rPr>
              <w:t>5 %</w:t>
            </w:r>
          </w:p>
        </w:tc>
      </w:tr>
      <w:tr w:rsidR="00F85178" w:rsidRPr="00F85178" w14:paraId="1E98E2B0"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7BBAC862"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Plzeň</w:t>
            </w:r>
          </w:p>
        </w:tc>
        <w:tc>
          <w:tcPr>
            <w:tcW w:w="1074" w:type="dxa"/>
            <w:tcBorders>
              <w:top w:val="nil"/>
              <w:left w:val="nil"/>
              <w:bottom w:val="single" w:sz="4" w:space="0" w:color="auto"/>
              <w:right w:val="nil"/>
            </w:tcBorders>
            <w:shd w:val="clear" w:color="auto" w:fill="auto"/>
            <w:noWrap/>
            <w:vAlign w:val="bottom"/>
            <w:hideMark/>
          </w:tcPr>
          <w:p w14:paraId="47A65196"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28</w:t>
            </w:r>
            <w:r w:rsidR="002E433F" w:rsidRPr="00F85178">
              <w:rPr>
                <w:rFonts w:eastAsia="Times New Roman"/>
                <w:szCs w:val="24"/>
                <w:lang w:eastAsia="cs-CZ"/>
              </w:rPr>
              <w:t xml:space="preserve"> </w:t>
            </w:r>
            <w:r w:rsidRPr="00F85178">
              <w:rPr>
                <w:rFonts w:eastAsia="Times New Roman"/>
                <w:szCs w:val="24"/>
                <w:lang w:eastAsia="cs-CZ"/>
              </w:rPr>
              <w:t>630</w:t>
            </w:r>
          </w:p>
        </w:tc>
        <w:tc>
          <w:tcPr>
            <w:tcW w:w="861" w:type="dxa"/>
            <w:tcBorders>
              <w:top w:val="nil"/>
              <w:left w:val="nil"/>
              <w:bottom w:val="single" w:sz="4" w:space="0" w:color="auto"/>
              <w:right w:val="nil"/>
            </w:tcBorders>
            <w:shd w:val="clear" w:color="auto" w:fill="auto"/>
            <w:noWrap/>
            <w:vAlign w:val="center"/>
            <w:hideMark/>
          </w:tcPr>
          <w:p w14:paraId="5294B63E"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21" w:type="dxa"/>
            <w:tcBorders>
              <w:top w:val="nil"/>
              <w:left w:val="single" w:sz="4" w:space="0" w:color="auto"/>
              <w:bottom w:val="single" w:sz="4" w:space="0" w:color="auto"/>
              <w:right w:val="nil"/>
            </w:tcBorders>
            <w:shd w:val="clear" w:color="auto" w:fill="auto"/>
            <w:noWrap/>
            <w:vAlign w:val="bottom"/>
            <w:hideMark/>
          </w:tcPr>
          <w:p w14:paraId="2E203EB1"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29</w:t>
            </w:r>
            <w:r w:rsidR="002E433F" w:rsidRPr="00F85178">
              <w:rPr>
                <w:rFonts w:eastAsia="Times New Roman"/>
                <w:szCs w:val="24"/>
                <w:lang w:eastAsia="cs-CZ"/>
              </w:rPr>
              <w:t xml:space="preserve"> </w:t>
            </w:r>
            <w:r w:rsidRPr="00F85178">
              <w:rPr>
                <w:rFonts w:eastAsia="Times New Roman"/>
                <w:szCs w:val="24"/>
                <w:lang w:eastAsia="cs-CZ"/>
              </w:rPr>
              <w:t>304</w:t>
            </w:r>
          </w:p>
        </w:tc>
        <w:tc>
          <w:tcPr>
            <w:tcW w:w="861" w:type="dxa"/>
            <w:tcBorders>
              <w:top w:val="nil"/>
              <w:left w:val="nil"/>
              <w:bottom w:val="single" w:sz="4" w:space="0" w:color="auto"/>
              <w:right w:val="single" w:sz="4" w:space="0" w:color="auto"/>
            </w:tcBorders>
            <w:shd w:val="clear" w:color="auto" w:fill="auto"/>
            <w:noWrap/>
            <w:vAlign w:val="center"/>
            <w:hideMark/>
          </w:tcPr>
          <w:p w14:paraId="2611E1CC"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902" w:type="dxa"/>
            <w:tcBorders>
              <w:top w:val="nil"/>
              <w:left w:val="nil"/>
              <w:bottom w:val="single" w:sz="4" w:space="0" w:color="auto"/>
              <w:right w:val="nil"/>
            </w:tcBorders>
            <w:shd w:val="clear" w:color="auto" w:fill="auto"/>
            <w:noWrap/>
            <w:vAlign w:val="bottom"/>
            <w:hideMark/>
          </w:tcPr>
          <w:p w14:paraId="17100C41"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978</w:t>
            </w:r>
          </w:p>
        </w:tc>
        <w:tc>
          <w:tcPr>
            <w:tcW w:w="861" w:type="dxa"/>
            <w:tcBorders>
              <w:top w:val="nil"/>
              <w:left w:val="nil"/>
              <w:bottom w:val="single" w:sz="4" w:space="0" w:color="auto"/>
              <w:right w:val="single" w:sz="4" w:space="0" w:color="auto"/>
            </w:tcBorders>
            <w:shd w:val="clear" w:color="auto" w:fill="auto"/>
            <w:noWrap/>
            <w:vAlign w:val="center"/>
            <w:hideMark/>
          </w:tcPr>
          <w:p w14:paraId="5DB2D57B"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-41 %</w:t>
            </w:r>
          </w:p>
        </w:tc>
        <w:tc>
          <w:tcPr>
            <w:tcW w:w="1540" w:type="dxa"/>
            <w:tcBorders>
              <w:top w:val="nil"/>
              <w:left w:val="nil"/>
              <w:bottom w:val="single" w:sz="4" w:space="0" w:color="auto"/>
              <w:right w:val="nil"/>
            </w:tcBorders>
            <w:shd w:val="clear" w:color="auto" w:fill="auto"/>
            <w:noWrap/>
            <w:vAlign w:val="center"/>
            <w:hideMark/>
          </w:tcPr>
          <w:p w14:paraId="30B4AE8B"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102</w:t>
            </w:r>
            <w:r w:rsidR="002E433F" w:rsidRPr="00F85178">
              <w:rPr>
                <w:rFonts w:eastAsia="Times New Roman"/>
                <w:szCs w:val="24"/>
                <w:lang w:eastAsia="cs-CZ"/>
              </w:rPr>
              <w:t>,</w:t>
            </w:r>
            <w:r w:rsidRPr="00F85178">
              <w:rPr>
                <w:rFonts w:eastAsia="Times New Roman"/>
                <w:szCs w:val="24"/>
                <w:lang w:eastAsia="cs-CZ"/>
              </w:rPr>
              <w:t>4 %</w:t>
            </w:r>
          </w:p>
        </w:tc>
      </w:tr>
      <w:tr w:rsidR="00F85178" w:rsidRPr="00F85178" w14:paraId="07AD0FF4"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6A3D4BC2"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Ústí n. Labem</w:t>
            </w:r>
          </w:p>
        </w:tc>
        <w:tc>
          <w:tcPr>
            <w:tcW w:w="1074" w:type="dxa"/>
            <w:tcBorders>
              <w:top w:val="nil"/>
              <w:left w:val="nil"/>
              <w:bottom w:val="single" w:sz="4" w:space="0" w:color="auto"/>
              <w:right w:val="nil"/>
            </w:tcBorders>
            <w:shd w:val="clear" w:color="auto" w:fill="auto"/>
            <w:noWrap/>
            <w:vAlign w:val="bottom"/>
            <w:hideMark/>
          </w:tcPr>
          <w:p w14:paraId="4C9038CD"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53</w:t>
            </w:r>
            <w:r w:rsidR="002E433F" w:rsidRPr="00F85178">
              <w:rPr>
                <w:rFonts w:eastAsia="Times New Roman"/>
                <w:szCs w:val="24"/>
                <w:lang w:eastAsia="cs-CZ"/>
              </w:rPr>
              <w:t xml:space="preserve"> </w:t>
            </w:r>
            <w:r w:rsidRPr="00F85178">
              <w:rPr>
                <w:rFonts w:eastAsia="Times New Roman"/>
                <w:szCs w:val="24"/>
                <w:lang w:eastAsia="cs-CZ"/>
              </w:rPr>
              <w:t>342</w:t>
            </w:r>
          </w:p>
        </w:tc>
        <w:tc>
          <w:tcPr>
            <w:tcW w:w="861" w:type="dxa"/>
            <w:tcBorders>
              <w:top w:val="nil"/>
              <w:left w:val="nil"/>
              <w:bottom w:val="single" w:sz="4" w:space="0" w:color="auto"/>
              <w:right w:val="nil"/>
            </w:tcBorders>
            <w:shd w:val="clear" w:color="auto" w:fill="auto"/>
            <w:noWrap/>
            <w:vAlign w:val="center"/>
            <w:hideMark/>
          </w:tcPr>
          <w:p w14:paraId="53DFFCD1"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21" w:type="dxa"/>
            <w:tcBorders>
              <w:top w:val="nil"/>
              <w:left w:val="single" w:sz="4" w:space="0" w:color="auto"/>
              <w:bottom w:val="single" w:sz="4" w:space="0" w:color="auto"/>
              <w:right w:val="nil"/>
            </w:tcBorders>
            <w:shd w:val="clear" w:color="auto" w:fill="auto"/>
            <w:noWrap/>
            <w:vAlign w:val="bottom"/>
            <w:hideMark/>
          </w:tcPr>
          <w:p w14:paraId="52F2D0CA"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54</w:t>
            </w:r>
            <w:r w:rsidR="002E433F" w:rsidRPr="00F85178">
              <w:rPr>
                <w:rFonts w:eastAsia="Times New Roman"/>
                <w:szCs w:val="24"/>
                <w:lang w:eastAsia="cs-CZ"/>
              </w:rPr>
              <w:t xml:space="preserve"> </w:t>
            </w:r>
            <w:r w:rsidRPr="00F85178">
              <w:rPr>
                <w:rFonts w:eastAsia="Times New Roman"/>
                <w:szCs w:val="24"/>
                <w:lang w:eastAsia="cs-CZ"/>
              </w:rPr>
              <w:t>058</w:t>
            </w:r>
          </w:p>
        </w:tc>
        <w:tc>
          <w:tcPr>
            <w:tcW w:w="861" w:type="dxa"/>
            <w:tcBorders>
              <w:top w:val="nil"/>
              <w:left w:val="nil"/>
              <w:bottom w:val="single" w:sz="4" w:space="0" w:color="auto"/>
              <w:right w:val="single" w:sz="4" w:space="0" w:color="auto"/>
            </w:tcBorders>
            <w:shd w:val="clear" w:color="auto" w:fill="auto"/>
            <w:noWrap/>
            <w:vAlign w:val="center"/>
            <w:hideMark/>
          </w:tcPr>
          <w:p w14:paraId="4840C0AE"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02" w:type="dxa"/>
            <w:tcBorders>
              <w:top w:val="nil"/>
              <w:left w:val="nil"/>
              <w:bottom w:val="single" w:sz="4" w:space="0" w:color="auto"/>
              <w:right w:val="nil"/>
            </w:tcBorders>
            <w:shd w:val="clear" w:color="auto" w:fill="auto"/>
            <w:noWrap/>
            <w:vAlign w:val="bottom"/>
            <w:hideMark/>
          </w:tcPr>
          <w:p w14:paraId="772CB13E"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w:t>
            </w:r>
            <w:r w:rsidR="002E433F" w:rsidRPr="00F85178">
              <w:rPr>
                <w:rFonts w:eastAsia="Times New Roman"/>
                <w:szCs w:val="24"/>
                <w:lang w:eastAsia="cs-CZ"/>
              </w:rPr>
              <w:t xml:space="preserve"> </w:t>
            </w:r>
            <w:r w:rsidRPr="00F85178">
              <w:rPr>
                <w:rFonts w:eastAsia="Times New Roman"/>
                <w:szCs w:val="24"/>
                <w:lang w:eastAsia="cs-CZ"/>
              </w:rPr>
              <w:t>020</w:t>
            </w:r>
          </w:p>
        </w:tc>
        <w:tc>
          <w:tcPr>
            <w:tcW w:w="861" w:type="dxa"/>
            <w:tcBorders>
              <w:top w:val="nil"/>
              <w:left w:val="nil"/>
              <w:bottom w:val="single" w:sz="4" w:space="0" w:color="auto"/>
              <w:right w:val="single" w:sz="4" w:space="0" w:color="auto"/>
            </w:tcBorders>
            <w:shd w:val="clear" w:color="auto" w:fill="auto"/>
            <w:noWrap/>
            <w:vAlign w:val="center"/>
            <w:hideMark/>
          </w:tcPr>
          <w:p w14:paraId="08989628"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540" w:type="dxa"/>
            <w:tcBorders>
              <w:top w:val="nil"/>
              <w:left w:val="nil"/>
              <w:bottom w:val="single" w:sz="4" w:space="0" w:color="auto"/>
              <w:right w:val="nil"/>
            </w:tcBorders>
            <w:shd w:val="clear" w:color="auto" w:fill="auto"/>
            <w:noWrap/>
            <w:vAlign w:val="center"/>
            <w:hideMark/>
          </w:tcPr>
          <w:p w14:paraId="60C52F1B"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101</w:t>
            </w:r>
            <w:r w:rsidR="002E433F" w:rsidRPr="00F85178">
              <w:rPr>
                <w:rFonts w:eastAsia="Times New Roman"/>
                <w:szCs w:val="24"/>
                <w:lang w:eastAsia="cs-CZ"/>
              </w:rPr>
              <w:t>,</w:t>
            </w:r>
            <w:r w:rsidRPr="00F85178">
              <w:rPr>
                <w:rFonts w:eastAsia="Times New Roman"/>
                <w:szCs w:val="24"/>
                <w:lang w:eastAsia="cs-CZ"/>
              </w:rPr>
              <w:t>3 %</w:t>
            </w:r>
          </w:p>
        </w:tc>
      </w:tr>
      <w:tr w:rsidR="00F85178" w:rsidRPr="00F85178" w14:paraId="115471D6"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1549C1C2"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Hr. Králové</w:t>
            </w:r>
          </w:p>
        </w:tc>
        <w:tc>
          <w:tcPr>
            <w:tcW w:w="1074" w:type="dxa"/>
            <w:tcBorders>
              <w:top w:val="nil"/>
              <w:left w:val="nil"/>
              <w:bottom w:val="single" w:sz="4" w:space="0" w:color="auto"/>
              <w:right w:val="nil"/>
            </w:tcBorders>
            <w:shd w:val="clear" w:color="auto" w:fill="auto"/>
            <w:noWrap/>
            <w:vAlign w:val="bottom"/>
            <w:hideMark/>
          </w:tcPr>
          <w:p w14:paraId="499AF935"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29</w:t>
            </w:r>
            <w:r w:rsidR="002E433F" w:rsidRPr="00F85178">
              <w:rPr>
                <w:rFonts w:eastAsia="Times New Roman"/>
                <w:szCs w:val="24"/>
                <w:lang w:eastAsia="cs-CZ"/>
              </w:rPr>
              <w:t xml:space="preserve"> </w:t>
            </w:r>
            <w:r w:rsidRPr="00F85178">
              <w:rPr>
                <w:rFonts w:eastAsia="Times New Roman"/>
                <w:szCs w:val="24"/>
                <w:lang w:eastAsia="cs-CZ"/>
              </w:rPr>
              <w:t>222</w:t>
            </w:r>
          </w:p>
        </w:tc>
        <w:tc>
          <w:tcPr>
            <w:tcW w:w="861" w:type="dxa"/>
            <w:tcBorders>
              <w:top w:val="nil"/>
              <w:left w:val="nil"/>
              <w:bottom w:val="single" w:sz="4" w:space="0" w:color="auto"/>
              <w:right w:val="nil"/>
            </w:tcBorders>
            <w:shd w:val="clear" w:color="auto" w:fill="auto"/>
            <w:noWrap/>
            <w:vAlign w:val="center"/>
            <w:hideMark/>
          </w:tcPr>
          <w:p w14:paraId="595735E7"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21" w:type="dxa"/>
            <w:tcBorders>
              <w:top w:val="nil"/>
              <w:left w:val="single" w:sz="4" w:space="0" w:color="auto"/>
              <w:bottom w:val="single" w:sz="4" w:space="0" w:color="auto"/>
              <w:right w:val="nil"/>
            </w:tcBorders>
            <w:shd w:val="clear" w:color="auto" w:fill="auto"/>
            <w:noWrap/>
            <w:vAlign w:val="bottom"/>
            <w:hideMark/>
          </w:tcPr>
          <w:p w14:paraId="01BBBBFC"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29</w:t>
            </w:r>
            <w:r w:rsidR="002E433F" w:rsidRPr="00F85178">
              <w:rPr>
                <w:rFonts w:eastAsia="Times New Roman"/>
                <w:szCs w:val="24"/>
                <w:lang w:eastAsia="cs-CZ"/>
              </w:rPr>
              <w:t xml:space="preserve"> </w:t>
            </w:r>
            <w:r w:rsidRPr="00F85178">
              <w:rPr>
                <w:rFonts w:eastAsia="Times New Roman"/>
                <w:szCs w:val="24"/>
                <w:lang w:eastAsia="cs-CZ"/>
              </w:rPr>
              <w:t>384</w:t>
            </w:r>
          </w:p>
        </w:tc>
        <w:tc>
          <w:tcPr>
            <w:tcW w:w="861" w:type="dxa"/>
            <w:tcBorders>
              <w:top w:val="nil"/>
              <w:left w:val="nil"/>
              <w:bottom w:val="single" w:sz="4" w:space="0" w:color="auto"/>
              <w:right w:val="single" w:sz="4" w:space="0" w:color="auto"/>
            </w:tcBorders>
            <w:shd w:val="clear" w:color="auto" w:fill="auto"/>
            <w:noWrap/>
            <w:vAlign w:val="center"/>
            <w:hideMark/>
          </w:tcPr>
          <w:p w14:paraId="1A275697"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02" w:type="dxa"/>
            <w:tcBorders>
              <w:top w:val="nil"/>
              <w:left w:val="nil"/>
              <w:bottom w:val="single" w:sz="4" w:space="0" w:color="auto"/>
              <w:right w:val="nil"/>
            </w:tcBorders>
            <w:shd w:val="clear" w:color="auto" w:fill="auto"/>
            <w:noWrap/>
            <w:vAlign w:val="bottom"/>
            <w:hideMark/>
          </w:tcPr>
          <w:p w14:paraId="7231A07E"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251</w:t>
            </w:r>
          </w:p>
        </w:tc>
        <w:tc>
          <w:tcPr>
            <w:tcW w:w="861" w:type="dxa"/>
            <w:tcBorders>
              <w:top w:val="nil"/>
              <w:left w:val="nil"/>
              <w:bottom w:val="single" w:sz="4" w:space="0" w:color="auto"/>
              <w:right w:val="single" w:sz="4" w:space="0" w:color="auto"/>
            </w:tcBorders>
            <w:shd w:val="clear" w:color="auto" w:fill="auto"/>
            <w:noWrap/>
            <w:vAlign w:val="center"/>
            <w:hideMark/>
          </w:tcPr>
          <w:p w14:paraId="74E6F71C"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5BA2D865"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100</w:t>
            </w:r>
            <w:r w:rsidR="002E433F" w:rsidRPr="00F85178">
              <w:rPr>
                <w:rFonts w:eastAsia="Times New Roman"/>
                <w:szCs w:val="24"/>
                <w:lang w:eastAsia="cs-CZ"/>
              </w:rPr>
              <w:t>,</w:t>
            </w:r>
            <w:r w:rsidRPr="00F85178">
              <w:rPr>
                <w:rFonts w:eastAsia="Times New Roman"/>
                <w:szCs w:val="24"/>
                <w:lang w:eastAsia="cs-CZ"/>
              </w:rPr>
              <w:t>6 %</w:t>
            </w:r>
          </w:p>
        </w:tc>
      </w:tr>
      <w:tr w:rsidR="00F85178" w:rsidRPr="00F85178" w14:paraId="698FFA1F" w14:textId="77777777" w:rsidTr="00EA501F">
        <w:trPr>
          <w:trHeight w:val="315"/>
        </w:trPr>
        <w:tc>
          <w:tcPr>
            <w:tcW w:w="2020" w:type="dxa"/>
            <w:tcBorders>
              <w:top w:val="nil"/>
              <w:left w:val="nil"/>
              <w:bottom w:val="single" w:sz="4" w:space="0" w:color="auto"/>
              <w:right w:val="nil"/>
            </w:tcBorders>
            <w:shd w:val="clear" w:color="auto" w:fill="auto"/>
            <w:noWrap/>
            <w:vAlign w:val="bottom"/>
            <w:hideMark/>
          </w:tcPr>
          <w:p w14:paraId="6F9FDBBB"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Brno</w:t>
            </w:r>
          </w:p>
        </w:tc>
        <w:tc>
          <w:tcPr>
            <w:tcW w:w="1074" w:type="dxa"/>
            <w:tcBorders>
              <w:top w:val="nil"/>
              <w:left w:val="nil"/>
              <w:bottom w:val="single" w:sz="4" w:space="0" w:color="auto"/>
              <w:right w:val="nil"/>
            </w:tcBorders>
            <w:shd w:val="clear" w:color="auto" w:fill="auto"/>
            <w:noWrap/>
            <w:vAlign w:val="bottom"/>
            <w:hideMark/>
          </w:tcPr>
          <w:p w14:paraId="62BD8F97"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44</w:t>
            </w:r>
            <w:r w:rsidR="002E433F" w:rsidRPr="00F85178">
              <w:rPr>
                <w:rFonts w:eastAsia="Times New Roman"/>
                <w:szCs w:val="24"/>
                <w:lang w:eastAsia="cs-CZ"/>
              </w:rPr>
              <w:t xml:space="preserve"> </w:t>
            </w:r>
            <w:r w:rsidRPr="00F85178">
              <w:rPr>
                <w:rFonts w:eastAsia="Times New Roman"/>
                <w:szCs w:val="24"/>
                <w:lang w:eastAsia="cs-CZ"/>
              </w:rPr>
              <w:t>348</w:t>
            </w:r>
          </w:p>
        </w:tc>
        <w:tc>
          <w:tcPr>
            <w:tcW w:w="861" w:type="dxa"/>
            <w:tcBorders>
              <w:top w:val="nil"/>
              <w:left w:val="nil"/>
              <w:bottom w:val="single" w:sz="4" w:space="0" w:color="auto"/>
              <w:right w:val="nil"/>
            </w:tcBorders>
            <w:shd w:val="clear" w:color="auto" w:fill="auto"/>
            <w:noWrap/>
            <w:vAlign w:val="center"/>
            <w:hideMark/>
          </w:tcPr>
          <w:p w14:paraId="1D3A7B09"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21" w:type="dxa"/>
            <w:tcBorders>
              <w:top w:val="nil"/>
              <w:left w:val="single" w:sz="4" w:space="0" w:color="auto"/>
              <w:bottom w:val="single" w:sz="4" w:space="0" w:color="auto"/>
              <w:right w:val="nil"/>
            </w:tcBorders>
            <w:shd w:val="clear" w:color="auto" w:fill="auto"/>
            <w:noWrap/>
            <w:vAlign w:val="bottom"/>
            <w:hideMark/>
          </w:tcPr>
          <w:p w14:paraId="678EC050"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43</w:t>
            </w:r>
            <w:r w:rsidR="002E433F" w:rsidRPr="00F85178">
              <w:rPr>
                <w:rFonts w:eastAsia="Times New Roman"/>
                <w:szCs w:val="24"/>
                <w:lang w:eastAsia="cs-CZ"/>
              </w:rPr>
              <w:t xml:space="preserve"> </w:t>
            </w:r>
            <w:r w:rsidRPr="00F85178">
              <w:rPr>
                <w:rFonts w:eastAsia="Times New Roman"/>
                <w:szCs w:val="24"/>
                <w:lang w:eastAsia="cs-CZ"/>
              </w:rPr>
              <w:t>276</w:t>
            </w:r>
          </w:p>
        </w:tc>
        <w:tc>
          <w:tcPr>
            <w:tcW w:w="861" w:type="dxa"/>
            <w:tcBorders>
              <w:top w:val="nil"/>
              <w:left w:val="nil"/>
              <w:bottom w:val="single" w:sz="4" w:space="0" w:color="auto"/>
              <w:right w:val="single" w:sz="4" w:space="0" w:color="auto"/>
            </w:tcBorders>
            <w:shd w:val="clear" w:color="auto" w:fill="auto"/>
            <w:noWrap/>
            <w:vAlign w:val="center"/>
            <w:hideMark/>
          </w:tcPr>
          <w:p w14:paraId="6A74B82B"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02" w:type="dxa"/>
            <w:tcBorders>
              <w:top w:val="nil"/>
              <w:left w:val="nil"/>
              <w:bottom w:val="single" w:sz="4" w:space="0" w:color="auto"/>
              <w:right w:val="nil"/>
            </w:tcBorders>
            <w:shd w:val="clear" w:color="auto" w:fill="auto"/>
            <w:noWrap/>
            <w:vAlign w:val="bottom"/>
            <w:hideMark/>
          </w:tcPr>
          <w:p w14:paraId="1ACA342C"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4</w:t>
            </w:r>
            <w:r w:rsidR="002E433F" w:rsidRPr="00F85178">
              <w:rPr>
                <w:rFonts w:eastAsia="Times New Roman"/>
                <w:szCs w:val="24"/>
                <w:lang w:eastAsia="cs-CZ"/>
              </w:rPr>
              <w:t xml:space="preserve"> </w:t>
            </w:r>
            <w:r w:rsidRPr="00F85178">
              <w:rPr>
                <w:rFonts w:eastAsia="Times New Roman"/>
                <w:szCs w:val="24"/>
                <w:lang w:eastAsia="cs-CZ"/>
              </w:rPr>
              <w:t>953</w:t>
            </w:r>
          </w:p>
        </w:tc>
        <w:tc>
          <w:tcPr>
            <w:tcW w:w="861" w:type="dxa"/>
            <w:tcBorders>
              <w:top w:val="nil"/>
              <w:left w:val="nil"/>
              <w:bottom w:val="single" w:sz="4" w:space="0" w:color="auto"/>
              <w:right w:val="single" w:sz="4" w:space="0" w:color="auto"/>
            </w:tcBorders>
            <w:shd w:val="clear" w:color="auto" w:fill="auto"/>
            <w:noWrap/>
            <w:vAlign w:val="center"/>
            <w:hideMark/>
          </w:tcPr>
          <w:p w14:paraId="5A403AB3"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+28 %</w:t>
            </w:r>
          </w:p>
        </w:tc>
        <w:tc>
          <w:tcPr>
            <w:tcW w:w="1540" w:type="dxa"/>
            <w:tcBorders>
              <w:top w:val="nil"/>
              <w:left w:val="nil"/>
              <w:bottom w:val="single" w:sz="4" w:space="0" w:color="auto"/>
              <w:right w:val="nil"/>
            </w:tcBorders>
            <w:shd w:val="clear" w:color="auto" w:fill="auto"/>
            <w:noWrap/>
            <w:vAlign w:val="center"/>
            <w:hideMark/>
          </w:tcPr>
          <w:p w14:paraId="6D18C023"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97</w:t>
            </w:r>
            <w:r w:rsidR="002E433F" w:rsidRPr="00F85178">
              <w:rPr>
                <w:rFonts w:eastAsia="Times New Roman"/>
                <w:szCs w:val="24"/>
                <w:lang w:eastAsia="cs-CZ"/>
              </w:rPr>
              <w:t>,</w:t>
            </w:r>
            <w:r w:rsidRPr="00F85178">
              <w:rPr>
                <w:rFonts w:eastAsia="Times New Roman"/>
                <w:szCs w:val="24"/>
                <w:lang w:eastAsia="cs-CZ"/>
              </w:rPr>
              <w:t>6 %</w:t>
            </w:r>
          </w:p>
        </w:tc>
      </w:tr>
      <w:tr w:rsidR="00F85178" w:rsidRPr="00F85178" w14:paraId="54D86CFF" w14:textId="77777777" w:rsidTr="00EA501F">
        <w:trPr>
          <w:trHeight w:val="330"/>
        </w:trPr>
        <w:tc>
          <w:tcPr>
            <w:tcW w:w="2020" w:type="dxa"/>
            <w:tcBorders>
              <w:top w:val="nil"/>
              <w:left w:val="nil"/>
              <w:bottom w:val="double" w:sz="6" w:space="0" w:color="auto"/>
              <w:right w:val="nil"/>
            </w:tcBorders>
            <w:shd w:val="clear" w:color="auto" w:fill="auto"/>
            <w:noWrap/>
            <w:vAlign w:val="bottom"/>
            <w:hideMark/>
          </w:tcPr>
          <w:p w14:paraId="537B5765" w14:textId="77777777" w:rsidR="00EA501F" w:rsidRPr="00F85178" w:rsidRDefault="00EA501F" w:rsidP="00EA501F">
            <w:pPr>
              <w:spacing w:line="240" w:lineRule="auto"/>
              <w:jc w:val="left"/>
              <w:rPr>
                <w:rFonts w:eastAsia="Times New Roman"/>
                <w:szCs w:val="24"/>
                <w:lang w:eastAsia="cs-CZ"/>
              </w:rPr>
            </w:pPr>
            <w:r w:rsidRPr="00F85178">
              <w:rPr>
                <w:rFonts w:eastAsia="Times New Roman"/>
                <w:szCs w:val="24"/>
                <w:lang w:eastAsia="cs-CZ"/>
              </w:rPr>
              <w:t>KS Ostrava</w:t>
            </w:r>
          </w:p>
        </w:tc>
        <w:tc>
          <w:tcPr>
            <w:tcW w:w="1074" w:type="dxa"/>
            <w:tcBorders>
              <w:top w:val="nil"/>
              <w:left w:val="nil"/>
              <w:bottom w:val="double" w:sz="6" w:space="0" w:color="auto"/>
              <w:right w:val="nil"/>
            </w:tcBorders>
            <w:shd w:val="clear" w:color="auto" w:fill="auto"/>
            <w:noWrap/>
            <w:vAlign w:val="bottom"/>
            <w:hideMark/>
          </w:tcPr>
          <w:p w14:paraId="3DD49941"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57</w:t>
            </w:r>
            <w:r w:rsidR="002E433F" w:rsidRPr="00F85178">
              <w:rPr>
                <w:rFonts w:eastAsia="Times New Roman"/>
                <w:szCs w:val="24"/>
                <w:lang w:eastAsia="cs-CZ"/>
              </w:rPr>
              <w:t xml:space="preserve"> </w:t>
            </w:r>
            <w:r w:rsidRPr="00F85178">
              <w:rPr>
                <w:rFonts w:eastAsia="Times New Roman"/>
                <w:szCs w:val="24"/>
                <w:lang w:eastAsia="cs-CZ"/>
              </w:rPr>
              <w:t>378</w:t>
            </w:r>
          </w:p>
        </w:tc>
        <w:tc>
          <w:tcPr>
            <w:tcW w:w="861" w:type="dxa"/>
            <w:tcBorders>
              <w:top w:val="nil"/>
              <w:left w:val="nil"/>
              <w:bottom w:val="double" w:sz="6" w:space="0" w:color="auto"/>
              <w:right w:val="nil"/>
            </w:tcBorders>
            <w:shd w:val="clear" w:color="auto" w:fill="auto"/>
            <w:noWrap/>
            <w:vAlign w:val="center"/>
            <w:hideMark/>
          </w:tcPr>
          <w:p w14:paraId="20082B1B"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21" w:type="dxa"/>
            <w:tcBorders>
              <w:top w:val="nil"/>
              <w:left w:val="single" w:sz="4" w:space="0" w:color="auto"/>
              <w:bottom w:val="double" w:sz="6" w:space="0" w:color="auto"/>
              <w:right w:val="nil"/>
            </w:tcBorders>
            <w:shd w:val="clear" w:color="auto" w:fill="auto"/>
            <w:noWrap/>
            <w:vAlign w:val="bottom"/>
            <w:hideMark/>
          </w:tcPr>
          <w:p w14:paraId="746A7223"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57</w:t>
            </w:r>
            <w:r w:rsidR="002E433F" w:rsidRPr="00F85178">
              <w:rPr>
                <w:rFonts w:eastAsia="Times New Roman"/>
                <w:szCs w:val="24"/>
                <w:lang w:eastAsia="cs-CZ"/>
              </w:rPr>
              <w:t xml:space="preserve"> </w:t>
            </w:r>
            <w:r w:rsidRPr="00F85178">
              <w:rPr>
                <w:rFonts w:eastAsia="Times New Roman"/>
                <w:szCs w:val="24"/>
                <w:lang w:eastAsia="cs-CZ"/>
              </w:rPr>
              <w:t>819</w:t>
            </w:r>
          </w:p>
        </w:tc>
        <w:tc>
          <w:tcPr>
            <w:tcW w:w="861" w:type="dxa"/>
            <w:tcBorders>
              <w:top w:val="nil"/>
              <w:left w:val="nil"/>
              <w:bottom w:val="double" w:sz="6" w:space="0" w:color="auto"/>
              <w:right w:val="single" w:sz="4" w:space="0" w:color="auto"/>
            </w:tcBorders>
            <w:shd w:val="clear" w:color="auto" w:fill="auto"/>
            <w:noWrap/>
            <w:vAlign w:val="center"/>
            <w:hideMark/>
          </w:tcPr>
          <w:p w14:paraId="32A9A5EC"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902" w:type="dxa"/>
            <w:tcBorders>
              <w:top w:val="nil"/>
              <w:left w:val="nil"/>
              <w:bottom w:val="double" w:sz="6" w:space="0" w:color="auto"/>
              <w:right w:val="nil"/>
            </w:tcBorders>
            <w:shd w:val="clear" w:color="auto" w:fill="auto"/>
            <w:noWrap/>
            <w:vAlign w:val="bottom"/>
            <w:hideMark/>
          </w:tcPr>
          <w:p w14:paraId="314F164B" w14:textId="77777777" w:rsidR="00EA501F" w:rsidRPr="00F85178" w:rsidRDefault="00EA501F" w:rsidP="00EA501F">
            <w:pPr>
              <w:spacing w:line="240" w:lineRule="auto"/>
              <w:jc w:val="center"/>
              <w:rPr>
                <w:rFonts w:eastAsia="Times New Roman"/>
                <w:szCs w:val="24"/>
                <w:lang w:eastAsia="cs-CZ"/>
              </w:rPr>
            </w:pPr>
            <w:r w:rsidRPr="00F85178">
              <w:rPr>
                <w:rFonts w:eastAsia="Times New Roman"/>
                <w:szCs w:val="24"/>
                <w:lang w:eastAsia="cs-CZ"/>
              </w:rPr>
              <w:t>3</w:t>
            </w:r>
            <w:r w:rsidR="002E433F" w:rsidRPr="00F85178">
              <w:rPr>
                <w:rFonts w:eastAsia="Times New Roman"/>
                <w:szCs w:val="24"/>
                <w:lang w:eastAsia="cs-CZ"/>
              </w:rPr>
              <w:t xml:space="preserve"> </w:t>
            </w:r>
            <w:r w:rsidRPr="00F85178">
              <w:rPr>
                <w:rFonts w:eastAsia="Times New Roman"/>
                <w:szCs w:val="24"/>
                <w:lang w:eastAsia="cs-CZ"/>
              </w:rPr>
              <w:t>043</w:t>
            </w:r>
          </w:p>
        </w:tc>
        <w:tc>
          <w:tcPr>
            <w:tcW w:w="861" w:type="dxa"/>
            <w:tcBorders>
              <w:top w:val="nil"/>
              <w:left w:val="nil"/>
              <w:bottom w:val="double" w:sz="6" w:space="0" w:color="auto"/>
              <w:right w:val="single" w:sz="4" w:space="0" w:color="auto"/>
            </w:tcBorders>
            <w:shd w:val="clear" w:color="auto" w:fill="auto"/>
            <w:noWrap/>
            <w:vAlign w:val="center"/>
            <w:hideMark/>
          </w:tcPr>
          <w:p w14:paraId="421700A1" w14:textId="77777777" w:rsidR="00EA501F" w:rsidRPr="00F85178" w:rsidRDefault="00EA501F" w:rsidP="00BA7566">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540" w:type="dxa"/>
            <w:tcBorders>
              <w:top w:val="nil"/>
              <w:left w:val="nil"/>
              <w:bottom w:val="nil"/>
              <w:right w:val="nil"/>
            </w:tcBorders>
            <w:shd w:val="clear" w:color="auto" w:fill="auto"/>
            <w:noWrap/>
            <w:vAlign w:val="center"/>
            <w:hideMark/>
          </w:tcPr>
          <w:p w14:paraId="078001F9" w14:textId="77777777" w:rsidR="00EA501F" w:rsidRPr="00F85178" w:rsidRDefault="00EA501F" w:rsidP="002E433F">
            <w:pPr>
              <w:spacing w:line="240" w:lineRule="auto"/>
              <w:jc w:val="center"/>
              <w:rPr>
                <w:rFonts w:eastAsia="Times New Roman"/>
                <w:szCs w:val="24"/>
                <w:lang w:eastAsia="cs-CZ"/>
              </w:rPr>
            </w:pPr>
            <w:r w:rsidRPr="00F85178">
              <w:rPr>
                <w:rFonts w:eastAsia="Times New Roman"/>
                <w:szCs w:val="24"/>
                <w:lang w:eastAsia="cs-CZ"/>
              </w:rPr>
              <w:t>100</w:t>
            </w:r>
            <w:r w:rsidR="002E433F" w:rsidRPr="00F85178">
              <w:rPr>
                <w:rFonts w:eastAsia="Times New Roman"/>
                <w:szCs w:val="24"/>
                <w:lang w:eastAsia="cs-CZ"/>
              </w:rPr>
              <w:t>,</w:t>
            </w:r>
            <w:r w:rsidRPr="00F85178">
              <w:rPr>
                <w:rFonts w:eastAsia="Times New Roman"/>
                <w:szCs w:val="24"/>
                <w:lang w:eastAsia="cs-CZ"/>
              </w:rPr>
              <w:t>8 %</w:t>
            </w:r>
          </w:p>
        </w:tc>
      </w:tr>
      <w:tr w:rsidR="00EA501F" w:rsidRPr="00F85178" w14:paraId="371709CA" w14:textId="77777777" w:rsidTr="00EA501F">
        <w:trPr>
          <w:trHeight w:val="345"/>
        </w:trPr>
        <w:tc>
          <w:tcPr>
            <w:tcW w:w="2020" w:type="dxa"/>
            <w:tcBorders>
              <w:top w:val="nil"/>
              <w:left w:val="nil"/>
              <w:bottom w:val="double" w:sz="6" w:space="0" w:color="auto"/>
              <w:right w:val="nil"/>
            </w:tcBorders>
            <w:shd w:val="clear" w:color="auto" w:fill="auto"/>
            <w:noWrap/>
            <w:vAlign w:val="bottom"/>
            <w:hideMark/>
          </w:tcPr>
          <w:p w14:paraId="0DDA4DAE" w14:textId="77777777" w:rsidR="00EA501F" w:rsidRPr="00F85178" w:rsidRDefault="00EA501F" w:rsidP="00EA501F">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74" w:type="dxa"/>
            <w:tcBorders>
              <w:top w:val="nil"/>
              <w:left w:val="nil"/>
              <w:bottom w:val="double" w:sz="6" w:space="0" w:color="auto"/>
              <w:right w:val="nil"/>
            </w:tcBorders>
            <w:shd w:val="clear" w:color="auto" w:fill="auto"/>
            <w:noWrap/>
            <w:vAlign w:val="bottom"/>
            <w:hideMark/>
          </w:tcPr>
          <w:p w14:paraId="0AE2B3ED"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328</w:t>
            </w:r>
            <w:r w:rsidR="002E433F" w:rsidRPr="00F85178">
              <w:rPr>
                <w:rFonts w:eastAsia="Times New Roman"/>
                <w:b/>
                <w:bCs/>
                <w:szCs w:val="24"/>
                <w:lang w:eastAsia="cs-CZ"/>
              </w:rPr>
              <w:t xml:space="preserve"> </w:t>
            </w:r>
            <w:r w:rsidRPr="00F85178">
              <w:rPr>
                <w:rFonts w:eastAsia="Times New Roman"/>
                <w:b/>
                <w:bCs/>
                <w:szCs w:val="24"/>
                <w:lang w:eastAsia="cs-CZ"/>
              </w:rPr>
              <w:t>373</w:t>
            </w:r>
          </w:p>
        </w:tc>
        <w:tc>
          <w:tcPr>
            <w:tcW w:w="861" w:type="dxa"/>
            <w:tcBorders>
              <w:top w:val="nil"/>
              <w:left w:val="nil"/>
              <w:bottom w:val="double" w:sz="6" w:space="0" w:color="auto"/>
              <w:right w:val="nil"/>
            </w:tcBorders>
            <w:shd w:val="clear" w:color="auto" w:fill="auto"/>
            <w:noWrap/>
            <w:vAlign w:val="center"/>
            <w:hideMark/>
          </w:tcPr>
          <w:p w14:paraId="361D48EA" w14:textId="77777777" w:rsidR="00EA501F" w:rsidRPr="00F85178" w:rsidRDefault="00EA501F" w:rsidP="00BA7566">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1021" w:type="dxa"/>
            <w:tcBorders>
              <w:top w:val="nil"/>
              <w:left w:val="single" w:sz="4" w:space="0" w:color="auto"/>
              <w:bottom w:val="double" w:sz="6" w:space="0" w:color="auto"/>
              <w:right w:val="nil"/>
            </w:tcBorders>
            <w:shd w:val="clear" w:color="auto" w:fill="auto"/>
            <w:noWrap/>
            <w:vAlign w:val="bottom"/>
            <w:hideMark/>
          </w:tcPr>
          <w:p w14:paraId="1C830D3B"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331</w:t>
            </w:r>
            <w:r w:rsidR="002E433F" w:rsidRPr="00F85178">
              <w:rPr>
                <w:rFonts w:eastAsia="Times New Roman"/>
                <w:b/>
                <w:bCs/>
                <w:szCs w:val="24"/>
                <w:lang w:eastAsia="cs-CZ"/>
              </w:rPr>
              <w:t xml:space="preserve"> </w:t>
            </w:r>
            <w:r w:rsidRPr="00F85178">
              <w:rPr>
                <w:rFonts w:eastAsia="Times New Roman"/>
                <w:b/>
                <w:bCs/>
                <w:szCs w:val="24"/>
                <w:lang w:eastAsia="cs-CZ"/>
              </w:rPr>
              <w:t>701</w:t>
            </w:r>
          </w:p>
        </w:tc>
        <w:tc>
          <w:tcPr>
            <w:tcW w:w="861" w:type="dxa"/>
            <w:tcBorders>
              <w:top w:val="nil"/>
              <w:left w:val="nil"/>
              <w:bottom w:val="double" w:sz="6" w:space="0" w:color="auto"/>
              <w:right w:val="single" w:sz="4" w:space="0" w:color="auto"/>
            </w:tcBorders>
            <w:shd w:val="clear" w:color="auto" w:fill="auto"/>
            <w:noWrap/>
            <w:vAlign w:val="center"/>
            <w:hideMark/>
          </w:tcPr>
          <w:p w14:paraId="6A9F4A33" w14:textId="77777777" w:rsidR="00EA501F" w:rsidRPr="00F85178" w:rsidRDefault="00EA501F" w:rsidP="00BA7566">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902" w:type="dxa"/>
            <w:tcBorders>
              <w:top w:val="nil"/>
              <w:left w:val="nil"/>
              <w:bottom w:val="double" w:sz="6" w:space="0" w:color="auto"/>
              <w:right w:val="nil"/>
            </w:tcBorders>
            <w:shd w:val="clear" w:color="auto" w:fill="auto"/>
            <w:noWrap/>
            <w:vAlign w:val="bottom"/>
            <w:hideMark/>
          </w:tcPr>
          <w:p w14:paraId="7BEE8873" w14:textId="77777777" w:rsidR="00EA501F" w:rsidRPr="00F85178" w:rsidRDefault="00EA501F" w:rsidP="00EA501F">
            <w:pPr>
              <w:spacing w:line="240" w:lineRule="auto"/>
              <w:jc w:val="center"/>
              <w:rPr>
                <w:rFonts w:eastAsia="Times New Roman"/>
                <w:b/>
                <w:bCs/>
                <w:szCs w:val="24"/>
                <w:lang w:eastAsia="cs-CZ"/>
              </w:rPr>
            </w:pPr>
            <w:r w:rsidRPr="00F85178">
              <w:rPr>
                <w:rFonts w:eastAsia="Times New Roman"/>
                <w:b/>
                <w:bCs/>
                <w:szCs w:val="24"/>
                <w:lang w:eastAsia="cs-CZ"/>
              </w:rPr>
              <w:t>20</w:t>
            </w:r>
            <w:r w:rsidR="002E433F" w:rsidRPr="00F85178">
              <w:rPr>
                <w:rFonts w:eastAsia="Times New Roman"/>
                <w:b/>
                <w:bCs/>
                <w:szCs w:val="24"/>
                <w:lang w:eastAsia="cs-CZ"/>
              </w:rPr>
              <w:t xml:space="preserve"> </w:t>
            </w:r>
            <w:r w:rsidRPr="00F85178">
              <w:rPr>
                <w:rFonts w:eastAsia="Times New Roman"/>
                <w:b/>
                <w:bCs/>
                <w:szCs w:val="24"/>
                <w:lang w:eastAsia="cs-CZ"/>
              </w:rPr>
              <w:t>307</w:t>
            </w:r>
          </w:p>
        </w:tc>
        <w:tc>
          <w:tcPr>
            <w:tcW w:w="861" w:type="dxa"/>
            <w:tcBorders>
              <w:top w:val="nil"/>
              <w:left w:val="nil"/>
              <w:bottom w:val="double" w:sz="6" w:space="0" w:color="auto"/>
              <w:right w:val="single" w:sz="4" w:space="0" w:color="auto"/>
            </w:tcBorders>
            <w:shd w:val="clear" w:color="auto" w:fill="auto"/>
            <w:noWrap/>
            <w:vAlign w:val="center"/>
            <w:hideMark/>
          </w:tcPr>
          <w:p w14:paraId="08F5A2A2" w14:textId="77777777" w:rsidR="00EA501F" w:rsidRPr="00F85178" w:rsidRDefault="00EA501F" w:rsidP="00BA7566">
            <w:pPr>
              <w:spacing w:line="240" w:lineRule="auto"/>
              <w:jc w:val="center"/>
              <w:rPr>
                <w:rFonts w:eastAsia="Times New Roman"/>
                <w:b/>
                <w:bCs/>
                <w:sz w:val="20"/>
                <w:szCs w:val="20"/>
                <w:lang w:eastAsia="cs-CZ"/>
              </w:rPr>
            </w:pPr>
            <w:r w:rsidRPr="00F85178">
              <w:rPr>
                <w:rFonts w:eastAsia="Times New Roman"/>
                <w:b/>
                <w:bCs/>
                <w:sz w:val="20"/>
                <w:szCs w:val="20"/>
                <w:lang w:eastAsia="cs-CZ"/>
              </w:rPr>
              <w:t>-14 %</w:t>
            </w:r>
          </w:p>
        </w:tc>
        <w:tc>
          <w:tcPr>
            <w:tcW w:w="1540" w:type="dxa"/>
            <w:tcBorders>
              <w:top w:val="double" w:sz="6" w:space="0" w:color="auto"/>
              <w:left w:val="nil"/>
              <w:bottom w:val="double" w:sz="6" w:space="0" w:color="auto"/>
              <w:right w:val="nil"/>
            </w:tcBorders>
            <w:shd w:val="clear" w:color="auto" w:fill="auto"/>
            <w:noWrap/>
            <w:vAlign w:val="center"/>
            <w:hideMark/>
          </w:tcPr>
          <w:p w14:paraId="526CE842" w14:textId="77777777" w:rsidR="00EA501F" w:rsidRPr="00F85178" w:rsidRDefault="00EA501F" w:rsidP="002E433F">
            <w:pPr>
              <w:spacing w:line="240" w:lineRule="auto"/>
              <w:jc w:val="center"/>
              <w:rPr>
                <w:rFonts w:eastAsia="Times New Roman"/>
                <w:b/>
                <w:bCs/>
                <w:szCs w:val="24"/>
                <w:lang w:eastAsia="cs-CZ"/>
              </w:rPr>
            </w:pPr>
            <w:r w:rsidRPr="00F85178">
              <w:rPr>
                <w:rFonts w:eastAsia="Times New Roman"/>
                <w:b/>
                <w:bCs/>
                <w:szCs w:val="24"/>
                <w:lang w:eastAsia="cs-CZ"/>
              </w:rPr>
              <w:t>101</w:t>
            </w:r>
            <w:r w:rsidR="002E433F" w:rsidRPr="00F85178">
              <w:rPr>
                <w:rFonts w:eastAsia="Times New Roman"/>
                <w:b/>
                <w:bCs/>
                <w:szCs w:val="24"/>
                <w:lang w:eastAsia="cs-CZ"/>
              </w:rPr>
              <w:t>,</w:t>
            </w:r>
            <w:r w:rsidRPr="00F85178">
              <w:rPr>
                <w:rFonts w:eastAsia="Times New Roman"/>
                <w:b/>
                <w:bCs/>
                <w:szCs w:val="24"/>
                <w:lang w:eastAsia="cs-CZ"/>
              </w:rPr>
              <w:t>0 %</w:t>
            </w:r>
          </w:p>
        </w:tc>
      </w:tr>
    </w:tbl>
    <w:p w14:paraId="09DF4DBF" w14:textId="77777777" w:rsidR="00EA501F" w:rsidRPr="00F85178" w:rsidRDefault="00EA501F" w:rsidP="00770E8A"/>
    <w:p w14:paraId="56B6572D" w14:textId="77777777" w:rsidR="00BA7566" w:rsidRPr="00F85178" w:rsidRDefault="00BA7566" w:rsidP="00BA7566">
      <w:pPr>
        <w:pStyle w:val="Nadpis3"/>
        <w:rPr>
          <w:color w:val="auto"/>
        </w:rPr>
      </w:pPr>
      <w:bookmarkStart w:id="165" w:name="_Toc515871229"/>
      <w:bookmarkStart w:id="166" w:name="_Toc14076881"/>
      <w:r w:rsidRPr="00F85178">
        <w:rPr>
          <w:color w:val="auto"/>
        </w:rPr>
        <w:t>Další statistiky</w:t>
      </w:r>
      <w:bookmarkEnd w:id="165"/>
      <w:bookmarkEnd w:id="166"/>
    </w:p>
    <w:p w14:paraId="2C3B3B6E" w14:textId="77777777" w:rsidR="00BA7566" w:rsidRPr="00F85178" w:rsidRDefault="00BA7566" w:rsidP="00BA7566">
      <w:pPr>
        <w:pStyle w:val="OdstavecASR"/>
      </w:pPr>
      <w:r w:rsidRPr="00F85178">
        <w:t>V kapitole </w:t>
      </w:r>
      <w:r w:rsidR="005C706B" w:rsidRPr="00F85178">
        <w:t>2.2.5</w:t>
      </w:r>
      <w:r w:rsidRPr="00F85178">
        <w:t xml:space="preserve"> jsme ukázali, že velkou část civilních věcí tvoří spory o úhradu dlužné částky (za pojistné, energie, za jízdu na černo, splátky úvěrů) a že většina těchto sporů byla převedena z rejstříku EPR. V této kapitole zodpovíme otázku, kolik věcí je vlastně z rejstříku EPR převedeno do rejstříku C. Tedy</w:t>
      </w:r>
      <w:r w:rsidR="00DF3305" w:rsidRPr="00F85178">
        <w:t>,</w:t>
      </w:r>
      <w:r w:rsidRPr="00F85178">
        <w:t xml:space="preserve"> jak často nestačí, aby soud věc jednoduše vyřídil elektronický platebním rozkazem, ale musel se jí dále zabývat v civilním řízení. Opět uvádíme časové řady za celou ČR a průřezová data po krajích za rok 201</w:t>
      </w:r>
      <w:r w:rsidR="002E433F" w:rsidRPr="00F85178">
        <w:t>8</w:t>
      </w:r>
      <w:r w:rsidRPr="00F85178">
        <w:t>.</w:t>
      </w:r>
    </w:p>
    <w:p w14:paraId="7763BBE1" w14:textId="77777777" w:rsidR="00BA7566" w:rsidRPr="00F85178" w:rsidRDefault="00DF3305" w:rsidP="00DF3305">
      <w:pPr>
        <w:pStyle w:val="Podtitul"/>
        <w:rPr>
          <w:color w:val="auto"/>
        </w:rPr>
      </w:pPr>
      <w:bookmarkStart w:id="167" w:name="_Toc515871348"/>
      <w:bookmarkStart w:id="168" w:name="_Toc11135083"/>
      <w:bookmarkStart w:id="169" w:name="_Toc1383751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22</w:t>
      </w:r>
      <w:r w:rsidRPr="00F85178">
        <w:rPr>
          <w:color w:val="auto"/>
        </w:rPr>
        <w:fldChar w:fldCharType="end"/>
      </w:r>
      <w:r w:rsidRPr="00F85178">
        <w:rPr>
          <w:color w:val="auto"/>
        </w:rPr>
        <w:t>: OS – převedeno z rejstříku EPR v letech 2013–201</w:t>
      </w:r>
      <w:bookmarkEnd w:id="167"/>
      <w:r w:rsidRPr="00F85178">
        <w:rPr>
          <w:color w:val="auto"/>
        </w:rPr>
        <w:t>8</w:t>
      </w:r>
      <w:bookmarkEnd w:id="168"/>
      <w:bookmarkEnd w:id="169"/>
    </w:p>
    <w:p w14:paraId="482BAD89" w14:textId="77777777" w:rsidR="00DF3305" w:rsidRPr="00F85178" w:rsidRDefault="00890295" w:rsidP="00770E8A">
      <w:r>
        <w:rPr>
          <w:noProof/>
          <w:lang w:eastAsia="cs-CZ"/>
        </w:rPr>
        <w:drawing>
          <wp:inline distT="0" distB="0" distL="0" distR="0" wp14:anchorId="279A1DFD" wp14:editId="5E7D331F">
            <wp:extent cx="5118100" cy="3746500"/>
            <wp:effectExtent l="0" t="0" r="0" b="0"/>
            <wp:docPr id="23" name="Obrázek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EAD31EB" w14:textId="77777777" w:rsidR="00DF3305" w:rsidRPr="00F85178" w:rsidRDefault="00DF3305">
      <w:pPr>
        <w:spacing w:line="240" w:lineRule="auto"/>
        <w:jc w:val="left"/>
      </w:pPr>
      <w:r w:rsidRPr="00F85178">
        <w:br w:type="page"/>
      </w:r>
    </w:p>
    <w:p w14:paraId="6560D358" w14:textId="77777777" w:rsidR="00DF3305" w:rsidRPr="00F85178" w:rsidRDefault="00DF3305" w:rsidP="00DF3305">
      <w:pPr>
        <w:pStyle w:val="Podtitul"/>
        <w:rPr>
          <w:color w:val="auto"/>
        </w:rPr>
      </w:pPr>
      <w:bookmarkStart w:id="170" w:name="_Toc515871450"/>
      <w:bookmarkStart w:id="171" w:name="_Toc11133218"/>
      <w:bookmarkStart w:id="172" w:name="_Toc1383743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16</w:t>
      </w:r>
      <w:r w:rsidRPr="00F85178">
        <w:rPr>
          <w:color w:val="auto"/>
        </w:rPr>
        <w:fldChar w:fldCharType="end"/>
      </w:r>
      <w:r w:rsidRPr="00F85178">
        <w:rPr>
          <w:color w:val="auto"/>
        </w:rPr>
        <w:t>: OS – převedeno z rejstříku EPR dle krajů</w:t>
      </w:r>
      <w:bookmarkEnd w:id="170"/>
      <w:bookmarkEnd w:id="171"/>
      <w:bookmarkEnd w:id="172"/>
    </w:p>
    <w:tbl>
      <w:tblPr>
        <w:tblW w:w="8860" w:type="dxa"/>
        <w:tblInd w:w="70" w:type="dxa"/>
        <w:tblCellMar>
          <w:left w:w="70" w:type="dxa"/>
          <w:right w:w="70" w:type="dxa"/>
        </w:tblCellMar>
        <w:tblLook w:val="04A0" w:firstRow="1" w:lastRow="0" w:firstColumn="1" w:lastColumn="0" w:noHBand="0" w:noVBand="1"/>
      </w:tblPr>
      <w:tblGrid>
        <w:gridCol w:w="2020"/>
        <w:gridCol w:w="1344"/>
        <w:gridCol w:w="1105"/>
        <w:gridCol w:w="1056"/>
        <w:gridCol w:w="1105"/>
        <w:gridCol w:w="1125"/>
        <w:gridCol w:w="1105"/>
      </w:tblGrid>
      <w:tr w:rsidR="00F85178" w:rsidRPr="00F85178" w14:paraId="4EF45541" w14:textId="77777777" w:rsidTr="00DF3305">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4E98C20A"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6840" w:type="dxa"/>
            <w:gridSpan w:val="6"/>
            <w:tcBorders>
              <w:top w:val="double" w:sz="6" w:space="0" w:color="auto"/>
              <w:left w:val="nil"/>
              <w:bottom w:val="nil"/>
              <w:right w:val="nil"/>
            </w:tcBorders>
            <w:shd w:val="clear" w:color="auto" w:fill="auto"/>
            <w:noWrap/>
            <w:vAlign w:val="center"/>
            <w:hideMark/>
          </w:tcPr>
          <w:p w14:paraId="5558E920"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699BEBB3" w14:textId="77777777" w:rsidTr="00DF3305">
        <w:trPr>
          <w:trHeight w:val="645"/>
        </w:trPr>
        <w:tc>
          <w:tcPr>
            <w:tcW w:w="2020" w:type="dxa"/>
            <w:vMerge/>
            <w:tcBorders>
              <w:top w:val="double" w:sz="6" w:space="0" w:color="auto"/>
              <w:left w:val="nil"/>
              <w:bottom w:val="double" w:sz="6" w:space="0" w:color="000000"/>
              <w:right w:val="nil"/>
            </w:tcBorders>
            <w:vAlign w:val="center"/>
            <w:hideMark/>
          </w:tcPr>
          <w:p w14:paraId="0E777648" w14:textId="77777777" w:rsidR="00DF3305" w:rsidRPr="00F85178" w:rsidRDefault="00DF3305" w:rsidP="00DF3305">
            <w:pPr>
              <w:spacing w:line="240" w:lineRule="auto"/>
              <w:jc w:val="left"/>
              <w:rPr>
                <w:rFonts w:eastAsia="Times New Roman"/>
                <w:b/>
                <w:bCs/>
                <w:szCs w:val="24"/>
                <w:lang w:eastAsia="cs-CZ"/>
              </w:rPr>
            </w:pPr>
          </w:p>
        </w:tc>
        <w:tc>
          <w:tcPr>
            <w:tcW w:w="2449" w:type="dxa"/>
            <w:gridSpan w:val="2"/>
            <w:tcBorders>
              <w:top w:val="nil"/>
              <w:left w:val="nil"/>
              <w:bottom w:val="double" w:sz="6" w:space="0" w:color="auto"/>
              <w:right w:val="single" w:sz="4" w:space="0" w:color="000000"/>
            </w:tcBorders>
            <w:shd w:val="clear" w:color="auto" w:fill="auto"/>
            <w:noWrap/>
            <w:vAlign w:val="center"/>
            <w:hideMark/>
          </w:tcPr>
          <w:p w14:paraId="18016F91"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EPR zrušen soudem</w:t>
            </w:r>
          </w:p>
        </w:tc>
        <w:tc>
          <w:tcPr>
            <w:tcW w:w="2161" w:type="dxa"/>
            <w:gridSpan w:val="2"/>
            <w:tcBorders>
              <w:top w:val="nil"/>
              <w:left w:val="nil"/>
              <w:bottom w:val="double" w:sz="6" w:space="0" w:color="auto"/>
              <w:right w:val="single" w:sz="4" w:space="0" w:color="000000"/>
            </w:tcBorders>
            <w:shd w:val="clear" w:color="auto" w:fill="auto"/>
            <w:vAlign w:val="center"/>
            <w:hideMark/>
          </w:tcPr>
          <w:p w14:paraId="0A21C520"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podán odpor, který nebyl odmítnut</w:t>
            </w:r>
          </w:p>
        </w:tc>
        <w:tc>
          <w:tcPr>
            <w:tcW w:w="2230" w:type="dxa"/>
            <w:gridSpan w:val="2"/>
            <w:tcBorders>
              <w:top w:val="nil"/>
              <w:left w:val="nil"/>
              <w:bottom w:val="double" w:sz="6" w:space="0" w:color="auto"/>
              <w:right w:val="nil"/>
            </w:tcBorders>
            <w:shd w:val="clear" w:color="auto" w:fill="auto"/>
            <w:noWrap/>
            <w:vAlign w:val="center"/>
            <w:hideMark/>
          </w:tcPr>
          <w:p w14:paraId="4C941FFC"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jiný důvod</w:t>
            </w:r>
          </w:p>
        </w:tc>
      </w:tr>
      <w:tr w:rsidR="00F85178" w:rsidRPr="00F85178" w14:paraId="2AE63FEC" w14:textId="77777777" w:rsidTr="00DF3305">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DAE141C"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MS Praha</w:t>
            </w:r>
          </w:p>
        </w:tc>
        <w:tc>
          <w:tcPr>
            <w:tcW w:w="1344" w:type="dxa"/>
            <w:tcBorders>
              <w:top w:val="single" w:sz="4" w:space="0" w:color="auto"/>
              <w:left w:val="nil"/>
              <w:bottom w:val="single" w:sz="4" w:space="0" w:color="auto"/>
              <w:right w:val="nil"/>
            </w:tcBorders>
            <w:shd w:val="clear" w:color="auto" w:fill="auto"/>
            <w:noWrap/>
            <w:vAlign w:val="bottom"/>
            <w:hideMark/>
          </w:tcPr>
          <w:p w14:paraId="3A464718"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33</w:t>
            </w:r>
            <w:r w:rsidR="002E433F" w:rsidRPr="00F85178">
              <w:rPr>
                <w:rFonts w:eastAsia="Times New Roman"/>
                <w:szCs w:val="24"/>
                <w:lang w:eastAsia="cs-CZ"/>
              </w:rPr>
              <w:t xml:space="preserve"> </w:t>
            </w:r>
            <w:r w:rsidRPr="00F85178">
              <w:rPr>
                <w:rFonts w:eastAsia="Times New Roman"/>
                <w:szCs w:val="24"/>
                <w:lang w:eastAsia="cs-CZ"/>
              </w:rPr>
              <w:t>295</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35224427"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+43 %</w:t>
            </w:r>
          </w:p>
        </w:tc>
        <w:tc>
          <w:tcPr>
            <w:tcW w:w="1056" w:type="dxa"/>
            <w:tcBorders>
              <w:top w:val="single" w:sz="4" w:space="0" w:color="auto"/>
              <w:left w:val="nil"/>
              <w:bottom w:val="single" w:sz="4" w:space="0" w:color="auto"/>
              <w:right w:val="nil"/>
            </w:tcBorders>
            <w:shd w:val="clear" w:color="auto" w:fill="auto"/>
            <w:noWrap/>
            <w:vAlign w:val="bottom"/>
            <w:hideMark/>
          </w:tcPr>
          <w:p w14:paraId="7E9D5D3D"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3</w:t>
            </w:r>
            <w:r w:rsidR="002E433F" w:rsidRPr="00F85178">
              <w:rPr>
                <w:rFonts w:eastAsia="Times New Roman"/>
                <w:szCs w:val="24"/>
                <w:lang w:eastAsia="cs-CZ"/>
              </w:rPr>
              <w:t xml:space="preserve"> </w:t>
            </w:r>
            <w:r w:rsidRPr="00F85178">
              <w:rPr>
                <w:rFonts w:eastAsia="Times New Roman"/>
                <w:szCs w:val="24"/>
                <w:lang w:eastAsia="cs-CZ"/>
              </w:rPr>
              <w:t>087</w:t>
            </w:r>
          </w:p>
        </w:tc>
        <w:tc>
          <w:tcPr>
            <w:tcW w:w="1105" w:type="dxa"/>
            <w:tcBorders>
              <w:top w:val="single" w:sz="4" w:space="0" w:color="auto"/>
              <w:left w:val="nil"/>
              <w:bottom w:val="single" w:sz="4" w:space="0" w:color="auto"/>
              <w:right w:val="single" w:sz="4" w:space="0" w:color="auto"/>
            </w:tcBorders>
            <w:shd w:val="clear" w:color="auto" w:fill="auto"/>
            <w:noWrap/>
            <w:vAlign w:val="center"/>
            <w:hideMark/>
          </w:tcPr>
          <w:p w14:paraId="760EDB87"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125" w:type="dxa"/>
            <w:tcBorders>
              <w:top w:val="single" w:sz="4" w:space="0" w:color="auto"/>
              <w:left w:val="nil"/>
              <w:bottom w:val="single" w:sz="4" w:space="0" w:color="auto"/>
              <w:right w:val="nil"/>
            </w:tcBorders>
            <w:shd w:val="clear" w:color="auto" w:fill="auto"/>
            <w:noWrap/>
            <w:vAlign w:val="bottom"/>
            <w:hideMark/>
          </w:tcPr>
          <w:p w14:paraId="3308B950"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8</w:t>
            </w:r>
            <w:r w:rsidR="002E433F" w:rsidRPr="00F85178">
              <w:rPr>
                <w:rFonts w:eastAsia="Times New Roman"/>
                <w:szCs w:val="24"/>
                <w:lang w:eastAsia="cs-CZ"/>
              </w:rPr>
              <w:t xml:space="preserve"> </w:t>
            </w:r>
            <w:r w:rsidRPr="00F85178">
              <w:rPr>
                <w:rFonts w:eastAsia="Times New Roman"/>
                <w:szCs w:val="24"/>
                <w:lang w:eastAsia="cs-CZ"/>
              </w:rPr>
              <w:t>213</w:t>
            </w:r>
          </w:p>
        </w:tc>
        <w:tc>
          <w:tcPr>
            <w:tcW w:w="1105" w:type="dxa"/>
            <w:tcBorders>
              <w:top w:val="single" w:sz="4" w:space="0" w:color="auto"/>
              <w:left w:val="nil"/>
              <w:bottom w:val="single" w:sz="4" w:space="0" w:color="auto"/>
              <w:right w:val="nil"/>
            </w:tcBorders>
            <w:shd w:val="clear" w:color="auto" w:fill="auto"/>
            <w:noWrap/>
            <w:vAlign w:val="center"/>
            <w:hideMark/>
          </w:tcPr>
          <w:p w14:paraId="70BA01DC"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4A2744C3"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5E2F02E5"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Praha</w:t>
            </w:r>
          </w:p>
        </w:tc>
        <w:tc>
          <w:tcPr>
            <w:tcW w:w="1344" w:type="dxa"/>
            <w:tcBorders>
              <w:top w:val="nil"/>
              <w:left w:val="nil"/>
              <w:bottom w:val="single" w:sz="4" w:space="0" w:color="auto"/>
              <w:right w:val="nil"/>
            </w:tcBorders>
            <w:shd w:val="clear" w:color="auto" w:fill="auto"/>
            <w:noWrap/>
            <w:vAlign w:val="bottom"/>
            <w:hideMark/>
          </w:tcPr>
          <w:p w14:paraId="4C8EF3F1"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18</w:t>
            </w:r>
            <w:r w:rsidR="002E433F" w:rsidRPr="00F85178">
              <w:rPr>
                <w:rFonts w:eastAsia="Times New Roman"/>
                <w:szCs w:val="24"/>
                <w:lang w:eastAsia="cs-CZ"/>
              </w:rPr>
              <w:t xml:space="preserve"> </w:t>
            </w:r>
            <w:r w:rsidRPr="00F85178">
              <w:rPr>
                <w:rFonts w:eastAsia="Times New Roman"/>
                <w:szCs w:val="24"/>
                <w:lang w:eastAsia="cs-CZ"/>
              </w:rPr>
              <w:t>388</w:t>
            </w:r>
          </w:p>
        </w:tc>
        <w:tc>
          <w:tcPr>
            <w:tcW w:w="1105" w:type="dxa"/>
            <w:tcBorders>
              <w:top w:val="nil"/>
              <w:left w:val="nil"/>
              <w:bottom w:val="single" w:sz="4" w:space="0" w:color="auto"/>
              <w:right w:val="single" w:sz="4" w:space="0" w:color="auto"/>
            </w:tcBorders>
            <w:shd w:val="clear" w:color="auto" w:fill="auto"/>
            <w:noWrap/>
            <w:vAlign w:val="center"/>
            <w:hideMark/>
          </w:tcPr>
          <w:p w14:paraId="23313BD8"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1056" w:type="dxa"/>
            <w:tcBorders>
              <w:top w:val="nil"/>
              <w:left w:val="nil"/>
              <w:bottom w:val="single" w:sz="4" w:space="0" w:color="auto"/>
              <w:right w:val="nil"/>
            </w:tcBorders>
            <w:shd w:val="clear" w:color="auto" w:fill="auto"/>
            <w:noWrap/>
            <w:vAlign w:val="bottom"/>
            <w:hideMark/>
          </w:tcPr>
          <w:p w14:paraId="32D19866"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080</w:t>
            </w:r>
          </w:p>
        </w:tc>
        <w:tc>
          <w:tcPr>
            <w:tcW w:w="1105" w:type="dxa"/>
            <w:tcBorders>
              <w:top w:val="nil"/>
              <w:left w:val="nil"/>
              <w:bottom w:val="single" w:sz="4" w:space="0" w:color="auto"/>
              <w:right w:val="single" w:sz="4" w:space="0" w:color="auto"/>
            </w:tcBorders>
            <w:shd w:val="clear" w:color="auto" w:fill="auto"/>
            <w:noWrap/>
            <w:vAlign w:val="center"/>
            <w:hideMark/>
          </w:tcPr>
          <w:p w14:paraId="2DD04D1C"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125" w:type="dxa"/>
            <w:tcBorders>
              <w:top w:val="nil"/>
              <w:left w:val="nil"/>
              <w:bottom w:val="single" w:sz="4" w:space="0" w:color="auto"/>
              <w:right w:val="nil"/>
            </w:tcBorders>
            <w:shd w:val="clear" w:color="auto" w:fill="auto"/>
            <w:noWrap/>
            <w:vAlign w:val="bottom"/>
            <w:hideMark/>
          </w:tcPr>
          <w:p w14:paraId="2B2AECA9"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2</w:t>
            </w:r>
            <w:r w:rsidR="002E433F" w:rsidRPr="00F85178">
              <w:rPr>
                <w:rFonts w:eastAsia="Times New Roman"/>
                <w:szCs w:val="24"/>
                <w:lang w:eastAsia="cs-CZ"/>
              </w:rPr>
              <w:t xml:space="preserve"> </w:t>
            </w:r>
            <w:r w:rsidRPr="00F85178">
              <w:rPr>
                <w:rFonts w:eastAsia="Times New Roman"/>
                <w:szCs w:val="24"/>
                <w:lang w:eastAsia="cs-CZ"/>
              </w:rPr>
              <w:t>955</w:t>
            </w:r>
          </w:p>
        </w:tc>
        <w:tc>
          <w:tcPr>
            <w:tcW w:w="1105" w:type="dxa"/>
            <w:tcBorders>
              <w:top w:val="nil"/>
              <w:left w:val="nil"/>
              <w:bottom w:val="single" w:sz="4" w:space="0" w:color="auto"/>
              <w:right w:val="nil"/>
            </w:tcBorders>
            <w:shd w:val="clear" w:color="auto" w:fill="auto"/>
            <w:noWrap/>
            <w:vAlign w:val="center"/>
            <w:hideMark/>
          </w:tcPr>
          <w:p w14:paraId="28C5DFCB"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+0 %</w:t>
            </w:r>
          </w:p>
        </w:tc>
      </w:tr>
      <w:tr w:rsidR="00F85178" w:rsidRPr="00F85178" w14:paraId="41A23312"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5F85DAC2"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Č. Budějovice</w:t>
            </w:r>
          </w:p>
        </w:tc>
        <w:tc>
          <w:tcPr>
            <w:tcW w:w="1344" w:type="dxa"/>
            <w:tcBorders>
              <w:top w:val="nil"/>
              <w:left w:val="nil"/>
              <w:bottom w:val="single" w:sz="4" w:space="0" w:color="auto"/>
              <w:right w:val="nil"/>
            </w:tcBorders>
            <w:shd w:val="clear" w:color="auto" w:fill="auto"/>
            <w:noWrap/>
            <w:vAlign w:val="bottom"/>
            <w:hideMark/>
          </w:tcPr>
          <w:p w14:paraId="2D26303A"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8</w:t>
            </w:r>
            <w:r w:rsidR="002E433F" w:rsidRPr="00F85178">
              <w:rPr>
                <w:rFonts w:eastAsia="Times New Roman"/>
                <w:szCs w:val="24"/>
                <w:lang w:eastAsia="cs-CZ"/>
              </w:rPr>
              <w:t xml:space="preserve"> </w:t>
            </w:r>
            <w:r w:rsidRPr="00F85178">
              <w:rPr>
                <w:rFonts w:eastAsia="Times New Roman"/>
                <w:szCs w:val="24"/>
                <w:lang w:eastAsia="cs-CZ"/>
              </w:rPr>
              <w:t>468</w:t>
            </w:r>
          </w:p>
        </w:tc>
        <w:tc>
          <w:tcPr>
            <w:tcW w:w="1105" w:type="dxa"/>
            <w:tcBorders>
              <w:top w:val="nil"/>
              <w:left w:val="nil"/>
              <w:bottom w:val="single" w:sz="4" w:space="0" w:color="auto"/>
              <w:right w:val="single" w:sz="4" w:space="0" w:color="auto"/>
            </w:tcBorders>
            <w:shd w:val="clear" w:color="auto" w:fill="auto"/>
            <w:noWrap/>
            <w:vAlign w:val="center"/>
            <w:hideMark/>
          </w:tcPr>
          <w:p w14:paraId="2D14DC31"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56" w:type="dxa"/>
            <w:tcBorders>
              <w:top w:val="nil"/>
              <w:left w:val="nil"/>
              <w:bottom w:val="single" w:sz="4" w:space="0" w:color="auto"/>
              <w:right w:val="nil"/>
            </w:tcBorders>
            <w:shd w:val="clear" w:color="auto" w:fill="auto"/>
            <w:noWrap/>
            <w:vAlign w:val="bottom"/>
            <w:hideMark/>
          </w:tcPr>
          <w:p w14:paraId="14500358"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694</w:t>
            </w:r>
          </w:p>
        </w:tc>
        <w:tc>
          <w:tcPr>
            <w:tcW w:w="1105" w:type="dxa"/>
            <w:tcBorders>
              <w:top w:val="nil"/>
              <w:left w:val="nil"/>
              <w:bottom w:val="single" w:sz="4" w:space="0" w:color="auto"/>
              <w:right w:val="single" w:sz="4" w:space="0" w:color="auto"/>
            </w:tcBorders>
            <w:shd w:val="clear" w:color="auto" w:fill="auto"/>
            <w:noWrap/>
            <w:vAlign w:val="center"/>
            <w:hideMark/>
          </w:tcPr>
          <w:p w14:paraId="5C9CFBA4"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125" w:type="dxa"/>
            <w:tcBorders>
              <w:top w:val="nil"/>
              <w:left w:val="nil"/>
              <w:bottom w:val="single" w:sz="4" w:space="0" w:color="auto"/>
              <w:right w:val="nil"/>
            </w:tcBorders>
            <w:shd w:val="clear" w:color="auto" w:fill="auto"/>
            <w:noWrap/>
            <w:vAlign w:val="bottom"/>
            <w:hideMark/>
          </w:tcPr>
          <w:p w14:paraId="0D6EB705"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375</w:t>
            </w:r>
          </w:p>
        </w:tc>
        <w:tc>
          <w:tcPr>
            <w:tcW w:w="1105" w:type="dxa"/>
            <w:tcBorders>
              <w:top w:val="nil"/>
              <w:left w:val="nil"/>
              <w:bottom w:val="single" w:sz="4" w:space="0" w:color="auto"/>
              <w:right w:val="nil"/>
            </w:tcBorders>
            <w:shd w:val="clear" w:color="auto" w:fill="auto"/>
            <w:noWrap/>
            <w:vAlign w:val="center"/>
            <w:hideMark/>
          </w:tcPr>
          <w:p w14:paraId="6B6FF8A1"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+20 %</w:t>
            </w:r>
          </w:p>
        </w:tc>
      </w:tr>
      <w:tr w:rsidR="00F85178" w:rsidRPr="00F85178" w14:paraId="163770E8"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068E19AD"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Plzeň</w:t>
            </w:r>
          </w:p>
        </w:tc>
        <w:tc>
          <w:tcPr>
            <w:tcW w:w="1344" w:type="dxa"/>
            <w:tcBorders>
              <w:top w:val="nil"/>
              <w:left w:val="nil"/>
              <w:bottom w:val="single" w:sz="4" w:space="0" w:color="auto"/>
              <w:right w:val="nil"/>
            </w:tcBorders>
            <w:shd w:val="clear" w:color="auto" w:fill="auto"/>
            <w:noWrap/>
            <w:vAlign w:val="bottom"/>
            <w:hideMark/>
          </w:tcPr>
          <w:p w14:paraId="147BB70D"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16</w:t>
            </w:r>
            <w:r w:rsidR="002E433F" w:rsidRPr="00F85178">
              <w:rPr>
                <w:rFonts w:eastAsia="Times New Roman"/>
                <w:szCs w:val="24"/>
                <w:lang w:eastAsia="cs-CZ"/>
              </w:rPr>
              <w:t xml:space="preserve"> </w:t>
            </w:r>
            <w:r w:rsidRPr="00F85178">
              <w:rPr>
                <w:rFonts w:eastAsia="Times New Roman"/>
                <w:szCs w:val="24"/>
                <w:lang w:eastAsia="cs-CZ"/>
              </w:rPr>
              <w:t>321</w:t>
            </w:r>
          </w:p>
        </w:tc>
        <w:tc>
          <w:tcPr>
            <w:tcW w:w="1105" w:type="dxa"/>
            <w:tcBorders>
              <w:top w:val="nil"/>
              <w:left w:val="nil"/>
              <w:bottom w:val="single" w:sz="4" w:space="0" w:color="auto"/>
              <w:right w:val="single" w:sz="4" w:space="0" w:color="auto"/>
            </w:tcBorders>
            <w:shd w:val="clear" w:color="auto" w:fill="auto"/>
            <w:noWrap/>
            <w:vAlign w:val="center"/>
            <w:hideMark/>
          </w:tcPr>
          <w:p w14:paraId="692A1FD9"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1056" w:type="dxa"/>
            <w:tcBorders>
              <w:top w:val="nil"/>
              <w:left w:val="nil"/>
              <w:bottom w:val="single" w:sz="4" w:space="0" w:color="auto"/>
              <w:right w:val="nil"/>
            </w:tcBorders>
            <w:shd w:val="clear" w:color="auto" w:fill="auto"/>
            <w:noWrap/>
            <w:vAlign w:val="bottom"/>
            <w:hideMark/>
          </w:tcPr>
          <w:p w14:paraId="1014B588"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649</w:t>
            </w:r>
          </w:p>
        </w:tc>
        <w:tc>
          <w:tcPr>
            <w:tcW w:w="1105" w:type="dxa"/>
            <w:tcBorders>
              <w:top w:val="nil"/>
              <w:left w:val="nil"/>
              <w:bottom w:val="single" w:sz="4" w:space="0" w:color="auto"/>
              <w:right w:val="single" w:sz="4" w:space="0" w:color="auto"/>
            </w:tcBorders>
            <w:shd w:val="clear" w:color="auto" w:fill="auto"/>
            <w:noWrap/>
            <w:vAlign w:val="center"/>
            <w:hideMark/>
          </w:tcPr>
          <w:p w14:paraId="0584D2E4"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125" w:type="dxa"/>
            <w:tcBorders>
              <w:top w:val="nil"/>
              <w:left w:val="nil"/>
              <w:bottom w:val="single" w:sz="4" w:space="0" w:color="auto"/>
              <w:right w:val="nil"/>
            </w:tcBorders>
            <w:shd w:val="clear" w:color="auto" w:fill="auto"/>
            <w:noWrap/>
            <w:vAlign w:val="bottom"/>
            <w:hideMark/>
          </w:tcPr>
          <w:p w14:paraId="539B15F2"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2</w:t>
            </w:r>
            <w:r w:rsidR="002E433F" w:rsidRPr="00F85178">
              <w:rPr>
                <w:rFonts w:eastAsia="Times New Roman"/>
                <w:szCs w:val="24"/>
                <w:lang w:eastAsia="cs-CZ"/>
              </w:rPr>
              <w:t xml:space="preserve"> </w:t>
            </w:r>
            <w:r w:rsidRPr="00F85178">
              <w:rPr>
                <w:rFonts w:eastAsia="Times New Roman"/>
                <w:szCs w:val="24"/>
                <w:lang w:eastAsia="cs-CZ"/>
              </w:rPr>
              <w:t>773</w:t>
            </w:r>
          </w:p>
        </w:tc>
        <w:tc>
          <w:tcPr>
            <w:tcW w:w="1105" w:type="dxa"/>
            <w:tcBorders>
              <w:top w:val="nil"/>
              <w:left w:val="nil"/>
              <w:bottom w:val="single" w:sz="4" w:space="0" w:color="auto"/>
              <w:right w:val="nil"/>
            </w:tcBorders>
            <w:shd w:val="clear" w:color="auto" w:fill="auto"/>
            <w:noWrap/>
            <w:vAlign w:val="center"/>
            <w:hideMark/>
          </w:tcPr>
          <w:p w14:paraId="7FA5C9B0"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+16 %</w:t>
            </w:r>
          </w:p>
        </w:tc>
      </w:tr>
      <w:tr w:rsidR="00F85178" w:rsidRPr="00F85178" w14:paraId="215585D8"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67F33372"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Ústí n. Labem</w:t>
            </w:r>
          </w:p>
        </w:tc>
        <w:tc>
          <w:tcPr>
            <w:tcW w:w="1344" w:type="dxa"/>
            <w:tcBorders>
              <w:top w:val="nil"/>
              <w:left w:val="nil"/>
              <w:bottom w:val="single" w:sz="4" w:space="0" w:color="auto"/>
              <w:right w:val="nil"/>
            </w:tcBorders>
            <w:shd w:val="clear" w:color="auto" w:fill="auto"/>
            <w:noWrap/>
            <w:vAlign w:val="bottom"/>
            <w:hideMark/>
          </w:tcPr>
          <w:p w14:paraId="78097AF8"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30</w:t>
            </w:r>
            <w:r w:rsidR="002E433F" w:rsidRPr="00F85178">
              <w:rPr>
                <w:rFonts w:eastAsia="Times New Roman"/>
                <w:szCs w:val="24"/>
                <w:lang w:eastAsia="cs-CZ"/>
              </w:rPr>
              <w:t xml:space="preserve"> </w:t>
            </w:r>
            <w:r w:rsidRPr="00F85178">
              <w:rPr>
                <w:rFonts w:eastAsia="Times New Roman"/>
                <w:szCs w:val="24"/>
                <w:lang w:eastAsia="cs-CZ"/>
              </w:rPr>
              <w:t>033</w:t>
            </w:r>
          </w:p>
        </w:tc>
        <w:tc>
          <w:tcPr>
            <w:tcW w:w="1105" w:type="dxa"/>
            <w:tcBorders>
              <w:top w:val="nil"/>
              <w:left w:val="nil"/>
              <w:bottom w:val="single" w:sz="4" w:space="0" w:color="auto"/>
              <w:right w:val="single" w:sz="4" w:space="0" w:color="auto"/>
            </w:tcBorders>
            <w:shd w:val="clear" w:color="auto" w:fill="auto"/>
            <w:noWrap/>
            <w:vAlign w:val="center"/>
            <w:hideMark/>
          </w:tcPr>
          <w:p w14:paraId="1EBF8524"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+19 %</w:t>
            </w:r>
          </w:p>
        </w:tc>
        <w:tc>
          <w:tcPr>
            <w:tcW w:w="1056" w:type="dxa"/>
            <w:tcBorders>
              <w:top w:val="nil"/>
              <w:left w:val="nil"/>
              <w:bottom w:val="single" w:sz="4" w:space="0" w:color="auto"/>
              <w:right w:val="nil"/>
            </w:tcBorders>
            <w:shd w:val="clear" w:color="auto" w:fill="auto"/>
            <w:noWrap/>
            <w:vAlign w:val="bottom"/>
            <w:hideMark/>
          </w:tcPr>
          <w:p w14:paraId="34637219"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334</w:t>
            </w:r>
          </w:p>
        </w:tc>
        <w:tc>
          <w:tcPr>
            <w:tcW w:w="1105" w:type="dxa"/>
            <w:tcBorders>
              <w:top w:val="nil"/>
              <w:left w:val="nil"/>
              <w:bottom w:val="single" w:sz="4" w:space="0" w:color="auto"/>
              <w:right w:val="single" w:sz="4" w:space="0" w:color="auto"/>
            </w:tcBorders>
            <w:shd w:val="clear" w:color="auto" w:fill="auto"/>
            <w:noWrap/>
            <w:vAlign w:val="center"/>
            <w:hideMark/>
          </w:tcPr>
          <w:p w14:paraId="661CEF83"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125" w:type="dxa"/>
            <w:tcBorders>
              <w:top w:val="nil"/>
              <w:left w:val="nil"/>
              <w:bottom w:val="single" w:sz="4" w:space="0" w:color="auto"/>
              <w:right w:val="nil"/>
            </w:tcBorders>
            <w:shd w:val="clear" w:color="auto" w:fill="auto"/>
            <w:noWrap/>
            <w:vAlign w:val="bottom"/>
            <w:hideMark/>
          </w:tcPr>
          <w:p w14:paraId="7F1D6AE6"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165</w:t>
            </w:r>
          </w:p>
        </w:tc>
        <w:tc>
          <w:tcPr>
            <w:tcW w:w="1105" w:type="dxa"/>
            <w:tcBorders>
              <w:top w:val="nil"/>
              <w:left w:val="nil"/>
              <w:bottom w:val="single" w:sz="4" w:space="0" w:color="auto"/>
              <w:right w:val="nil"/>
            </w:tcBorders>
            <w:shd w:val="clear" w:color="auto" w:fill="auto"/>
            <w:noWrap/>
            <w:vAlign w:val="center"/>
            <w:hideMark/>
          </w:tcPr>
          <w:p w14:paraId="269AF27E"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-13 %</w:t>
            </w:r>
          </w:p>
        </w:tc>
      </w:tr>
      <w:tr w:rsidR="00F85178" w:rsidRPr="00F85178" w14:paraId="655CC9E2"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68FC808A"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Hr. Králové</w:t>
            </w:r>
          </w:p>
        </w:tc>
        <w:tc>
          <w:tcPr>
            <w:tcW w:w="1344" w:type="dxa"/>
            <w:tcBorders>
              <w:top w:val="nil"/>
              <w:left w:val="nil"/>
              <w:bottom w:val="single" w:sz="4" w:space="0" w:color="auto"/>
              <w:right w:val="nil"/>
            </w:tcBorders>
            <w:shd w:val="clear" w:color="auto" w:fill="auto"/>
            <w:noWrap/>
            <w:vAlign w:val="bottom"/>
            <w:hideMark/>
          </w:tcPr>
          <w:p w14:paraId="39DC1C81"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12</w:t>
            </w:r>
            <w:r w:rsidR="002E433F" w:rsidRPr="00F85178">
              <w:rPr>
                <w:rFonts w:eastAsia="Times New Roman"/>
                <w:szCs w:val="24"/>
                <w:lang w:eastAsia="cs-CZ"/>
              </w:rPr>
              <w:t xml:space="preserve"> </w:t>
            </w:r>
            <w:r w:rsidRPr="00F85178">
              <w:rPr>
                <w:rFonts w:eastAsia="Times New Roman"/>
                <w:szCs w:val="24"/>
                <w:lang w:eastAsia="cs-CZ"/>
              </w:rPr>
              <w:t>509</w:t>
            </w:r>
          </w:p>
        </w:tc>
        <w:tc>
          <w:tcPr>
            <w:tcW w:w="1105" w:type="dxa"/>
            <w:tcBorders>
              <w:top w:val="nil"/>
              <w:left w:val="nil"/>
              <w:bottom w:val="single" w:sz="4" w:space="0" w:color="auto"/>
              <w:right w:val="single" w:sz="4" w:space="0" w:color="auto"/>
            </w:tcBorders>
            <w:shd w:val="clear" w:color="auto" w:fill="auto"/>
            <w:noWrap/>
            <w:vAlign w:val="center"/>
            <w:hideMark/>
          </w:tcPr>
          <w:p w14:paraId="4C3E49B1"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056" w:type="dxa"/>
            <w:tcBorders>
              <w:top w:val="nil"/>
              <w:left w:val="nil"/>
              <w:bottom w:val="single" w:sz="4" w:space="0" w:color="auto"/>
              <w:right w:val="nil"/>
            </w:tcBorders>
            <w:shd w:val="clear" w:color="auto" w:fill="auto"/>
            <w:noWrap/>
            <w:vAlign w:val="bottom"/>
            <w:hideMark/>
          </w:tcPr>
          <w:p w14:paraId="0C9DFA6C"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122</w:t>
            </w:r>
          </w:p>
        </w:tc>
        <w:tc>
          <w:tcPr>
            <w:tcW w:w="1105" w:type="dxa"/>
            <w:tcBorders>
              <w:top w:val="nil"/>
              <w:left w:val="nil"/>
              <w:bottom w:val="single" w:sz="4" w:space="0" w:color="auto"/>
              <w:right w:val="single" w:sz="4" w:space="0" w:color="auto"/>
            </w:tcBorders>
            <w:shd w:val="clear" w:color="auto" w:fill="auto"/>
            <w:noWrap/>
            <w:vAlign w:val="center"/>
            <w:hideMark/>
          </w:tcPr>
          <w:p w14:paraId="239CC306"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125" w:type="dxa"/>
            <w:tcBorders>
              <w:top w:val="nil"/>
              <w:left w:val="nil"/>
              <w:bottom w:val="single" w:sz="4" w:space="0" w:color="auto"/>
              <w:right w:val="nil"/>
            </w:tcBorders>
            <w:shd w:val="clear" w:color="auto" w:fill="auto"/>
            <w:noWrap/>
            <w:vAlign w:val="bottom"/>
            <w:hideMark/>
          </w:tcPr>
          <w:p w14:paraId="4FF28316"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533</w:t>
            </w:r>
          </w:p>
        </w:tc>
        <w:tc>
          <w:tcPr>
            <w:tcW w:w="1105" w:type="dxa"/>
            <w:tcBorders>
              <w:top w:val="nil"/>
              <w:left w:val="nil"/>
              <w:bottom w:val="single" w:sz="4" w:space="0" w:color="auto"/>
              <w:right w:val="nil"/>
            </w:tcBorders>
            <w:shd w:val="clear" w:color="auto" w:fill="auto"/>
            <w:noWrap/>
            <w:vAlign w:val="center"/>
            <w:hideMark/>
          </w:tcPr>
          <w:p w14:paraId="259BCEE4"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6F1A7F40" w14:textId="77777777" w:rsidTr="00DF3305">
        <w:trPr>
          <w:trHeight w:val="315"/>
        </w:trPr>
        <w:tc>
          <w:tcPr>
            <w:tcW w:w="2020" w:type="dxa"/>
            <w:tcBorders>
              <w:top w:val="nil"/>
              <w:left w:val="nil"/>
              <w:bottom w:val="single" w:sz="4" w:space="0" w:color="auto"/>
              <w:right w:val="nil"/>
            </w:tcBorders>
            <w:shd w:val="clear" w:color="auto" w:fill="auto"/>
            <w:noWrap/>
            <w:vAlign w:val="bottom"/>
            <w:hideMark/>
          </w:tcPr>
          <w:p w14:paraId="33B9C0C3"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Brno</w:t>
            </w:r>
          </w:p>
        </w:tc>
        <w:tc>
          <w:tcPr>
            <w:tcW w:w="1344" w:type="dxa"/>
            <w:tcBorders>
              <w:top w:val="nil"/>
              <w:left w:val="nil"/>
              <w:bottom w:val="single" w:sz="4" w:space="0" w:color="auto"/>
              <w:right w:val="nil"/>
            </w:tcBorders>
            <w:shd w:val="clear" w:color="auto" w:fill="auto"/>
            <w:noWrap/>
            <w:vAlign w:val="bottom"/>
            <w:hideMark/>
          </w:tcPr>
          <w:p w14:paraId="7824D4A0"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21</w:t>
            </w:r>
            <w:r w:rsidR="002E433F" w:rsidRPr="00F85178">
              <w:rPr>
                <w:rFonts w:eastAsia="Times New Roman"/>
                <w:szCs w:val="24"/>
                <w:lang w:eastAsia="cs-CZ"/>
              </w:rPr>
              <w:t xml:space="preserve"> </w:t>
            </w:r>
            <w:r w:rsidRPr="00F85178">
              <w:rPr>
                <w:rFonts w:eastAsia="Times New Roman"/>
                <w:szCs w:val="24"/>
                <w:lang w:eastAsia="cs-CZ"/>
              </w:rPr>
              <w:t>272</w:t>
            </w:r>
          </w:p>
        </w:tc>
        <w:tc>
          <w:tcPr>
            <w:tcW w:w="1105" w:type="dxa"/>
            <w:tcBorders>
              <w:top w:val="nil"/>
              <w:left w:val="nil"/>
              <w:bottom w:val="single" w:sz="4" w:space="0" w:color="auto"/>
              <w:right w:val="single" w:sz="4" w:space="0" w:color="auto"/>
            </w:tcBorders>
            <w:shd w:val="clear" w:color="auto" w:fill="auto"/>
            <w:noWrap/>
            <w:vAlign w:val="center"/>
            <w:hideMark/>
          </w:tcPr>
          <w:p w14:paraId="37FDEB85"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056" w:type="dxa"/>
            <w:tcBorders>
              <w:top w:val="nil"/>
              <w:left w:val="nil"/>
              <w:bottom w:val="single" w:sz="4" w:space="0" w:color="auto"/>
              <w:right w:val="nil"/>
            </w:tcBorders>
            <w:shd w:val="clear" w:color="auto" w:fill="auto"/>
            <w:noWrap/>
            <w:vAlign w:val="bottom"/>
            <w:hideMark/>
          </w:tcPr>
          <w:p w14:paraId="23412EA6"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730</w:t>
            </w:r>
          </w:p>
        </w:tc>
        <w:tc>
          <w:tcPr>
            <w:tcW w:w="1105" w:type="dxa"/>
            <w:tcBorders>
              <w:top w:val="nil"/>
              <w:left w:val="nil"/>
              <w:bottom w:val="single" w:sz="4" w:space="0" w:color="auto"/>
              <w:right w:val="single" w:sz="4" w:space="0" w:color="auto"/>
            </w:tcBorders>
            <w:shd w:val="clear" w:color="auto" w:fill="auto"/>
            <w:noWrap/>
            <w:vAlign w:val="center"/>
            <w:hideMark/>
          </w:tcPr>
          <w:p w14:paraId="16A76E46"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125" w:type="dxa"/>
            <w:tcBorders>
              <w:top w:val="nil"/>
              <w:left w:val="nil"/>
              <w:bottom w:val="single" w:sz="4" w:space="0" w:color="auto"/>
              <w:right w:val="nil"/>
            </w:tcBorders>
            <w:shd w:val="clear" w:color="auto" w:fill="auto"/>
            <w:noWrap/>
            <w:vAlign w:val="bottom"/>
            <w:hideMark/>
          </w:tcPr>
          <w:p w14:paraId="303E3059"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2</w:t>
            </w:r>
            <w:r w:rsidR="002E433F" w:rsidRPr="00F85178">
              <w:rPr>
                <w:rFonts w:eastAsia="Times New Roman"/>
                <w:szCs w:val="24"/>
                <w:lang w:eastAsia="cs-CZ"/>
              </w:rPr>
              <w:t xml:space="preserve"> </w:t>
            </w:r>
            <w:r w:rsidRPr="00F85178">
              <w:rPr>
                <w:rFonts w:eastAsia="Times New Roman"/>
                <w:szCs w:val="24"/>
                <w:lang w:eastAsia="cs-CZ"/>
              </w:rPr>
              <w:t>051</w:t>
            </w:r>
          </w:p>
        </w:tc>
        <w:tc>
          <w:tcPr>
            <w:tcW w:w="1105" w:type="dxa"/>
            <w:tcBorders>
              <w:top w:val="nil"/>
              <w:left w:val="nil"/>
              <w:bottom w:val="single" w:sz="4" w:space="0" w:color="auto"/>
              <w:right w:val="nil"/>
            </w:tcBorders>
            <w:shd w:val="clear" w:color="auto" w:fill="auto"/>
            <w:noWrap/>
            <w:vAlign w:val="center"/>
            <w:hideMark/>
          </w:tcPr>
          <w:p w14:paraId="5CD193A8"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583EC713" w14:textId="77777777" w:rsidTr="00DF3305">
        <w:trPr>
          <w:trHeight w:val="330"/>
        </w:trPr>
        <w:tc>
          <w:tcPr>
            <w:tcW w:w="2020" w:type="dxa"/>
            <w:tcBorders>
              <w:top w:val="nil"/>
              <w:left w:val="nil"/>
              <w:bottom w:val="double" w:sz="6" w:space="0" w:color="auto"/>
              <w:right w:val="nil"/>
            </w:tcBorders>
            <w:shd w:val="clear" w:color="auto" w:fill="auto"/>
            <w:noWrap/>
            <w:vAlign w:val="bottom"/>
            <w:hideMark/>
          </w:tcPr>
          <w:p w14:paraId="6690B7AE" w14:textId="77777777" w:rsidR="00DF3305" w:rsidRPr="00F85178" w:rsidRDefault="00DF3305" w:rsidP="00DF3305">
            <w:pPr>
              <w:spacing w:line="240" w:lineRule="auto"/>
              <w:jc w:val="left"/>
              <w:rPr>
                <w:rFonts w:eastAsia="Times New Roman"/>
                <w:szCs w:val="24"/>
                <w:lang w:eastAsia="cs-CZ"/>
              </w:rPr>
            </w:pPr>
            <w:r w:rsidRPr="00F85178">
              <w:rPr>
                <w:rFonts w:eastAsia="Times New Roman"/>
                <w:szCs w:val="24"/>
                <w:lang w:eastAsia="cs-CZ"/>
              </w:rPr>
              <w:t>KS Ostrava</w:t>
            </w:r>
          </w:p>
        </w:tc>
        <w:tc>
          <w:tcPr>
            <w:tcW w:w="1344" w:type="dxa"/>
            <w:tcBorders>
              <w:top w:val="nil"/>
              <w:left w:val="nil"/>
              <w:bottom w:val="double" w:sz="6" w:space="0" w:color="auto"/>
              <w:right w:val="nil"/>
            </w:tcBorders>
            <w:shd w:val="clear" w:color="auto" w:fill="auto"/>
            <w:noWrap/>
            <w:vAlign w:val="bottom"/>
            <w:hideMark/>
          </w:tcPr>
          <w:p w14:paraId="58E36ABF"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25</w:t>
            </w:r>
            <w:r w:rsidR="002E433F" w:rsidRPr="00F85178">
              <w:rPr>
                <w:rFonts w:eastAsia="Times New Roman"/>
                <w:szCs w:val="24"/>
                <w:lang w:eastAsia="cs-CZ"/>
              </w:rPr>
              <w:t xml:space="preserve"> </w:t>
            </w:r>
            <w:r w:rsidRPr="00F85178">
              <w:rPr>
                <w:rFonts w:eastAsia="Times New Roman"/>
                <w:szCs w:val="24"/>
                <w:lang w:eastAsia="cs-CZ"/>
              </w:rPr>
              <w:t>370</w:t>
            </w:r>
          </w:p>
        </w:tc>
        <w:tc>
          <w:tcPr>
            <w:tcW w:w="1105" w:type="dxa"/>
            <w:tcBorders>
              <w:top w:val="nil"/>
              <w:left w:val="nil"/>
              <w:bottom w:val="double" w:sz="6" w:space="0" w:color="auto"/>
              <w:right w:val="single" w:sz="4" w:space="0" w:color="auto"/>
            </w:tcBorders>
            <w:shd w:val="clear" w:color="auto" w:fill="auto"/>
            <w:noWrap/>
            <w:vAlign w:val="center"/>
            <w:hideMark/>
          </w:tcPr>
          <w:p w14:paraId="278307BE"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056" w:type="dxa"/>
            <w:tcBorders>
              <w:top w:val="nil"/>
              <w:left w:val="nil"/>
              <w:bottom w:val="double" w:sz="6" w:space="0" w:color="auto"/>
              <w:right w:val="nil"/>
            </w:tcBorders>
            <w:shd w:val="clear" w:color="auto" w:fill="auto"/>
            <w:noWrap/>
            <w:vAlign w:val="bottom"/>
            <w:hideMark/>
          </w:tcPr>
          <w:p w14:paraId="68CCBC24"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1</w:t>
            </w:r>
            <w:r w:rsidR="002E433F" w:rsidRPr="00F85178">
              <w:rPr>
                <w:rFonts w:eastAsia="Times New Roman"/>
                <w:szCs w:val="24"/>
                <w:lang w:eastAsia="cs-CZ"/>
              </w:rPr>
              <w:t xml:space="preserve"> </w:t>
            </w:r>
            <w:r w:rsidRPr="00F85178">
              <w:rPr>
                <w:rFonts w:eastAsia="Times New Roman"/>
                <w:szCs w:val="24"/>
                <w:lang w:eastAsia="cs-CZ"/>
              </w:rPr>
              <w:t>765</w:t>
            </w:r>
          </w:p>
        </w:tc>
        <w:tc>
          <w:tcPr>
            <w:tcW w:w="1105" w:type="dxa"/>
            <w:tcBorders>
              <w:top w:val="nil"/>
              <w:left w:val="nil"/>
              <w:bottom w:val="double" w:sz="6" w:space="0" w:color="auto"/>
              <w:right w:val="single" w:sz="4" w:space="0" w:color="auto"/>
            </w:tcBorders>
            <w:shd w:val="clear" w:color="auto" w:fill="auto"/>
            <w:noWrap/>
            <w:vAlign w:val="center"/>
            <w:hideMark/>
          </w:tcPr>
          <w:p w14:paraId="115AB328"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125" w:type="dxa"/>
            <w:tcBorders>
              <w:top w:val="nil"/>
              <w:left w:val="nil"/>
              <w:bottom w:val="double" w:sz="6" w:space="0" w:color="auto"/>
              <w:right w:val="nil"/>
            </w:tcBorders>
            <w:shd w:val="clear" w:color="auto" w:fill="auto"/>
            <w:noWrap/>
            <w:vAlign w:val="bottom"/>
            <w:hideMark/>
          </w:tcPr>
          <w:p w14:paraId="5F97C598" w14:textId="77777777" w:rsidR="00DF3305" w:rsidRPr="00F85178" w:rsidRDefault="00DF3305" w:rsidP="00DF3305">
            <w:pPr>
              <w:spacing w:line="240" w:lineRule="auto"/>
              <w:jc w:val="center"/>
              <w:rPr>
                <w:rFonts w:eastAsia="Times New Roman"/>
                <w:szCs w:val="24"/>
                <w:lang w:eastAsia="cs-CZ"/>
              </w:rPr>
            </w:pPr>
            <w:r w:rsidRPr="00F85178">
              <w:rPr>
                <w:rFonts w:eastAsia="Times New Roman"/>
                <w:szCs w:val="24"/>
                <w:lang w:eastAsia="cs-CZ"/>
              </w:rPr>
              <w:t>3</w:t>
            </w:r>
            <w:r w:rsidR="002E433F" w:rsidRPr="00F85178">
              <w:rPr>
                <w:rFonts w:eastAsia="Times New Roman"/>
                <w:szCs w:val="24"/>
                <w:lang w:eastAsia="cs-CZ"/>
              </w:rPr>
              <w:t xml:space="preserve"> </w:t>
            </w:r>
            <w:r w:rsidRPr="00F85178">
              <w:rPr>
                <w:rFonts w:eastAsia="Times New Roman"/>
                <w:szCs w:val="24"/>
                <w:lang w:eastAsia="cs-CZ"/>
              </w:rPr>
              <w:t>936</w:t>
            </w:r>
          </w:p>
        </w:tc>
        <w:tc>
          <w:tcPr>
            <w:tcW w:w="1105" w:type="dxa"/>
            <w:tcBorders>
              <w:top w:val="nil"/>
              <w:left w:val="nil"/>
              <w:bottom w:val="double" w:sz="6" w:space="0" w:color="auto"/>
              <w:right w:val="nil"/>
            </w:tcBorders>
            <w:shd w:val="clear" w:color="auto" w:fill="auto"/>
            <w:noWrap/>
            <w:vAlign w:val="center"/>
            <w:hideMark/>
          </w:tcPr>
          <w:p w14:paraId="5C843DAC" w14:textId="77777777" w:rsidR="00DF3305" w:rsidRPr="00F85178" w:rsidRDefault="00DF3305" w:rsidP="00DF3305">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DF3305" w:rsidRPr="00F85178" w14:paraId="5FC3BE98" w14:textId="77777777" w:rsidTr="00DF3305">
        <w:trPr>
          <w:trHeight w:val="345"/>
        </w:trPr>
        <w:tc>
          <w:tcPr>
            <w:tcW w:w="2020" w:type="dxa"/>
            <w:tcBorders>
              <w:top w:val="nil"/>
              <w:left w:val="nil"/>
              <w:bottom w:val="double" w:sz="6" w:space="0" w:color="auto"/>
              <w:right w:val="nil"/>
            </w:tcBorders>
            <w:shd w:val="clear" w:color="auto" w:fill="auto"/>
            <w:noWrap/>
            <w:vAlign w:val="bottom"/>
            <w:hideMark/>
          </w:tcPr>
          <w:p w14:paraId="7B680AB3" w14:textId="77777777" w:rsidR="00DF3305" w:rsidRPr="00F85178" w:rsidRDefault="00DF3305" w:rsidP="00DF3305">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344" w:type="dxa"/>
            <w:tcBorders>
              <w:top w:val="nil"/>
              <w:left w:val="nil"/>
              <w:bottom w:val="double" w:sz="6" w:space="0" w:color="auto"/>
              <w:right w:val="nil"/>
            </w:tcBorders>
            <w:shd w:val="clear" w:color="auto" w:fill="auto"/>
            <w:noWrap/>
            <w:vAlign w:val="bottom"/>
            <w:hideMark/>
          </w:tcPr>
          <w:p w14:paraId="616F7D52"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165</w:t>
            </w:r>
            <w:r w:rsidR="002E433F" w:rsidRPr="00F85178">
              <w:rPr>
                <w:rFonts w:eastAsia="Times New Roman"/>
                <w:b/>
                <w:bCs/>
                <w:szCs w:val="24"/>
                <w:lang w:eastAsia="cs-CZ"/>
              </w:rPr>
              <w:t xml:space="preserve"> </w:t>
            </w:r>
            <w:r w:rsidRPr="00F85178">
              <w:rPr>
                <w:rFonts w:eastAsia="Times New Roman"/>
                <w:b/>
                <w:bCs/>
                <w:szCs w:val="24"/>
                <w:lang w:eastAsia="cs-CZ"/>
              </w:rPr>
              <w:t>656</w:t>
            </w:r>
          </w:p>
        </w:tc>
        <w:tc>
          <w:tcPr>
            <w:tcW w:w="1105" w:type="dxa"/>
            <w:tcBorders>
              <w:top w:val="nil"/>
              <w:left w:val="nil"/>
              <w:bottom w:val="double" w:sz="6" w:space="0" w:color="auto"/>
              <w:right w:val="single" w:sz="4" w:space="0" w:color="auto"/>
            </w:tcBorders>
            <w:shd w:val="clear" w:color="auto" w:fill="auto"/>
            <w:noWrap/>
            <w:vAlign w:val="center"/>
            <w:hideMark/>
          </w:tcPr>
          <w:p w14:paraId="0D279C37" w14:textId="77777777" w:rsidR="00DF3305" w:rsidRPr="00F85178" w:rsidRDefault="00DF3305" w:rsidP="00DF3305">
            <w:pPr>
              <w:spacing w:line="240" w:lineRule="auto"/>
              <w:jc w:val="center"/>
              <w:rPr>
                <w:rFonts w:eastAsia="Times New Roman"/>
                <w:b/>
                <w:bCs/>
                <w:sz w:val="20"/>
                <w:szCs w:val="20"/>
                <w:lang w:eastAsia="cs-CZ"/>
              </w:rPr>
            </w:pPr>
            <w:r w:rsidRPr="00F85178">
              <w:rPr>
                <w:rFonts w:eastAsia="Times New Roman"/>
                <w:b/>
                <w:bCs/>
                <w:sz w:val="20"/>
                <w:szCs w:val="20"/>
                <w:lang w:eastAsia="cs-CZ"/>
              </w:rPr>
              <w:t>+12 %</w:t>
            </w:r>
          </w:p>
        </w:tc>
        <w:tc>
          <w:tcPr>
            <w:tcW w:w="1056" w:type="dxa"/>
            <w:tcBorders>
              <w:top w:val="nil"/>
              <w:left w:val="nil"/>
              <w:bottom w:val="double" w:sz="6" w:space="0" w:color="auto"/>
              <w:right w:val="nil"/>
            </w:tcBorders>
            <w:shd w:val="clear" w:color="auto" w:fill="auto"/>
            <w:noWrap/>
            <w:vAlign w:val="bottom"/>
            <w:hideMark/>
          </w:tcPr>
          <w:p w14:paraId="43A0B343"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11</w:t>
            </w:r>
            <w:r w:rsidR="002E433F" w:rsidRPr="00F85178">
              <w:rPr>
                <w:rFonts w:eastAsia="Times New Roman"/>
                <w:b/>
                <w:bCs/>
                <w:szCs w:val="24"/>
                <w:lang w:eastAsia="cs-CZ"/>
              </w:rPr>
              <w:t xml:space="preserve"> </w:t>
            </w:r>
            <w:r w:rsidRPr="00F85178">
              <w:rPr>
                <w:rFonts w:eastAsia="Times New Roman"/>
                <w:b/>
                <w:bCs/>
                <w:szCs w:val="24"/>
                <w:lang w:eastAsia="cs-CZ"/>
              </w:rPr>
              <w:t>461</w:t>
            </w:r>
          </w:p>
        </w:tc>
        <w:tc>
          <w:tcPr>
            <w:tcW w:w="1105" w:type="dxa"/>
            <w:tcBorders>
              <w:top w:val="nil"/>
              <w:left w:val="nil"/>
              <w:bottom w:val="double" w:sz="6" w:space="0" w:color="auto"/>
              <w:right w:val="single" w:sz="4" w:space="0" w:color="auto"/>
            </w:tcBorders>
            <w:shd w:val="clear" w:color="auto" w:fill="auto"/>
            <w:noWrap/>
            <w:vAlign w:val="center"/>
            <w:hideMark/>
          </w:tcPr>
          <w:p w14:paraId="0709DD8C" w14:textId="77777777" w:rsidR="00DF3305" w:rsidRPr="00F85178" w:rsidRDefault="00DF3305" w:rsidP="00DF3305">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1125" w:type="dxa"/>
            <w:tcBorders>
              <w:top w:val="nil"/>
              <w:left w:val="nil"/>
              <w:bottom w:val="double" w:sz="6" w:space="0" w:color="auto"/>
              <w:right w:val="nil"/>
            </w:tcBorders>
            <w:shd w:val="clear" w:color="auto" w:fill="auto"/>
            <w:noWrap/>
            <w:vAlign w:val="bottom"/>
            <w:hideMark/>
          </w:tcPr>
          <w:p w14:paraId="2084ECEC" w14:textId="77777777" w:rsidR="00DF3305" w:rsidRPr="00F85178" w:rsidRDefault="00DF3305" w:rsidP="00DF3305">
            <w:pPr>
              <w:spacing w:line="240" w:lineRule="auto"/>
              <w:jc w:val="center"/>
              <w:rPr>
                <w:rFonts w:eastAsia="Times New Roman"/>
                <w:b/>
                <w:bCs/>
                <w:szCs w:val="24"/>
                <w:lang w:eastAsia="cs-CZ"/>
              </w:rPr>
            </w:pPr>
            <w:r w:rsidRPr="00F85178">
              <w:rPr>
                <w:rFonts w:eastAsia="Times New Roman"/>
                <w:b/>
                <w:bCs/>
                <w:szCs w:val="24"/>
                <w:lang w:eastAsia="cs-CZ"/>
              </w:rPr>
              <w:t>23</w:t>
            </w:r>
            <w:r w:rsidR="002E433F" w:rsidRPr="00F85178">
              <w:rPr>
                <w:rFonts w:eastAsia="Times New Roman"/>
                <w:b/>
                <w:bCs/>
                <w:szCs w:val="24"/>
                <w:lang w:eastAsia="cs-CZ"/>
              </w:rPr>
              <w:t xml:space="preserve"> </w:t>
            </w:r>
            <w:r w:rsidRPr="00F85178">
              <w:rPr>
                <w:rFonts w:eastAsia="Times New Roman"/>
                <w:b/>
                <w:bCs/>
                <w:szCs w:val="24"/>
                <w:lang w:eastAsia="cs-CZ"/>
              </w:rPr>
              <w:t>001</w:t>
            </w:r>
          </w:p>
        </w:tc>
        <w:tc>
          <w:tcPr>
            <w:tcW w:w="1105" w:type="dxa"/>
            <w:tcBorders>
              <w:top w:val="nil"/>
              <w:left w:val="nil"/>
              <w:bottom w:val="double" w:sz="6" w:space="0" w:color="auto"/>
              <w:right w:val="nil"/>
            </w:tcBorders>
            <w:shd w:val="clear" w:color="auto" w:fill="auto"/>
            <w:noWrap/>
            <w:vAlign w:val="center"/>
            <w:hideMark/>
          </w:tcPr>
          <w:p w14:paraId="2681E1E4" w14:textId="77777777" w:rsidR="00DF3305" w:rsidRPr="00F85178" w:rsidRDefault="00DF3305" w:rsidP="00DF3305">
            <w:pPr>
              <w:spacing w:line="240" w:lineRule="auto"/>
              <w:jc w:val="center"/>
              <w:rPr>
                <w:rFonts w:eastAsia="Times New Roman"/>
                <w:b/>
                <w:bCs/>
                <w:sz w:val="20"/>
                <w:szCs w:val="20"/>
                <w:lang w:eastAsia="cs-CZ"/>
              </w:rPr>
            </w:pPr>
            <w:r w:rsidRPr="00F85178">
              <w:rPr>
                <w:rFonts w:eastAsia="Times New Roman"/>
                <w:b/>
                <w:bCs/>
                <w:sz w:val="20"/>
                <w:szCs w:val="20"/>
                <w:lang w:eastAsia="cs-CZ"/>
              </w:rPr>
              <w:t>+7 %</w:t>
            </w:r>
          </w:p>
        </w:tc>
      </w:tr>
    </w:tbl>
    <w:p w14:paraId="7373B418" w14:textId="77777777" w:rsidR="00DF3305" w:rsidRPr="00F85178" w:rsidRDefault="00DF3305" w:rsidP="00770E8A"/>
    <w:p w14:paraId="38D0E59E" w14:textId="77777777" w:rsidR="004D154A" w:rsidRPr="00F85178" w:rsidRDefault="004D154A" w:rsidP="004D154A">
      <w:pPr>
        <w:pStyle w:val="OdstavecASR"/>
      </w:pPr>
      <w:r w:rsidRPr="00F85178">
        <w:t>Statisticky jsou sledovány tři důvody, proč je věc převedena z rejstříku EPR do rejstříku C:</w:t>
      </w:r>
    </w:p>
    <w:p w14:paraId="4105C3A0" w14:textId="77777777" w:rsidR="004D154A" w:rsidRPr="00F85178" w:rsidRDefault="004D154A" w:rsidP="004D154A">
      <w:pPr>
        <w:pStyle w:val="OdstavecASR"/>
        <w:numPr>
          <w:ilvl w:val="0"/>
          <w:numId w:val="11"/>
        </w:numPr>
      </w:pPr>
      <w:r w:rsidRPr="00F85178">
        <w:rPr>
          <w:b/>
        </w:rPr>
        <w:t>EPR zrušen soudem</w:t>
      </w:r>
      <w:r w:rsidRPr="00F85178">
        <w:t>: elektronický platební rozkaz je zrušen, protože ho nebylo možné doručit. To může mít různé důvody. Například účastník sporu se přestěhoval bez udání další adresy, účastník má hlášenou adresu bydliště na městském úřadu a dále ho není možné nijak dohledat.</w:t>
      </w:r>
    </w:p>
    <w:p w14:paraId="152EBA2D" w14:textId="77777777" w:rsidR="004D154A" w:rsidRPr="00F85178" w:rsidRDefault="004D154A" w:rsidP="004D154A">
      <w:pPr>
        <w:pStyle w:val="OdstavecASR"/>
        <w:numPr>
          <w:ilvl w:val="0"/>
          <w:numId w:val="11"/>
        </w:numPr>
      </w:pPr>
      <w:r w:rsidRPr="00F85178">
        <w:rPr>
          <w:rFonts w:eastAsia="Times New Roman"/>
          <w:b/>
          <w:bCs/>
          <w:szCs w:val="24"/>
          <w:lang w:eastAsia="cs-CZ"/>
        </w:rPr>
        <w:t xml:space="preserve">Podán odpor, který nebyl odmítnut: </w:t>
      </w:r>
      <w:r w:rsidRPr="00F85178">
        <w:rPr>
          <w:rFonts w:eastAsia="Times New Roman"/>
          <w:bCs/>
          <w:szCs w:val="24"/>
          <w:lang w:eastAsia="cs-CZ"/>
        </w:rPr>
        <w:t>byl podán odpor proti elektronickému platebnímu rozkazu. Odpor byl podán včas a oprávněnou osobou.</w:t>
      </w:r>
    </w:p>
    <w:p w14:paraId="3CA91D26" w14:textId="77777777" w:rsidR="004D154A" w:rsidRPr="00F85178" w:rsidRDefault="004D154A" w:rsidP="004D154A">
      <w:pPr>
        <w:pStyle w:val="OdstavecASR"/>
        <w:numPr>
          <w:ilvl w:val="0"/>
          <w:numId w:val="11"/>
        </w:numPr>
      </w:pPr>
      <w:r w:rsidRPr="00F85178">
        <w:rPr>
          <w:rFonts w:eastAsia="Times New Roman"/>
          <w:b/>
          <w:bCs/>
          <w:szCs w:val="24"/>
          <w:lang w:eastAsia="cs-CZ"/>
        </w:rPr>
        <w:t>Jiný důvod:</w:t>
      </w:r>
      <w:r w:rsidRPr="00F85178">
        <w:t xml:space="preserve"> zahrnuje všechny ostatní důvody pro převedení věci. Obvykle proto, že z nějakého jiného důvodu není možné EPR vydat; nejsou splněny podmínky pro jeho vydání (platební rozkaz by měl být doručen žalovanému do ciziny, žalobce uplatňuje nárok převyšující jeden milion korun českých aj.).</w:t>
      </w:r>
    </w:p>
    <w:p w14:paraId="3ED01B9D" w14:textId="77777777" w:rsidR="004D154A" w:rsidRPr="00F85178" w:rsidRDefault="004D154A" w:rsidP="00770E8A"/>
    <w:p w14:paraId="50C02396" w14:textId="77777777" w:rsidR="0067217C" w:rsidRPr="00F85178" w:rsidRDefault="004D154A" w:rsidP="00770E8A">
      <w:r w:rsidRPr="00F85178">
        <w:t>V datech vidíme, že převedených věcí je opravdu velké množství. Porovnáme-li počet převedených věcí s počtem věcí vyřízených, vidíme, že tento podíl v letech 2013 až 2017 tvořil 51</w:t>
      </w:r>
      <w:r w:rsidR="002E433F" w:rsidRPr="00F85178">
        <w:t> </w:t>
      </w:r>
      <w:r w:rsidRPr="00F85178">
        <w:t>až 56 %.</w:t>
      </w:r>
      <w:r w:rsidRPr="00F85178">
        <w:rPr>
          <w:rStyle w:val="Znakapoznpodarou"/>
        </w:rPr>
        <w:footnoteReference w:id="7"/>
      </w:r>
      <w:r w:rsidRPr="00F85178">
        <w:t xml:space="preserve"> Tedy v zásadě každá druhá věc v rejstříku EPR byla převedena do klasického civilního řízení. V roce 2018 byl tento podíl dokonce 60 %. Nejvyšší je tento podíl v Praze a nejnižší je v kraji Jihočeském. Zdaleka nejčastější důvod převedení je zrušení EPR soudem. Oproti roku 2017 došlo především právě k nárůstu toho důvodu převodu.</w:t>
      </w:r>
    </w:p>
    <w:p w14:paraId="76220B41" w14:textId="77777777" w:rsidR="0067217C" w:rsidRPr="00F85178" w:rsidRDefault="0067217C" w:rsidP="001826A1">
      <w:pPr>
        <w:pStyle w:val="Nadpis2"/>
      </w:pPr>
      <w:r w:rsidRPr="00F85178">
        <w:br w:type="page"/>
      </w:r>
      <w:bookmarkStart w:id="173" w:name="_Ref511307908"/>
      <w:bookmarkStart w:id="174" w:name="_Toc515871230"/>
      <w:bookmarkStart w:id="175" w:name="_Toc14076882"/>
      <w:r w:rsidRPr="00F85178">
        <w:t>Trestní agenda</w:t>
      </w:r>
      <w:bookmarkEnd w:id="173"/>
      <w:bookmarkEnd w:id="174"/>
      <w:bookmarkEnd w:id="175"/>
    </w:p>
    <w:p w14:paraId="1316ADAF" w14:textId="6692F5D1" w:rsidR="0067217C" w:rsidRPr="00F85178" w:rsidRDefault="0067217C" w:rsidP="0067217C">
      <w:pPr>
        <w:pStyle w:val="OdstavecASR"/>
      </w:pPr>
      <w:r w:rsidRPr="00F85178">
        <w:t xml:space="preserve">Z hlediska statistického sledování je situace na trestním úseku soudů jednodušší. Vedlejší agendy jsou zde v zásadě pouze dvě – všeobecné trestní věci, včetně rozhodování soudce v přípravném řízení, a u soudů, v jejichž obvodu se nachází věznice, též agenda </w:t>
      </w:r>
      <w:r w:rsidR="00B168ED">
        <w:t xml:space="preserve">podmíněné </w:t>
      </w:r>
      <w:r w:rsidRPr="00F85178">
        <w:t>propuštění. Soudy tedy vyřizují hlavně prvostupňové trestní věci a prvostupňové trestní věci mladistvých (rejstříky T a Tm). Způsob vykazování se na rozdíl od civilního řízení během let neměnil a není se tedy třeba obávat zkreslení v časových řadách. Data v podkapitolách délky řízení a jiné statistiky jsou očištěna pouze o věci vyřízené trestním příkazem. Trestní příkaz je obdobou platebního rozkazu v civilním řízení. Jedná se o jednoduché a velmi rychle vyřízené věci, a proto v této zprávě nejsou v datech zahrnuty. Délky řízení, kde jsou do výpočtu zahrnuty věci vyřízené trestním příkazem, je možné dohledat na internetových stránkách InfoData nebo ve statistických ročenkách.</w:t>
      </w:r>
    </w:p>
    <w:p w14:paraId="6811C9CB" w14:textId="77777777" w:rsidR="00A32F74" w:rsidRPr="00F85178" w:rsidRDefault="00A32F74" w:rsidP="0067217C">
      <w:pPr>
        <w:pStyle w:val="Nadpis3"/>
        <w:rPr>
          <w:color w:val="auto"/>
        </w:rPr>
      </w:pPr>
      <w:bookmarkStart w:id="176" w:name="_Toc487791235"/>
      <w:bookmarkStart w:id="177" w:name="_Toc515871231"/>
      <w:bookmarkStart w:id="178" w:name="_Toc14076883"/>
      <w:r w:rsidRPr="00F85178">
        <w:rPr>
          <w:color w:val="auto"/>
        </w:rPr>
        <w:t>Délka řízení</w:t>
      </w:r>
      <w:bookmarkEnd w:id="176"/>
      <w:bookmarkEnd w:id="177"/>
      <w:bookmarkEnd w:id="178"/>
    </w:p>
    <w:p w14:paraId="0D776BEE" w14:textId="77777777" w:rsidR="00543783" w:rsidRPr="00F85178" w:rsidRDefault="00543783" w:rsidP="00543783">
      <w:pPr>
        <w:pStyle w:val="OdstavecASR"/>
      </w:pPr>
      <w:r w:rsidRPr="00F85178">
        <w:t>Platí stejné poznámky jako u civilního řízení, délku řízení tedy zjišťujeme ze statistických listů a uvádíme ji v kalendářních dnech ode dne nápadu do dne konečného rozhodnutí soudem I. stupně.</w:t>
      </w:r>
    </w:p>
    <w:p w14:paraId="3974549D" w14:textId="77777777" w:rsidR="004D154A" w:rsidRPr="00F85178" w:rsidRDefault="003A60FF" w:rsidP="003A60FF">
      <w:pPr>
        <w:pStyle w:val="Podtitul"/>
        <w:rPr>
          <w:color w:val="auto"/>
        </w:rPr>
      </w:pPr>
      <w:bookmarkStart w:id="179" w:name="_Ref510007164"/>
      <w:bookmarkStart w:id="180" w:name="_Ref510007159"/>
      <w:bookmarkStart w:id="181" w:name="_Toc515871349"/>
      <w:bookmarkStart w:id="182" w:name="_Toc11135084"/>
      <w:bookmarkStart w:id="183" w:name="_Toc1383751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23</w:t>
      </w:r>
      <w:r w:rsidRPr="00F85178">
        <w:rPr>
          <w:noProof/>
          <w:color w:val="auto"/>
        </w:rPr>
        <w:fldChar w:fldCharType="end"/>
      </w:r>
      <w:bookmarkEnd w:id="179"/>
      <w:r w:rsidRPr="00F85178">
        <w:rPr>
          <w:color w:val="auto"/>
        </w:rPr>
        <w:t>: OS – délka trestního řízení v letech 2008–201</w:t>
      </w:r>
      <w:bookmarkEnd w:id="180"/>
      <w:bookmarkEnd w:id="181"/>
      <w:r w:rsidRPr="00F85178">
        <w:rPr>
          <w:color w:val="auto"/>
        </w:rPr>
        <w:t>8</w:t>
      </w:r>
      <w:r w:rsidR="005F77B8" w:rsidRPr="00F85178">
        <w:rPr>
          <w:color w:val="auto"/>
        </w:rPr>
        <w:t xml:space="preserve"> v kalendářních dnech</w:t>
      </w:r>
      <w:bookmarkEnd w:id="182"/>
      <w:bookmarkEnd w:id="183"/>
    </w:p>
    <w:p w14:paraId="3EDEEBFE" w14:textId="77777777" w:rsidR="003A60FF" w:rsidRPr="00F85178" w:rsidRDefault="00890295" w:rsidP="00770E8A">
      <w:r>
        <w:rPr>
          <w:noProof/>
          <w:lang w:eastAsia="cs-CZ"/>
        </w:rPr>
        <w:drawing>
          <wp:inline distT="0" distB="0" distL="0" distR="0" wp14:anchorId="041F1FA8" wp14:editId="390E1905">
            <wp:extent cx="5118100" cy="3746500"/>
            <wp:effectExtent l="0" t="0" r="0" b="0"/>
            <wp:docPr id="24" name="Obrázek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4"/>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9104AC4" w14:textId="7658D46A" w:rsidR="006E6666" w:rsidRPr="00F85178" w:rsidRDefault="006E6666" w:rsidP="006E6666">
      <w:pPr>
        <w:pStyle w:val="OdstavecASR"/>
      </w:pPr>
      <w:r w:rsidRPr="00F85178">
        <w:t>Z grafu je patrné, že ve zkoumaném období byly délky řízení největší v roce 2008. Od roku 2010 jsou velmi stabilní</w:t>
      </w:r>
      <w:r w:rsidR="000A4698" w:rsidRPr="00F85178">
        <w:t xml:space="preserve"> s tím, že od roku 201</w:t>
      </w:r>
      <w:r w:rsidR="00A07007" w:rsidRPr="00F85178">
        <w:t>5</w:t>
      </w:r>
      <w:r w:rsidR="000A4698" w:rsidRPr="00F85178">
        <w:t xml:space="preserve"> </w:t>
      </w:r>
      <w:r w:rsidR="0045086B" w:rsidRPr="00F85178">
        <w:t xml:space="preserve">se </w:t>
      </w:r>
      <w:r w:rsidR="000A4698" w:rsidRPr="00F85178">
        <w:t xml:space="preserve">vyřízení věci </w:t>
      </w:r>
      <w:r w:rsidR="0045086B" w:rsidRPr="00F85178">
        <w:t xml:space="preserve">začíná opět </w:t>
      </w:r>
      <w:r w:rsidR="000A4698" w:rsidRPr="00F85178">
        <w:t xml:space="preserve">postupně prodlužovat </w:t>
      </w:r>
      <w:r w:rsidR="00BD3CF2" w:rsidRPr="00F85178">
        <w:t xml:space="preserve">a věci „stárnou“ </w:t>
      </w:r>
      <w:r w:rsidR="000A4698" w:rsidRPr="00F85178">
        <w:t>(</w:t>
      </w:r>
      <w:r w:rsidR="00BD3CF2" w:rsidRPr="00F85178">
        <w:t xml:space="preserve">viz </w:t>
      </w:r>
      <w:r w:rsidR="009B0B99" w:rsidRPr="00F85178">
        <w:t xml:space="preserve">mírné </w:t>
      </w:r>
      <w:r w:rsidR="00BD3CF2" w:rsidRPr="00F85178">
        <w:t>zvyšování percentilu 90, což znamená,</w:t>
      </w:r>
      <w:r w:rsidR="000A4698" w:rsidRPr="00F85178">
        <w:t xml:space="preserve"> že u 10</w:t>
      </w:r>
      <w:r w:rsidR="003547EB" w:rsidRPr="00F85178">
        <w:t xml:space="preserve"> </w:t>
      </w:r>
      <w:r w:rsidR="000A4698" w:rsidRPr="00F85178">
        <w:t xml:space="preserve">% nejdelších věcí se zvýšila délka </w:t>
      </w:r>
      <w:r w:rsidR="00BD3CF2" w:rsidRPr="00F85178">
        <w:t>projednávání ze 460</w:t>
      </w:r>
      <w:r w:rsidR="000A4698" w:rsidRPr="00F85178">
        <w:t xml:space="preserve"> </w:t>
      </w:r>
      <w:r w:rsidR="0045086B" w:rsidRPr="00F85178">
        <w:t>dn</w:t>
      </w:r>
      <w:r w:rsidR="0045086B">
        <w:t xml:space="preserve">ů </w:t>
      </w:r>
      <w:r w:rsidR="009B0B99" w:rsidRPr="00F85178">
        <w:t>v roce 2015</w:t>
      </w:r>
      <w:r w:rsidR="000A4698" w:rsidRPr="00F85178">
        <w:t xml:space="preserve"> na 504 </w:t>
      </w:r>
      <w:r w:rsidR="0045086B" w:rsidRPr="00F85178">
        <w:t>dn</w:t>
      </w:r>
      <w:r w:rsidR="0045086B">
        <w:t>ů</w:t>
      </w:r>
      <w:r w:rsidR="0045086B" w:rsidRPr="00F85178">
        <w:t xml:space="preserve"> </w:t>
      </w:r>
      <w:r w:rsidR="009B0B99" w:rsidRPr="00F85178">
        <w:t>v roce 2018</w:t>
      </w:r>
      <w:r w:rsidR="000A4698" w:rsidRPr="00F85178">
        <w:t xml:space="preserve">, tj. </w:t>
      </w:r>
      <w:r w:rsidR="009B0B99" w:rsidRPr="00F85178">
        <w:t xml:space="preserve">pouze </w:t>
      </w:r>
      <w:r w:rsidR="000A4698" w:rsidRPr="00F85178">
        <w:t>o 10</w:t>
      </w:r>
      <w:r w:rsidR="003547EB" w:rsidRPr="00F85178">
        <w:t xml:space="preserve"> </w:t>
      </w:r>
      <w:r w:rsidR="000A4698" w:rsidRPr="00F85178">
        <w:t>%</w:t>
      </w:r>
      <w:r w:rsidR="00BD3CF2" w:rsidRPr="00F85178">
        <w:t>)</w:t>
      </w:r>
      <w:r w:rsidRPr="00F85178">
        <w:t>. Zaujme velký rozdíl mezi průměrem a mediánem. Průměrná délka řízení je více než dvojnásobná než je mediánová délka řízení. To naznačuje, že existuje malá skupina řízení, které se oproti standardu velmi dlouho „táhnou“</w:t>
      </w:r>
      <w:r w:rsidR="00E303F2" w:rsidRPr="00F85178">
        <w:t>, což je stav, který trvá po celé vykazované období 2008</w:t>
      </w:r>
      <w:r w:rsidR="0075158A" w:rsidRPr="00F85178">
        <w:t>–</w:t>
      </w:r>
      <w:r w:rsidR="00E303F2" w:rsidRPr="00F85178">
        <w:t>2018</w:t>
      </w:r>
      <w:r w:rsidRPr="00F85178">
        <w:t>. Tuto domněnku potvrzuje i poměrně vysoký percentil 90. Tento jev můžeme pozorovat i u civilního řízení, kde je nicméně o něco méně výrazný.</w:t>
      </w:r>
    </w:p>
    <w:p w14:paraId="5110EC5C" w14:textId="77777777" w:rsidR="00F53C29" w:rsidRPr="00F85178" w:rsidRDefault="003A60FF" w:rsidP="00A07007">
      <w:pPr>
        <w:pStyle w:val="Podtitul"/>
        <w:rPr>
          <w:rFonts w:ascii="Calibri" w:hAnsi="Calibri"/>
          <w:color w:val="auto"/>
          <w:sz w:val="20"/>
          <w:szCs w:val="20"/>
          <w:lang w:eastAsia="cs-CZ"/>
        </w:rPr>
      </w:pPr>
      <w:bookmarkStart w:id="184" w:name="_Ref510084261"/>
      <w:bookmarkStart w:id="185" w:name="_Ref510084255"/>
      <w:bookmarkStart w:id="186" w:name="_Toc515871451"/>
      <w:bookmarkStart w:id="187" w:name="_Toc11133219"/>
      <w:bookmarkStart w:id="188" w:name="_Toc13837440"/>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17</w:t>
      </w:r>
      <w:r w:rsidR="00D842DE" w:rsidRPr="00F85178">
        <w:rPr>
          <w:noProof/>
          <w:color w:val="auto"/>
        </w:rPr>
        <w:fldChar w:fldCharType="end"/>
      </w:r>
      <w:bookmarkEnd w:id="184"/>
      <w:r w:rsidRPr="00F85178">
        <w:rPr>
          <w:color w:val="auto"/>
        </w:rPr>
        <w:t>: OS – délky trestního řízení dle krajů</w:t>
      </w:r>
      <w:bookmarkEnd w:id="185"/>
      <w:bookmarkEnd w:id="186"/>
      <w:bookmarkEnd w:id="187"/>
      <w:bookmarkEnd w:id="188"/>
    </w:p>
    <w:tbl>
      <w:tblPr>
        <w:tblW w:w="8920" w:type="dxa"/>
        <w:tblCellMar>
          <w:left w:w="70" w:type="dxa"/>
          <w:right w:w="70" w:type="dxa"/>
        </w:tblCellMar>
        <w:tblLook w:val="04A0" w:firstRow="1" w:lastRow="0" w:firstColumn="1" w:lastColumn="0" w:noHBand="0" w:noVBand="1"/>
      </w:tblPr>
      <w:tblGrid>
        <w:gridCol w:w="2440"/>
        <w:gridCol w:w="873"/>
        <w:gridCol w:w="1343"/>
        <w:gridCol w:w="873"/>
        <w:gridCol w:w="1175"/>
        <w:gridCol w:w="873"/>
        <w:gridCol w:w="1343"/>
      </w:tblGrid>
      <w:tr w:rsidR="00F85178" w:rsidRPr="00F85178" w14:paraId="0FFD2C7F" w14:textId="77777777" w:rsidTr="00F53C29">
        <w:trPr>
          <w:divId w:val="1628124034"/>
          <w:trHeight w:val="330"/>
        </w:trPr>
        <w:tc>
          <w:tcPr>
            <w:tcW w:w="2440" w:type="dxa"/>
            <w:vMerge w:val="restart"/>
            <w:tcBorders>
              <w:top w:val="double" w:sz="6" w:space="0" w:color="auto"/>
              <w:left w:val="nil"/>
              <w:bottom w:val="double" w:sz="6" w:space="0" w:color="000000"/>
              <w:right w:val="nil"/>
            </w:tcBorders>
            <w:shd w:val="clear" w:color="auto" w:fill="auto"/>
            <w:noWrap/>
            <w:vAlign w:val="center"/>
            <w:hideMark/>
          </w:tcPr>
          <w:p w14:paraId="1148773E" w14:textId="77777777" w:rsidR="00F53C29" w:rsidRPr="00F85178" w:rsidRDefault="00F53C29" w:rsidP="00F53C29">
            <w:pPr>
              <w:rPr>
                <w:rFonts w:eastAsia="Times New Roman"/>
                <w:b/>
                <w:bCs/>
                <w:szCs w:val="24"/>
                <w:lang w:eastAsia="cs-CZ"/>
              </w:rPr>
            </w:pPr>
            <w:r w:rsidRPr="00F85178">
              <w:rPr>
                <w:rFonts w:eastAsia="Times New Roman"/>
                <w:b/>
                <w:bCs/>
                <w:szCs w:val="24"/>
                <w:lang w:eastAsia="cs-CZ"/>
              </w:rPr>
              <w:t>Nadřízený soud</w:t>
            </w:r>
          </w:p>
        </w:tc>
        <w:tc>
          <w:tcPr>
            <w:tcW w:w="6480" w:type="dxa"/>
            <w:gridSpan w:val="6"/>
            <w:tcBorders>
              <w:top w:val="double" w:sz="6" w:space="0" w:color="auto"/>
              <w:left w:val="nil"/>
              <w:bottom w:val="nil"/>
              <w:right w:val="nil"/>
            </w:tcBorders>
            <w:shd w:val="clear" w:color="auto" w:fill="auto"/>
            <w:noWrap/>
            <w:vAlign w:val="center"/>
            <w:hideMark/>
          </w:tcPr>
          <w:p w14:paraId="241335A1"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38A71C0F" w14:textId="77777777" w:rsidTr="00F53C29">
        <w:trPr>
          <w:divId w:val="1628124034"/>
          <w:trHeight w:val="330"/>
        </w:trPr>
        <w:tc>
          <w:tcPr>
            <w:tcW w:w="2440" w:type="dxa"/>
            <w:vMerge/>
            <w:tcBorders>
              <w:top w:val="double" w:sz="6" w:space="0" w:color="auto"/>
              <w:left w:val="nil"/>
              <w:bottom w:val="double" w:sz="6" w:space="0" w:color="000000"/>
              <w:right w:val="nil"/>
            </w:tcBorders>
            <w:vAlign w:val="center"/>
            <w:hideMark/>
          </w:tcPr>
          <w:p w14:paraId="7EA0B0CA" w14:textId="77777777" w:rsidR="00F53C29" w:rsidRPr="00F85178" w:rsidRDefault="00F53C29" w:rsidP="00F53C29">
            <w:pPr>
              <w:spacing w:line="240" w:lineRule="auto"/>
              <w:jc w:val="left"/>
              <w:rPr>
                <w:rFonts w:eastAsia="Times New Roman"/>
                <w:b/>
                <w:bCs/>
                <w:szCs w:val="24"/>
                <w:lang w:eastAsia="cs-CZ"/>
              </w:rPr>
            </w:pPr>
          </w:p>
        </w:tc>
        <w:tc>
          <w:tcPr>
            <w:tcW w:w="2216" w:type="dxa"/>
            <w:gridSpan w:val="2"/>
            <w:tcBorders>
              <w:top w:val="nil"/>
              <w:left w:val="nil"/>
              <w:bottom w:val="double" w:sz="6" w:space="0" w:color="auto"/>
              <w:right w:val="nil"/>
            </w:tcBorders>
            <w:shd w:val="clear" w:color="auto" w:fill="auto"/>
            <w:noWrap/>
            <w:vAlign w:val="center"/>
            <w:hideMark/>
          </w:tcPr>
          <w:p w14:paraId="75AB3F79"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204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5AEFC2B"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2216" w:type="dxa"/>
            <w:gridSpan w:val="2"/>
            <w:tcBorders>
              <w:top w:val="nil"/>
              <w:left w:val="nil"/>
              <w:bottom w:val="double" w:sz="6" w:space="0" w:color="auto"/>
              <w:right w:val="nil"/>
            </w:tcBorders>
            <w:shd w:val="clear" w:color="auto" w:fill="auto"/>
            <w:noWrap/>
            <w:vAlign w:val="center"/>
            <w:hideMark/>
          </w:tcPr>
          <w:p w14:paraId="650CD729"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36746764" w14:textId="77777777" w:rsidTr="00F53C29">
        <w:trPr>
          <w:divId w:val="1628124034"/>
          <w:trHeight w:val="330"/>
        </w:trPr>
        <w:tc>
          <w:tcPr>
            <w:tcW w:w="2440" w:type="dxa"/>
            <w:tcBorders>
              <w:top w:val="single" w:sz="4" w:space="0" w:color="auto"/>
              <w:left w:val="nil"/>
              <w:bottom w:val="single" w:sz="4" w:space="0" w:color="auto"/>
              <w:right w:val="nil"/>
            </w:tcBorders>
            <w:shd w:val="clear" w:color="auto" w:fill="auto"/>
            <w:noWrap/>
            <w:vAlign w:val="bottom"/>
            <w:hideMark/>
          </w:tcPr>
          <w:p w14:paraId="7DEC2EF5"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MS Praha</w:t>
            </w:r>
          </w:p>
        </w:tc>
        <w:tc>
          <w:tcPr>
            <w:tcW w:w="873" w:type="dxa"/>
            <w:tcBorders>
              <w:top w:val="single" w:sz="4" w:space="0" w:color="auto"/>
              <w:left w:val="nil"/>
              <w:bottom w:val="single" w:sz="4" w:space="0" w:color="auto"/>
              <w:right w:val="nil"/>
            </w:tcBorders>
            <w:shd w:val="clear" w:color="auto" w:fill="auto"/>
            <w:noWrap/>
            <w:vAlign w:val="bottom"/>
            <w:hideMark/>
          </w:tcPr>
          <w:p w14:paraId="68D26017"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161</w:t>
            </w:r>
          </w:p>
        </w:tc>
        <w:tc>
          <w:tcPr>
            <w:tcW w:w="1343" w:type="dxa"/>
            <w:tcBorders>
              <w:top w:val="single" w:sz="4" w:space="0" w:color="auto"/>
              <w:left w:val="nil"/>
              <w:bottom w:val="single" w:sz="4" w:space="0" w:color="auto"/>
              <w:right w:val="nil"/>
            </w:tcBorders>
            <w:shd w:val="clear" w:color="auto" w:fill="auto"/>
            <w:noWrap/>
            <w:vAlign w:val="center"/>
            <w:hideMark/>
          </w:tcPr>
          <w:p w14:paraId="69BD528E" w14:textId="3EABACF2"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873" w:type="dxa"/>
            <w:tcBorders>
              <w:top w:val="nil"/>
              <w:left w:val="single" w:sz="4" w:space="0" w:color="auto"/>
              <w:bottom w:val="single" w:sz="4" w:space="0" w:color="auto"/>
              <w:right w:val="nil"/>
            </w:tcBorders>
            <w:shd w:val="clear" w:color="auto" w:fill="auto"/>
            <w:noWrap/>
            <w:vAlign w:val="bottom"/>
            <w:hideMark/>
          </w:tcPr>
          <w:p w14:paraId="1F1509A0"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82</w:t>
            </w:r>
          </w:p>
        </w:tc>
        <w:tc>
          <w:tcPr>
            <w:tcW w:w="1175" w:type="dxa"/>
            <w:tcBorders>
              <w:top w:val="nil"/>
              <w:left w:val="nil"/>
              <w:bottom w:val="single" w:sz="4" w:space="0" w:color="auto"/>
              <w:right w:val="single" w:sz="4" w:space="0" w:color="auto"/>
            </w:tcBorders>
            <w:shd w:val="clear" w:color="auto" w:fill="auto"/>
            <w:noWrap/>
            <w:vAlign w:val="center"/>
            <w:hideMark/>
          </w:tcPr>
          <w:p w14:paraId="051EF228" w14:textId="5B16A2F8"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873" w:type="dxa"/>
            <w:tcBorders>
              <w:top w:val="single" w:sz="4" w:space="0" w:color="auto"/>
              <w:left w:val="nil"/>
              <w:bottom w:val="single" w:sz="4" w:space="0" w:color="auto"/>
              <w:right w:val="nil"/>
            </w:tcBorders>
            <w:shd w:val="clear" w:color="auto" w:fill="auto"/>
            <w:noWrap/>
            <w:vAlign w:val="bottom"/>
            <w:hideMark/>
          </w:tcPr>
          <w:p w14:paraId="0F3C9065"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374</w:t>
            </w:r>
          </w:p>
        </w:tc>
        <w:tc>
          <w:tcPr>
            <w:tcW w:w="1343" w:type="dxa"/>
            <w:tcBorders>
              <w:top w:val="single" w:sz="4" w:space="0" w:color="auto"/>
              <w:left w:val="nil"/>
              <w:bottom w:val="single" w:sz="4" w:space="0" w:color="auto"/>
              <w:right w:val="nil"/>
            </w:tcBorders>
            <w:shd w:val="clear" w:color="auto" w:fill="auto"/>
            <w:noWrap/>
            <w:vAlign w:val="center"/>
            <w:hideMark/>
          </w:tcPr>
          <w:p w14:paraId="217C3E72" w14:textId="0E76E2E2"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77AE49B4"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2AAF4836"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Praha</w:t>
            </w:r>
          </w:p>
        </w:tc>
        <w:tc>
          <w:tcPr>
            <w:tcW w:w="873" w:type="dxa"/>
            <w:tcBorders>
              <w:top w:val="nil"/>
              <w:left w:val="nil"/>
              <w:bottom w:val="single" w:sz="4" w:space="0" w:color="auto"/>
              <w:right w:val="nil"/>
            </w:tcBorders>
            <w:shd w:val="clear" w:color="auto" w:fill="auto"/>
            <w:noWrap/>
            <w:vAlign w:val="bottom"/>
            <w:hideMark/>
          </w:tcPr>
          <w:p w14:paraId="2172142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159</w:t>
            </w:r>
          </w:p>
        </w:tc>
        <w:tc>
          <w:tcPr>
            <w:tcW w:w="1343" w:type="dxa"/>
            <w:tcBorders>
              <w:top w:val="nil"/>
              <w:left w:val="nil"/>
              <w:bottom w:val="single" w:sz="4" w:space="0" w:color="auto"/>
              <w:right w:val="nil"/>
            </w:tcBorders>
            <w:shd w:val="clear" w:color="auto" w:fill="auto"/>
            <w:noWrap/>
            <w:vAlign w:val="center"/>
            <w:hideMark/>
          </w:tcPr>
          <w:p w14:paraId="307B585C" w14:textId="01EAA2F7"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873" w:type="dxa"/>
            <w:tcBorders>
              <w:top w:val="nil"/>
              <w:left w:val="single" w:sz="4" w:space="0" w:color="auto"/>
              <w:bottom w:val="single" w:sz="4" w:space="0" w:color="auto"/>
              <w:right w:val="nil"/>
            </w:tcBorders>
            <w:shd w:val="clear" w:color="auto" w:fill="auto"/>
            <w:noWrap/>
            <w:vAlign w:val="bottom"/>
            <w:hideMark/>
          </w:tcPr>
          <w:p w14:paraId="06F98C8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68</w:t>
            </w:r>
          </w:p>
        </w:tc>
        <w:tc>
          <w:tcPr>
            <w:tcW w:w="1175" w:type="dxa"/>
            <w:tcBorders>
              <w:top w:val="nil"/>
              <w:left w:val="nil"/>
              <w:bottom w:val="single" w:sz="4" w:space="0" w:color="auto"/>
              <w:right w:val="single" w:sz="4" w:space="0" w:color="auto"/>
            </w:tcBorders>
            <w:shd w:val="clear" w:color="auto" w:fill="auto"/>
            <w:noWrap/>
            <w:vAlign w:val="center"/>
            <w:hideMark/>
          </w:tcPr>
          <w:p w14:paraId="2E8FE47E" w14:textId="217A8D50"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73" w:type="dxa"/>
            <w:tcBorders>
              <w:top w:val="nil"/>
              <w:left w:val="nil"/>
              <w:bottom w:val="single" w:sz="4" w:space="0" w:color="auto"/>
              <w:right w:val="nil"/>
            </w:tcBorders>
            <w:shd w:val="clear" w:color="auto" w:fill="auto"/>
            <w:noWrap/>
            <w:vAlign w:val="bottom"/>
            <w:hideMark/>
          </w:tcPr>
          <w:p w14:paraId="613D6F04"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343</w:t>
            </w:r>
          </w:p>
        </w:tc>
        <w:tc>
          <w:tcPr>
            <w:tcW w:w="1343" w:type="dxa"/>
            <w:tcBorders>
              <w:top w:val="nil"/>
              <w:left w:val="nil"/>
              <w:bottom w:val="single" w:sz="4" w:space="0" w:color="auto"/>
              <w:right w:val="nil"/>
            </w:tcBorders>
            <w:shd w:val="clear" w:color="auto" w:fill="auto"/>
            <w:noWrap/>
            <w:vAlign w:val="center"/>
            <w:hideMark/>
          </w:tcPr>
          <w:p w14:paraId="0CD8E3F8" w14:textId="758BF6A6"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5C48D5FD"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744E6976"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Č. Budějovice</w:t>
            </w:r>
          </w:p>
        </w:tc>
        <w:tc>
          <w:tcPr>
            <w:tcW w:w="873" w:type="dxa"/>
            <w:tcBorders>
              <w:top w:val="nil"/>
              <w:left w:val="nil"/>
              <w:bottom w:val="single" w:sz="4" w:space="0" w:color="auto"/>
              <w:right w:val="nil"/>
            </w:tcBorders>
            <w:shd w:val="clear" w:color="auto" w:fill="auto"/>
            <w:noWrap/>
            <w:vAlign w:val="bottom"/>
            <w:hideMark/>
          </w:tcPr>
          <w:p w14:paraId="7F30C36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171</w:t>
            </w:r>
          </w:p>
        </w:tc>
        <w:tc>
          <w:tcPr>
            <w:tcW w:w="1343" w:type="dxa"/>
            <w:tcBorders>
              <w:top w:val="nil"/>
              <w:left w:val="nil"/>
              <w:bottom w:val="single" w:sz="4" w:space="0" w:color="auto"/>
              <w:right w:val="nil"/>
            </w:tcBorders>
            <w:shd w:val="clear" w:color="auto" w:fill="auto"/>
            <w:noWrap/>
            <w:vAlign w:val="center"/>
            <w:hideMark/>
          </w:tcPr>
          <w:p w14:paraId="0CC66500" w14:textId="1582452E"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873" w:type="dxa"/>
            <w:tcBorders>
              <w:top w:val="nil"/>
              <w:left w:val="single" w:sz="4" w:space="0" w:color="auto"/>
              <w:bottom w:val="single" w:sz="4" w:space="0" w:color="auto"/>
              <w:right w:val="nil"/>
            </w:tcBorders>
            <w:shd w:val="clear" w:color="auto" w:fill="auto"/>
            <w:noWrap/>
            <w:vAlign w:val="bottom"/>
            <w:hideMark/>
          </w:tcPr>
          <w:p w14:paraId="321D653A"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92</w:t>
            </w:r>
          </w:p>
        </w:tc>
        <w:tc>
          <w:tcPr>
            <w:tcW w:w="1175" w:type="dxa"/>
            <w:tcBorders>
              <w:top w:val="nil"/>
              <w:left w:val="nil"/>
              <w:bottom w:val="single" w:sz="4" w:space="0" w:color="auto"/>
              <w:right w:val="single" w:sz="4" w:space="0" w:color="auto"/>
            </w:tcBorders>
            <w:shd w:val="clear" w:color="auto" w:fill="auto"/>
            <w:noWrap/>
            <w:vAlign w:val="center"/>
            <w:hideMark/>
          </w:tcPr>
          <w:p w14:paraId="2CC12CB3" w14:textId="41A4A763"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73" w:type="dxa"/>
            <w:tcBorders>
              <w:top w:val="nil"/>
              <w:left w:val="nil"/>
              <w:bottom w:val="single" w:sz="4" w:space="0" w:color="auto"/>
              <w:right w:val="nil"/>
            </w:tcBorders>
            <w:shd w:val="clear" w:color="auto" w:fill="auto"/>
            <w:noWrap/>
            <w:vAlign w:val="bottom"/>
            <w:hideMark/>
          </w:tcPr>
          <w:p w14:paraId="09DCA59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389</w:t>
            </w:r>
          </w:p>
        </w:tc>
        <w:tc>
          <w:tcPr>
            <w:tcW w:w="1343" w:type="dxa"/>
            <w:tcBorders>
              <w:top w:val="nil"/>
              <w:left w:val="nil"/>
              <w:bottom w:val="single" w:sz="4" w:space="0" w:color="auto"/>
              <w:right w:val="nil"/>
            </w:tcBorders>
            <w:shd w:val="clear" w:color="auto" w:fill="auto"/>
            <w:noWrap/>
            <w:vAlign w:val="center"/>
            <w:hideMark/>
          </w:tcPr>
          <w:p w14:paraId="70C8A402" w14:textId="64B66B36"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607BA89E"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71462F16"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Plzeň</w:t>
            </w:r>
          </w:p>
        </w:tc>
        <w:tc>
          <w:tcPr>
            <w:tcW w:w="873" w:type="dxa"/>
            <w:tcBorders>
              <w:top w:val="nil"/>
              <w:left w:val="nil"/>
              <w:bottom w:val="single" w:sz="4" w:space="0" w:color="auto"/>
              <w:right w:val="nil"/>
            </w:tcBorders>
            <w:shd w:val="clear" w:color="auto" w:fill="auto"/>
            <w:noWrap/>
            <w:vAlign w:val="bottom"/>
            <w:hideMark/>
          </w:tcPr>
          <w:p w14:paraId="2C895994"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240</w:t>
            </w:r>
          </w:p>
        </w:tc>
        <w:tc>
          <w:tcPr>
            <w:tcW w:w="1343" w:type="dxa"/>
            <w:tcBorders>
              <w:top w:val="nil"/>
              <w:left w:val="nil"/>
              <w:bottom w:val="single" w:sz="4" w:space="0" w:color="auto"/>
              <w:right w:val="nil"/>
            </w:tcBorders>
            <w:shd w:val="clear" w:color="auto" w:fill="auto"/>
            <w:noWrap/>
            <w:vAlign w:val="center"/>
            <w:hideMark/>
          </w:tcPr>
          <w:p w14:paraId="2C3E3C89" w14:textId="453BE62F"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873" w:type="dxa"/>
            <w:tcBorders>
              <w:top w:val="nil"/>
              <w:left w:val="single" w:sz="4" w:space="0" w:color="auto"/>
              <w:bottom w:val="single" w:sz="4" w:space="0" w:color="auto"/>
              <w:right w:val="nil"/>
            </w:tcBorders>
            <w:shd w:val="clear" w:color="auto" w:fill="auto"/>
            <w:noWrap/>
            <w:vAlign w:val="bottom"/>
            <w:hideMark/>
          </w:tcPr>
          <w:p w14:paraId="6AA52F54"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112</w:t>
            </w:r>
          </w:p>
        </w:tc>
        <w:tc>
          <w:tcPr>
            <w:tcW w:w="1175" w:type="dxa"/>
            <w:tcBorders>
              <w:top w:val="nil"/>
              <w:left w:val="nil"/>
              <w:bottom w:val="single" w:sz="4" w:space="0" w:color="auto"/>
              <w:right w:val="single" w:sz="4" w:space="0" w:color="auto"/>
            </w:tcBorders>
            <w:shd w:val="clear" w:color="auto" w:fill="auto"/>
            <w:noWrap/>
            <w:vAlign w:val="center"/>
            <w:hideMark/>
          </w:tcPr>
          <w:p w14:paraId="5E15A85E" w14:textId="25FA84AC"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873" w:type="dxa"/>
            <w:tcBorders>
              <w:top w:val="nil"/>
              <w:left w:val="nil"/>
              <w:bottom w:val="single" w:sz="4" w:space="0" w:color="auto"/>
              <w:right w:val="nil"/>
            </w:tcBorders>
            <w:shd w:val="clear" w:color="auto" w:fill="auto"/>
            <w:noWrap/>
            <w:vAlign w:val="bottom"/>
            <w:hideMark/>
          </w:tcPr>
          <w:p w14:paraId="7FE90BD7"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609</w:t>
            </w:r>
          </w:p>
        </w:tc>
        <w:tc>
          <w:tcPr>
            <w:tcW w:w="1343" w:type="dxa"/>
            <w:tcBorders>
              <w:top w:val="nil"/>
              <w:left w:val="nil"/>
              <w:bottom w:val="single" w:sz="4" w:space="0" w:color="auto"/>
              <w:right w:val="nil"/>
            </w:tcBorders>
            <w:shd w:val="clear" w:color="auto" w:fill="auto"/>
            <w:noWrap/>
            <w:vAlign w:val="center"/>
            <w:hideMark/>
          </w:tcPr>
          <w:p w14:paraId="2A783450" w14:textId="16C08E08"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+23 %</w:t>
            </w:r>
          </w:p>
        </w:tc>
      </w:tr>
      <w:tr w:rsidR="00F85178" w:rsidRPr="00F85178" w14:paraId="2F347751"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0300A126"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Ústí n. Labem</w:t>
            </w:r>
          </w:p>
        </w:tc>
        <w:tc>
          <w:tcPr>
            <w:tcW w:w="873" w:type="dxa"/>
            <w:tcBorders>
              <w:top w:val="nil"/>
              <w:left w:val="nil"/>
              <w:bottom w:val="single" w:sz="4" w:space="0" w:color="auto"/>
              <w:right w:val="nil"/>
            </w:tcBorders>
            <w:shd w:val="clear" w:color="auto" w:fill="auto"/>
            <w:noWrap/>
            <w:vAlign w:val="bottom"/>
            <w:hideMark/>
          </w:tcPr>
          <w:p w14:paraId="4A32E9E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335</w:t>
            </w:r>
          </w:p>
        </w:tc>
        <w:tc>
          <w:tcPr>
            <w:tcW w:w="1343" w:type="dxa"/>
            <w:tcBorders>
              <w:top w:val="nil"/>
              <w:left w:val="nil"/>
              <w:bottom w:val="single" w:sz="4" w:space="0" w:color="auto"/>
              <w:right w:val="nil"/>
            </w:tcBorders>
            <w:shd w:val="clear" w:color="auto" w:fill="auto"/>
            <w:noWrap/>
            <w:vAlign w:val="center"/>
            <w:hideMark/>
          </w:tcPr>
          <w:p w14:paraId="1E44E8A4" w14:textId="741590AF"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873" w:type="dxa"/>
            <w:tcBorders>
              <w:top w:val="nil"/>
              <w:left w:val="single" w:sz="4" w:space="0" w:color="auto"/>
              <w:bottom w:val="single" w:sz="4" w:space="0" w:color="auto"/>
              <w:right w:val="nil"/>
            </w:tcBorders>
            <w:shd w:val="clear" w:color="auto" w:fill="auto"/>
            <w:noWrap/>
            <w:vAlign w:val="bottom"/>
            <w:hideMark/>
          </w:tcPr>
          <w:p w14:paraId="549DA74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154</w:t>
            </w:r>
          </w:p>
        </w:tc>
        <w:tc>
          <w:tcPr>
            <w:tcW w:w="1175" w:type="dxa"/>
            <w:tcBorders>
              <w:top w:val="nil"/>
              <w:left w:val="nil"/>
              <w:bottom w:val="single" w:sz="4" w:space="0" w:color="auto"/>
              <w:right w:val="single" w:sz="4" w:space="0" w:color="auto"/>
            </w:tcBorders>
            <w:shd w:val="clear" w:color="auto" w:fill="auto"/>
            <w:noWrap/>
            <w:vAlign w:val="center"/>
            <w:hideMark/>
          </w:tcPr>
          <w:p w14:paraId="3F2653FC" w14:textId="7A5C8A39"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-18 %</w:t>
            </w:r>
          </w:p>
        </w:tc>
        <w:tc>
          <w:tcPr>
            <w:tcW w:w="873" w:type="dxa"/>
            <w:tcBorders>
              <w:top w:val="nil"/>
              <w:left w:val="nil"/>
              <w:bottom w:val="single" w:sz="4" w:space="0" w:color="auto"/>
              <w:right w:val="nil"/>
            </w:tcBorders>
            <w:shd w:val="clear" w:color="auto" w:fill="auto"/>
            <w:noWrap/>
            <w:vAlign w:val="bottom"/>
            <w:hideMark/>
          </w:tcPr>
          <w:p w14:paraId="3C70CF8D"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879</w:t>
            </w:r>
          </w:p>
        </w:tc>
        <w:tc>
          <w:tcPr>
            <w:tcW w:w="1343" w:type="dxa"/>
            <w:tcBorders>
              <w:top w:val="nil"/>
              <w:left w:val="nil"/>
              <w:bottom w:val="single" w:sz="4" w:space="0" w:color="auto"/>
              <w:right w:val="nil"/>
            </w:tcBorders>
            <w:shd w:val="clear" w:color="auto" w:fill="auto"/>
            <w:noWrap/>
            <w:vAlign w:val="center"/>
            <w:hideMark/>
          </w:tcPr>
          <w:p w14:paraId="4ED7285E" w14:textId="4B2FA843"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61F89E5B"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0AD217C0"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Hr. Králové</w:t>
            </w:r>
          </w:p>
        </w:tc>
        <w:tc>
          <w:tcPr>
            <w:tcW w:w="873" w:type="dxa"/>
            <w:tcBorders>
              <w:top w:val="nil"/>
              <w:left w:val="nil"/>
              <w:bottom w:val="single" w:sz="4" w:space="0" w:color="auto"/>
              <w:right w:val="nil"/>
            </w:tcBorders>
            <w:shd w:val="clear" w:color="auto" w:fill="auto"/>
            <w:noWrap/>
            <w:vAlign w:val="bottom"/>
            <w:hideMark/>
          </w:tcPr>
          <w:p w14:paraId="38E5D28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131</w:t>
            </w:r>
          </w:p>
        </w:tc>
        <w:tc>
          <w:tcPr>
            <w:tcW w:w="1343" w:type="dxa"/>
            <w:tcBorders>
              <w:top w:val="nil"/>
              <w:left w:val="nil"/>
              <w:bottom w:val="single" w:sz="4" w:space="0" w:color="auto"/>
              <w:right w:val="nil"/>
            </w:tcBorders>
            <w:shd w:val="clear" w:color="auto" w:fill="auto"/>
            <w:noWrap/>
            <w:vAlign w:val="center"/>
            <w:hideMark/>
          </w:tcPr>
          <w:p w14:paraId="63C969B7" w14:textId="7E570068"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73" w:type="dxa"/>
            <w:tcBorders>
              <w:top w:val="nil"/>
              <w:left w:val="single" w:sz="4" w:space="0" w:color="auto"/>
              <w:bottom w:val="single" w:sz="4" w:space="0" w:color="auto"/>
              <w:right w:val="nil"/>
            </w:tcBorders>
            <w:shd w:val="clear" w:color="auto" w:fill="auto"/>
            <w:noWrap/>
            <w:vAlign w:val="bottom"/>
            <w:hideMark/>
          </w:tcPr>
          <w:p w14:paraId="40E97CEE"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69</w:t>
            </w:r>
          </w:p>
        </w:tc>
        <w:tc>
          <w:tcPr>
            <w:tcW w:w="1175" w:type="dxa"/>
            <w:tcBorders>
              <w:top w:val="nil"/>
              <w:left w:val="nil"/>
              <w:bottom w:val="single" w:sz="4" w:space="0" w:color="auto"/>
              <w:right w:val="single" w:sz="4" w:space="0" w:color="auto"/>
            </w:tcBorders>
            <w:shd w:val="clear" w:color="auto" w:fill="auto"/>
            <w:noWrap/>
            <w:vAlign w:val="center"/>
            <w:hideMark/>
          </w:tcPr>
          <w:p w14:paraId="586A7C11" w14:textId="6AB78F76"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873" w:type="dxa"/>
            <w:tcBorders>
              <w:top w:val="nil"/>
              <w:left w:val="nil"/>
              <w:bottom w:val="single" w:sz="4" w:space="0" w:color="auto"/>
              <w:right w:val="nil"/>
            </w:tcBorders>
            <w:shd w:val="clear" w:color="auto" w:fill="auto"/>
            <w:noWrap/>
            <w:vAlign w:val="bottom"/>
            <w:hideMark/>
          </w:tcPr>
          <w:p w14:paraId="08268E9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306</w:t>
            </w:r>
          </w:p>
        </w:tc>
        <w:tc>
          <w:tcPr>
            <w:tcW w:w="1343" w:type="dxa"/>
            <w:tcBorders>
              <w:top w:val="nil"/>
              <w:left w:val="nil"/>
              <w:bottom w:val="single" w:sz="4" w:space="0" w:color="auto"/>
              <w:right w:val="nil"/>
            </w:tcBorders>
            <w:shd w:val="clear" w:color="auto" w:fill="auto"/>
            <w:noWrap/>
            <w:vAlign w:val="center"/>
            <w:hideMark/>
          </w:tcPr>
          <w:p w14:paraId="4A3803DA" w14:textId="1F07A179"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-0 %</w:t>
            </w:r>
          </w:p>
        </w:tc>
      </w:tr>
      <w:tr w:rsidR="00F85178" w:rsidRPr="00F85178" w14:paraId="186D51D2" w14:textId="77777777" w:rsidTr="00F53C29">
        <w:trPr>
          <w:divId w:val="1628124034"/>
          <w:trHeight w:val="315"/>
        </w:trPr>
        <w:tc>
          <w:tcPr>
            <w:tcW w:w="2440" w:type="dxa"/>
            <w:tcBorders>
              <w:top w:val="nil"/>
              <w:left w:val="nil"/>
              <w:bottom w:val="single" w:sz="4" w:space="0" w:color="auto"/>
              <w:right w:val="nil"/>
            </w:tcBorders>
            <w:shd w:val="clear" w:color="auto" w:fill="auto"/>
            <w:noWrap/>
            <w:vAlign w:val="bottom"/>
            <w:hideMark/>
          </w:tcPr>
          <w:p w14:paraId="19DFF2EF"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Brno</w:t>
            </w:r>
          </w:p>
        </w:tc>
        <w:tc>
          <w:tcPr>
            <w:tcW w:w="873" w:type="dxa"/>
            <w:tcBorders>
              <w:top w:val="nil"/>
              <w:left w:val="nil"/>
              <w:bottom w:val="single" w:sz="4" w:space="0" w:color="auto"/>
              <w:right w:val="nil"/>
            </w:tcBorders>
            <w:shd w:val="clear" w:color="auto" w:fill="auto"/>
            <w:noWrap/>
            <w:vAlign w:val="bottom"/>
            <w:hideMark/>
          </w:tcPr>
          <w:p w14:paraId="3F77878D"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148</w:t>
            </w:r>
          </w:p>
        </w:tc>
        <w:tc>
          <w:tcPr>
            <w:tcW w:w="1343" w:type="dxa"/>
            <w:tcBorders>
              <w:top w:val="nil"/>
              <w:left w:val="nil"/>
              <w:bottom w:val="single" w:sz="4" w:space="0" w:color="auto"/>
              <w:right w:val="nil"/>
            </w:tcBorders>
            <w:shd w:val="clear" w:color="auto" w:fill="auto"/>
            <w:noWrap/>
            <w:vAlign w:val="center"/>
            <w:hideMark/>
          </w:tcPr>
          <w:p w14:paraId="6798060F" w14:textId="02CA5F40"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873" w:type="dxa"/>
            <w:tcBorders>
              <w:top w:val="nil"/>
              <w:left w:val="single" w:sz="4" w:space="0" w:color="auto"/>
              <w:bottom w:val="single" w:sz="4" w:space="0" w:color="auto"/>
              <w:right w:val="nil"/>
            </w:tcBorders>
            <w:shd w:val="clear" w:color="auto" w:fill="auto"/>
            <w:noWrap/>
            <w:vAlign w:val="bottom"/>
            <w:hideMark/>
          </w:tcPr>
          <w:p w14:paraId="4E2D657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82</w:t>
            </w:r>
          </w:p>
        </w:tc>
        <w:tc>
          <w:tcPr>
            <w:tcW w:w="1175" w:type="dxa"/>
            <w:tcBorders>
              <w:top w:val="nil"/>
              <w:left w:val="nil"/>
              <w:bottom w:val="single" w:sz="4" w:space="0" w:color="auto"/>
              <w:right w:val="single" w:sz="4" w:space="0" w:color="auto"/>
            </w:tcBorders>
            <w:shd w:val="clear" w:color="auto" w:fill="auto"/>
            <w:noWrap/>
            <w:vAlign w:val="center"/>
            <w:hideMark/>
          </w:tcPr>
          <w:p w14:paraId="3E9B1F70" w14:textId="28B4C7E2"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73" w:type="dxa"/>
            <w:tcBorders>
              <w:top w:val="nil"/>
              <w:left w:val="nil"/>
              <w:bottom w:val="single" w:sz="4" w:space="0" w:color="auto"/>
              <w:right w:val="nil"/>
            </w:tcBorders>
            <w:shd w:val="clear" w:color="auto" w:fill="auto"/>
            <w:noWrap/>
            <w:vAlign w:val="bottom"/>
            <w:hideMark/>
          </w:tcPr>
          <w:p w14:paraId="6011D9E9"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342</w:t>
            </w:r>
          </w:p>
        </w:tc>
        <w:tc>
          <w:tcPr>
            <w:tcW w:w="1343" w:type="dxa"/>
            <w:tcBorders>
              <w:top w:val="nil"/>
              <w:left w:val="nil"/>
              <w:bottom w:val="single" w:sz="4" w:space="0" w:color="auto"/>
              <w:right w:val="nil"/>
            </w:tcBorders>
            <w:shd w:val="clear" w:color="auto" w:fill="auto"/>
            <w:noWrap/>
            <w:vAlign w:val="center"/>
            <w:hideMark/>
          </w:tcPr>
          <w:p w14:paraId="27E1B1C3" w14:textId="3A64F455"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4DEAB041" w14:textId="77777777" w:rsidTr="00F53C29">
        <w:trPr>
          <w:divId w:val="1628124034"/>
          <w:trHeight w:val="330"/>
        </w:trPr>
        <w:tc>
          <w:tcPr>
            <w:tcW w:w="2440" w:type="dxa"/>
            <w:tcBorders>
              <w:top w:val="nil"/>
              <w:left w:val="nil"/>
              <w:bottom w:val="double" w:sz="6" w:space="0" w:color="auto"/>
              <w:right w:val="nil"/>
            </w:tcBorders>
            <w:shd w:val="clear" w:color="auto" w:fill="auto"/>
            <w:noWrap/>
            <w:vAlign w:val="bottom"/>
            <w:hideMark/>
          </w:tcPr>
          <w:p w14:paraId="34E89FCF"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KS Ostrava</w:t>
            </w:r>
          </w:p>
        </w:tc>
        <w:tc>
          <w:tcPr>
            <w:tcW w:w="873" w:type="dxa"/>
            <w:tcBorders>
              <w:top w:val="nil"/>
              <w:left w:val="nil"/>
              <w:bottom w:val="double" w:sz="6" w:space="0" w:color="auto"/>
              <w:right w:val="nil"/>
            </w:tcBorders>
            <w:shd w:val="clear" w:color="auto" w:fill="auto"/>
            <w:noWrap/>
            <w:vAlign w:val="bottom"/>
            <w:hideMark/>
          </w:tcPr>
          <w:p w14:paraId="5B479CB8"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182</w:t>
            </w:r>
          </w:p>
        </w:tc>
        <w:tc>
          <w:tcPr>
            <w:tcW w:w="1343" w:type="dxa"/>
            <w:tcBorders>
              <w:top w:val="nil"/>
              <w:left w:val="nil"/>
              <w:bottom w:val="double" w:sz="6" w:space="0" w:color="auto"/>
              <w:right w:val="nil"/>
            </w:tcBorders>
            <w:shd w:val="clear" w:color="auto" w:fill="auto"/>
            <w:noWrap/>
            <w:vAlign w:val="center"/>
            <w:hideMark/>
          </w:tcPr>
          <w:p w14:paraId="6554147C" w14:textId="4DFE3972"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873" w:type="dxa"/>
            <w:tcBorders>
              <w:top w:val="nil"/>
              <w:left w:val="single" w:sz="4" w:space="0" w:color="auto"/>
              <w:bottom w:val="double" w:sz="6" w:space="0" w:color="auto"/>
              <w:right w:val="nil"/>
            </w:tcBorders>
            <w:shd w:val="clear" w:color="auto" w:fill="auto"/>
            <w:noWrap/>
            <w:vAlign w:val="bottom"/>
            <w:hideMark/>
          </w:tcPr>
          <w:p w14:paraId="65A2CA7D"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98</w:t>
            </w:r>
          </w:p>
        </w:tc>
        <w:tc>
          <w:tcPr>
            <w:tcW w:w="1175" w:type="dxa"/>
            <w:tcBorders>
              <w:top w:val="nil"/>
              <w:left w:val="nil"/>
              <w:bottom w:val="double" w:sz="6" w:space="0" w:color="auto"/>
              <w:right w:val="single" w:sz="4" w:space="0" w:color="auto"/>
            </w:tcBorders>
            <w:shd w:val="clear" w:color="auto" w:fill="auto"/>
            <w:noWrap/>
            <w:vAlign w:val="center"/>
            <w:hideMark/>
          </w:tcPr>
          <w:p w14:paraId="313EF766" w14:textId="2CEE98B7"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873" w:type="dxa"/>
            <w:tcBorders>
              <w:top w:val="nil"/>
              <w:left w:val="nil"/>
              <w:bottom w:val="double" w:sz="6" w:space="0" w:color="auto"/>
              <w:right w:val="nil"/>
            </w:tcBorders>
            <w:shd w:val="clear" w:color="auto" w:fill="auto"/>
            <w:noWrap/>
            <w:vAlign w:val="bottom"/>
            <w:hideMark/>
          </w:tcPr>
          <w:p w14:paraId="57A5E3A9"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445</w:t>
            </w:r>
          </w:p>
        </w:tc>
        <w:tc>
          <w:tcPr>
            <w:tcW w:w="1343" w:type="dxa"/>
            <w:tcBorders>
              <w:top w:val="nil"/>
              <w:left w:val="nil"/>
              <w:bottom w:val="double" w:sz="6" w:space="0" w:color="auto"/>
              <w:right w:val="nil"/>
            </w:tcBorders>
            <w:shd w:val="clear" w:color="auto" w:fill="auto"/>
            <w:noWrap/>
            <w:vAlign w:val="center"/>
            <w:hideMark/>
          </w:tcPr>
          <w:p w14:paraId="121BC1E9" w14:textId="58657733" w:rsidR="00F53C29" w:rsidRPr="00F85178" w:rsidRDefault="00F53C29" w:rsidP="00F53C29">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53C29" w:rsidRPr="00F85178" w14:paraId="7EB5723B" w14:textId="77777777" w:rsidTr="00F53C29">
        <w:trPr>
          <w:divId w:val="1628124034"/>
          <w:trHeight w:val="345"/>
        </w:trPr>
        <w:tc>
          <w:tcPr>
            <w:tcW w:w="2440" w:type="dxa"/>
            <w:tcBorders>
              <w:top w:val="nil"/>
              <w:left w:val="nil"/>
              <w:bottom w:val="double" w:sz="6" w:space="0" w:color="auto"/>
              <w:right w:val="nil"/>
            </w:tcBorders>
            <w:shd w:val="clear" w:color="auto" w:fill="auto"/>
            <w:noWrap/>
            <w:vAlign w:val="bottom"/>
            <w:hideMark/>
          </w:tcPr>
          <w:p w14:paraId="3F7898B0" w14:textId="77777777" w:rsidR="00F53C29" w:rsidRPr="00F85178" w:rsidRDefault="00F53C29" w:rsidP="00F53C29">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873" w:type="dxa"/>
            <w:tcBorders>
              <w:top w:val="nil"/>
              <w:left w:val="nil"/>
              <w:bottom w:val="double" w:sz="6" w:space="0" w:color="auto"/>
              <w:right w:val="nil"/>
            </w:tcBorders>
            <w:shd w:val="clear" w:color="auto" w:fill="auto"/>
            <w:noWrap/>
            <w:vAlign w:val="bottom"/>
            <w:hideMark/>
          </w:tcPr>
          <w:p w14:paraId="10866112"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202</w:t>
            </w:r>
          </w:p>
        </w:tc>
        <w:tc>
          <w:tcPr>
            <w:tcW w:w="1343" w:type="dxa"/>
            <w:tcBorders>
              <w:top w:val="nil"/>
              <w:left w:val="nil"/>
              <w:bottom w:val="double" w:sz="6" w:space="0" w:color="auto"/>
              <w:right w:val="nil"/>
            </w:tcBorders>
            <w:shd w:val="clear" w:color="auto" w:fill="auto"/>
            <w:noWrap/>
            <w:vAlign w:val="center"/>
            <w:hideMark/>
          </w:tcPr>
          <w:p w14:paraId="0E46ADCF" w14:textId="479ACDBF" w:rsidR="00F53C29" w:rsidRPr="00F85178" w:rsidRDefault="00F53C29" w:rsidP="00F53C29">
            <w:pPr>
              <w:spacing w:line="240" w:lineRule="auto"/>
              <w:jc w:val="center"/>
              <w:rPr>
                <w:rFonts w:eastAsia="Times New Roman"/>
                <w:b/>
                <w:bCs/>
                <w:sz w:val="20"/>
                <w:szCs w:val="20"/>
                <w:lang w:eastAsia="cs-CZ"/>
              </w:rPr>
            </w:pPr>
            <w:r w:rsidRPr="00F85178">
              <w:rPr>
                <w:rFonts w:eastAsia="Times New Roman"/>
                <w:b/>
                <w:bCs/>
                <w:sz w:val="20"/>
                <w:szCs w:val="20"/>
                <w:lang w:eastAsia="cs-CZ"/>
              </w:rPr>
              <w:t>+0 %</w:t>
            </w:r>
          </w:p>
        </w:tc>
        <w:tc>
          <w:tcPr>
            <w:tcW w:w="873" w:type="dxa"/>
            <w:tcBorders>
              <w:top w:val="nil"/>
              <w:left w:val="single" w:sz="4" w:space="0" w:color="auto"/>
              <w:bottom w:val="double" w:sz="6" w:space="0" w:color="auto"/>
              <w:right w:val="nil"/>
            </w:tcBorders>
            <w:shd w:val="clear" w:color="auto" w:fill="auto"/>
            <w:noWrap/>
            <w:vAlign w:val="bottom"/>
            <w:hideMark/>
          </w:tcPr>
          <w:p w14:paraId="48868F80"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94</w:t>
            </w:r>
          </w:p>
        </w:tc>
        <w:tc>
          <w:tcPr>
            <w:tcW w:w="1175" w:type="dxa"/>
            <w:tcBorders>
              <w:top w:val="nil"/>
              <w:left w:val="nil"/>
              <w:bottom w:val="double" w:sz="6" w:space="0" w:color="auto"/>
              <w:right w:val="single" w:sz="4" w:space="0" w:color="auto"/>
            </w:tcBorders>
            <w:shd w:val="clear" w:color="auto" w:fill="auto"/>
            <w:noWrap/>
            <w:vAlign w:val="center"/>
            <w:hideMark/>
          </w:tcPr>
          <w:p w14:paraId="6D3C0F44" w14:textId="18D3F9A5" w:rsidR="00F53C29" w:rsidRPr="00F85178" w:rsidRDefault="00F53C29" w:rsidP="00F53C29">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873" w:type="dxa"/>
            <w:tcBorders>
              <w:top w:val="nil"/>
              <w:left w:val="nil"/>
              <w:bottom w:val="double" w:sz="6" w:space="0" w:color="auto"/>
              <w:right w:val="nil"/>
            </w:tcBorders>
            <w:shd w:val="clear" w:color="auto" w:fill="auto"/>
            <w:noWrap/>
            <w:vAlign w:val="bottom"/>
            <w:hideMark/>
          </w:tcPr>
          <w:p w14:paraId="3422A7E1"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504</w:t>
            </w:r>
          </w:p>
        </w:tc>
        <w:tc>
          <w:tcPr>
            <w:tcW w:w="1343" w:type="dxa"/>
            <w:tcBorders>
              <w:top w:val="nil"/>
              <w:left w:val="nil"/>
              <w:bottom w:val="double" w:sz="6" w:space="0" w:color="auto"/>
              <w:right w:val="nil"/>
            </w:tcBorders>
            <w:shd w:val="clear" w:color="auto" w:fill="auto"/>
            <w:noWrap/>
            <w:vAlign w:val="center"/>
            <w:hideMark/>
          </w:tcPr>
          <w:p w14:paraId="308F261A" w14:textId="171CFFF1" w:rsidR="00F53C29" w:rsidRPr="00F85178" w:rsidRDefault="00F53C29" w:rsidP="00F53C29">
            <w:pPr>
              <w:spacing w:line="240" w:lineRule="auto"/>
              <w:jc w:val="center"/>
              <w:rPr>
                <w:rFonts w:eastAsia="Times New Roman"/>
                <w:b/>
                <w:bCs/>
                <w:sz w:val="20"/>
                <w:szCs w:val="20"/>
                <w:lang w:eastAsia="cs-CZ"/>
              </w:rPr>
            </w:pPr>
            <w:r w:rsidRPr="00F85178">
              <w:rPr>
                <w:rFonts w:eastAsia="Times New Roman"/>
                <w:b/>
                <w:bCs/>
                <w:sz w:val="20"/>
                <w:szCs w:val="20"/>
                <w:lang w:eastAsia="cs-CZ"/>
              </w:rPr>
              <w:t>+1 %</w:t>
            </w:r>
          </w:p>
        </w:tc>
      </w:tr>
    </w:tbl>
    <w:p w14:paraId="11EC49E2" w14:textId="77777777" w:rsidR="003A60FF" w:rsidRPr="00F85178" w:rsidRDefault="003A60FF">
      <w:pPr>
        <w:spacing w:line="240" w:lineRule="auto"/>
        <w:jc w:val="left"/>
      </w:pPr>
    </w:p>
    <w:p w14:paraId="30DB0DBD" w14:textId="77777777" w:rsidR="00A32F74" w:rsidRPr="00F85178" w:rsidRDefault="00A32F74" w:rsidP="00A32F74">
      <w:pPr>
        <w:pStyle w:val="Podtitul"/>
        <w:rPr>
          <w:color w:val="auto"/>
        </w:rPr>
      </w:pPr>
      <w:bookmarkStart w:id="189" w:name="_Toc515871350"/>
      <w:bookmarkStart w:id="190" w:name="_Toc11135085"/>
      <w:bookmarkStart w:id="191" w:name="_Toc1383751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24</w:t>
      </w:r>
      <w:r w:rsidRPr="00F85178">
        <w:rPr>
          <w:noProof/>
          <w:color w:val="auto"/>
        </w:rPr>
        <w:fldChar w:fldCharType="end"/>
      </w:r>
      <w:r w:rsidRPr="00F85178">
        <w:rPr>
          <w:color w:val="auto"/>
        </w:rPr>
        <w:t>: OS – mediánové délky trestního řízení u jednotlivých soudů</w:t>
      </w:r>
      <w:bookmarkEnd w:id="189"/>
      <w:bookmarkEnd w:id="190"/>
      <w:bookmarkEnd w:id="191"/>
    </w:p>
    <w:p w14:paraId="5EAACCB2" w14:textId="77777777" w:rsidR="00A32F74" w:rsidRPr="00F85178" w:rsidRDefault="00890295">
      <w:pPr>
        <w:spacing w:line="240" w:lineRule="auto"/>
        <w:jc w:val="left"/>
      </w:pPr>
      <w:r>
        <w:rPr>
          <w:noProof/>
          <w:lang w:eastAsia="cs-CZ"/>
        </w:rPr>
        <w:drawing>
          <wp:anchor distT="0" distB="0" distL="114300" distR="114300" simplePos="0" relativeHeight="251655680" behindDoc="0" locked="0" layoutInCell="1" allowOverlap="1" wp14:anchorId="6CE29600" wp14:editId="60356053">
            <wp:simplePos x="0" y="0"/>
            <wp:positionH relativeFrom="margin">
              <wp:posOffset>4567555</wp:posOffset>
            </wp:positionH>
            <wp:positionV relativeFrom="paragraph">
              <wp:posOffset>46299</wp:posOffset>
            </wp:positionV>
            <wp:extent cx="1144905" cy="838200"/>
            <wp:effectExtent l="0" t="0" r="0" b="0"/>
            <wp:wrapNone/>
            <wp:docPr id="115" name="Obrázek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7"/>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1144905" cy="8382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0D9BA0D5" wp14:editId="2675B20B">
            <wp:extent cx="5759450" cy="3329940"/>
            <wp:effectExtent l="0" t="0" r="0" b="0"/>
            <wp:docPr id="25" name="Obrázek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6"/>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597BBBFA" w14:textId="77777777" w:rsidR="00A32F74" w:rsidRPr="00F85178" w:rsidRDefault="00A32F74">
      <w:pPr>
        <w:spacing w:line="240" w:lineRule="auto"/>
        <w:jc w:val="left"/>
      </w:pPr>
    </w:p>
    <w:p w14:paraId="7AE75490" w14:textId="77777777" w:rsidR="00A32F74" w:rsidRPr="00F85178" w:rsidRDefault="00DA6F03" w:rsidP="00DA6F03">
      <w:pPr>
        <w:pStyle w:val="OdstavecASR"/>
      </w:pPr>
      <w:r w:rsidRPr="00F85178">
        <w:t>Nejdelší délky řízení vykazují stejně jako u civilního řízení</w:t>
      </w:r>
      <w:r w:rsidRPr="00F85178" w:rsidDel="00120082">
        <w:t xml:space="preserve"> </w:t>
      </w:r>
      <w:r w:rsidRPr="00F85178">
        <w:t xml:space="preserve">okresních soudy v Severočeském kraji, určité problémy lze také zaznamenat v kraji Západočeském. Délky řízení u okresních soudů v ostatních krajích jsou poměrně vyrovnané. Tři soudy s nejkratší mediánovou délkou řízení jsou OS </w:t>
      </w:r>
      <w:r w:rsidR="0075158A" w:rsidRPr="00F85178">
        <w:t xml:space="preserve">Svitavy </w:t>
      </w:r>
      <w:r w:rsidRPr="00F85178">
        <w:t>(</w:t>
      </w:r>
      <w:r w:rsidR="0075158A" w:rsidRPr="00F85178">
        <w:t>40</w:t>
      </w:r>
      <w:r w:rsidRPr="00F85178">
        <w:t xml:space="preserve"> dnů), OS </w:t>
      </w:r>
      <w:r w:rsidR="0075158A" w:rsidRPr="00F85178">
        <w:t xml:space="preserve">Kutná Hora </w:t>
      </w:r>
      <w:r w:rsidRPr="00F85178">
        <w:t>(</w:t>
      </w:r>
      <w:r w:rsidR="0075158A" w:rsidRPr="00F85178">
        <w:t>42</w:t>
      </w:r>
      <w:r w:rsidRPr="00F85178">
        <w:t xml:space="preserve"> dnů) a OS </w:t>
      </w:r>
      <w:r w:rsidR="0075158A" w:rsidRPr="00F85178">
        <w:t xml:space="preserve">Benešov </w:t>
      </w:r>
      <w:r w:rsidRPr="00F85178">
        <w:t>(4</w:t>
      </w:r>
      <w:r w:rsidR="0075158A" w:rsidRPr="00F85178">
        <w:t>3</w:t>
      </w:r>
      <w:r w:rsidRPr="00F85178">
        <w:t xml:space="preserve"> dnů). Délky řízení u nejpomalejších soudů jsou asi </w:t>
      </w:r>
      <w:r w:rsidR="0075158A" w:rsidRPr="00F85178">
        <w:t xml:space="preserve">šestkrát až sedmkrát </w:t>
      </w:r>
      <w:r w:rsidRPr="00F85178">
        <w:t>větší – OS Ústí nad Labem (</w:t>
      </w:r>
      <w:r w:rsidR="00A07007" w:rsidRPr="00F85178">
        <w:t>274 </w:t>
      </w:r>
      <w:r w:rsidRPr="00F85178">
        <w:t xml:space="preserve">dnů), OS </w:t>
      </w:r>
      <w:r w:rsidR="00A07007" w:rsidRPr="00F85178">
        <w:t xml:space="preserve">Liberec </w:t>
      </w:r>
      <w:r w:rsidRPr="00F85178">
        <w:t>(</w:t>
      </w:r>
      <w:r w:rsidR="00A07007" w:rsidRPr="00F85178">
        <w:t>255</w:t>
      </w:r>
      <w:r w:rsidRPr="00F85178">
        <w:t> dnů) a OS</w:t>
      </w:r>
      <w:r w:rsidR="0075158A" w:rsidRPr="00F85178">
        <w:t xml:space="preserve"> </w:t>
      </w:r>
      <w:r w:rsidR="00A07007" w:rsidRPr="00F85178">
        <w:t>Jeseník</w:t>
      </w:r>
      <w:r w:rsidRPr="00F85178">
        <w:t xml:space="preserve"> (</w:t>
      </w:r>
      <w:r w:rsidR="00A07007" w:rsidRPr="00F85178">
        <w:t>237</w:t>
      </w:r>
      <w:r w:rsidRPr="00F85178">
        <w:t> dnů).</w:t>
      </w:r>
    </w:p>
    <w:p w14:paraId="17A403FD" w14:textId="77777777" w:rsidR="00A32F74" w:rsidRPr="00F85178" w:rsidRDefault="00A32F74">
      <w:pPr>
        <w:spacing w:line="240" w:lineRule="auto"/>
        <w:jc w:val="left"/>
      </w:pPr>
    </w:p>
    <w:p w14:paraId="0A39B524" w14:textId="77777777" w:rsidR="00A32F74" w:rsidRPr="00F85178" w:rsidRDefault="00A32F74" w:rsidP="00A32F74">
      <w:pPr>
        <w:pStyle w:val="Podtitul"/>
        <w:rPr>
          <w:color w:val="auto"/>
        </w:rPr>
      </w:pPr>
      <w:bookmarkStart w:id="192" w:name="_Toc515871351"/>
      <w:bookmarkStart w:id="193" w:name="_Toc11135086"/>
      <w:bookmarkStart w:id="194" w:name="_Toc1383751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25</w:t>
      </w:r>
      <w:r w:rsidRPr="00F85178">
        <w:rPr>
          <w:noProof/>
          <w:color w:val="auto"/>
        </w:rPr>
        <w:fldChar w:fldCharType="end"/>
      </w:r>
      <w:r w:rsidRPr="00F85178">
        <w:rPr>
          <w:color w:val="auto"/>
        </w:rPr>
        <w:t>: OS – krabicové grafy, mediánové délky trestního řízení</w:t>
      </w:r>
      <w:bookmarkEnd w:id="192"/>
      <w:bookmarkEnd w:id="193"/>
      <w:bookmarkEnd w:id="194"/>
    </w:p>
    <w:p w14:paraId="62E6CA57" w14:textId="77777777" w:rsidR="00A32F74" w:rsidRPr="00F85178" w:rsidRDefault="00890295">
      <w:pPr>
        <w:spacing w:line="240" w:lineRule="auto"/>
        <w:jc w:val="left"/>
      </w:pPr>
      <w:r>
        <w:rPr>
          <w:noProof/>
          <w:lang w:eastAsia="cs-CZ"/>
        </w:rPr>
        <w:drawing>
          <wp:inline distT="0" distB="0" distL="0" distR="0" wp14:anchorId="0C3C1F59" wp14:editId="798B5A84">
            <wp:extent cx="5118100" cy="3746500"/>
            <wp:effectExtent l="0" t="0" r="0" b="0"/>
            <wp:docPr id="26" name="Obrázek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AED6883" w14:textId="77777777" w:rsidR="00A32F74" w:rsidRPr="00F85178" w:rsidRDefault="00A32F74">
      <w:pPr>
        <w:spacing w:line="240" w:lineRule="auto"/>
        <w:jc w:val="left"/>
      </w:pPr>
    </w:p>
    <w:p w14:paraId="10CF3B91" w14:textId="77777777" w:rsidR="00DA6F03" w:rsidRPr="00F85178" w:rsidRDefault="00DA6F03" w:rsidP="00DA6F03">
      <w:pPr>
        <w:pStyle w:val="OdstavecASR"/>
      </w:pPr>
      <w:r w:rsidRPr="00F85178">
        <w:t xml:space="preserve">Z krabicového grafu vidíme, že rozdíly mezi soudy se v posledních letech příliš nemění. </w:t>
      </w:r>
      <w:r w:rsidR="00BB7639" w:rsidRPr="00F85178">
        <w:t xml:space="preserve">V roce 2018 </w:t>
      </w:r>
      <w:r w:rsidR="007D3649" w:rsidRPr="00F85178">
        <w:t xml:space="preserve">však přeci </w:t>
      </w:r>
      <w:r w:rsidR="00BB7639" w:rsidRPr="00F85178">
        <w:t>jen došlo k</w:t>
      </w:r>
      <w:r w:rsidR="00964E10" w:rsidRPr="00F85178">
        <w:t>e</w:t>
      </w:r>
      <w:r w:rsidR="00BB7639" w:rsidRPr="00F85178">
        <w:t xml:space="preserve"> zlepšení u nejpomalejších soudů, kdy se </w:t>
      </w:r>
      <w:r w:rsidR="00964E10" w:rsidRPr="00F85178">
        <w:t>odlehlé hodnoty</w:t>
      </w:r>
      <w:r w:rsidR="00BB7639" w:rsidRPr="00F85178">
        <w:t xml:space="preserve"> přiblížily „ke krabici“.</w:t>
      </w:r>
    </w:p>
    <w:p w14:paraId="792CD235" w14:textId="77777777" w:rsidR="00DA6F03" w:rsidRPr="00F85178" w:rsidRDefault="00DA6F03" w:rsidP="00DA6F03">
      <w:pPr>
        <w:pStyle w:val="OdstavecASR"/>
      </w:pPr>
      <w:r w:rsidRPr="00F85178">
        <w:t>Při pohledu na délky řízení by se mohlo zdát, že se situace v trestním řízení nelepší. Z další kapitoly o vyřizování věcí v přepočtu na soudce ale vyplývá, že se situace pomalu zlepšuje i na trestním úseku OS. Zmenšují se totiž především rozdíly v počtu nedodělků.</w:t>
      </w:r>
    </w:p>
    <w:p w14:paraId="478945B9" w14:textId="77777777" w:rsidR="00DA6F03" w:rsidRPr="00F85178" w:rsidRDefault="00DA6F03" w:rsidP="00DA6F03">
      <w:pPr>
        <w:pStyle w:val="OdstavecASR"/>
      </w:pPr>
      <w:r w:rsidRPr="00F85178">
        <w:t>Zajímavá je také otázka, které trestné činy soudy vyřizují nejdéle. Odpověď lze najít v následující tabulce. V tabulce jsou uvedeny délky řízení (opět medián, průměr a percentil 90) pro jednotlivé hlavy trestního zákoníku. Stále platí, že data jsou očištěna o věci vyřízené trestním příkazem.</w:t>
      </w:r>
    </w:p>
    <w:p w14:paraId="78449774" w14:textId="58EAA3E0" w:rsidR="00DA6F03" w:rsidRPr="00F85178" w:rsidRDefault="00DA6F03" w:rsidP="00DA6F03">
      <w:pPr>
        <w:pStyle w:val="OdstavecASR"/>
      </w:pPr>
      <w:r w:rsidRPr="00F85178">
        <w:t xml:space="preserve">Nejvyšší mediánovou délku řízení </w:t>
      </w:r>
      <w:r w:rsidR="00FA10D6">
        <w:t xml:space="preserve">a nejvyšší průměr </w:t>
      </w:r>
      <w:r w:rsidRPr="00F85178">
        <w:t>mají trestné činy</w:t>
      </w:r>
      <w:r w:rsidR="0045086B">
        <w:t xml:space="preserve"> </w:t>
      </w:r>
      <w:r w:rsidR="00FA10D6">
        <w:t>proti branné povinnosti</w:t>
      </w:r>
      <w:r w:rsidRPr="00F85178">
        <w:t>, zatímco percentil 90 je vykázán u trestných činů proti životnímu prostředí</w:t>
      </w:r>
      <w:r w:rsidR="00FA10D6">
        <w:t xml:space="preserve"> a u trestných činů vojenských</w:t>
      </w:r>
      <w:r w:rsidRPr="00F85178">
        <w:t>. Trestné činy spadajících do těchto hlav se ale vyskytují vzácně, a výsledky jsou tedy silně ovlivněny malým počtem pozorování. Soudům také dlouho trvá vyřídit hospodářské trestné činy. Tento výsledek je poměrně intuitivní. Rozřešit hospodářskou kriminalitu bývá poměrně náročné už u věcí, které věcně spadají do příslušnosti okresních soudů. U krajských soudů je tato agenda samozřejmě ještě výrazně složitější.</w:t>
      </w:r>
    </w:p>
    <w:p w14:paraId="7A7347C1" w14:textId="70225497" w:rsidR="00964E10" w:rsidRPr="00F85178" w:rsidRDefault="00DA6F03" w:rsidP="003234C3">
      <w:pPr>
        <w:pStyle w:val="OdstavecASR"/>
      </w:pPr>
      <w:r w:rsidRPr="00F85178">
        <w:t>Naopak nejrychleji soudy vyřizují trestné činy proti pořádku ve věcech veřejných</w:t>
      </w:r>
      <w:r w:rsidR="00FA10D6">
        <w:t xml:space="preserve"> a tres</w:t>
      </w:r>
      <w:r w:rsidR="0045086B">
        <w:t>t</w:t>
      </w:r>
      <w:r w:rsidR="00FA10D6">
        <w:t>né činy obecně nebezpečné</w:t>
      </w:r>
      <w:r w:rsidRPr="00F85178">
        <w:t xml:space="preserve">. To plyne především z toho, že do hlavy </w:t>
      </w:r>
      <w:r w:rsidR="00FA10D6">
        <w:t xml:space="preserve">trestné činy proti pořádku ve věcech veřejných </w:t>
      </w:r>
      <w:r w:rsidRPr="00F85178">
        <w:t xml:space="preserve">spadá trestný čin </w:t>
      </w:r>
      <w:r w:rsidRPr="00F85178">
        <w:rPr>
          <w:i/>
        </w:rPr>
        <w:t>maření výkonu úředního rozhodnutí a vykázání</w:t>
      </w:r>
      <w:r w:rsidRPr="00F85178">
        <w:t>. Jedná se o velmi častý trestný čin, který má tak velký vliv na celkovou vypočítanou délku řízení v této hlavě. Ve většině těchto případů není příliš náročné rozhodnut o vině či nevině obžalovaného.</w:t>
      </w:r>
      <w:bookmarkStart w:id="195" w:name="_Toc515871452"/>
    </w:p>
    <w:p w14:paraId="3394B8D1" w14:textId="77777777" w:rsidR="003547EB" w:rsidRPr="00F85178" w:rsidRDefault="003547EB" w:rsidP="0075158A">
      <w:pPr>
        <w:spacing w:line="240" w:lineRule="auto"/>
        <w:rPr>
          <w:rStyle w:val="OdstavecASRChar"/>
        </w:rPr>
      </w:pPr>
    </w:p>
    <w:p w14:paraId="6B82ED95" w14:textId="77777777" w:rsidR="00F53C29" w:rsidRPr="00F85178" w:rsidRDefault="003A60FF" w:rsidP="00964E10">
      <w:pPr>
        <w:pStyle w:val="Podtitul"/>
        <w:rPr>
          <w:rFonts w:ascii="Calibri" w:hAnsi="Calibri"/>
          <w:color w:val="auto"/>
          <w:sz w:val="20"/>
          <w:szCs w:val="20"/>
          <w:lang w:eastAsia="cs-CZ"/>
        </w:rPr>
      </w:pPr>
      <w:bookmarkStart w:id="196" w:name="_Toc11133220"/>
      <w:bookmarkStart w:id="197" w:name="_Toc13837441"/>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18</w:t>
      </w:r>
      <w:r w:rsidR="00D842DE" w:rsidRPr="00F85178">
        <w:rPr>
          <w:noProof/>
          <w:color w:val="auto"/>
        </w:rPr>
        <w:fldChar w:fldCharType="end"/>
      </w:r>
      <w:r w:rsidRPr="00F85178">
        <w:rPr>
          <w:color w:val="auto"/>
        </w:rPr>
        <w:t>: OS – délky trestního řízení dle hlav trestního zákoníku</w:t>
      </w:r>
      <w:bookmarkEnd w:id="195"/>
      <w:bookmarkEnd w:id="196"/>
      <w:bookmarkEnd w:id="197"/>
    </w:p>
    <w:tbl>
      <w:tblPr>
        <w:tblW w:w="8440" w:type="dxa"/>
        <w:tblCellMar>
          <w:left w:w="70" w:type="dxa"/>
          <w:right w:w="70" w:type="dxa"/>
        </w:tblCellMar>
        <w:tblLook w:val="04A0" w:firstRow="1" w:lastRow="0" w:firstColumn="1" w:lastColumn="0" w:noHBand="0" w:noVBand="1"/>
      </w:tblPr>
      <w:tblGrid>
        <w:gridCol w:w="1483"/>
        <w:gridCol w:w="2937"/>
        <w:gridCol w:w="1127"/>
        <w:gridCol w:w="1154"/>
        <w:gridCol w:w="1739"/>
      </w:tblGrid>
      <w:tr w:rsidR="00F85178" w:rsidRPr="00F85178" w14:paraId="09E20C47" w14:textId="77777777" w:rsidTr="00F53C29">
        <w:trPr>
          <w:divId w:val="1537156651"/>
          <w:trHeight w:val="330"/>
        </w:trPr>
        <w:tc>
          <w:tcPr>
            <w:tcW w:w="1483" w:type="dxa"/>
            <w:vMerge w:val="restart"/>
            <w:tcBorders>
              <w:top w:val="double" w:sz="6" w:space="0" w:color="auto"/>
              <w:left w:val="nil"/>
              <w:bottom w:val="double" w:sz="6" w:space="0" w:color="000000"/>
              <w:right w:val="nil"/>
            </w:tcBorders>
            <w:shd w:val="clear" w:color="auto" w:fill="auto"/>
            <w:noWrap/>
            <w:vAlign w:val="center"/>
            <w:hideMark/>
          </w:tcPr>
          <w:p w14:paraId="18E16E28" w14:textId="77777777" w:rsidR="00F53C29" w:rsidRPr="00F85178" w:rsidRDefault="00F53C29" w:rsidP="00F53C29">
            <w:pPr>
              <w:jc w:val="center"/>
              <w:rPr>
                <w:rFonts w:eastAsia="Times New Roman"/>
                <w:b/>
                <w:bCs/>
                <w:szCs w:val="24"/>
                <w:lang w:eastAsia="cs-CZ"/>
              </w:rPr>
            </w:pPr>
            <w:r w:rsidRPr="00F85178">
              <w:rPr>
                <w:rFonts w:eastAsia="Times New Roman"/>
                <w:b/>
                <w:bCs/>
                <w:szCs w:val="24"/>
                <w:lang w:eastAsia="cs-CZ"/>
              </w:rPr>
              <w:t>Hlava</w:t>
            </w:r>
          </w:p>
        </w:tc>
        <w:tc>
          <w:tcPr>
            <w:tcW w:w="2937" w:type="dxa"/>
            <w:vMerge w:val="restart"/>
            <w:tcBorders>
              <w:top w:val="double" w:sz="6" w:space="0" w:color="auto"/>
              <w:left w:val="nil"/>
              <w:bottom w:val="double" w:sz="6" w:space="0" w:color="000000"/>
              <w:right w:val="nil"/>
            </w:tcBorders>
            <w:shd w:val="clear" w:color="auto" w:fill="auto"/>
            <w:vAlign w:val="center"/>
            <w:hideMark/>
          </w:tcPr>
          <w:p w14:paraId="1B4BC648"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020" w:type="dxa"/>
            <w:gridSpan w:val="3"/>
            <w:tcBorders>
              <w:top w:val="double" w:sz="6" w:space="0" w:color="auto"/>
              <w:left w:val="nil"/>
              <w:bottom w:val="nil"/>
              <w:right w:val="nil"/>
            </w:tcBorders>
            <w:shd w:val="clear" w:color="auto" w:fill="auto"/>
            <w:noWrap/>
            <w:vAlign w:val="center"/>
            <w:hideMark/>
          </w:tcPr>
          <w:p w14:paraId="45027227"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09670032" w14:textId="77777777" w:rsidTr="00F53C29">
        <w:trPr>
          <w:divId w:val="1537156651"/>
          <w:trHeight w:val="330"/>
        </w:trPr>
        <w:tc>
          <w:tcPr>
            <w:tcW w:w="1483" w:type="dxa"/>
            <w:vMerge/>
            <w:tcBorders>
              <w:top w:val="double" w:sz="6" w:space="0" w:color="auto"/>
              <w:left w:val="nil"/>
              <w:bottom w:val="double" w:sz="6" w:space="0" w:color="000000"/>
              <w:right w:val="nil"/>
            </w:tcBorders>
            <w:vAlign w:val="center"/>
            <w:hideMark/>
          </w:tcPr>
          <w:p w14:paraId="3FFDA58F" w14:textId="77777777" w:rsidR="00F53C29" w:rsidRPr="00F85178" w:rsidRDefault="00F53C29" w:rsidP="00F53C29">
            <w:pPr>
              <w:spacing w:line="240" w:lineRule="auto"/>
              <w:jc w:val="left"/>
              <w:rPr>
                <w:rFonts w:eastAsia="Times New Roman"/>
                <w:b/>
                <w:bCs/>
                <w:szCs w:val="24"/>
                <w:lang w:eastAsia="cs-CZ"/>
              </w:rPr>
            </w:pPr>
          </w:p>
        </w:tc>
        <w:tc>
          <w:tcPr>
            <w:tcW w:w="2937" w:type="dxa"/>
            <w:vMerge/>
            <w:tcBorders>
              <w:top w:val="double" w:sz="6" w:space="0" w:color="auto"/>
              <w:left w:val="nil"/>
              <w:bottom w:val="double" w:sz="6" w:space="0" w:color="000000"/>
              <w:right w:val="nil"/>
            </w:tcBorders>
            <w:vAlign w:val="center"/>
            <w:hideMark/>
          </w:tcPr>
          <w:p w14:paraId="00C52769" w14:textId="77777777" w:rsidR="00F53C29" w:rsidRPr="00F85178" w:rsidRDefault="00F53C29" w:rsidP="00F53C29">
            <w:pPr>
              <w:spacing w:line="240" w:lineRule="auto"/>
              <w:jc w:val="left"/>
              <w:rPr>
                <w:rFonts w:eastAsia="Times New Roman"/>
                <w:b/>
                <w:bCs/>
                <w:szCs w:val="24"/>
                <w:lang w:eastAsia="cs-CZ"/>
              </w:rPr>
            </w:pPr>
          </w:p>
        </w:tc>
        <w:tc>
          <w:tcPr>
            <w:tcW w:w="1127" w:type="dxa"/>
            <w:tcBorders>
              <w:top w:val="nil"/>
              <w:left w:val="nil"/>
              <w:bottom w:val="double" w:sz="6" w:space="0" w:color="auto"/>
              <w:right w:val="nil"/>
            </w:tcBorders>
            <w:shd w:val="clear" w:color="auto" w:fill="auto"/>
            <w:noWrap/>
            <w:vAlign w:val="center"/>
            <w:hideMark/>
          </w:tcPr>
          <w:p w14:paraId="26858D0F"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154" w:type="dxa"/>
            <w:tcBorders>
              <w:top w:val="nil"/>
              <w:left w:val="nil"/>
              <w:bottom w:val="double" w:sz="6" w:space="0" w:color="auto"/>
              <w:right w:val="nil"/>
            </w:tcBorders>
            <w:shd w:val="clear" w:color="auto" w:fill="auto"/>
            <w:noWrap/>
            <w:vAlign w:val="center"/>
            <w:hideMark/>
          </w:tcPr>
          <w:p w14:paraId="6C814ED7"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739" w:type="dxa"/>
            <w:tcBorders>
              <w:top w:val="nil"/>
              <w:left w:val="nil"/>
              <w:bottom w:val="double" w:sz="6" w:space="0" w:color="auto"/>
              <w:right w:val="nil"/>
            </w:tcBorders>
            <w:shd w:val="clear" w:color="auto" w:fill="auto"/>
            <w:noWrap/>
            <w:vAlign w:val="center"/>
            <w:hideMark/>
          </w:tcPr>
          <w:p w14:paraId="37BA8402" w14:textId="77777777" w:rsidR="00F53C29" w:rsidRPr="00F85178" w:rsidRDefault="00F53C29" w:rsidP="00F53C29">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79473A09" w14:textId="77777777" w:rsidTr="00F53C29">
        <w:trPr>
          <w:divId w:val="1537156651"/>
          <w:trHeight w:val="330"/>
        </w:trPr>
        <w:tc>
          <w:tcPr>
            <w:tcW w:w="1483" w:type="dxa"/>
            <w:tcBorders>
              <w:top w:val="nil"/>
              <w:left w:val="nil"/>
              <w:bottom w:val="single" w:sz="4" w:space="0" w:color="auto"/>
              <w:right w:val="nil"/>
            </w:tcBorders>
            <w:shd w:val="clear" w:color="auto" w:fill="auto"/>
            <w:noWrap/>
            <w:vAlign w:val="center"/>
            <w:hideMark/>
          </w:tcPr>
          <w:p w14:paraId="4F7F2BD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I</w:t>
            </w:r>
          </w:p>
        </w:tc>
        <w:tc>
          <w:tcPr>
            <w:tcW w:w="2937" w:type="dxa"/>
            <w:tcBorders>
              <w:top w:val="nil"/>
              <w:left w:val="nil"/>
              <w:bottom w:val="single" w:sz="4" w:space="0" w:color="auto"/>
              <w:right w:val="nil"/>
            </w:tcBorders>
            <w:shd w:val="clear" w:color="auto" w:fill="auto"/>
            <w:vAlign w:val="center"/>
            <w:hideMark/>
          </w:tcPr>
          <w:p w14:paraId="5CC2DC35"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1127" w:type="dxa"/>
            <w:tcBorders>
              <w:top w:val="nil"/>
              <w:left w:val="nil"/>
              <w:bottom w:val="single" w:sz="4" w:space="0" w:color="auto"/>
              <w:right w:val="nil"/>
            </w:tcBorders>
            <w:shd w:val="clear" w:color="auto" w:fill="auto"/>
            <w:noWrap/>
            <w:vAlign w:val="center"/>
            <w:hideMark/>
          </w:tcPr>
          <w:p w14:paraId="3A86C10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219</w:t>
            </w:r>
          </w:p>
        </w:tc>
        <w:tc>
          <w:tcPr>
            <w:tcW w:w="1154" w:type="dxa"/>
            <w:tcBorders>
              <w:top w:val="nil"/>
              <w:left w:val="nil"/>
              <w:bottom w:val="single" w:sz="4" w:space="0" w:color="auto"/>
              <w:right w:val="nil"/>
            </w:tcBorders>
            <w:shd w:val="clear" w:color="auto" w:fill="auto"/>
            <w:noWrap/>
            <w:vAlign w:val="center"/>
            <w:hideMark/>
          </w:tcPr>
          <w:p w14:paraId="5EA93430"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107</w:t>
            </w:r>
          </w:p>
        </w:tc>
        <w:tc>
          <w:tcPr>
            <w:tcW w:w="1739" w:type="dxa"/>
            <w:tcBorders>
              <w:top w:val="nil"/>
              <w:left w:val="nil"/>
              <w:bottom w:val="single" w:sz="4" w:space="0" w:color="auto"/>
              <w:right w:val="nil"/>
            </w:tcBorders>
            <w:shd w:val="clear" w:color="auto" w:fill="auto"/>
            <w:noWrap/>
            <w:vAlign w:val="center"/>
            <w:hideMark/>
          </w:tcPr>
          <w:p w14:paraId="1C440A2E"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588</w:t>
            </w:r>
          </w:p>
        </w:tc>
      </w:tr>
      <w:tr w:rsidR="00F85178" w:rsidRPr="00F85178" w14:paraId="67D5369F" w14:textId="77777777" w:rsidTr="00F53C29">
        <w:trPr>
          <w:divId w:val="1537156651"/>
          <w:trHeight w:val="945"/>
        </w:trPr>
        <w:tc>
          <w:tcPr>
            <w:tcW w:w="1483" w:type="dxa"/>
            <w:tcBorders>
              <w:top w:val="nil"/>
              <w:left w:val="nil"/>
              <w:bottom w:val="single" w:sz="4" w:space="0" w:color="auto"/>
              <w:right w:val="nil"/>
            </w:tcBorders>
            <w:shd w:val="clear" w:color="auto" w:fill="auto"/>
            <w:noWrap/>
            <w:vAlign w:val="center"/>
            <w:hideMark/>
          </w:tcPr>
          <w:p w14:paraId="3C8A555E"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II</w:t>
            </w:r>
          </w:p>
        </w:tc>
        <w:tc>
          <w:tcPr>
            <w:tcW w:w="2937" w:type="dxa"/>
            <w:tcBorders>
              <w:top w:val="nil"/>
              <w:left w:val="nil"/>
              <w:bottom w:val="single" w:sz="4" w:space="0" w:color="auto"/>
              <w:right w:val="nil"/>
            </w:tcBorders>
            <w:shd w:val="clear" w:color="auto" w:fill="auto"/>
            <w:vAlign w:val="center"/>
            <w:hideMark/>
          </w:tcPr>
          <w:p w14:paraId="21F9D8C8"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1127" w:type="dxa"/>
            <w:tcBorders>
              <w:top w:val="nil"/>
              <w:left w:val="nil"/>
              <w:bottom w:val="single" w:sz="4" w:space="0" w:color="auto"/>
              <w:right w:val="nil"/>
            </w:tcBorders>
            <w:shd w:val="clear" w:color="auto" w:fill="auto"/>
            <w:noWrap/>
            <w:vAlign w:val="center"/>
            <w:hideMark/>
          </w:tcPr>
          <w:p w14:paraId="08FE3E2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218</w:t>
            </w:r>
          </w:p>
        </w:tc>
        <w:tc>
          <w:tcPr>
            <w:tcW w:w="1154" w:type="dxa"/>
            <w:tcBorders>
              <w:top w:val="nil"/>
              <w:left w:val="nil"/>
              <w:bottom w:val="single" w:sz="4" w:space="0" w:color="auto"/>
              <w:right w:val="nil"/>
            </w:tcBorders>
            <w:shd w:val="clear" w:color="auto" w:fill="auto"/>
            <w:noWrap/>
            <w:vAlign w:val="center"/>
            <w:hideMark/>
          </w:tcPr>
          <w:p w14:paraId="1CA27126"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110</w:t>
            </w:r>
          </w:p>
        </w:tc>
        <w:tc>
          <w:tcPr>
            <w:tcW w:w="1739" w:type="dxa"/>
            <w:tcBorders>
              <w:top w:val="nil"/>
              <w:left w:val="nil"/>
              <w:bottom w:val="single" w:sz="4" w:space="0" w:color="auto"/>
              <w:right w:val="nil"/>
            </w:tcBorders>
            <w:shd w:val="clear" w:color="auto" w:fill="auto"/>
            <w:noWrap/>
            <w:vAlign w:val="center"/>
            <w:hideMark/>
          </w:tcPr>
          <w:p w14:paraId="1EDB8DA2"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540</w:t>
            </w:r>
          </w:p>
        </w:tc>
      </w:tr>
      <w:tr w:rsidR="00F85178" w:rsidRPr="00F85178" w14:paraId="4EDAA272" w14:textId="77777777" w:rsidTr="00F53C29">
        <w:trPr>
          <w:divId w:val="1537156651"/>
          <w:trHeight w:val="630"/>
        </w:trPr>
        <w:tc>
          <w:tcPr>
            <w:tcW w:w="1483" w:type="dxa"/>
            <w:tcBorders>
              <w:top w:val="nil"/>
              <w:left w:val="nil"/>
              <w:bottom w:val="single" w:sz="4" w:space="0" w:color="auto"/>
              <w:right w:val="nil"/>
            </w:tcBorders>
            <w:shd w:val="clear" w:color="auto" w:fill="auto"/>
            <w:noWrap/>
            <w:vAlign w:val="center"/>
            <w:hideMark/>
          </w:tcPr>
          <w:p w14:paraId="799D697E"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III</w:t>
            </w:r>
          </w:p>
        </w:tc>
        <w:tc>
          <w:tcPr>
            <w:tcW w:w="2937" w:type="dxa"/>
            <w:tcBorders>
              <w:top w:val="nil"/>
              <w:left w:val="nil"/>
              <w:bottom w:val="single" w:sz="4" w:space="0" w:color="auto"/>
              <w:right w:val="nil"/>
            </w:tcBorders>
            <w:shd w:val="clear" w:color="auto" w:fill="auto"/>
            <w:vAlign w:val="center"/>
            <w:hideMark/>
          </w:tcPr>
          <w:p w14:paraId="26E51105"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1127" w:type="dxa"/>
            <w:tcBorders>
              <w:top w:val="nil"/>
              <w:left w:val="nil"/>
              <w:bottom w:val="single" w:sz="4" w:space="0" w:color="auto"/>
              <w:right w:val="nil"/>
            </w:tcBorders>
            <w:shd w:val="clear" w:color="auto" w:fill="auto"/>
            <w:noWrap/>
            <w:vAlign w:val="center"/>
            <w:hideMark/>
          </w:tcPr>
          <w:p w14:paraId="3CCAA53D"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190</w:t>
            </w:r>
          </w:p>
        </w:tc>
        <w:tc>
          <w:tcPr>
            <w:tcW w:w="1154" w:type="dxa"/>
            <w:tcBorders>
              <w:top w:val="nil"/>
              <w:left w:val="nil"/>
              <w:bottom w:val="single" w:sz="4" w:space="0" w:color="auto"/>
              <w:right w:val="nil"/>
            </w:tcBorders>
            <w:shd w:val="clear" w:color="auto" w:fill="auto"/>
            <w:noWrap/>
            <w:vAlign w:val="center"/>
            <w:hideMark/>
          </w:tcPr>
          <w:p w14:paraId="4531E662"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78</w:t>
            </w:r>
          </w:p>
        </w:tc>
        <w:tc>
          <w:tcPr>
            <w:tcW w:w="1739" w:type="dxa"/>
            <w:tcBorders>
              <w:top w:val="nil"/>
              <w:left w:val="nil"/>
              <w:bottom w:val="single" w:sz="4" w:space="0" w:color="auto"/>
              <w:right w:val="nil"/>
            </w:tcBorders>
            <w:shd w:val="clear" w:color="auto" w:fill="auto"/>
            <w:noWrap/>
            <w:vAlign w:val="center"/>
            <w:hideMark/>
          </w:tcPr>
          <w:p w14:paraId="2660138C"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537</w:t>
            </w:r>
          </w:p>
        </w:tc>
      </w:tr>
      <w:tr w:rsidR="00F85178" w:rsidRPr="00F85178" w14:paraId="395ED8AD" w14:textId="77777777" w:rsidTr="00F53C29">
        <w:trPr>
          <w:divId w:val="1537156651"/>
          <w:trHeight w:val="315"/>
        </w:trPr>
        <w:tc>
          <w:tcPr>
            <w:tcW w:w="1483" w:type="dxa"/>
            <w:tcBorders>
              <w:top w:val="nil"/>
              <w:left w:val="nil"/>
              <w:bottom w:val="single" w:sz="4" w:space="0" w:color="auto"/>
              <w:right w:val="nil"/>
            </w:tcBorders>
            <w:shd w:val="clear" w:color="auto" w:fill="auto"/>
            <w:noWrap/>
            <w:vAlign w:val="center"/>
            <w:hideMark/>
          </w:tcPr>
          <w:p w14:paraId="3496DF48"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IV</w:t>
            </w:r>
          </w:p>
        </w:tc>
        <w:tc>
          <w:tcPr>
            <w:tcW w:w="2937" w:type="dxa"/>
            <w:tcBorders>
              <w:top w:val="nil"/>
              <w:left w:val="nil"/>
              <w:bottom w:val="single" w:sz="4" w:space="0" w:color="auto"/>
              <w:right w:val="nil"/>
            </w:tcBorders>
            <w:shd w:val="clear" w:color="auto" w:fill="auto"/>
            <w:vAlign w:val="center"/>
            <w:hideMark/>
          </w:tcPr>
          <w:p w14:paraId="1B00AE44"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1127" w:type="dxa"/>
            <w:tcBorders>
              <w:top w:val="nil"/>
              <w:left w:val="nil"/>
              <w:bottom w:val="single" w:sz="4" w:space="0" w:color="auto"/>
              <w:right w:val="nil"/>
            </w:tcBorders>
            <w:shd w:val="clear" w:color="auto" w:fill="auto"/>
            <w:noWrap/>
            <w:vAlign w:val="center"/>
            <w:hideMark/>
          </w:tcPr>
          <w:p w14:paraId="042A29C5"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170</w:t>
            </w:r>
          </w:p>
        </w:tc>
        <w:tc>
          <w:tcPr>
            <w:tcW w:w="1154" w:type="dxa"/>
            <w:tcBorders>
              <w:top w:val="nil"/>
              <w:left w:val="nil"/>
              <w:bottom w:val="single" w:sz="4" w:space="0" w:color="auto"/>
              <w:right w:val="nil"/>
            </w:tcBorders>
            <w:shd w:val="clear" w:color="auto" w:fill="auto"/>
            <w:noWrap/>
            <w:vAlign w:val="center"/>
            <w:hideMark/>
          </w:tcPr>
          <w:p w14:paraId="60910D7B"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102</w:t>
            </w:r>
          </w:p>
        </w:tc>
        <w:tc>
          <w:tcPr>
            <w:tcW w:w="1739" w:type="dxa"/>
            <w:tcBorders>
              <w:top w:val="nil"/>
              <w:left w:val="nil"/>
              <w:bottom w:val="single" w:sz="4" w:space="0" w:color="auto"/>
              <w:right w:val="nil"/>
            </w:tcBorders>
            <w:shd w:val="clear" w:color="auto" w:fill="auto"/>
            <w:noWrap/>
            <w:vAlign w:val="center"/>
            <w:hideMark/>
          </w:tcPr>
          <w:p w14:paraId="37BF1A40"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371</w:t>
            </w:r>
          </w:p>
        </w:tc>
      </w:tr>
      <w:tr w:rsidR="00F85178" w:rsidRPr="00F85178" w14:paraId="478EF9EA" w14:textId="77777777" w:rsidTr="00F53C29">
        <w:trPr>
          <w:divId w:val="1537156651"/>
          <w:trHeight w:val="315"/>
        </w:trPr>
        <w:tc>
          <w:tcPr>
            <w:tcW w:w="1483" w:type="dxa"/>
            <w:tcBorders>
              <w:top w:val="nil"/>
              <w:left w:val="nil"/>
              <w:bottom w:val="single" w:sz="4" w:space="0" w:color="auto"/>
              <w:right w:val="nil"/>
            </w:tcBorders>
            <w:shd w:val="clear" w:color="auto" w:fill="auto"/>
            <w:noWrap/>
            <w:vAlign w:val="center"/>
            <w:hideMark/>
          </w:tcPr>
          <w:p w14:paraId="06AB2D02"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V</w:t>
            </w:r>
          </w:p>
        </w:tc>
        <w:tc>
          <w:tcPr>
            <w:tcW w:w="2937" w:type="dxa"/>
            <w:tcBorders>
              <w:top w:val="nil"/>
              <w:left w:val="nil"/>
              <w:bottom w:val="single" w:sz="4" w:space="0" w:color="auto"/>
              <w:right w:val="nil"/>
            </w:tcBorders>
            <w:shd w:val="clear" w:color="auto" w:fill="auto"/>
            <w:vAlign w:val="center"/>
            <w:hideMark/>
          </w:tcPr>
          <w:p w14:paraId="6FEA5621"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1127" w:type="dxa"/>
            <w:tcBorders>
              <w:top w:val="nil"/>
              <w:left w:val="nil"/>
              <w:bottom w:val="single" w:sz="4" w:space="0" w:color="auto"/>
              <w:right w:val="nil"/>
            </w:tcBorders>
            <w:shd w:val="clear" w:color="auto" w:fill="auto"/>
            <w:noWrap/>
            <w:vAlign w:val="center"/>
            <w:hideMark/>
          </w:tcPr>
          <w:p w14:paraId="0BF716DE"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208</w:t>
            </w:r>
          </w:p>
        </w:tc>
        <w:tc>
          <w:tcPr>
            <w:tcW w:w="1154" w:type="dxa"/>
            <w:tcBorders>
              <w:top w:val="nil"/>
              <w:left w:val="nil"/>
              <w:bottom w:val="single" w:sz="4" w:space="0" w:color="auto"/>
              <w:right w:val="nil"/>
            </w:tcBorders>
            <w:shd w:val="clear" w:color="auto" w:fill="auto"/>
            <w:noWrap/>
            <w:vAlign w:val="center"/>
            <w:hideMark/>
          </w:tcPr>
          <w:p w14:paraId="2135054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100</w:t>
            </w:r>
          </w:p>
        </w:tc>
        <w:tc>
          <w:tcPr>
            <w:tcW w:w="1739" w:type="dxa"/>
            <w:tcBorders>
              <w:top w:val="nil"/>
              <w:left w:val="nil"/>
              <w:bottom w:val="single" w:sz="4" w:space="0" w:color="auto"/>
              <w:right w:val="nil"/>
            </w:tcBorders>
            <w:shd w:val="clear" w:color="auto" w:fill="auto"/>
            <w:noWrap/>
            <w:vAlign w:val="center"/>
            <w:hideMark/>
          </w:tcPr>
          <w:p w14:paraId="0A17A12D"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537</w:t>
            </w:r>
          </w:p>
        </w:tc>
      </w:tr>
      <w:tr w:rsidR="00F85178" w:rsidRPr="00F85178" w14:paraId="2A71E1DD" w14:textId="77777777" w:rsidTr="00F53C29">
        <w:trPr>
          <w:divId w:val="1537156651"/>
          <w:trHeight w:val="315"/>
        </w:trPr>
        <w:tc>
          <w:tcPr>
            <w:tcW w:w="1483" w:type="dxa"/>
            <w:tcBorders>
              <w:top w:val="nil"/>
              <w:left w:val="nil"/>
              <w:bottom w:val="single" w:sz="4" w:space="0" w:color="auto"/>
              <w:right w:val="nil"/>
            </w:tcBorders>
            <w:shd w:val="clear" w:color="auto" w:fill="auto"/>
            <w:noWrap/>
            <w:vAlign w:val="center"/>
            <w:hideMark/>
          </w:tcPr>
          <w:p w14:paraId="5316532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VI</w:t>
            </w:r>
          </w:p>
        </w:tc>
        <w:tc>
          <w:tcPr>
            <w:tcW w:w="2937" w:type="dxa"/>
            <w:tcBorders>
              <w:top w:val="nil"/>
              <w:left w:val="nil"/>
              <w:bottom w:val="single" w:sz="4" w:space="0" w:color="auto"/>
              <w:right w:val="nil"/>
            </w:tcBorders>
            <w:shd w:val="clear" w:color="auto" w:fill="auto"/>
            <w:vAlign w:val="center"/>
            <w:hideMark/>
          </w:tcPr>
          <w:p w14:paraId="1A820F5D"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1127" w:type="dxa"/>
            <w:tcBorders>
              <w:top w:val="nil"/>
              <w:left w:val="nil"/>
              <w:bottom w:val="single" w:sz="4" w:space="0" w:color="auto"/>
              <w:right w:val="nil"/>
            </w:tcBorders>
            <w:shd w:val="clear" w:color="auto" w:fill="auto"/>
            <w:noWrap/>
            <w:vAlign w:val="center"/>
            <w:hideMark/>
          </w:tcPr>
          <w:p w14:paraId="0A941BB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285</w:t>
            </w:r>
          </w:p>
        </w:tc>
        <w:tc>
          <w:tcPr>
            <w:tcW w:w="1154" w:type="dxa"/>
            <w:tcBorders>
              <w:top w:val="nil"/>
              <w:left w:val="nil"/>
              <w:bottom w:val="single" w:sz="4" w:space="0" w:color="auto"/>
              <w:right w:val="nil"/>
            </w:tcBorders>
            <w:shd w:val="clear" w:color="auto" w:fill="auto"/>
            <w:noWrap/>
            <w:vAlign w:val="center"/>
            <w:hideMark/>
          </w:tcPr>
          <w:p w14:paraId="6EF8B09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148</w:t>
            </w:r>
          </w:p>
        </w:tc>
        <w:tc>
          <w:tcPr>
            <w:tcW w:w="1739" w:type="dxa"/>
            <w:tcBorders>
              <w:top w:val="nil"/>
              <w:left w:val="nil"/>
              <w:bottom w:val="single" w:sz="4" w:space="0" w:color="auto"/>
              <w:right w:val="nil"/>
            </w:tcBorders>
            <w:shd w:val="clear" w:color="auto" w:fill="auto"/>
            <w:noWrap/>
            <w:vAlign w:val="center"/>
            <w:hideMark/>
          </w:tcPr>
          <w:p w14:paraId="559AB07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716</w:t>
            </w:r>
          </w:p>
        </w:tc>
      </w:tr>
      <w:tr w:rsidR="00F85178" w:rsidRPr="00F85178" w14:paraId="0AE91A9C" w14:textId="77777777" w:rsidTr="00F53C29">
        <w:trPr>
          <w:divId w:val="1537156651"/>
          <w:trHeight w:val="315"/>
        </w:trPr>
        <w:tc>
          <w:tcPr>
            <w:tcW w:w="1483" w:type="dxa"/>
            <w:tcBorders>
              <w:top w:val="nil"/>
              <w:left w:val="nil"/>
              <w:bottom w:val="single" w:sz="4" w:space="0" w:color="auto"/>
              <w:right w:val="nil"/>
            </w:tcBorders>
            <w:shd w:val="clear" w:color="auto" w:fill="auto"/>
            <w:noWrap/>
            <w:vAlign w:val="center"/>
            <w:hideMark/>
          </w:tcPr>
          <w:p w14:paraId="6DF29A1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VII</w:t>
            </w:r>
          </w:p>
        </w:tc>
        <w:tc>
          <w:tcPr>
            <w:tcW w:w="2937" w:type="dxa"/>
            <w:tcBorders>
              <w:top w:val="nil"/>
              <w:left w:val="nil"/>
              <w:bottom w:val="single" w:sz="4" w:space="0" w:color="auto"/>
              <w:right w:val="nil"/>
            </w:tcBorders>
            <w:shd w:val="clear" w:color="auto" w:fill="auto"/>
            <w:vAlign w:val="center"/>
            <w:hideMark/>
          </w:tcPr>
          <w:p w14:paraId="0F0DACFD"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1127" w:type="dxa"/>
            <w:tcBorders>
              <w:top w:val="nil"/>
              <w:left w:val="nil"/>
              <w:bottom w:val="single" w:sz="4" w:space="0" w:color="auto"/>
              <w:right w:val="nil"/>
            </w:tcBorders>
            <w:shd w:val="clear" w:color="auto" w:fill="auto"/>
            <w:noWrap/>
            <w:vAlign w:val="center"/>
            <w:hideMark/>
          </w:tcPr>
          <w:p w14:paraId="1AB2108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155</w:t>
            </w:r>
          </w:p>
        </w:tc>
        <w:tc>
          <w:tcPr>
            <w:tcW w:w="1154" w:type="dxa"/>
            <w:tcBorders>
              <w:top w:val="nil"/>
              <w:left w:val="nil"/>
              <w:bottom w:val="single" w:sz="4" w:space="0" w:color="auto"/>
              <w:right w:val="nil"/>
            </w:tcBorders>
            <w:shd w:val="clear" w:color="auto" w:fill="auto"/>
            <w:noWrap/>
            <w:vAlign w:val="center"/>
            <w:hideMark/>
          </w:tcPr>
          <w:p w14:paraId="3C318BE6"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77</w:t>
            </w:r>
          </w:p>
        </w:tc>
        <w:tc>
          <w:tcPr>
            <w:tcW w:w="1739" w:type="dxa"/>
            <w:tcBorders>
              <w:top w:val="nil"/>
              <w:left w:val="nil"/>
              <w:bottom w:val="single" w:sz="4" w:space="0" w:color="auto"/>
              <w:right w:val="nil"/>
            </w:tcBorders>
            <w:shd w:val="clear" w:color="auto" w:fill="auto"/>
            <w:noWrap/>
            <w:vAlign w:val="center"/>
            <w:hideMark/>
          </w:tcPr>
          <w:p w14:paraId="53D0C38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356</w:t>
            </w:r>
          </w:p>
        </w:tc>
      </w:tr>
      <w:tr w:rsidR="00F85178" w:rsidRPr="00F85178" w14:paraId="1B5841FF" w14:textId="77777777" w:rsidTr="00F53C29">
        <w:trPr>
          <w:divId w:val="1537156651"/>
          <w:trHeight w:val="630"/>
        </w:trPr>
        <w:tc>
          <w:tcPr>
            <w:tcW w:w="1483" w:type="dxa"/>
            <w:tcBorders>
              <w:top w:val="nil"/>
              <w:left w:val="nil"/>
              <w:bottom w:val="single" w:sz="4" w:space="0" w:color="auto"/>
              <w:right w:val="nil"/>
            </w:tcBorders>
            <w:shd w:val="clear" w:color="auto" w:fill="auto"/>
            <w:noWrap/>
            <w:vAlign w:val="center"/>
            <w:hideMark/>
          </w:tcPr>
          <w:p w14:paraId="2BAE97FB"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VIII</w:t>
            </w:r>
          </w:p>
        </w:tc>
        <w:tc>
          <w:tcPr>
            <w:tcW w:w="2937" w:type="dxa"/>
            <w:tcBorders>
              <w:top w:val="nil"/>
              <w:left w:val="nil"/>
              <w:bottom w:val="single" w:sz="4" w:space="0" w:color="auto"/>
              <w:right w:val="nil"/>
            </w:tcBorders>
            <w:shd w:val="clear" w:color="auto" w:fill="auto"/>
            <w:vAlign w:val="center"/>
            <w:hideMark/>
          </w:tcPr>
          <w:p w14:paraId="640952B2"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1127" w:type="dxa"/>
            <w:tcBorders>
              <w:top w:val="nil"/>
              <w:left w:val="nil"/>
              <w:bottom w:val="single" w:sz="4" w:space="0" w:color="auto"/>
              <w:right w:val="nil"/>
            </w:tcBorders>
            <w:shd w:val="clear" w:color="auto" w:fill="auto"/>
            <w:noWrap/>
            <w:vAlign w:val="center"/>
            <w:hideMark/>
          </w:tcPr>
          <w:p w14:paraId="54B660B0"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373</w:t>
            </w:r>
          </w:p>
        </w:tc>
        <w:tc>
          <w:tcPr>
            <w:tcW w:w="1154" w:type="dxa"/>
            <w:tcBorders>
              <w:top w:val="nil"/>
              <w:left w:val="nil"/>
              <w:bottom w:val="single" w:sz="4" w:space="0" w:color="auto"/>
              <w:right w:val="nil"/>
            </w:tcBorders>
            <w:shd w:val="clear" w:color="auto" w:fill="auto"/>
            <w:noWrap/>
            <w:vAlign w:val="center"/>
            <w:hideMark/>
          </w:tcPr>
          <w:p w14:paraId="73A81A99"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116</w:t>
            </w:r>
          </w:p>
        </w:tc>
        <w:tc>
          <w:tcPr>
            <w:tcW w:w="1739" w:type="dxa"/>
            <w:tcBorders>
              <w:top w:val="nil"/>
              <w:left w:val="nil"/>
              <w:bottom w:val="single" w:sz="4" w:space="0" w:color="auto"/>
              <w:right w:val="nil"/>
            </w:tcBorders>
            <w:shd w:val="clear" w:color="auto" w:fill="auto"/>
            <w:noWrap/>
            <w:vAlign w:val="center"/>
            <w:hideMark/>
          </w:tcPr>
          <w:p w14:paraId="1311578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984</w:t>
            </w:r>
          </w:p>
        </w:tc>
      </w:tr>
      <w:tr w:rsidR="00F85178" w:rsidRPr="00F85178" w14:paraId="16C48283" w14:textId="77777777" w:rsidTr="00F53C29">
        <w:trPr>
          <w:divId w:val="1537156651"/>
          <w:trHeight w:val="945"/>
        </w:trPr>
        <w:tc>
          <w:tcPr>
            <w:tcW w:w="1483" w:type="dxa"/>
            <w:tcBorders>
              <w:top w:val="nil"/>
              <w:left w:val="nil"/>
              <w:bottom w:val="single" w:sz="4" w:space="0" w:color="auto"/>
              <w:right w:val="nil"/>
            </w:tcBorders>
            <w:shd w:val="clear" w:color="auto" w:fill="auto"/>
            <w:noWrap/>
            <w:vAlign w:val="center"/>
            <w:hideMark/>
          </w:tcPr>
          <w:p w14:paraId="23E88697"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IX</w:t>
            </w:r>
          </w:p>
        </w:tc>
        <w:tc>
          <w:tcPr>
            <w:tcW w:w="2937" w:type="dxa"/>
            <w:tcBorders>
              <w:top w:val="nil"/>
              <w:left w:val="nil"/>
              <w:bottom w:val="single" w:sz="4" w:space="0" w:color="auto"/>
              <w:right w:val="nil"/>
            </w:tcBorders>
            <w:shd w:val="clear" w:color="auto" w:fill="auto"/>
            <w:vAlign w:val="center"/>
            <w:hideMark/>
          </w:tcPr>
          <w:p w14:paraId="2A80161D"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p>
        </w:tc>
        <w:tc>
          <w:tcPr>
            <w:tcW w:w="1127" w:type="dxa"/>
            <w:tcBorders>
              <w:top w:val="nil"/>
              <w:left w:val="nil"/>
              <w:bottom w:val="single" w:sz="4" w:space="0" w:color="auto"/>
              <w:right w:val="nil"/>
            </w:tcBorders>
            <w:shd w:val="clear" w:color="auto" w:fill="auto"/>
            <w:noWrap/>
            <w:vAlign w:val="center"/>
            <w:hideMark/>
          </w:tcPr>
          <w:p w14:paraId="0EDD2669"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173</w:t>
            </w:r>
          </w:p>
        </w:tc>
        <w:tc>
          <w:tcPr>
            <w:tcW w:w="1154" w:type="dxa"/>
            <w:tcBorders>
              <w:top w:val="nil"/>
              <w:left w:val="nil"/>
              <w:bottom w:val="single" w:sz="4" w:space="0" w:color="auto"/>
              <w:right w:val="nil"/>
            </w:tcBorders>
            <w:shd w:val="clear" w:color="auto" w:fill="auto"/>
            <w:noWrap/>
            <w:vAlign w:val="center"/>
            <w:hideMark/>
          </w:tcPr>
          <w:p w14:paraId="551755BF"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168</w:t>
            </w:r>
          </w:p>
        </w:tc>
        <w:tc>
          <w:tcPr>
            <w:tcW w:w="1739" w:type="dxa"/>
            <w:tcBorders>
              <w:top w:val="nil"/>
              <w:left w:val="nil"/>
              <w:bottom w:val="single" w:sz="4" w:space="0" w:color="auto"/>
              <w:right w:val="nil"/>
            </w:tcBorders>
            <w:shd w:val="clear" w:color="auto" w:fill="auto"/>
            <w:noWrap/>
            <w:vAlign w:val="center"/>
            <w:hideMark/>
          </w:tcPr>
          <w:p w14:paraId="7B4164CA"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318</w:t>
            </w:r>
          </w:p>
        </w:tc>
      </w:tr>
      <w:tr w:rsidR="00F85178" w:rsidRPr="00F85178" w14:paraId="282CFB3B" w14:textId="77777777" w:rsidTr="00F53C29">
        <w:trPr>
          <w:divId w:val="1537156651"/>
          <w:trHeight w:val="630"/>
        </w:trPr>
        <w:tc>
          <w:tcPr>
            <w:tcW w:w="1483" w:type="dxa"/>
            <w:tcBorders>
              <w:top w:val="nil"/>
              <w:left w:val="nil"/>
              <w:bottom w:val="single" w:sz="4" w:space="0" w:color="auto"/>
              <w:right w:val="nil"/>
            </w:tcBorders>
            <w:shd w:val="clear" w:color="auto" w:fill="auto"/>
            <w:noWrap/>
            <w:vAlign w:val="center"/>
            <w:hideMark/>
          </w:tcPr>
          <w:p w14:paraId="0BCF8913"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X</w:t>
            </w:r>
          </w:p>
        </w:tc>
        <w:tc>
          <w:tcPr>
            <w:tcW w:w="2937" w:type="dxa"/>
            <w:tcBorders>
              <w:top w:val="nil"/>
              <w:left w:val="nil"/>
              <w:bottom w:val="single" w:sz="4" w:space="0" w:color="auto"/>
              <w:right w:val="nil"/>
            </w:tcBorders>
            <w:shd w:val="clear" w:color="auto" w:fill="auto"/>
            <w:vAlign w:val="center"/>
            <w:hideMark/>
          </w:tcPr>
          <w:p w14:paraId="33CA5B32"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1127" w:type="dxa"/>
            <w:tcBorders>
              <w:top w:val="nil"/>
              <w:left w:val="nil"/>
              <w:bottom w:val="single" w:sz="4" w:space="0" w:color="auto"/>
              <w:right w:val="nil"/>
            </w:tcBorders>
            <w:shd w:val="clear" w:color="auto" w:fill="auto"/>
            <w:noWrap/>
            <w:vAlign w:val="center"/>
            <w:hideMark/>
          </w:tcPr>
          <w:p w14:paraId="751956F7"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157</w:t>
            </w:r>
          </w:p>
        </w:tc>
        <w:tc>
          <w:tcPr>
            <w:tcW w:w="1154" w:type="dxa"/>
            <w:tcBorders>
              <w:top w:val="nil"/>
              <w:left w:val="nil"/>
              <w:bottom w:val="single" w:sz="4" w:space="0" w:color="auto"/>
              <w:right w:val="nil"/>
            </w:tcBorders>
            <w:shd w:val="clear" w:color="auto" w:fill="auto"/>
            <w:noWrap/>
            <w:vAlign w:val="center"/>
            <w:hideMark/>
          </w:tcPr>
          <w:p w14:paraId="682A3EB5"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71</w:t>
            </w:r>
          </w:p>
        </w:tc>
        <w:tc>
          <w:tcPr>
            <w:tcW w:w="1739" w:type="dxa"/>
            <w:tcBorders>
              <w:top w:val="nil"/>
              <w:left w:val="nil"/>
              <w:bottom w:val="single" w:sz="4" w:space="0" w:color="auto"/>
              <w:right w:val="nil"/>
            </w:tcBorders>
            <w:shd w:val="clear" w:color="auto" w:fill="auto"/>
            <w:noWrap/>
            <w:vAlign w:val="center"/>
            <w:hideMark/>
          </w:tcPr>
          <w:p w14:paraId="37B4A50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376</w:t>
            </w:r>
          </w:p>
        </w:tc>
      </w:tr>
      <w:tr w:rsidR="00F85178" w:rsidRPr="00F85178" w14:paraId="5DBC4A6D" w14:textId="77777777" w:rsidTr="00F53C29">
        <w:trPr>
          <w:divId w:val="1537156651"/>
          <w:trHeight w:val="630"/>
        </w:trPr>
        <w:tc>
          <w:tcPr>
            <w:tcW w:w="1483" w:type="dxa"/>
            <w:tcBorders>
              <w:top w:val="nil"/>
              <w:left w:val="nil"/>
              <w:bottom w:val="single" w:sz="4" w:space="0" w:color="auto"/>
              <w:right w:val="nil"/>
            </w:tcBorders>
            <w:shd w:val="clear" w:color="auto" w:fill="auto"/>
            <w:noWrap/>
            <w:vAlign w:val="center"/>
            <w:hideMark/>
          </w:tcPr>
          <w:p w14:paraId="60AEC48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XI</w:t>
            </w:r>
          </w:p>
        </w:tc>
        <w:tc>
          <w:tcPr>
            <w:tcW w:w="2937" w:type="dxa"/>
            <w:tcBorders>
              <w:top w:val="nil"/>
              <w:left w:val="nil"/>
              <w:bottom w:val="single" w:sz="4" w:space="0" w:color="auto"/>
              <w:right w:val="nil"/>
            </w:tcBorders>
            <w:shd w:val="clear" w:color="auto" w:fill="auto"/>
            <w:vAlign w:val="center"/>
            <w:hideMark/>
          </w:tcPr>
          <w:p w14:paraId="2BB71EF4"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1127" w:type="dxa"/>
            <w:tcBorders>
              <w:top w:val="nil"/>
              <w:left w:val="nil"/>
              <w:bottom w:val="single" w:sz="4" w:space="0" w:color="auto"/>
              <w:right w:val="nil"/>
            </w:tcBorders>
            <w:shd w:val="clear" w:color="auto" w:fill="auto"/>
            <w:noWrap/>
            <w:vAlign w:val="center"/>
            <w:hideMark/>
          </w:tcPr>
          <w:p w14:paraId="2B2B464A"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834</w:t>
            </w:r>
          </w:p>
        </w:tc>
        <w:tc>
          <w:tcPr>
            <w:tcW w:w="1154" w:type="dxa"/>
            <w:tcBorders>
              <w:top w:val="nil"/>
              <w:left w:val="nil"/>
              <w:bottom w:val="single" w:sz="4" w:space="0" w:color="auto"/>
              <w:right w:val="nil"/>
            </w:tcBorders>
            <w:shd w:val="clear" w:color="auto" w:fill="auto"/>
            <w:noWrap/>
            <w:vAlign w:val="center"/>
            <w:hideMark/>
          </w:tcPr>
          <w:p w14:paraId="363461F2"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834</w:t>
            </w:r>
          </w:p>
        </w:tc>
        <w:tc>
          <w:tcPr>
            <w:tcW w:w="1739" w:type="dxa"/>
            <w:tcBorders>
              <w:top w:val="nil"/>
              <w:left w:val="nil"/>
              <w:bottom w:val="single" w:sz="4" w:space="0" w:color="auto"/>
              <w:right w:val="nil"/>
            </w:tcBorders>
            <w:shd w:val="clear" w:color="auto" w:fill="auto"/>
            <w:noWrap/>
            <w:vAlign w:val="center"/>
            <w:hideMark/>
          </w:tcPr>
          <w:p w14:paraId="129E4B52"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834</w:t>
            </w:r>
          </w:p>
        </w:tc>
      </w:tr>
      <w:tr w:rsidR="00F85178" w:rsidRPr="00F85178" w14:paraId="21D20815" w14:textId="77777777" w:rsidTr="00F53C29">
        <w:trPr>
          <w:divId w:val="1537156651"/>
          <w:trHeight w:val="315"/>
        </w:trPr>
        <w:tc>
          <w:tcPr>
            <w:tcW w:w="1483" w:type="dxa"/>
            <w:tcBorders>
              <w:top w:val="nil"/>
              <w:left w:val="nil"/>
              <w:bottom w:val="single" w:sz="4" w:space="0" w:color="auto"/>
              <w:right w:val="nil"/>
            </w:tcBorders>
            <w:shd w:val="clear" w:color="auto" w:fill="auto"/>
            <w:noWrap/>
            <w:vAlign w:val="center"/>
            <w:hideMark/>
          </w:tcPr>
          <w:p w14:paraId="1B8015EF"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XII</w:t>
            </w:r>
          </w:p>
        </w:tc>
        <w:tc>
          <w:tcPr>
            <w:tcW w:w="2937" w:type="dxa"/>
            <w:tcBorders>
              <w:top w:val="nil"/>
              <w:left w:val="nil"/>
              <w:bottom w:val="single" w:sz="4" w:space="0" w:color="auto"/>
              <w:right w:val="nil"/>
            </w:tcBorders>
            <w:shd w:val="clear" w:color="auto" w:fill="auto"/>
            <w:vAlign w:val="center"/>
            <w:hideMark/>
          </w:tcPr>
          <w:p w14:paraId="1BD63F9A"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1127" w:type="dxa"/>
            <w:tcBorders>
              <w:top w:val="nil"/>
              <w:left w:val="nil"/>
              <w:bottom w:val="single" w:sz="4" w:space="0" w:color="auto"/>
              <w:right w:val="nil"/>
            </w:tcBorders>
            <w:shd w:val="clear" w:color="auto" w:fill="auto"/>
            <w:noWrap/>
            <w:vAlign w:val="center"/>
            <w:hideMark/>
          </w:tcPr>
          <w:p w14:paraId="0552BF41"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417</w:t>
            </w:r>
          </w:p>
        </w:tc>
        <w:tc>
          <w:tcPr>
            <w:tcW w:w="1154" w:type="dxa"/>
            <w:tcBorders>
              <w:top w:val="nil"/>
              <w:left w:val="nil"/>
              <w:bottom w:val="single" w:sz="4" w:space="0" w:color="auto"/>
              <w:right w:val="nil"/>
            </w:tcBorders>
            <w:shd w:val="clear" w:color="auto" w:fill="auto"/>
            <w:noWrap/>
            <w:vAlign w:val="center"/>
            <w:hideMark/>
          </w:tcPr>
          <w:p w14:paraId="527FDEF4"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283</w:t>
            </w:r>
          </w:p>
        </w:tc>
        <w:tc>
          <w:tcPr>
            <w:tcW w:w="1739" w:type="dxa"/>
            <w:tcBorders>
              <w:top w:val="nil"/>
              <w:left w:val="nil"/>
              <w:bottom w:val="single" w:sz="4" w:space="0" w:color="auto"/>
              <w:right w:val="nil"/>
            </w:tcBorders>
            <w:shd w:val="clear" w:color="auto" w:fill="auto"/>
            <w:noWrap/>
            <w:vAlign w:val="center"/>
            <w:hideMark/>
          </w:tcPr>
          <w:p w14:paraId="0E991547"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957</w:t>
            </w:r>
          </w:p>
        </w:tc>
      </w:tr>
      <w:tr w:rsidR="00F53C29" w:rsidRPr="00F85178" w14:paraId="7CFFB792" w14:textId="77777777" w:rsidTr="00F53C29">
        <w:trPr>
          <w:divId w:val="1537156651"/>
          <w:trHeight w:val="645"/>
        </w:trPr>
        <w:tc>
          <w:tcPr>
            <w:tcW w:w="1483" w:type="dxa"/>
            <w:tcBorders>
              <w:top w:val="nil"/>
              <w:left w:val="nil"/>
              <w:bottom w:val="double" w:sz="6" w:space="0" w:color="auto"/>
              <w:right w:val="nil"/>
            </w:tcBorders>
            <w:shd w:val="clear" w:color="auto" w:fill="auto"/>
            <w:noWrap/>
            <w:vAlign w:val="center"/>
            <w:hideMark/>
          </w:tcPr>
          <w:p w14:paraId="118CC574"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XIII</w:t>
            </w:r>
          </w:p>
        </w:tc>
        <w:tc>
          <w:tcPr>
            <w:tcW w:w="2937" w:type="dxa"/>
            <w:tcBorders>
              <w:top w:val="nil"/>
              <w:left w:val="nil"/>
              <w:bottom w:val="double" w:sz="6" w:space="0" w:color="auto"/>
              <w:right w:val="nil"/>
            </w:tcBorders>
            <w:shd w:val="clear" w:color="auto" w:fill="auto"/>
            <w:vAlign w:val="center"/>
            <w:hideMark/>
          </w:tcPr>
          <w:p w14:paraId="607FB2FA" w14:textId="77777777" w:rsidR="00F53C29" w:rsidRPr="00F85178" w:rsidRDefault="00F53C29" w:rsidP="00F53C29">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1127" w:type="dxa"/>
            <w:tcBorders>
              <w:top w:val="nil"/>
              <w:left w:val="nil"/>
              <w:bottom w:val="double" w:sz="6" w:space="0" w:color="auto"/>
              <w:right w:val="nil"/>
            </w:tcBorders>
            <w:shd w:val="clear" w:color="auto" w:fill="auto"/>
            <w:noWrap/>
            <w:vAlign w:val="center"/>
            <w:hideMark/>
          </w:tcPr>
          <w:p w14:paraId="1E0217BC"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305</w:t>
            </w:r>
          </w:p>
        </w:tc>
        <w:tc>
          <w:tcPr>
            <w:tcW w:w="1154" w:type="dxa"/>
            <w:tcBorders>
              <w:top w:val="nil"/>
              <w:left w:val="nil"/>
              <w:bottom w:val="double" w:sz="6" w:space="0" w:color="auto"/>
              <w:right w:val="nil"/>
            </w:tcBorders>
            <w:shd w:val="clear" w:color="auto" w:fill="auto"/>
            <w:noWrap/>
            <w:vAlign w:val="center"/>
            <w:hideMark/>
          </w:tcPr>
          <w:p w14:paraId="515544E3" w14:textId="77777777" w:rsidR="00F53C29" w:rsidRPr="00F85178" w:rsidRDefault="00F53C29" w:rsidP="0075158A">
            <w:pPr>
              <w:spacing w:line="240" w:lineRule="auto"/>
              <w:jc w:val="center"/>
              <w:rPr>
                <w:rFonts w:eastAsia="Times New Roman"/>
                <w:szCs w:val="24"/>
                <w:lang w:eastAsia="cs-CZ"/>
              </w:rPr>
            </w:pPr>
            <w:r w:rsidRPr="00F85178">
              <w:rPr>
                <w:rFonts w:eastAsia="Times New Roman"/>
                <w:szCs w:val="24"/>
                <w:lang w:eastAsia="cs-CZ"/>
              </w:rPr>
              <w:t>161</w:t>
            </w:r>
          </w:p>
        </w:tc>
        <w:tc>
          <w:tcPr>
            <w:tcW w:w="1739" w:type="dxa"/>
            <w:tcBorders>
              <w:top w:val="nil"/>
              <w:left w:val="nil"/>
              <w:bottom w:val="double" w:sz="6" w:space="0" w:color="auto"/>
              <w:right w:val="nil"/>
            </w:tcBorders>
            <w:shd w:val="clear" w:color="auto" w:fill="auto"/>
            <w:noWrap/>
            <w:vAlign w:val="center"/>
            <w:hideMark/>
          </w:tcPr>
          <w:p w14:paraId="4F409E24" w14:textId="77777777" w:rsidR="00F53C29" w:rsidRPr="00F85178" w:rsidRDefault="00F53C29" w:rsidP="00F53C29">
            <w:pPr>
              <w:spacing w:line="240" w:lineRule="auto"/>
              <w:jc w:val="center"/>
              <w:rPr>
                <w:rFonts w:eastAsia="Times New Roman"/>
                <w:szCs w:val="24"/>
                <w:lang w:eastAsia="cs-CZ"/>
              </w:rPr>
            </w:pPr>
            <w:r w:rsidRPr="00F85178">
              <w:rPr>
                <w:rFonts w:eastAsia="Times New Roman"/>
                <w:szCs w:val="24"/>
                <w:lang w:eastAsia="cs-CZ"/>
              </w:rPr>
              <w:t>890</w:t>
            </w:r>
          </w:p>
        </w:tc>
      </w:tr>
    </w:tbl>
    <w:p w14:paraId="79325CD6" w14:textId="77777777" w:rsidR="003A60FF" w:rsidRPr="00F85178" w:rsidRDefault="003A60FF" w:rsidP="00770E8A"/>
    <w:p w14:paraId="1C20873D" w14:textId="77777777" w:rsidR="006D5503" w:rsidRPr="00F85178" w:rsidRDefault="006D5503" w:rsidP="006D5503">
      <w:pPr>
        <w:pStyle w:val="OdstavecASR"/>
      </w:pPr>
      <w:r w:rsidRPr="00F85178">
        <w:t>Stejně jako u civilního řízení se na délky řízení v roce 201</w:t>
      </w:r>
      <w:r w:rsidR="0075158A" w:rsidRPr="00F85178">
        <w:t>8</w:t>
      </w:r>
      <w:r w:rsidRPr="00F85178">
        <w:t xml:space="preserve"> podíváme ještě pomocí histogramu. Šířka jednoho intervalu (sloupce) je 25 dnů. Pro lepší přehlednost uvádíme všechny délky řízení delší než 800 dnů v jednom sloupci (na grafu nejvíce vpravo). Proto je tento sloupec výrazně „vyšší“ než sloupce předchozí. Opět upozorňujeme na několik zajímavých faktů:</w:t>
      </w:r>
    </w:p>
    <w:p w14:paraId="26F0EEA0" w14:textId="77777777" w:rsidR="006D5503" w:rsidRPr="00F85178" w:rsidRDefault="006D5503" w:rsidP="006D5503">
      <w:pPr>
        <w:pStyle w:val="Odstavecseseznamem"/>
        <w:numPr>
          <w:ilvl w:val="0"/>
          <w:numId w:val="10"/>
        </w:numPr>
      </w:pPr>
      <w:r w:rsidRPr="00F85178">
        <w:t>Jen necelých 5 % věcí bylo vyřízeno za více než 800 dnů.</w:t>
      </w:r>
    </w:p>
    <w:p w14:paraId="03FF4433" w14:textId="77777777" w:rsidR="006D5503" w:rsidRPr="00F85178" w:rsidRDefault="006D5503" w:rsidP="006D5503">
      <w:pPr>
        <w:pStyle w:val="Odstavecseseznamem"/>
        <w:numPr>
          <w:ilvl w:val="0"/>
          <w:numId w:val="9"/>
        </w:numPr>
        <w:ind w:left="714" w:hanging="357"/>
        <w:jc w:val="left"/>
      </w:pPr>
      <w:r w:rsidRPr="00F85178">
        <w:t>Více než čtvrtina věcí byla vyřízena velice rychle – do 50 dnů ode dne nápadu u soudu.</w:t>
      </w:r>
    </w:p>
    <w:p w14:paraId="72E8045C" w14:textId="77777777" w:rsidR="006D5503" w:rsidRPr="00F85178" w:rsidRDefault="006D5503" w:rsidP="006D5503">
      <w:pPr>
        <w:pStyle w:val="Odstavecseseznamem"/>
        <w:numPr>
          <w:ilvl w:val="0"/>
          <w:numId w:val="9"/>
        </w:numPr>
        <w:ind w:left="714" w:hanging="357"/>
        <w:jc w:val="left"/>
      </w:pPr>
      <w:r w:rsidRPr="00F85178">
        <w:t>Největší skupina věcí (cca 1</w:t>
      </w:r>
      <w:r w:rsidR="0075158A" w:rsidRPr="00F85178">
        <w:t>8</w:t>
      </w:r>
      <w:r w:rsidRPr="00F85178">
        <w:t> %) byla vyřízena za 26 až 50 dnů. S přibývající délkou řízení četnost klesá.</w:t>
      </w:r>
    </w:p>
    <w:p w14:paraId="49FC213A" w14:textId="77777777" w:rsidR="006D5503" w:rsidRPr="00F85178" w:rsidRDefault="006D5503" w:rsidP="006D5503">
      <w:pPr>
        <w:pStyle w:val="Odstavecseseznamem"/>
        <w:numPr>
          <w:ilvl w:val="0"/>
          <w:numId w:val="9"/>
        </w:numPr>
        <w:ind w:left="714" w:hanging="357"/>
        <w:jc w:val="left"/>
      </w:pPr>
      <w:r w:rsidRPr="00F85178">
        <w:t>Rozdělení délek řízení je celkem podobné rozdělení v civilním řízení. Absolutní hodnoty jsou ale výrazně nižší.</w:t>
      </w:r>
    </w:p>
    <w:p w14:paraId="689385CF" w14:textId="77777777" w:rsidR="006D6316" w:rsidRPr="00F85178" w:rsidRDefault="006D6316" w:rsidP="00770E8A"/>
    <w:p w14:paraId="7E814AEF" w14:textId="77777777" w:rsidR="006D6316" w:rsidRPr="00F85178" w:rsidRDefault="006D6316" w:rsidP="006D6316">
      <w:pPr>
        <w:pStyle w:val="Podtitul"/>
        <w:rPr>
          <w:color w:val="auto"/>
        </w:rPr>
      </w:pPr>
      <w:bookmarkStart w:id="198" w:name="_Toc515871352"/>
      <w:bookmarkStart w:id="199" w:name="_Toc11135087"/>
      <w:bookmarkStart w:id="200" w:name="_Toc1383751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26</w:t>
      </w:r>
      <w:r w:rsidRPr="00F85178">
        <w:rPr>
          <w:color w:val="auto"/>
        </w:rPr>
        <w:fldChar w:fldCharType="end"/>
      </w:r>
      <w:r w:rsidRPr="00F85178">
        <w:rPr>
          <w:color w:val="auto"/>
        </w:rPr>
        <w:t>: OS – distribuce délek trestního řízení</w:t>
      </w:r>
      <w:bookmarkEnd w:id="198"/>
      <w:bookmarkEnd w:id="199"/>
      <w:bookmarkEnd w:id="200"/>
    </w:p>
    <w:p w14:paraId="4124B2E0" w14:textId="77777777" w:rsidR="006D6316" w:rsidRPr="00F85178" w:rsidRDefault="00890295" w:rsidP="00770E8A">
      <w:r>
        <w:rPr>
          <w:noProof/>
          <w:lang w:eastAsia="cs-CZ"/>
        </w:rPr>
        <w:drawing>
          <wp:inline distT="0" distB="0" distL="0" distR="0" wp14:anchorId="721C7B34" wp14:editId="49AF6078">
            <wp:extent cx="5118100" cy="3746500"/>
            <wp:effectExtent l="0" t="0" r="0" b="0"/>
            <wp:docPr id="27" name="Obrázek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8"/>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7EF258D" w14:textId="77777777" w:rsidR="006D6316" w:rsidRPr="00F85178" w:rsidRDefault="006D6316" w:rsidP="00770E8A"/>
    <w:p w14:paraId="6C805475" w14:textId="77777777" w:rsidR="00F745B7" w:rsidRPr="00F85178" w:rsidRDefault="00F745B7" w:rsidP="00741B41">
      <w:pPr>
        <w:pStyle w:val="Nadpis3"/>
        <w:rPr>
          <w:color w:val="auto"/>
        </w:rPr>
      </w:pPr>
      <w:bookmarkStart w:id="201" w:name="_Toc515871232"/>
      <w:bookmarkStart w:id="202" w:name="_Toc14076884"/>
      <w:r w:rsidRPr="00F85178">
        <w:rPr>
          <w:color w:val="auto"/>
        </w:rPr>
        <w:t>Vyřizování věcí</w:t>
      </w:r>
      <w:bookmarkEnd w:id="201"/>
      <w:bookmarkEnd w:id="202"/>
    </w:p>
    <w:p w14:paraId="1234FC3A" w14:textId="227263B8" w:rsidR="007C2FD9" w:rsidRPr="00F85178" w:rsidRDefault="007C2FD9" w:rsidP="007C2FD9">
      <w:pPr>
        <w:pStyle w:val="Podtitul"/>
        <w:rPr>
          <w:color w:val="auto"/>
        </w:rPr>
      </w:pPr>
      <w:bookmarkStart w:id="203" w:name="_Toc515871353"/>
      <w:bookmarkStart w:id="204" w:name="_Toc11135088"/>
      <w:bookmarkStart w:id="205" w:name="_Toc1383752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27</w:t>
      </w:r>
      <w:r w:rsidRPr="00F85178">
        <w:rPr>
          <w:noProof/>
          <w:color w:val="auto"/>
        </w:rPr>
        <w:fldChar w:fldCharType="end"/>
      </w:r>
      <w:r w:rsidRPr="00F85178">
        <w:rPr>
          <w:color w:val="auto"/>
        </w:rPr>
        <w:t>: OS – vyřizování trestních věcí v letech 2008–</w:t>
      </w:r>
      <w:bookmarkEnd w:id="203"/>
      <w:bookmarkEnd w:id="204"/>
      <w:r w:rsidR="0045086B" w:rsidRPr="00F85178">
        <w:rPr>
          <w:color w:val="auto"/>
        </w:rPr>
        <w:t>201</w:t>
      </w:r>
      <w:r w:rsidR="0045086B">
        <w:rPr>
          <w:color w:val="auto"/>
        </w:rPr>
        <w:t>8</w:t>
      </w:r>
      <w:bookmarkEnd w:id="205"/>
    </w:p>
    <w:p w14:paraId="15BCE9F5" w14:textId="77777777" w:rsidR="007C2FD9" w:rsidRPr="00F85178" w:rsidRDefault="00890295">
      <w:pPr>
        <w:spacing w:line="240" w:lineRule="auto"/>
        <w:jc w:val="left"/>
      </w:pPr>
      <w:r>
        <w:rPr>
          <w:noProof/>
          <w:lang w:eastAsia="cs-CZ"/>
        </w:rPr>
        <w:drawing>
          <wp:inline distT="0" distB="0" distL="0" distR="0" wp14:anchorId="6814A8B1" wp14:editId="7B988AFA">
            <wp:extent cx="5118100" cy="3746500"/>
            <wp:effectExtent l="0" t="0" r="0" b="0"/>
            <wp:docPr id="28" name="Obrázek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0"/>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B6807EA" w14:textId="77777777" w:rsidR="007C2FD9" w:rsidRPr="00F85178" w:rsidRDefault="007C2FD9">
      <w:pPr>
        <w:spacing w:line="240" w:lineRule="auto"/>
        <w:jc w:val="left"/>
      </w:pPr>
    </w:p>
    <w:p w14:paraId="0F14ECE8" w14:textId="77777777" w:rsidR="0032015B" w:rsidRDefault="006D5503" w:rsidP="006D5503">
      <w:pPr>
        <w:pStyle w:val="OdstavecASR"/>
      </w:pPr>
      <w:bookmarkStart w:id="206" w:name="_Toc515871453"/>
      <w:r w:rsidRPr="00F85178">
        <w:t>V grafu je na první pohled patrný výrazný pokles v nápadu a počtu vyřízených věcí po roce 2013. Tento trend je opravdu silný a vyplývá z poklesu kriminality na území ČR a trvá i v roce 2018</w:t>
      </w:r>
      <w:r w:rsidR="004B0C48" w:rsidRPr="00F85178">
        <w:t>,</w:t>
      </w:r>
      <w:r w:rsidR="005D685D" w:rsidRPr="00F85178">
        <w:t xml:space="preserve"> i </w:t>
      </w:r>
      <w:r w:rsidR="000924A7" w:rsidRPr="00F85178">
        <w:t>když v tomto roce rychlost poklesu zvolnila z</w:t>
      </w:r>
      <w:r w:rsidR="003547EB" w:rsidRPr="00F85178">
        <w:t> </w:t>
      </w:r>
      <w:r w:rsidR="000924A7" w:rsidRPr="00F85178">
        <w:t>8</w:t>
      </w:r>
      <w:r w:rsidR="003547EB" w:rsidRPr="00F85178">
        <w:t xml:space="preserve"> </w:t>
      </w:r>
      <w:r w:rsidR="000924A7" w:rsidRPr="00F85178">
        <w:t>% v roce 2017 na 3 % v roce 2018</w:t>
      </w:r>
      <w:r w:rsidRPr="00F85178">
        <w:t>. Především pokles v nápadu v posledních letech se pak projevil i v poklesu počtu nevyřízených věcí</w:t>
      </w:r>
      <w:r w:rsidR="00932858" w:rsidRPr="00F85178">
        <w:t xml:space="preserve">, </w:t>
      </w:r>
      <w:r w:rsidR="004B0C48" w:rsidRPr="00F85178">
        <w:t>ve kterých</w:t>
      </w:r>
      <w:r w:rsidR="000924A7" w:rsidRPr="00F85178">
        <w:t xml:space="preserve"> se </w:t>
      </w:r>
      <w:r w:rsidR="004B0C48" w:rsidRPr="00F85178">
        <w:t xml:space="preserve">i </w:t>
      </w:r>
      <w:r w:rsidR="000924A7" w:rsidRPr="00F85178">
        <w:t xml:space="preserve">v roce 2018 vykazuje zpomalení poklesu </w:t>
      </w:r>
      <w:r w:rsidR="00932858" w:rsidRPr="00F85178">
        <w:t>z</w:t>
      </w:r>
      <w:r w:rsidR="003547EB" w:rsidRPr="00F85178">
        <w:t> </w:t>
      </w:r>
      <w:r w:rsidR="00932858" w:rsidRPr="00F85178">
        <w:t>10</w:t>
      </w:r>
      <w:r w:rsidR="003547EB" w:rsidRPr="00F85178">
        <w:t xml:space="preserve"> </w:t>
      </w:r>
      <w:r w:rsidR="00932858" w:rsidRPr="00F85178">
        <w:t>% v roce 2017 na 5</w:t>
      </w:r>
      <w:r w:rsidR="003547EB" w:rsidRPr="00F85178">
        <w:t xml:space="preserve"> </w:t>
      </w:r>
      <w:r w:rsidR="00932858" w:rsidRPr="00F85178">
        <w:t>% v roce 2018</w:t>
      </w:r>
      <w:r w:rsidRPr="00F85178">
        <w:t>.</w:t>
      </w:r>
    </w:p>
    <w:p w14:paraId="0FF3BC7F" w14:textId="05E075D4" w:rsidR="007C2FD9" w:rsidRPr="00F85178" w:rsidRDefault="007C2FD9" w:rsidP="007C2FD9">
      <w:pPr>
        <w:pStyle w:val="Podtitul"/>
        <w:rPr>
          <w:color w:val="auto"/>
        </w:rPr>
      </w:pPr>
      <w:bookmarkStart w:id="207" w:name="_Toc11133221"/>
      <w:bookmarkStart w:id="208" w:name="_Toc13837442"/>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19</w:t>
      </w:r>
      <w:r w:rsidR="00D842DE" w:rsidRPr="00F85178">
        <w:rPr>
          <w:noProof/>
          <w:color w:val="auto"/>
        </w:rPr>
        <w:fldChar w:fldCharType="end"/>
      </w:r>
      <w:r w:rsidRPr="00F85178">
        <w:rPr>
          <w:color w:val="auto"/>
        </w:rPr>
        <w:t>: OS – vyřizování trestních věcí dle krajů</w:t>
      </w:r>
      <w:bookmarkEnd w:id="206"/>
      <w:bookmarkEnd w:id="207"/>
      <w:bookmarkEnd w:id="208"/>
    </w:p>
    <w:tbl>
      <w:tblPr>
        <w:tblW w:w="9140" w:type="dxa"/>
        <w:tblCellMar>
          <w:left w:w="70" w:type="dxa"/>
          <w:right w:w="70" w:type="dxa"/>
        </w:tblCellMar>
        <w:tblLook w:val="04A0" w:firstRow="1" w:lastRow="0" w:firstColumn="1" w:lastColumn="0" w:noHBand="0" w:noVBand="1"/>
      </w:tblPr>
      <w:tblGrid>
        <w:gridCol w:w="2020"/>
        <w:gridCol w:w="1061"/>
        <w:gridCol w:w="730"/>
        <w:gridCol w:w="1061"/>
        <w:gridCol w:w="844"/>
        <w:gridCol w:w="998"/>
        <w:gridCol w:w="886"/>
        <w:gridCol w:w="1540"/>
      </w:tblGrid>
      <w:tr w:rsidR="00F85178" w:rsidRPr="00F85178" w14:paraId="5547ABA8" w14:textId="77777777" w:rsidTr="007C2FD9">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1492FC87"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65EE76D8"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08523854"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49DB0E0D" w14:textId="77777777" w:rsidTr="007C2FD9">
        <w:trPr>
          <w:trHeight w:val="330"/>
        </w:trPr>
        <w:tc>
          <w:tcPr>
            <w:tcW w:w="2020" w:type="dxa"/>
            <w:vMerge/>
            <w:tcBorders>
              <w:top w:val="double" w:sz="6" w:space="0" w:color="auto"/>
              <w:left w:val="nil"/>
              <w:bottom w:val="double" w:sz="6" w:space="0" w:color="000000"/>
              <w:right w:val="nil"/>
            </w:tcBorders>
            <w:vAlign w:val="center"/>
            <w:hideMark/>
          </w:tcPr>
          <w:p w14:paraId="39912E43" w14:textId="77777777" w:rsidR="007C2FD9" w:rsidRPr="00F85178" w:rsidRDefault="007C2FD9" w:rsidP="007C2FD9">
            <w:pPr>
              <w:spacing w:line="240" w:lineRule="auto"/>
              <w:jc w:val="left"/>
              <w:rPr>
                <w:rFonts w:eastAsia="Times New Roman"/>
                <w:b/>
                <w:bCs/>
                <w:szCs w:val="24"/>
                <w:lang w:eastAsia="cs-CZ"/>
              </w:rPr>
            </w:pPr>
          </w:p>
        </w:tc>
        <w:tc>
          <w:tcPr>
            <w:tcW w:w="1791" w:type="dxa"/>
            <w:gridSpan w:val="2"/>
            <w:tcBorders>
              <w:top w:val="nil"/>
              <w:left w:val="nil"/>
              <w:bottom w:val="double" w:sz="6" w:space="0" w:color="auto"/>
              <w:right w:val="nil"/>
            </w:tcBorders>
            <w:shd w:val="clear" w:color="auto" w:fill="auto"/>
            <w:noWrap/>
            <w:vAlign w:val="center"/>
            <w:hideMark/>
          </w:tcPr>
          <w:p w14:paraId="11A89F34"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0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CF03FB9"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884" w:type="dxa"/>
            <w:gridSpan w:val="2"/>
            <w:tcBorders>
              <w:top w:val="nil"/>
              <w:left w:val="nil"/>
              <w:bottom w:val="double" w:sz="6" w:space="0" w:color="auto"/>
              <w:right w:val="single" w:sz="4" w:space="0" w:color="000000"/>
            </w:tcBorders>
            <w:shd w:val="clear" w:color="auto" w:fill="auto"/>
            <w:noWrap/>
            <w:vAlign w:val="center"/>
            <w:hideMark/>
          </w:tcPr>
          <w:p w14:paraId="77C947AA"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7FCF2C15" w14:textId="77777777" w:rsidR="007C2FD9" w:rsidRPr="00F85178" w:rsidRDefault="007C2FD9" w:rsidP="007C2FD9">
            <w:pPr>
              <w:spacing w:line="240" w:lineRule="auto"/>
              <w:jc w:val="left"/>
              <w:rPr>
                <w:rFonts w:eastAsia="Times New Roman"/>
                <w:b/>
                <w:bCs/>
                <w:szCs w:val="24"/>
                <w:lang w:eastAsia="cs-CZ"/>
              </w:rPr>
            </w:pPr>
          </w:p>
        </w:tc>
      </w:tr>
      <w:tr w:rsidR="00F85178" w:rsidRPr="00F85178" w14:paraId="2EF6DA48" w14:textId="77777777" w:rsidTr="007C2FD9">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73B6DC44"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MS Praha</w:t>
            </w:r>
          </w:p>
        </w:tc>
        <w:tc>
          <w:tcPr>
            <w:tcW w:w="1061" w:type="dxa"/>
            <w:tcBorders>
              <w:top w:val="single" w:sz="4" w:space="0" w:color="auto"/>
              <w:left w:val="nil"/>
              <w:bottom w:val="single" w:sz="4" w:space="0" w:color="auto"/>
              <w:right w:val="nil"/>
            </w:tcBorders>
            <w:shd w:val="clear" w:color="auto" w:fill="auto"/>
            <w:noWrap/>
            <w:vAlign w:val="bottom"/>
            <w:hideMark/>
          </w:tcPr>
          <w:p w14:paraId="492D0AD9"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9 524</w:t>
            </w:r>
          </w:p>
        </w:tc>
        <w:tc>
          <w:tcPr>
            <w:tcW w:w="730" w:type="dxa"/>
            <w:tcBorders>
              <w:top w:val="single" w:sz="4" w:space="0" w:color="auto"/>
              <w:left w:val="nil"/>
              <w:bottom w:val="single" w:sz="4" w:space="0" w:color="auto"/>
              <w:right w:val="nil"/>
            </w:tcBorders>
            <w:shd w:val="clear" w:color="auto" w:fill="auto"/>
            <w:noWrap/>
            <w:vAlign w:val="center"/>
            <w:hideMark/>
          </w:tcPr>
          <w:p w14:paraId="60060145" w14:textId="4E938197"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61" w:type="dxa"/>
            <w:tcBorders>
              <w:top w:val="single" w:sz="4" w:space="0" w:color="auto"/>
              <w:left w:val="single" w:sz="4" w:space="0" w:color="auto"/>
              <w:bottom w:val="single" w:sz="4" w:space="0" w:color="auto"/>
              <w:right w:val="nil"/>
            </w:tcBorders>
            <w:shd w:val="clear" w:color="auto" w:fill="auto"/>
            <w:noWrap/>
            <w:vAlign w:val="bottom"/>
            <w:hideMark/>
          </w:tcPr>
          <w:p w14:paraId="616B971F"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9 501</w:t>
            </w:r>
          </w:p>
        </w:tc>
        <w:tc>
          <w:tcPr>
            <w:tcW w:w="844" w:type="dxa"/>
            <w:tcBorders>
              <w:top w:val="single" w:sz="4" w:space="0" w:color="auto"/>
              <w:left w:val="nil"/>
              <w:bottom w:val="single" w:sz="4" w:space="0" w:color="auto"/>
              <w:right w:val="single" w:sz="4" w:space="0" w:color="auto"/>
            </w:tcBorders>
            <w:shd w:val="clear" w:color="auto" w:fill="auto"/>
            <w:noWrap/>
            <w:vAlign w:val="center"/>
            <w:hideMark/>
          </w:tcPr>
          <w:p w14:paraId="77915F0B" w14:textId="0BDF4ACF"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98" w:type="dxa"/>
            <w:tcBorders>
              <w:top w:val="single" w:sz="4" w:space="0" w:color="auto"/>
              <w:left w:val="nil"/>
              <w:bottom w:val="single" w:sz="4" w:space="0" w:color="auto"/>
              <w:right w:val="nil"/>
            </w:tcBorders>
            <w:shd w:val="clear" w:color="auto" w:fill="auto"/>
            <w:noWrap/>
            <w:vAlign w:val="bottom"/>
            <w:hideMark/>
          </w:tcPr>
          <w:p w14:paraId="1EF82096"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1 264</w:t>
            </w:r>
          </w:p>
        </w:tc>
        <w:tc>
          <w:tcPr>
            <w:tcW w:w="886" w:type="dxa"/>
            <w:tcBorders>
              <w:top w:val="single" w:sz="4" w:space="0" w:color="auto"/>
              <w:left w:val="nil"/>
              <w:bottom w:val="single" w:sz="4" w:space="0" w:color="auto"/>
              <w:right w:val="single" w:sz="4" w:space="0" w:color="auto"/>
            </w:tcBorders>
            <w:shd w:val="clear" w:color="auto" w:fill="auto"/>
            <w:noWrap/>
            <w:vAlign w:val="center"/>
            <w:hideMark/>
          </w:tcPr>
          <w:p w14:paraId="3006CA13" w14:textId="1045AF95"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540" w:type="dxa"/>
            <w:tcBorders>
              <w:top w:val="nil"/>
              <w:left w:val="nil"/>
              <w:bottom w:val="single" w:sz="4" w:space="0" w:color="auto"/>
              <w:right w:val="nil"/>
            </w:tcBorders>
            <w:shd w:val="clear" w:color="auto" w:fill="auto"/>
            <w:noWrap/>
            <w:vAlign w:val="center"/>
            <w:hideMark/>
          </w:tcPr>
          <w:p w14:paraId="0F82FB7E"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99,8 %</w:t>
            </w:r>
          </w:p>
        </w:tc>
      </w:tr>
      <w:tr w:rsidR="00F85178" w:rsidRPr="00F85178" w14:paraId="2E4EFBC6"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4F20B6E6"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Praha</w:t>
            </w:r>
          </w:p>
        </w:tc>
        <w:tc>
          <w:tcPr>
            <w:tcW w:w="1061" w:type="dxa"/>
            <w:tcBorders>
              <w:top w:val="nil"/>
              <w:left w:val="nil"/>
              <w:bottom w:val="single" w:sz="4" w:space="0" w:color="auto"/>
              <w:right w:val="nil"/>
            </w:tcBorders>
            <w:shd w:val="clear" w:color="auto" w:fill="auto"/>
            <w:noWrap/>
            <w:vAlign w:val="bottom"/>
            <w:hideMark/>
          </w:tcPr>
          <w:p w14:paraId="35157EFB" w14:textId="0099AE78"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8</w:t>
            </w:r>
            <w:r w:rsidR="0045086B">
              <w:rPr>
                <w:rFonts w:eastAsia="Times New Roman"/>
                <w:szCs w:val="24"/>
                <w:lang w:eastAsia="cs-CZ"/>
              </w:rPr>
              <w:t xml:space="preserve"> </w:t>
            </w:r>
            <w:r w:rsidRPr="00F85178">
              <w:rPr>
                <w:rFonts w:eastAsia="Times New Roman"/>
                <w:szCs w:val="24"/>
                <w:lang w:eastAsia="cs-CZ"/>
              </w:rPr>
              <w:t>169</w:t>
            </w:r>
          </w:p>
        </w:tc>
        <w:tc>
          <w:tcPr>
            <w:tcW w:w="730" w:type="dxa"/>
            <w:tcBorders>
              <w:top w:val="nil"/>
              <w:left w:val="nil"/>
              <w:bottom w:val="single" w:sz="4" w:space="0" w:color="auto"/>
              <w:right w:val="nil"/>
            </w:tcBorders>
            <w:shd w:val="clear" w:color="auto" w:fill="auto"/>
            <w:noWrap/>
            <w:vAlign w:val="center"/>
            <w:hideMark/>
          </w:tcPr>
          <w:p w14:paraId="14B52C77" w14:textId="5C6DAC70"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61" w:type="dxa"/>
            <w:tcBorders>
              <w:top w:val="nil"/>
              <w:left w:val="single" w:sz="4" w:space="0" w:color="auto"/>
              <w:bottom w:val="single" w:sz="4" w:space="0" w:color="auto"/>
              <w:right w:val="nil"/>
            </w:tcBorders>
            <w:shd w:val="clear" w:color="auto" w:fill="auto"/>
            <w:noWrap/>
            <w:vAlign w:val="bottom"/>
            <w:hideMark/>
          </w:tcPr>
          <w:p w14:paraId="05779D70" w14:textId="34FAA750"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8</w:t>
            </w:r>
            <w:r w:rsidR="0045086B">
              <w:rPr>
                <w:rFonts w:eastAsia="Times New Roman"/>
                <w:szCs w:val="24"/>
                <w:lang w:eastAsia="cs-CZ"/>
              </w:rPr>
              <w:t xml:space="preserve"> </w:t>
            </w:r>
            <w:r w:rsidRPr="00F85178">
              <w:rPr>
                <w:rFonts w:eastAsia="Times New Roman"/>
                <w:szCs w:val="24"/>
                <w:lang w:eastAsia="cs-CZ"/>
              </w:rPr>
              <w:t>223</w:t>
            </w:r>
          </w:p>
        </w:tc>
        <w:tc>
          <w:tcPr>
            <w:tcW w:w="844" w:type="dxa"/>
            <w:tcBorders>
              <w:top w:val="nil"/>
              <w:left w:val="nil"/>
              <w:bottom w:val="single" w:sz="4" w:space="0" w:color="auto"/>
              <w:right w:val="single" w:sz="4" w:space="0" w:color="auto"/>
            </w:tcBorders>
            <w:shd w:val="clear" w:color="auto" w:fill="auto"/>
            <w:noWrap/>
            <w:vAlign w:val="center"/>
            <w:hideMark/>
          </w:tcPr>
          <w:p w14:paraId="58DF7ABF" w14:textId="767D1F33"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98" w:type="dxa"/>
            <w:tcBorders>
              <w:top w:val="nil"/>
              <w:left w:val="nil"/>
              <w:bottom w:val="single" w:sz="4" w:space="0" w:color="auto"/>
              <w:right w:val="nil"/>
            </w:tcBorders>
            <w:shd w:val="clear" w:color="auto" w:fill="auto"/>
            <w:noWrap/>
            <w:vAlign w:val="bottom"/>
            <w:hideMark/>
          </w:tcPr>
          <w:p w14:paraId="1074DFE9"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582</w:t>
            </w:r>
          </w:p>
        </w:tc>
        <w:tc>
          <w:tcPr>
            <w:tcW w:w="886" w:type="dxa"/>
            <w:tcBorders>
              <w:top w:val="nil"/>
              <w:left w:val="nil"/>
              <w:bottom w:val="single" w:sz="4" w:space="0" w:color="auto"/>
              <w:right w:val="single" w:sz="4" w:space="0" w:color="auto"/>
            </w:tcBorders>
            <w:shd w:val="clear" w:color="auto" w:fill="auto"/>
            <w:noWrap/>
            <w:vAlign w:val="center"/>
            <w:hideMark/>
          </w:tcPr>
          <w:p w14:paraId="6EBE9E0C" w14:textId="3922D18D"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540" w:type="dxa"/>
            <w:tcBorders>
              <w:top w:val="nil"/>
              <w:left w:val="nil"/>
              <w:bottom w:val="single" w:sz="4" w:space="0" w:color="auto"/>
              <w:right w:val="nil"/>
            </w:tcBorders>
            <w:shd w:val="clear" w:color="auto" w:fill="auto"/>
            <w:noWrap/>
            <w:vAlign w:val="center"/>
            <w:hideMark/>
          </w:tcPr>
          <w:p w14:paraId="21C2193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100,7 %</w:t>
            </w:r>
          </w:p>
        </w:tc>
      </w:tr>
      <w:tr w:rsidR="00F85178" w:rsidRPr="00F85178" w14:paraId="62D9004C"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271DA0C4"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Č. Budějovice</w:t>
            </w:r>
          </w:p>
        </w:tc>
        <w:tc>
          <w:tcPr>
            <w:tcW w:w="1061" w:type="dxa"/>
            <w:tcBorders>
              <w:top w:val="nil"/>
              <w:left w:val="nil"/>
              <w:bottom w:val="single" w:sz="4" w:space="0" w:color="auto"/>
              <w:right w:val="nil"/>
            </w:tcBorders>
            <w:shd w:val="clear" w:color="auto" w:fill="auto"/>
            <w:noWrap/>
            <w:vAlign w:val="bottom"/>
            <w:hideMark/>
          </w:tcPr>
          <w:p w14:paraId="36AD3DC5"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4787</w:t>
            </w:r>
          </w:p>
        </w:tc>
        <w:tc>
          <w:tcPr>
            <w:tcW w:w="730" w:type="dxa"/>
            <w:tcBorders>
              <w:top w:val="nil"/>
              <w:left w:val="nil"/>
              <w:bottom w:val="single" w:sz="4" w:space="0" w:color="auto"/>
              <w:right w:val="nil"/>
            </w:tcBorders>
            <w:shd w:val="clear" w:color="auto" w:fill="auto"/>
            <w:noWrap/>
            <w:vAlign w:val="center"/>
            <w:hideMark/>
          </w:tcPr>
          <w:p w14:paraId="2F277BBE" w14:textId="07CDE8F7"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61" w:type="dxa"/>
            <w:tcBorders>
              <w:top w:val="nil"/>
              <w:left w:val="single" w:sz="4" w:space="0" w:color="auto"/>
              <w:bottom w:val="single" w:sz="4" w:space="0" w:color="auto"/>
              <w:right w:val="nil"/>
            </w:tcBorders>
            <w:shd w:val="clear" w:color="auto" w:fill="auto"/>
            <w:noWrap/>
            <w:vAlign w:val="bottom"/>
            <w:hideMark/>
          </w:tcPr>
          <w:p w14:paraId="18C30550" w14:textId="24C3CE25"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4</w:t>
            </w:r>
            <w:r w:rsidR="0045086B">
              <w:rPr>
                <w:rFonts w:eastAsia="Times New Roman"/>
                <w:szCs w:val="24"/>
                <w:lang w:eastAsia="cs-CZ"/>
              </w:rPr>
              <w:t xml:space="preserve"> </w:t>
            </w:r>
            <w:r w:rsidRPr="00F85178">
              <w:rPr>
                <w:rFonts w:eastAsia="Times New Roman"/>
                <w:szCs w:val="24"/>
                <w:lang w:eastAsia="cs-CZ"/>
              </w:rPr>
              <w:t>778</w:t>
            </w:r>
          </w:p>
        </w:tc>
        <w:tc>
          <w:tcPr>
            <w:tcW w:w="844" w:type="dxa"/>
            <w:tcBorders>
              <w:top w:val="nil"/>
              <w:left w:val="nil"/>
              <w:bottom w:val="single" w:sz="4" w:space="0" w:color="auto"/>
              <w:right w:val="single" w:sz="4" w:space="0" w:color="auto"/>
            </w:tcBorders>
            <w:shd w:val="clear" w:color="auto" w:fill="auto"/>
            <w:noWrap/>
            <w:vAlign w:val="center"/>
            <w:hideMark/>
          </w:tcPr>
          <w:p w14:paraId="0CAF8703" w14:textId="016EFDF0"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98" w:type="dxa"/>
            <w:tcBorders>
              <w:top w:val="nil"/>
              <w:left w:val="nil"/>
              <w:bottom w:val="single" w:sz="4" w:space="0" w:color="auto"/>
              <w:right w:val="nil"/>
            </w:tcBorders>
            <w:shd w:val="clear" w:color="auto" w:fill="auto"/>
            <w:noWrap/>
            <w:vAlign w:val="bottom"/>
            <w:hideMark/>
          </w:tcPr>
          <w:p w14:paraId="44DB335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695</w:t>
            </w:r>
          </w:p>
        </w:tc>
        <w:tc>
          <w:tcPr>
            <w:tcW w:w="886" w:type="dxa"/>
            <w:tcBorders>
              <w:top w:val="nil"/>
              <w:left w:val="nil"/>
              <w:bottom w:val="single" w:sz="4" w:space="0" w:color="auto"/>
              <w:right w:val="single" w:sz="4" w:space="0" w:color="auto"/>
            </w:tcBorders>
            <w:shd w:val="clear" w:color="auto" w:fill="auto"/>
            <w:noWrap/>
            <w:vAlign w:val="center"/>
            <w:hideMark/>
          </w:tcPr>
          <w:p w14:paraId="284E563F" w14:textId="1A108820"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540" w:type="dxa"/>
            <w:tcBorders>
              <w:top w:val="nil"/>
              <w:left w:val="nil"/>
              <w:bottom w:val="single" w:sz="4" w:space="0" w:color="auto"/>
              <w:right w:val="nil"/>
            </w:tcBorders>
            <w:shd w:val="clear" w:color="auto" w:fill="auto"/>
            <w:noWrap/>
            <w:vAlign w:val="center"/>
            <w:hideMark/>
          </w:tcPr>
          <w:p w14:paraId="604F7219"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99,8 %</w:t>
            </w:r>
          </w:p>
        </w:tc>
      </w:tr>
      <w:tr w:rsidR="00F85178" w:rsidRPr="00F85178" w14:paraId="41E7ED45"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39ED4DEF"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Plzeň</w:t>
            </w:r>
          </w:p>
        </w:tc>
        <w:tc>
          <w:tcPr>
            <w:tcW w:w="1061" w:type="dxa"/>
            <w:tcBorders>
              <w:top w:val="nil"/>
              <w:left w:val="nil"/>
              <w:bottom w:val="single" w:sz="4" w:space="0" w:color="auto"/>
              <w:right w:val="nil"/>
            </w:tcBorders>
            <w:shd w:val="clear" w:color="auto" w:fill="auto"/>
            <w:noWrap/>
            <w:vAlign w:val="bottom"/>
            <w:hideMark/>
          </w:tcPr>
          <w:p w14:paraId="5FD399FF" w14:textId="6E8DFC06"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6</w:t>
            </w:r>
            <w:r w:rsidR="0045086B">
              <w:rPr>
                <w:rFonts w:eastAsia="Times New Roman"/>
                <w:szCs w:val="24"/>
                <w:lang w:eastAsia="cs-CZ"/>
              </w:rPr>
              <w:t xml:space="preserve"> </w:t>
            </w:r>
            <w:r w:rsidRPr="00F85178">
              <w:rPr>
                <w:rFonts w:eastAsia="Times New Roman"/>
                <w:szCs w:val="24"/>
                <w:lang w:eastAsia="cs-CZ"/>
              </w:rPr>
              <w:t>391</w:t>
            </w:r>
          </w:p>
        </w:tc>
        <w:tc>
          <w:tcPr>
            <w:tcW w:w="730" w:type="dxa"/>
            <w:tcBorders>
              <w:top w:val="nil"/>
              <w:left w:val="nil"/>
              <w:bottom w:val="single" w:sz="4" w:space="0" w:color="auto"/>
              <w:right w:val="nil"/>
            </w:tcBorders>
            <w:shd w:val="clear" w:color="auto" w:fill="auto"/>
            <w:noWrap/>
            <w:vAlign w:val="center"/>
            <w:hideMark/>
          </w:tcPr>
          <w:p w14:paraId="53C7B31D" w14:textId="0743065A"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061" w:type="dxa"/>
            <w:tcBorders>
              <w:top w:val="nil"/>
              <w:left w:val="single" w:sz="4" w:space="0" w:color="auto"/>
              <w:bottom w:val="single" w:sz="4" w:space="0" w:color="auto"/>
              <w:right w:val="nil"/>
            </w:tcBorders>
            <w:shd w:val="clear" w:color="auto" w:fill="auto"/>
            <w:noWrap/>
            <w:vAlign w:val="bottom"/>
            <w:hideMark/>
          </w:tcPr>
          <w:p w14:paraId="2F2F3375" w14:textId="438296F2"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6</w:t>
            </w:r>
            <w:r w:rsidR="0045086B">
              <w:rPr>
                <w:rFonts w:eastAsia="Times New Roman"/>
                <w:szCs w:val="24"/>
                <w:lang w:eastAsia="cs-CZ"/>
              </w:rPr>
              <w:t xml:space="preserve"> </w:t>
            </w:r>
            <w:r w:rsidRPr="00F85178">
              <w:rPr>
                <w:rFonts w:eastAsia="Times New Roman"/>
                <w:szCs w:val="24"/>
                <w:lang w:eastAsia="cs-CZ"/>
              </w:rPr>
              <w:t>516</w:t>
            </w:r>
          </w:p>
        </w:tc>
        <w:tc>
          <w:tcPr>
            <w:tcW w:w="844" w:type="dxa"/>
            <w:tcBorders>
              <w:top w:val="nil"/>
              <w:left w:val="nil"/>
              <w:bottom w:val="single" w:sz="4" w:space="0" w:color="auto"/>
              <w:right w:val="single" w:sz="4" w:space="0" w:color="auto"/>
            </w:tcBorders>
            <w:shd w:val="clear" w:color="auto" w:fill="auto"/>
            <w:noWrap/>
            <w:vAlign w:val="center"/>
            <w:hideMark/>
          </w:tcPr>
          <w:p w14:paraId="40D5D3C4" w14:textId="315757B1"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98" w:type="dxa"/>
            <w:tcBorders>
              <w:top w:val="nil"/>
              <w:left w:val="nil"/>
              <w:bottom w:val="single" w:sz="4" w:space="0" w:color="auto"/>
              <w:right w:val="nil"/>
            </w:tcBorders>
            <w:shd w:val="clear" w:color="auto" w:fill="auto"/>
            <w:noWrap/>
            <w:vAlign w:val="bottom"/>
            <w:hideMark/>
          </w:tcPr>
          <w:p w14:paraId="6629CBE2" w14:textId="0862CB6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w:t>
            </w:r>
            <w:r w:rsidR="0045086B">
              <w:rPr>
                <w:rFonts w:eastAsia="Times New Roman"/>
                <w:szCs w:val="24"/>
                <w:lang w:eastAsia="cs-CZ"/>
              </w:rPr>
              <w:t xml:space="preserve"> </w:t>
            </w:r>
            <w:r w:rsidRPr="00F85178">
              <w:rPr>
                <w:rFonts w:eastAsia="Times New Roman"/>
                <w:szCs w:val="24"/>
                <w:lang w:eastAsia="cs-CZ"/>
              </w:rPr>
              <w:t>267</w:t>
            </w:r>
          </w:p>
        </w:tc>
        <w:tc>
          <w:tcPr>
            <w:tcW w:w="886" w:type="dxa"/>
            <w:tcBorders>
              <w:top w:val="nil"/>
              <w:left w:val="nil"/>
              <w:bottom w:val="single" w:sz="4" w:space="0" w:color="auto"/>
              <w:right w:val="single" w:sz="4" w:space="0" w:color="auto"/>
            </w:tcBorders>
            <w:shd w:val="clear" w:color="auto" w:fill="auto"/>
            <w:noWrap/>
            <w:vAlign w:val="center"/>
            <w:hideMark/>
          </w:tcPr>
          <w:p w14:paraId="6C7F9A74" w14:textId="7ECBEAD7"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540" w:type="dxa"/>
            <w:tcBorders>
              <w:top w:val="nil"/>
              <w:left w:val="nil"/>
              <w:bottom w:val="single" w:sz="4" w:space="0" w:color="auto"/>
              <w:right w:val="nil"/>
            </w:tcBorders>
            <w:shd w:val="clear" w:color="auto" w:fill="auto"/>
            <w:noWrap/>
            <w:vAlign w:val="center"/>
            <w:hideMark/>
          </w:tcPr>
          <w:p w14:paraId="76554FEB"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102,0 %</w:t>
            </w:r>
          </w:p>
        </w:tc>
      </w:tr>
      <w:tr w:rsidR="00F85178" w:rsidRPr="00F85178" w14:paraId="73E4FC69"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7986567D"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Ústí n. Labem</w:t>
            </w:r>
          </w:p>
        </w:tc>
        <w:tc>
          <w:tcPr>
            <w:tcW w:w="1061" w:type="dxa"/>
            <w:tcBorders>
              <w:top w:val="nil"/>
              <w:left w:val="nil"/>
              <w:bottom w:val="single" w:sz="4" w:space="0" w:color="auto"/>
              <w:right w:val="nil"/>
            </w:tcBorders>
            <w:shd w:val="clear" w:color="auto" w:fill="auto"/>
            <w:noWrap/>
            <w:vAlign w:val="bottom"/>
            <w:hideMark/>
          </w:tcPr>
          <w:p w14:paraId="31B1053A" w14:textId="5EB4331B"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12</w:t>
            </w:r>
            <w:r w:rsidR="0045086B">
              <w:rPr>
                <w:rFonts w:eastAsia="Times New Roman"/>
                <w:szCs w:val="24"/>
                <w:lang w:eastAsia="cs-CZ"/>
              </w:rPr>
              <w:t xml:space="preserve"> </w:t>
            </w:r>
            <w:r w:rsidRPr="00F85178">
              <w:rPr>
                <w:rFonts w:eastAsia="Times New Roman"/>
                <w:szCs w:val="24"/>
                <w:lang w:eastAsia="cs-CZ"/>
              </w:rPr>
              <w:t>400</w:t>
            </w:r>
          </w:p>
        </w:tc>
        <w:tc>
          <w:tcPr>
            <w:tcW w:w="730" w:type="dxa"/>
            <w:tcBorders>
              <w:top w:val="nil"/>
              <w:left w:val="nil"/>
              <w:bottom w:val="single" w:sz="4" w:space="0" w:color="auto"/>
              <w:right w:val="nil"/>
            </w:tcBorders>
            <w:shd w:val="clear" w:color="auto" w:fill="auto"/>
            <w:noWrap/>
            <w:vAlign w:val="center"/>
            <w:hideMark/>
          </w:tcPr>
          <w:p w14:paraId="6F2259CF" w14:textId="6FFD31E0"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61" w:type="dxa"/>
            <w:tcBorders>
              <w:top w:val="nil"/>
              <w:left w:val="single" w:sz="4" w:space="0" w:color="auto"/>
              <w:bottom w:val="single" w:sz="4" w:space="0" w:color="auto"/>
              <w:right w:val="nil"/>
            </w:tcBorders>
            <w:shd w:val="clear" w:color="auto" w:fill="auto"/>
            <w:noWrap/>
            <w:vAlign w:val="bottom"/>
            <w:hideMark/>
          </w:tcPr>
          <w:p w14:paraId="13DC4EF1" w14:textId="67F0FD81"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12</w:t>
            </w:r>
            <w:r w:rsidR="0045086B">
              <w:rPr>
                <w:rFonts w:eastAsia="Times New Roman"/>
                <w:szCs w:val="24"/>
                <w:lang w:eastAsia="cs-CZ"/>
              </w:rPr>
              <w:t xml:space="preserve"> </w:t>
            </w:r>
            <w:r w:rsidRPr="00F85178">
              <w:rPr>
                <w:rFonts w:eastAsia="Times New Roman"/>
                <w:szCs w:val="24"/>
                <w:lang w:eastAsia="cs-CZ"/>
              </w:rPr>
              <w:t>811</w:t>
            </w:r>
          </w:p>
        </w:tc>
        <w:tc>
          <w:tcPr>
            <w:tcW w:w="844" w:type="dxa"/>
            <w:tcBorders>
              <w:top w:val="nil"/>
              <w:left w:val="nil"/>
              <w:bottom w:val="single" w:sz="4" w:space="0" w:color="auto"/>
              <w:right w:val="single" w:sz="4" w:space="0" w:color="auto"/>
            </w:tcBorders>
            <w:shd w:val="clear" w:color="auto" w:fill="auto"/>
            <w:noWrap/>
            <w:vAlign w:val="center"/>
            <w:hideMark/>
          </w:tcPr>
          <w:p w14:paraId="05CD2708" w14:textId="5F6F5908"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98" w:type="dxa"/>
            <w:tcBorders>
              <w:top w:val="nil"/>
              <w:left w:val="nil"/>
              <w:bottom w:val="single" w:sz="4" w:space="0" w:color="auto"/>
              <w:right w:val="nil"/>
            </w:tcBorders>
            <w:shd w:val="clear" w:color="auto" w:fill="auto"/>
            <w:noWrap/>
            <w:vAlign w:val="bottom"/>
            <w:hideMark/>
          </w:tcPr>
          <w:p w14:paraId="2A5F0937" w14:textId="0C7C8E30"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3</w:t>
            </w:r>
            <w:r w:rsidR="0045086B">
              <w:rPr>
                <w:rFonts w:eastAsia="Times New Roman"/>
                <w:szCs w:val="24"/>
                <w:lang w:eastAsia="cs-CZ"/>
              </w:rPr>
              <w:t xml:space="preserve"> </w:t>
            </w:r>
            <w:r w:rsidRPr="00F85178">
              <w:rPr>
                <w:rFonts w:eastAsia="Times New Roman"/>
                <w:szCs w:val="24"/>
                <w:lang w:eastAsia="cs-CZ"/>
              </w:rPr>
              <w:t>635</w:t>
            </w:r>
          </w:p>
        </w:tc>
        <w:tc>
          <w:tcPr>
            <w:tcW w:w="886" w:type="dxa"/>
            <w:tcBorders>
              <w:top w:val="nil"/>
              <w:left w:val="nil"/>
              <w:bottom w:val="single" w:sz="4" w:space="0" w:color="auto"/>
              <w:right w:val="single" w:sz="4" w:space="0" w:color="auto"/>
            </w:tcBorders>
            <w:shd w:val="clear" w:color="auto" w:fill="auto"/>
            <w:noWrap/>
            <w:vAlign w:val="center"/>
            <w:hideMark/>
          </w:tcPr>
          <w:p w14:paraId="1AF15C5F" w14:textId="4DB76F15"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540" w:type="dxa"/>
            <w:tcBorders>
              <w:top w:val="nil"/>
              <w:left w:val="nil"/>
              <w:bottom w:val="single" w:sz="4" w:space="0" w:color="auto"/>
              <w:right w:val="nil"/>
            </w:tcBorders>
            <w:shd w:val="clear" w:color="auto" w:fill="auto"/>
            <w:noWrap/>
            <w:vAlign w:val="center"/>
            <w:hideMark/>
          </w:tcPr>
          <w:p w14:paraId="387176B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103,3 %</w:t>
            </w:r>
          </w:p>
        </w:tc>
      </w:tr>
      <w:tr w:rsidR="00F85178" w:rsidRPr="00F85178" w14:paraId="5765A5A5"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32B43A7C"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Hr. Králové</w:t>
            </w:r>
          </w:p>
        </w:tc>
        <w:tc>
          <w:tcPr>
            <w:tcW w:w="1061" w:type="dxa"/>
            <w:tcBorders>
              <w:top w:val="nil"/>
              <w:left w:val="nil"/>
              <w:bottom w:val="single" w:sz="4" w:space="0" w:color="auto"/>
              <w:right w:val="nil"/>
            </w:tcBorders>
            <w:shd w:val="clear" w:color="auto" w:fill="auto"/>
            <w:noWrap/>
            <w:vAlign w:val="bottom"/>
            <w:hideMark/>
          </w:tcPr>
          <w:p w14:paraId="47348814" w14:textId="6CDC7C84"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6</w:t>
            </w:r>
            <w:r w:rsidR="0045086B">
              <w:rPr>
                <w:rFonts w:eastAsia="Times New Roman"/>
                <w:szCs w:val="24"/>
                <w:lang w:eastAsia="cs-CZ"/>
              </w:rPr>
              <w:t xml:space="preserve"> </w:t>
            </w:r>
            <w:r w:rsidRPr="00F85178">
              <w:rPr>
                <w:rFonts w:eastAsia="Times New Roman"/>
                <w:szCs w:val="24"/>
                <w:lang w:eastAsia="cs-CZ"/>
              </w:rPr>
              <w:t>642</w:t>
            </w:r>
          </w:p>
        </w:tc>
        <w:tc>
          <w:tcPr>
            <w:tcW w:w="730" w:type="dxa"/>
            <w:tcBorders>
              <w:top w:val="nil"/>
              <w:left w:val="nil"/>
              <w:bottom w:val="single" w:sz="4" w:space="0" w:color="auto"/>
              <w:right w:val="nil"/>
            </w:tcBorders>
            <w:shd w:val="clear" w:color="auto" w:fill="auto"/>
            <w:noWrap/>
            <w:vAlign w:val="center"/>
            <w:hideMark/>
          </w:tcPr>
          <w:p w14:paraId="455549B9" w14:textId="112D570B"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61" w:type="dxa"/>
            <w:tcBorders>
              <w:top w:val="nil"/>
              <w:left w:val="single" w:sz="4" w:space="0" w:color="auto"/>
              <w:bottom w:val="single" w:sz="4" w:space="0" w:color="auto"/>
              <w:right w:val="nil"/>
            </w:tcBorders>
            <w:shd w:val="clear" w:color="auto" w:fill="auto"/>
            <w:noWrap/>
            <w:vAlign w:val="bottom"/>
            <w:hideMark/>
          </w:tcPr>
          <w:p w14:paraId="73FA0B9B" w14:textId="535D9FC6"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6</w:t>
            </w:r>
            <w:r w:rsidR="0045086B">
              <w:rPr>
                <w:rFonts w:eastAsia="Times New Roman"/>
                <w:szCs w:val="24"/>
                <w:lang w:eastAsia="cs-CZ"/>
              </w:rPr>
              <w:t xml:space="preserve"> </w:t>
            </w:r>
            <w:r w:rsidRPr="00F85178">
              <w:rPr>
                <w:rFonts w:eastAsia="Times New Roman"/>
                <w:szCs w:val="24"/>
                <w:lang w:eastAsia="cs-CZ"/>
              </w:rPr>
              <w:t>729</w:t>
            </w:r>
          </w:p>
        </w:tc>
        <w:tc>
          <w:tcPr>
            <w:tcW w:w="844" w:type="dxa"/>
            <w:tcBorders>
              <w:top w:val="nil"/>
              <w:left w:val="nil"/>
              <w:bottom w:val="single" w:sz="4" w:space="0" w:color="auto"/>
              <w:right w:val="single" w:sz="4" w:space="0" w:color="auto"/>
            </w:tcBorders>
            <w:shd w:val="clear" w:color="auto" w:fill="auto"/>
            <w:noWrap/>
            <w:vAlign w:val="center"/>
            <w:hideMark/>
          </w:tcPr>
          <w:p w14:paraId="5A9C2B7F" w14:textId="1370EF61"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998" w:type="dxa"/>
            <w:tcBorders>
              <w:top w:val="nil"/>
              <w:left w:val="nil"/>
              <w:bottom w:val="single" w:sz="4" w:space="0" w:color="auto"/>
              <w:right w:val="nil"/>
            </w:tcBorders>
            <w:shd w:val="clear" w:color="auto" w:fill="auto"/>
            <w:noWrap/>
            <w:vAlign w:val="bottom"/>
            <w:hideMark/>
          </w:tcPr>
          <w:p w14:paraId="343DA072"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705</w:t>
            </w:r>
          </w:p>
        </w:tc>
        <w:tc>
          <w:tcPr>
            <w:tcW w:w="886" w:type="dxa"/>
            <w:tcBorders>
              <w:top w:val="nil"/>
              <w:left w:val="nil"/>
              <w:bottom w:val="single" w:sz="4" w:space="0" w:color="auto"/>
              <w:right w:val="single" w:sz="4" w:space="0" w:color="auto"/>
            </w:tcBorders>
            <w:shd w:val="clear" w:color="auto" w:fill="auto"/>
            <w:noWrap/>
            <w:vAlign w:val="center"/>
            <w:hideMark/>
          </w:tcPr>
          <w:p w14:paraId="3B41122D" w14:textId="6E9C206C"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4A631D3E"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101,3 %</w:t>
            </w:r>
          </w:p>
        </w:tc>
      </w:tr>
      <w:tr w:rsidR="00F85178" w:rsidRPr="00F85178" w14:paraId="702C7CD0"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719087C6"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Brno</w:t>
            </w:r>
          </w:p>
        </w:tc>
        <w:tc>
          <w:tcPr>
            <w:tcW w:w="1061" w:type="dxa"/>
            <w:tcBorders>
              <w:top w:val="nil"/>
              <w:left w:val="nil"/>
              <w:bottom w:val="single" w:sz="4" w:space="0" w:color="auto"/>
              <w:right w:val="nil"/>
            </w:tcBorders>
            <w:shd w:val="clear" w:color="auto" w:fill="auto"/>
            <w:noWrap/>
            <w:vAlign w:val="bottom"/>
            <w:hideMark/>
          </w:tcPr>
          <w:p w14:paraId="50B5B928" w14:textId="65416902"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11</w:t>
            </w:r>
            <w:r w:rsidR="0045086B">
              <w:rPr>
                <w:rFonts w:eastAsia="Times New Roman"/>
                <w:szCs w:val="24"/>
                <w:lang w:eastAsia="cs-CZ"/>
              </w:rPr>
              <w:t xml:space="preserve"> </w:t>
            </w:r>
            <w:r w:rsidRPr="00F85178">
              <w:rPr>
                <w:rFonts w:eastAsia="Times New Roman"/>
                <w:szCs w:val="24"/>
                <w:lang w:eastAsia="cs-CZ"/>
              </w:rPr>
              <w:t>172</w:t>
            </w:r>
          </w:p>
        </w:tc>
        <w:tc>
          <w:tcPr>
            <w:tcW w:w="730" w:type="dxa"/>
            <w:tcBorders>
              <w:top w:val="nil"/>
              <w:left w:val="nil"/>
              <w:bottom w:val="single" w:sz="4" w:space="0" w:color="auto"/>
              <w:right w:val="nil"/>
            </w:tcBorders>
            <w:shd w:val="clear" w:color="auto" w:fill="auto"/>
            <w:noWrap/>
            <w:vAlign w:val="center"/>
            <w:hideMark/>
          </w:tcPr>
          <w:p w14:paraId="668D01AE" w14:textId="7694B44F"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61" w:type="dxa"/>
            <w:tcBorders>
              <w:top w:val="nil"/>
              <w:left w:val="single" w:sz="4" w:space="0" w:color="auto"/>
              <w:bottom w:val="single" w:sz="4" w:space="0" w:color="auto"/>
              <w:right w:val="nil"/>
            </w:tcBorders>
            <w:shd w:val="clear" w:color="auto" w:fill="auto"/>
            <w:noWrap/>
            <w:vAlign w:val="bottom"/>
            <w:hideMark/>
          </w:tcPr>
          <w:p w14:paraId="4A865B5C" w14:textId="30389E53"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11</w:t>
            </w:r>
            <w:r w:rsidR="0045086B">
              <w:rPr>
                <w:rFonts w:eastAsia="Times New Roman"/>
                <w:szCs w:val="24"/>
                <w:lang w:eastAsia="cs-CZ"/>
              </w:rPr>
              <w:t xml:space="preserve"> </w:t>
            </w:r>
            <w:r w:rsidRPr="00F85178">
              <w:rPr>
                <w:rFonts w:eastAsia="Times New Roman"/>
                <w:szCs w:val="24"/>
                <w:lang w:eastAsia="cs-CZ"/>
              </w:rPr>
              <w:t>203</w:t>
            </w:r>
          </w:p>
        </w:tc>
        <w:tc>
          <w:tcPr>
            <w:tcW w:w="844" w:type="dxa"/>
            <w:tcBorders>
              <w:top w:val="nil"/>
              <w:left w:val="nil"/>
              <w:bottom w:val="single" w:sz="4" w:space="0" w:color="auto"/>
              <w:right w:val="single" w:sz="4" w:space="0" w:color="auto"/>
            </w:tcBorders>
            <w:shd w:val="clear" w:color="auto" w:fill="auto"/>
            <w:noWrap/>
            <w:vAlign w:val="center"/>
            <w:hideMark/>
          </w:tcPr>
          <w:p w14:paraId="1F6BA886" w14:textId="41D63C40"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98" w:type="dxa"/>
            <w:tcBorders>
              <w:top w:val="nil"/>
              <w:left w:val="nil"/>
              <w:bottom w:val="single" w:sz="4" w:space="0" w:color="auto"/>
              <w:right w:val="nil"/>
            </w:tcBorders>
            <w:shd w:val="clear" w:color="auto" w:fill="auto"/>
            <w:noWrap/>
            <w:vAlign w:val="bottom"/>
            <w:hideMark/>
          </w:tcPr>
          <w:p w14:paraId="002CD6D4" w14:textId="447A85F0"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w:t>
            </w:r>
            <w:r w:rsidR="0045086B">
              <w:rPr>
                <w:rFonts w:eastAsia="Times New Roman"/>
                <w:szCs w:val="24"/>
                <w:lang w:eastAsia="cs-CZ"/>
              </w:rPr>
              <w:t xml:space="preserve"> </w:t>
            </w:r>
            <w:r w:rsidRPr="00F85178">
              <w:rPr>
                <w:rFonts w:eastAsia="Times New Roman"/>
                <w:szCs w:val="24"/>
                <w:lang w:eastAsia="cs-CZ"/>
              </w:rPr>
              <w:t>797</w:t>
            </w:r>
          </w:p>
        </w:tc>
        <w:tc>
          <w:tcPr>
            <w:tcW w:w="886" w:type="dxa"/>
            <w:tcBorders>
              <w:top w:val="nil"/>
              <w:left w:val="nil"/>
              <w:bottom w:val="single" w:sz="4" w:space="0" w:color="auto"/>
              <w:right w:val="single" w:sz="4" w:space="0" w:color="auto"/>
            </w:tcBorders>
            <w:shd w:val="clear" w:color="auto" w:fill="auto"/>
            <w:noWrap/>
            <w:vAlign w:val="center"/>
            <w:hideMark/>
          </w:tcPr>
          <w:p w14:paraId="533A34B1" w14:textId="52D23F56"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540" w:type="dxa"/>
            <w:tcBorders>
              <w:top w:val="nil"/>
              <w:left w:val="nil"/>
              <w:bottom w:val="single" w:sz="4" w:space="0" w:color="auto"/>
              <w:right w:val="nil"/>
            </w:tcBorders>
            <w:shd w:val="clear" w:color="auto" w:fill="auto"/>
            <w:noWrap/>
            <w:vAlign w:val="center"/>
            <w:hideMark/>
          </w:tcPr>
          <w:p w14:paraId="7B04548C"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100,3 %</w:t>
            </w:r>
          </w:p>
        </w:tc>
      </w:tr>
      <w:tr w:rsidR="00F85178" w:rsidRPr="00F85178" w14:paraId="241F7F03" w14:textId="77777777" w:rsidTr="007C2FD9">
        <w:trPr>
          <w:trHeight w:val="330"/>
        </w:trPr>
        <w:tc>
          <w:tcPr>
            <w:tcW w:w="2020" w:type="dxa"/>
            <w:tcBorders>
              <w:top w:val="nil"/>
              <w:left w:val="nil"/>
              <w:bottom w:val="double" w:sz="6" w:space="0" w:color="auto"/>
              <w:right w:val="nil"/>
            </w:tcBorders>
            <w:shd w:val="clear" w:color="auto" w:fill="auto"/>
            <w:noWrap/>
            <w:vAlign w:val="bottom"/>
            <w:hideMark/>
          </w:tcPr>
          <w:p w14:paraId="75BD1E70"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Ostrava</w:t>
            </w:r>
          </w:p>
        </w:tc>
        <w:tc>
          <w:tcPr>
            <w:tcW w:w="1061" w:type="dxa"/>
            <w:tcBorders>
              <w:top w:val="nil"/>
              <w:left w:val="nil"/>
              <w:bottom w:val="double" w:sz="6" w:space="0" w:color="auto"/>
              <w:right w:val="nil"/>
            </w:tcBorders>
            <w:shd w:val="clear" w:color="auto" w:fill="auto"/>
            <w:noWrap/>
            <w:vAlign w:val="bottom"/>
            <w:hideMark/>
          </w:tcPr>
          <w:p w14:paraId="734597A9" w14:textId="3D34DAB6"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13</w:t>
            </w:r>
            <w:r w:rsidR="0045086B">
              <w:rPr>
                <w:rFonts w:eastAsia="Times New Roman"/>
                <w:szCs w:val="24"/>
                <w:lang w:eastAsia="cs-CZ"/>
              </w:rPr>
              <w:t xml:space="preserve"> </w:t>
            </w:r>
            <w:r w:rsidRPr="00F85178">
              <w:rPr>
                <w:rFonts w:eastAsia="Times New Roman"/>
                <w:szCs w:val="24"/>
                <w:lang w:eastAsia="cs-CZ"/>
              </w:rPr>
              <w:t>755</w:t>
            </w:r>
          </w:p>
        </w:tc>
        <w:tc>
          <w:tcPr>
            <w:tcW w:w="730" w:type="dxa"/>
            <w:tcBorders>
              <w:top w:val="nil"/>
              <w:left w:val="nil"/>
              <w:bottom w:val="double" w:sz="6" w:space="0" w:color="auto"/>
              <w:right w:val="nil"/>
            </w:tcBorders>
            <w:shd w:val="clear" w:color="auto" w:fill="auto"/>
            <w:noWrap/>
            <w:vAlign w:val="center"/>
            <w:hideMark/>
          </w:tcPr>
          <w:p w14:paraId="4FD81AAA" w14:textId="66D4A925"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61" w:type="dxa"/>
            <w:tcBorders>
              <w:top w:val="nil"/>
              <w:left w:val="single" w:sz="4" w:space="0" w:color="auto"/>
              <w:bottom w:val="double" w:sz="6" w:space="0" w:color="auto"/>
              <w:right w:val="nil"/>
            </w:tcBorders>
            <w:shd w:val="clear" w:color="auto" w:fill="auto"/>
            <w:noWrap/>
            <w:vAlign w:val="bottom"/>
            <w:hideMark/>
          </w:tcPr>
          <w:p w14:paraId="3083D7BB" w14:textId="6B7853DD"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13</w:t>
            </w:r>
            <w:r w:rsidR="0045086B">
              <w:rPr>
                <w:rFonts w:eastAsia="Times New Roman"/>
                <w:szCs w:val="24"/>
                <w:lang w:eastAsia="cs-CZ"/>
              </w:rPr>
              <w:t xml:space="preserve"> </w:t>
            </w:r>
            <w:r w:rsidRPr="00F85178">
              <w:rPr>
                <w:rFonts w:eastAsia="Times New Roman"/>
                <w:szCs w:val="24"/>
                <w:lang w:eastAsia="cs-CZ"/>
              </w:rPr>
              <w:t>682</w:t>
            </w:r>
          </w:p>
        </w:tc>
        <w:tc>
          <w:tcPr>
            <w:tcW w:w="844" w:type="dxa"/>
            <w:tcBorders>
              <w:top w:val="nil"/>
              <w:left w:val="nil"/>
              <w:bottom w:val="double" w:sz="6" w:space="0" w:color="auto"/>
              <w:right w:val="single" w:sz="4" w:space="0" w:color="auto"/>
            </w:tcBorders>
            <w:shd w:val="clear" w:color="auto" w:fill="auto"/>
            <w:noWrap/>
            <w:vAlign w:val="center"/>
            <w:hideMark/>
          </w:tcPr>
          <w:p w14:paraId="4CF7F0F5" w14:textId="0769E7A8"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98" w:type="dxa"/>
            <w:tcBorders>
              <w:top w:val="nil"/>
              <w:left w:val="nil"/>
              <w:bottom w:val="double" w:sz="6" w:space="0" w:color="auto"/>
              <w:right w:val="nil"/>
            </w:tcBorders>
            <w:shd w:val="clear" w:color="auto" w:fill="auto"/>
            <w:noWrap/>
            <w:vAlign w:val="bottom"/>
            <w:hideMark/>
          </w:tcPr>
          <w:p w14:paraId="5EE3C08B" w14:textId="1DD4237C"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2</w:t>
            </w:r>
            <w:r w:rsidR="0045086B">
              <w:rPr>
                <w:rFonts w:eastAsia="Times New Roman"/>
                <w:szCs w:val="24"/>
                <w:lang w:eastAsia="cs-CZ"/>
              </w:rPr>
              <w:t xml:space="preserve"> </w:t>
            </w:r>
            <w:r w:rsidRPr="00F85178">
              <w:rPr>
                <w:rFonts w:eastAsia="Times New Roman"/>
                <w:szCs w:val="24"/>
                <w:lang w:eastAsia="cs-CZ"/>
              </w:rPr>
              <w:t>667</w:t>
            </w:r>
          </w:p>
        </w:tc>
        <w:tc>
          <w:tcPr>
            <w:tcW w:w="886" w:type="dxa"/>
            <w:tcBorders>
              <w:top w:val="nil"/>
              <w:left w:val="nil"/>
              <w:bottom w:val="double" w:sz="6" w:space="0" w:color="auto"/>
              <w:right w:val="single" w:sz="4" w:space="0" w:color="auto"/>
            </w:tcBorders>
            <w:shd w:val="clear" w:color="auto" w:fill="auto"/>
            <w:noWrap/>
            <w:vAlign w:val="center"/>
            <w:hideMark/>
          </w:tcPr>
          <w:p w14:paraId="625E70A8" w14:textId="04E8CB23" w:rsidR="007C2FD9" w:rsidRPr="00F85178" w:rsidRDefault="007C2FD9" w:rsidP="007C2FD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40" w:type="dxa"/>
            <w:tcBorders>
              <w:top w:val="nil"/>
              <w:left w:val="nil"/>
              <w:bottom w:val="nil"/>
              <w:right w:val="nil"/>
            </w:tcBorders>
            <w:shd w:val="clear" w:color="auto" w:fill="auto"/>
            <w:noWrap/>
            <w:vAlign w:val="center"/>
            <w:hideMark/>
          </w:tcPr>
          <w:p w14:paraId="5C14C6E7"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99,5 %</w:t>
            </w:r>
          </w:p>
        </w:tc>
      </w:tr>
      <w:tr w:rsidR="007C2FD9" w:rsidRPr="00F85178" w14:paraId="0D0C609E" w14:textId="77777777" w:rsidTr="007C2FD9">
        <w:trPr>
          <w:trHeight w:val="345"/>
        </w:trPr>
        <w:tc>
          <w:tcPr>
            <w:tcW w:w="2020" w:type="dxa"/>
            <w:tcBorders>
              <w:top w:val="nil"/>
              <w:left w:val="nil"/>
              <w:bottom w:val="double" w:sz="6" w:space="0" w:color="auto"/>
              <w:right w:val="nil"/>
            </w:tcBorders>
            <w:shd w:val="clear" w:color="auto" w:fill="auto"/>
            <w:noWrap/>
            <w:vAlign w:val="bottom"/>
            <w:hideMark/>
          </w:tcPr>
          <w:p w14:paraId="67584990" w14:textId="77777777" w:rsidR="007C2FD9" w:rsidRPr="00F85178" w:rsidRDefault="007C2FD9" w:rsidP="007C2FD9">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61" w:type="dxa"/>
            <w:tcBorders>
              <w:top w:val="nil"/>
              <w:left w:val="nil"/>
              <w:bottom w:val="double" w:sz="6" w:space="0" w:color="auto"/>
              <w:right w:val="nil"/>
            </w:tcBorders>
            <w:shd w:val="clear" w:color="auto" w:fill="auto"/>
            <w:noWrap/>
            <w:vAlign w:val="bottom"/>
            <w:hideMark/>
          </w:tcPr>
          <w:p w14:paraId="410B1159" w14:textId="0DC99971"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72</w:t>
            </w:r>
            <w:r w:rsidR="0045086B">
              <w:rPr>
                <w:rFonts w:eastAsia="Times New Roman"/>
                <w:b/>
                <w:bCs/>
                <w:szCs w:val="24"/>
                <w:lang w:eastAsia="cs-CZ"/>
              </w:rPr>
              <w:t xml:space="preserve"> </w:t>
            </w:r>
            <w:r w:rsidRPr="00F85178">
              <w:rPr>
                <w:rFonts w:eastAsia="Times New Roman"/>
                <w:b/>
                <w:bCs/>
                <w:szCs w:val="24"/>
                <w:lang w:eastAsia="cs-CZ"/>
              </w:rPr>
              <w:t>840</w:t>
            </w:r>
          </w:p>
        </w:tc>
        <w:tc>
          <w:tcPr>
            <w:tcW w:w="730" w:type="dxa"/>
            <w:tcBorders>
              <w:top w:val="nil"/>
              <w:left w:val="nil"/>
              <w:bottom w:val="double" w:sz="6" w:space="0" w:color="auto"/>
              <w:right w:val="nil"/>
            </w:tcBorders>
            <w:shd w:val="clear" w:color="auto" w:fill="auto"/>
            <w:noWrap/>
            <w:vAlign w:val="center"/>
            <w:hideMark/>
          </w:tcPr>
          <w:p w14:paraId="60A55CB8" w14:textId="71C5AC8B" w:rsidR="007C2FD9" w:rsidRPr="00F85178" w:rsidRDefault="007C2FD9" w:rsidP="007C2FD9">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1061" w:type="dxa"/>
            <w:tcBorders>
              <w:top w:val="nil"/>
              <w:left w:val="single" w:sz="4" w:space="0" w:color="auto"/>
              <w:bottom w:val="double" w:sz="6" w:space="0" w:color="auto"/>
              <w:right w:val="nil"/>
            </w:tcBorders>
            <w:shd w:val="clear" w:color="auto" w:fill="auto"/>
            <w:noWrap/>
            <w:vAlign w:val="bottom"/>
            <w:hideMark/>
          </w:tcPr>
          <w:p w14:paraId="42E2F36F" w14:textId="4A006F29"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73</w:t>
            </w:r>
            <w:r w:rsidR="0045086B">
              <w:rPr>
                <w:rFonts w:eastAsia="Times New Roman"/>
                <w:b/>
                <w:bCs/>
                <w:szCs w:val="24"/>
                <w:lang w:eastAsia="cs-CZ"/>
              </w:rPr>
              <w:t xml:space="preserve"> </w:t>
            </w:r>
            <w:r w:rsidRPr="00F85178">
              <w:rPr>
                <w:rFonts w:eastAsia="Times New Roman"/>
                <w:b/>
                <w:bCs/>
                <w:szCs w:val="24"/>
                <w:lang w:eastAsia="cs-CZ"/>
              </w:rPr>
              <w:t>443</w:t>
            </w:r>
          </w:p>
        </w:tc>
        <w:tc>
          <w:tcPr>
            <w:tcW w:w="844" w:type="dxa"/>
            <w:tcBorders>
              <w:top w:val="nil"/>
              <w:left w:val="nil"/>
              <w:bottom w:val="double" w:sz="6" w:space="0" w:color="auto"/>
              <w:right w:val="single" w:sz="4" w:space="0" w:color="auto"/>
            </w:tcBorders>
            <w:shd w:val="clear" w:color="auto" w:fill="auto"/>
            <w:noWrap/>
            <w:vAlign w:val="center"/>
            <w:hideMark/>
          </w:tcPr>
          <w:p w14:paraId="17A1B514" w14:textId="47793E7E" w:rsidR="007C2FD9" w:rsidRPr="00F85178" w:rsidRDefault="007C2FD9" w:rsidP="007C2FD9">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998" w:type="dxa"/>
            <w:tcBorders>
              <w:top w:val="nil"/>
              <w:left w:val="nil"/>
              <w:bottom w:val="double" w:sz="6" w:space="0" w:color="auto"/>
              <w:right w:val="nil"/>
            </w:tcBorders>
            <w:shd w:val="clear" w:color="auto" w:fill="auto"/>
            <w:noWrap/>
            <w:vAlign w:val="bottom"/>
            <w:hideMark/>
          </w:tcPr>
          <w:p w14:paraId="31AC8C3E" w14:textId="42F2AF13"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12</w:t>
            </w:r>
            <w:r w:rsidR="0045086B">
              <w:rPr>
                <w:rFonts w:eastAsia="Times New Roman"/>
                <w:b/>
                <w:bCs/>
                <w:szCs w:val="24"/>
                <w:lang w:eastAsia="cs-CZ"/>
              </w:rPr>
              <w:t xml:space="preserve"> </w:t>
            </w:r>
            <w:r w:rsidRPr="00F85178">
              <w:rPr>
                <w:rFonts w:eastAsia="Times New Roman"/>
                <w:b/>
                <w:bCs/>
                <w:szCs w:val="24"/>
                <w:lang w:eastAsia="cs-CZ"/>
              </w:rPr>
              <w:t>612</w:t>
            </w:r>
          </w:p>
        </w:tc>
        <w:tc>
          <w:tcPr>
            <w:tcW w:w="886" w:type="dxa"/>
            <w:tcBorders>
              <w:top w:val="nil"/>
              <w:left w:val="nil"/>
              <w:bottom w:val="double" w:sz="6" w:space="0" w:color="auto"/>
              <w:right w:val="single" w:sz="4" w:space="0" w:color="auto"/>
            </w:tcBorders>
            <w:shd w:val="clear" w:color="auto" w:fill="auto"/>
            <w:noWrap/>
            <w:vAlign w:val="center"/>
            <w:hideMark/>
          </w:tcPr>
          <w:p w14:paraId="438D0768" w14:textId="115F3421" w:rsidR="007C2FD9" w:rsidRPr="00F85178" w:rsidRDefault="007C2FD9" w:rsidP="007C2FD9">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1540" w:type="dxa"/>
            <w:tcBorders>
              <w:top w:val="double" w:sz="6" w:space="0" w:color="auto"/>
              <w:left w:val="nil"/>
              <w:bottom w:val="double" w:sz="6" w:space="0" w:color="auto"/>
              <w:right w:val="nil"/>
            </w:tcBorders>
            <w:shd w:val="clear" w:color="auto" w:fill="auto"/>
            <w:noWrap/>
            <w:vAlign w:val="center"/>
            <w:hideMark/>
          </w:tcPr>
          <w:p w14:paraId="1461F54E"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100,8 %</w:t>
            </w:r>
          </w:p>
        </w:tc>
      </w:tr>
    </w:tbl>
    <w:p w14:paraId="2EE3587A" w14:textId="77777777" w:rsidR="007C2FD9" w:rsidRPr="00F85178" w:rsidRDefault="007C2FD9">
      <w:pPr>
        <w:spacing w:line="240" w:lineRule="auto"/>
        <w:jc w:val="left"/>
      </w:pPr>
    </w:p>
    <w:p w14:paraId="62C61A4F" w14:textId="77777777" w:rsidR="00837806" w:rsidRPr="00F85178" w:rsidRDefault="00837806" w:rsidP="00C05BE2">
      <w:pPr>
        <w:pStyle w:val="OdstavecASR"/>
      </w:pPr>
      <w:r w:rsidRPr="00F85178">
        <w:t>Míra vyřizování zůstává u trestních věcí v zásadě na stejné úrovni jako v roce 201</w:t>
      </w:r>
      <w:r w:rsidR="00C05BE2" w:rsidRPr="00F85178">
        <w:t>7</w:t>
      </w:r>
      <w:r w:rsidRPr="00F85178">
        <w:t xml:space="preserve"> a je přibližně 100 % ve všech krajích</w:t>
      </w:r>
      <w:r w:rsidR="00A72E86" w:rsidRPr="00F85178">
        <w:t xml:space="preserve">. </w:t>
      </w:r>
      <w:r w:rsidR="009F2675" w:rsidRPr="00F85178">
        <w:t>S</w:t>
      </w:r>
      <w:r w:rsidR="00A72E86" w:rsidRPr="00F85178">
        <w:t>oudní kraj Severní Čechy</w:t>
      </w:r>
      <w:r w:rsidR="003547EB" w:rsidRPr="00F85178">
        <w:t xml:space="preserve"> </w:t>
      </w:r>
      <w:r w:rsidRPr="00F85178">
        <w:t>(nadřízený soud KS Ústí nad Labem), tedy kraj, který vykazuje vysoké délky řízení a velké množství nedodělků</w:t>
      </w:r>
      <w:r w:rsidR="00A72E86" w:rsidRPr="00F85178">
        <w:t xml:space="preserve">, </w:t>
      </w:r>
      <w:r w:rsidR="009E5F2B" w:rsidRPr="00F85178">
        <w:t>má</w:t>
      </w:r>
      <w:r w:rsidR="00A72E86" w:rsidRPr="00F85178">
        <w:t xml:space="preserve"> </w:t>
      </w:r>
      <w:r w:rsidR="007F2E56" w:rsidRPr="00F85178">
        <w:t xml:space="preserve">opět </w:t>
      </w:r>
      <w:r w:rsidR="00A72E86" w:rsidRPr="00F85178">
        <w:t>nejvyšší míru vyřizo</w:t>
      </w:r>
      <w:r w:rsidR="007F2E56" w:rsidRPr="00F85178">
        <w:t>vání</w:t>
      </w:r>
      <w:r w:rsidR="009F2675" w:rsidRPr="00F85178">
        <w:t>.</w:t>
      </w:r>
      <w:r w:rsidR="00C05BE2" w:rsidRPr="00F85178">
        <w:t xml:space="preserve"> </w:t>
      </w:r>
      <w:r w:rsidR="009F2675" w:rsidRPr="00F85178">
        <w:t>I</w:t>
      </w:r>
      <w:r w:rsidR="009E4AC7" w:rsidRPr="00F85178">
        <w:t xml:space="preserve"> když</w:t>
      </w:r>
      <w:r w:rsidR="00A72E86" w:rsidRPr="00F85178">
        <w:t xml:space="preserve"> </w:t>
      </w:r>
      <w:r w:rsidR="009F2675" w:rsidRPr="00F85178">
        <w:t>míra vyřizování klesá</w:t>
      </w:r>
      <w:r w:rsidR="00502EE3" w:rsidRPr="00F85178">
        <w:t xml:space="preserve"> (</w:t>
      </w:r>
      <w:r w:rsidR="00A72E86" w:rsidRPr="00F85178">
        <w:t>v roce 2017 byla na 108,53</w:t>
      </w:r>
      <w:r w:rsidR="003547EB" w:rsidRPr="00F85178">
        <w:t xml:space="preserve"> </w:t>
      </w:r>
      <w:r w:rsidR="00A72E86" w:rsidRPr="00F85178">
        <w:t>%</w:t>
      </w:r>
      <w:r w:rsidR="00502EE3" w:rsidRPr="00F85178">
        <w:t>)</w:t>
      </w:r>
      <w:r w:rsidRPr="00F85178">
        <w:t>. Z toho logicky plyne, že situace v</w:t>
      </w:r>
      <w:r w:rsidR="00BD3CF2" w:rsidRPr="00F85178">
        <w:t xml:space="preserve"> tomto </w:t>
      </w:r>
      <w:r w:rsidRPr="00F85178">
        <w:t>kraji se pomalu zlepšuje</w:t>
      </w:r>
      <w:r w:rsidR="00BD3CF2" w:rsidRPr="00F85178">
        <w:t>,</w:t>
      </w:r>
      <w:r w:rsidR="007F2E56" w:rsidRPr="00F85178">
        <w:t xml:space="preserve"> a</w:t>
      </w:r>
      <w:r w:rsidR="00BD3CF2" w:rsidRPr="00F85178">
        <w:t xml:space="preserve"> již se to </w:t>
      </w:r>
      <w:r w:rsidR="007F2E56" w:rsidRPr="00F85178">
        <w:t xml:space="preserve">projevilo </w:t>
      </w:r>
      <w:r w:rsidR="00BD3CF2" w:rsidRPr="00F85178">
        <w:t xml:space="preserve">i </w:t>
      </w:r>
      <w:r w:rsidR="007F2E56" w:rsidRPr="00F85178">
        <w:t xml:space="preserve">ve </w:t>
      </w:r>
      <w:r w:rsidR="00502EE3" w:rsidRPr="00F85178">
        <w:t>zkrácení délky trestního řízení</w:t>
      </w:r>
      <w:r w:rsidR="007F2E56" w:rsidRPr="00F85178">
        <w:t xml:space="preserve"> (</w:t>
      </w:r>
      <w:r w:rsidR="009E5F2B" w:rsidRPr="00F85178">
        <w:t>průměr – 7</w:t>
      </w:r>
      <w:r w:rsidR="003547EB" w:rsidRPr="00F85178">
        <w:t xml:space="preserve"> </w:t>
      </w:r>
      <w:r w:rsidR="009E5F2B" w:rsidRPr="00F85178">
        <w:t xml:space="preserve">%, medián </w:t>
      </w:r>
      <w:r w:rsidR="00C05BE2" w:rsidRPr="00F85178">
        <w:t xml:space="preserve">– </w:t>
      </w:r>
      <w:r w:rsidR="009E5F2B" w:rsidRPr="00F85178">
        <w:t>18</w:t>
      </w:r>
      <w:r w:rsidR="003547EB" w:rsidRPr="00F85178">
        <w:t xml:space="preserve"> </w:t>
      </w:r>
      <w:r w:rsidR="009E5F2B" w:rsidRPr="00F85178">
        <w:t xml:space="preserve">%, </w:t>
      </w:r>
      <w:r w:rsidR="007F2E56" w:rsidRPr="00F85178">
        <w:t>viz tabulka 17)</w:t>
      </w:r>
      <w:r w:rsidR="00C05BE2" w:rsidRPr="00F85178">
        <w:t>.</w:t>
      </w:r>
    </w:p>
    <w:p w14:paraId="64EC284E" w14:textId="77777777" w:rsidR="00837806" w:rsidRPr="00F85178" w:rsidRDefault="00837806" w:rsidP="00837806">
      <w:pPr>
        <w:pStyle w:val="OdstavecASR"/>
      </w:pPr>
      <w:r w:rsidRPr="00F85178">
        <w:t xml:space="preserve">Výrazné zlepšení situace v Severočeském kraji a přiblížení se ostatním krajům </w:t>
      </w:r>
      <w:r w:rsidR="003547EB" w:rsidRPr="00F85178">
        <w:t>však nebude</w:t>
      </w:r>
      <w:r w:rsidRPr="00F85178">
        <w:t xml:space="preserve"> </w:t>
      </w:r>
      <w:r w:rsidR="00502EE3" w:rsidRPr="00F85178">
        <w:t xml:space="preserve">i </w:t>
      </w:r>
      <w:r w:rsidRPr="00F85178">
        <w:t xml:space="preserve">při zachování </w:t>
      </w:r>
      <w:r w:rsidR="00502EE3" w:rsidRPr="00F85178">
        <w:t xml:space="preserve">vysokého </w:t>
      </w:r>
      <w:r w:rsidRPr="00F85178">
        <w:t>tempa záležitost</w:t>
      </w:r>
      <w:r w:rsidR="003547EB" w:rsidRPr="00F85178">
        <w:t>í</w:t>
      </w:r>
      <w:r w:rsidRPr="00F85178">
        <w:t xml:space="preserve"> měsíců, nýbrž let.</w:t>
      </w:r>
    </w:p>
    <w:p w14:paraId="52D32FD9" w14:textId="77777777" w:rsidR="007C2FD9" w:rsidRPr="00F85178" w:rsidRDefault="007C2FD9" w:rsidP="007C2FD9">
      <w:pPr>
        <w:pStyle w:val="Nadpis3"/>
        <w:rPr>
          <w:color w:val="auto"/>
        </w:rPr>
      </w:pPr>
      <w:bookmarkStart w:id="209" w:name="_Toc515871233"/>
      <w:bookmarkStart w:id="210" w:name="_Toc14076885"/>
      <w:r w:rsidRPr="00F85178">
        <w:rPr>
          <w:color w:val="auto"/>
        </w:rPr>
        <w:t>Vyřizování věcí v přepočtu na soudce</w:t>
      </w:r>
      <w:bookmarkEnd w:id="209"/>
      <w:bookmarkEnd w:id="210"/>
    </w:p>
    <w:p w14:paraId="0ADF66CF" w14:textId="77777777" w:rsidR="009C7E76" w:rsidRPr="00F85178" w:rsidRDefault="009C7E76" w:rsidP="009C7E76">
      <w:pPr>
        <w:pStyle w:val="OdstavecASR"/>
      </w:pPr>
      <w:r w:rsidRPr="00F85178">
        <w:t>Trestní úsek je výrazně menší než úsek civilní. Proto může v přepočtu na soudce docházet k určitým výkyvům, a to především na úrovni jednotlivých soudů. U nejmenších soudů působí na trestním úseku pouze dva soudci. Dočasný pokles nebo nárůst v evidenčním počtu soudců tedy může vést ke značnému nárůstu nebo poklesu nevyřízených věcí v přepočtu na soudce.</w:t>
      </w:r>
    </w:p>
    <w:p w14:paraId="3777D7E9" w14:textId="77777777" w:rsidR="009C7E76" w:rsidRPr="00F85178" w:rsidRDefault="009C7E76" w:rsidP="009C7E76">
      <w:pPr>
        <w:pStyle w:val="OdstavecASR"/>
      </w:pPr>
      <w:r w:rsidRPr="00F85178">
        <w:t>V tabulce vidíme, že výsledky (počty nevyřízených věcí na soudce) opět přibližně odpovídají délkám řízení –</w:t>
      </w:r>
      <w:r w:rsidR="00800DD0" w:rsidRPr="00F85178">
        <w:t xml:space="preserve"> </w:t>
      </w:r>
      <w:r w:rsidRPr="00F85178">
        <w:t xml:space="preserve">nejhorší situace </w:t>
      </w:r>
      <w:r w:rsidR="0086321D" w:rsidRPr="00F85178">
        <w:t xml:space="preserve">je stále </w:t>
      </w:r>
      <w:r w:rsidRPr="00F85178">
        <w:t>u </w:t>
      </w:r>
      <w:r w:rsidR="00384A66" w:rsidRPr="00F85178">
        <w:t>OS</w:t>
      </w:r>
      <w:r w:rsidRPr="00F85178">
        <w:t xml:space="preserve">, které spadají pod KS Ústí nad Labem, ovšem soudcům v tomto kraji se podařilo snížit počet nevyřízených věcí na soudce </w:t>
      </w:r>
      <w:r w:rsidR="00384A66" w:rsidRPr="00F85178">
        <w:t>o </w:t>
      </w:r>
      <w:r w:rsidR="00715F95" w:rsidRPr="00F85178">
        <w:t>dalších 14</w:t>
      </w:r>
      <w:r w:rsidR="00800DD0" w:rsidRPr="00F85178">
        <w:t xml:space="preserve"> </w:t>
      </w:r>
      <w:r w:rsidR="00715F95" w:rsidRPr="00F85178">
        <w:t xml:space="preserve">% </w:t>
      </w:r>
      <w:r w:rsidR="009F2675" w:rsidRPr="00F85178">
        <w:t>oproti</w:t>
      </w:r>
      <w:r w:rsidR="00715F95" w:rsidRPr="00F85178">
        <w:t xml:space="preserve"> rok</w:t>
      </w:r>
      <w:r w:rsidR="009F2675" w:rsidRPr="00F85178">
        <w:t>u</w:t>
      </w:r>
      <w:r w:rsidR="00715F95" w:rsidRPr="00F85178">
        <w:t xml:space="preserve"> 2017</w:t>
      </w:r>
      <w:r w:rsidR="00800DD0" w:rsidRPr="00F85178">
        <w:t>.</w:t>
      </w:r>
      <w:r w:rsidRPr="00F85178">
        <w:t xml:space="preserve"> </w:t>
      </w:r>
      <w:r w:rsidR="008B36ED" w:rsidRPr="00F85178">
        <w:t>To se projevilo také v po</w:t>
      </w:r>
      <w:r w:rsidR="0086321D" w:rsidRPr="00F85178">
        <w:t>z</w:t>
      </w:r>
      <w:r w:rsidR="008B36ED" w:rsidRPr="00F85178">
        <w:t xml:space="preserve">itivním smyslu u </w:t>
      </w:r>
      <w:r w:rsidR="0086321D" w:rsidRPr="00F85178">
        <w:t>ukazatele</w:t>
      </w:r>
      <w:r w:rsidR="008B36ED" w:rsidRPr="00F85178">
        <w:t xml:space="preserve"> „disposition time“ (viz tabulka</w:t>
      </w:r>
      <w:r w:rsidR="00800DD0" w:rsidRPr="00F85178">
        <w:t> </w:t>
      </w:r>
      <w:r w:rsidR="008B36ED" w:rsidRPr="00F85178">
        <w:t>21)</w:t>
      </w:r>
      <w:r w:rsidR="009F2675" w:rsidRPr="00F85178">
        <w:t>.</w:t>
      </w:r>
      <w:r w:rsidR="008B36ED" w:rsidRPr="00F85178">
        <w:t xml:space="preserve"> </w:t>
      </w:r>
      <w:r w:rsidRPr="00F85178">
        <w:t xml:space="preserve">Relativně </w:t>
      </w:r>
      <w:r w:rsidR="00384A66" w:rsidRPr="00F85178">
        <w:t xml:space="preserve">lépe </w:t>
      </w:r>
      <w:r w:rsidRPr="00F85178">
        <w:t xml:space="preserve">než v délkách řízení si zde vedou soudy spadající pod </w:t>
      </w:r>
      <w:r w:rsidR="00384A66" w:rsidRPr="00F85178">
        <w:t>KS Plzeň.</w:t>
      </w:r>
    </w:p>
    <w:p w14:paraId="0BA2CEC7" w14:textId="77777777" w:rsidR="00C05BE2" w:rsidRPr="00F85178" w:rsidRDefault="00C05BE2" w:rsidP="009C7E76">
      <w:pPr>
        <w:pStyle w:val="OdstavecASR"/>
      </w:pPr>
    </w:p>
    <w:p w14:paraId="7FE3668E" w14:textId="77777777" w:rsidR="00800DD0" w:rsidRPr="00F85178" w:rsidRDefault="00800DD0" w:rsidP="009C7E76">
      <w:pPr>
        <w:pStyle w:val="OdstavecASR"/>
      </w:pPr>
    </w:p>
    <w:p w14:paraId="51E2539D" w14:textId="77777777" w:rsidR="00800DD0" w:rsidRPr="00F85178" w:rsidRDefault="00800DD0" w:rsidP="009C7E76">
      <w:pPr>
        <w:pStyle w:val="OdstavecASR"/>
      </w:pPr>
    </w:p>
    <w:p w14:paraId="72AE9BF4" w14:textId="77777777" w:rsidR="007C2FD9" w:rsidRPr="00F85178" w:rsidRDefault="007C2FD9" w:rsidP="007C2FD9">
      <w:pPr>
        <w:pStyle w:val="Podtitul"/>
        <w:rPr>
          <w:color w:val="auto"/>
        </w:rPr>
      </w:pPr>
      <w:bookmarkStart w:id="211" w:name="_Toc515871454"/>
      <w:bookmarkStart w:id="212" w:name="_Toc11133222"/>
      <w:bookmarkStart w:id="213" w:name="_Toc13837443"/>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20</w:t>
      </w:r>
      <w:r w:rsidRPr="00F85178">
        <w:rPr>
          <w:noProof/>
          <w:color w:val="auto"/>
        </w:rPr>
        <w:fldChar w:fldCharType="end"/>
      </w:r>
      <w:r w:rsidRPr="00F85178">
        <w:rPr>
          <w:color w:val="auto"/>
        </w:rPr>
        <w:t>: OS – vyřizování trestních věcí na soudce dle krajů</w:t>
      </w:r>
      <w:bookmarkEnd w:id="211"/>
      <w:bookmarkEnd w:id="212"/>
      <w:bookmarkEnd w:id="213"/>
    </w:p>
    <w:tbl>
      <w:tblPr>
        <w:tblW w:w="7600" w:type="dxa"/>
        <w:tblCellMar>
          <w:left w:w="70" w:type="dxa"/>
          <w:right w:w="70" w:type="dxa"/>
        </w:tblCellMar>
        <w:tblLook w:val="04A0" w:firstRow="1" w:lastRow="0" w:firstColumn="1" w:lastColumn="0" w:noHBand="0" w:noVBand="1"/>
      </w:tblPr>
      <w:tblGrid>
        <w:gridCol w:w="2020"/>
        <w:gridCol w:w="1093"/>
        <w:gridCol w:w="799"/>
        <w:gridCol w:w="1092"/>
        <w:gridCol w:w="838"/>
        <w:gridCol w:w="920"/>
        <w:gridCol w:w="838"/>
      </w:tblGrid>
      <w:tr w:rsidR="00F85178" w:rsidRPr="00F85178" w14:paraId="5F46990E" w14:textId="77777777" w:rsidTr="007C2FD9">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2FA1CB64"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0" w:type="dxa"/>
            <w:gridSpan w:val="6"/>
            <w:tcBorders>
              <w:top w:val="double" w:sz="6" w:space="0" w:color="auto"/>
              <w:left w:val="nil"/>
              <w:bottom w:val="nil"/>
              <w:right w:val="nil"/>
            </w:tcBorders>
            <w:shd w:val="clear" w:color="auto" w:fill="auto"/>
            <w:noWrap/>
            <w:vAlign w:val="center"/>
            <w:hideMark/>
          </w:tcPr>
          <w:p w14:paraId="6D047698"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31FEF92A" w14:textId="77777777" w:rsidTr="007C2FD9">
        <w:trPr>
          <w:trHeight w:val="330"/>
        </w:trPr>
        <w:tc>
          <w:tcPr>
            <w:tcW w:w="2020" w:type="dxa"/>
            <w:vMerge/>
            <w:tcBorders>
              <w:top w:val="double" w:sz="6" w:space="0" w:color="auto"/>
              <w:left w:val="nil"/>
              <w:bottom w:val="double" w:sz="6" w:space="0" w:color="000000"/>
              <w:right w:val="nil"/>
            </w:tcBorders>
            <w:vAlign w:val="center"/>
            <w:hideMark/>
          </w:tcPr>
          <w:p w14:paraId="326AA765" w14:textId="77777777" w:rsidR="007C2FD9" w:rsidRPr="00F85178" w:rsidRDefault="007C2FD9" w:rsidP="007C2FD9">
            <w:pPr>
              <w:spacing w:line="240" w:lineRule="auto"/>
              <w:jc w:val="left"/>
              <w:rPr>
                <w:rFonts w:eastAsia="Times New Roman"/>
                <w:b/>
                <w:bCs/>
                <w:szCs w:val="24"/>
                <w:lang w:eastAsia="cs-CZ"/>
              </w:rPr>
            </w:pPr>
          </w:p>
        </w:tc>
        <w:tc>
          <w:tcPr>
            <w:tcW w:w="1892" w:type="dxa"/>
            <w:gridSpan w:val="2"/>
            <w:tcBorders>
              <w:top w:val="nil"/>
              <w:left w:val="nil"/>
              <w:bottom w:val="double" w:sz="6" w:space="0" w:color="auto"/>
              <w:right w:val="nil"/>
            </w:tcBorders>
            <w:shd w:val="clear" w:color="auto" w:fill="auto"/>
            <w:noWrap/>
            <w:vAlign w:val="center"/>
            <w:hideMark/>
          </w:tcPr>
          <w:p w14:paraId="40A4AA74"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3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82BF90A"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58" w:type="dxa"/>
            <w:gridSpan w:val="2"/>
            <w:tcBorders>
              <w:top w:val="nil"/>
              <w:left w:val="nil"/>
              <w:bottom w:val="double" w:sz="6" w:space="0" w:color="auto"/>
              <w:right w:val="nil"/>
            </w:tcBorders>
            <w:shd w:val="clear" w:color="auto" w:fill="auto"/>
            <w:noWrap/>
            <w:vAlign w:val="center"/>
            <w:hideMark/>
          </w:tcPr>
          <w:p w14:paraId="19FDA065"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Nevyřízeno</w:t>
            </w:r>
          </w:p>
        </w:tc>
      </w:tr>
      <w:tr w:rsidR="00F85178" w:rsidRPr="00F85178" w14:paraId="09245F59" w14:textId="77777777" w:rsidTr="007C2FD9">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DA99C1F"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MS Praha</w:t>
            </w:r>
          </w:p>
        </w:tc>
        <w:tc>
          <w:tcPr>
            <w:tcW w:w="1093" w:type="dxa"/>
            <w:tcBorders>
              <w:top w:val="single" w:sz="4" w:space="0" w:color="auto"/>
              <w:left w:val="nil"/>
              <w:bottom w:val="single" w:sz="4" w:space="0" w:color="auto"/>
              <w:right w:val="nil"/>
            </w:tcBorders>
            <w:shd w:val="clear" w:color="auto" w:fill="auto"/>
            <w:noWrap/>
            <w:vAlign w:val="bottom"/>
            <w:hideMark/>
          </w:tcPr>
          <w:p w14:paraId="0ED71F44"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144,30</w:t>
            </w:r>
          </w:p>
        </w:tc>
        <w:tc>
          <w:tcPr>
            <w:tcW w:w="799" w:type="dxa"/>
            <w:tcBorders>
              <w:top w:val="single" w:sz="4" w:space="0" w:color="auto"/>
              <w:left w:val="nil"/>
              <w:bottom w:val="single" w:sz="4" w:space="0" w:color="auto"/>
              <w:right w:val="nil"/>
            </w:tcBorders>
            <w:shd w:val="clear" w:color="auto" w:fill="auto"/>
            <w:noWrap/>
            <w:vAlign w:val="center"/>
            <w:hideMark/>
          </w:tcPr>
          <w:p w14:paraId="6DD72A8C"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92" w:type="dxa"/>
            <w:tcBorders>
              <w:top w:val="single" w:sz="4" w:space="0" w:color="auto"/>
              <w:left w:val="single" w:sz="4" w:space="0" w:color="auto"/>
              <w:bottom w:val="single" w:sz="4" w:space="0" w:color="auto"/>
              <w:right w:val="nil"/>
            </w:tcBorders>
            <w:shd w:val="clear" w:color="auto" w:fill="auto"/>
            <w:noWrap/>
            <w:vAlign w:val="bottom"/>
            <w:hideMark/>
          </w:tcPr>
          <w:p w14:paraId="72883B8F"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143,95</w:t>
            </w:r>
          </w:p>
        </w:tc>
        <w:tc>
          <w:tcPr>
            <w:tcW w:w="838" w:type="dxa"/>
            <w:tcBorders>
              <w:top w:val="single" w:sz="4" w:space="0" w:color="auto"/>
              <w:left w:val="nil"/>
              <w:bottom w:val="single" w:sz="4" w:space="0" w:color="auto"/>
              <w:right w:val="single" w:sz="4" w:space="0" w:color="auto"/>
            </w:tcBorders>
            <w:shd w:val="clear" w:color="auto" w:fill="auto"/>
            <w:noWrap/>
            <w:vAlign w:val="center"/>
            <w:hideMark/>
          </w:tcPr>
          <w:p w14:paraId="6F61E325"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20" w:type="dxa"/>
            <w:tcBorders>
              <w:top w:val="single" w:sz="4" w:space="0" w:color="auto"/>
              <w:left w:val="nil"/>
              <w:bottom w:val="single" w:sz="4" w:space="0" w:color="auto"/>
              <w:right w:val="nil"/>
            </w:tcBorders>
            <w:shd w:val="clear" w:color="auto" w:fill="auto"/>
            <w:noWrap/>
            <w:vAlign w:val="bottom"/>
            <w:hideMark/>
          </w:tcPr>
          <w:p w14:paraId="1953E892"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19,15</w:t>
            </w:r>
          </w:p>
        </w:tc>
        <w:tc>
          <w:tcPr>
            <w:tcW w:w="838" w:type="dxa"/>
            <w:tcBorders>
              <w:top w:val="single" w:sz="4" w:space="0" w:color="auto"/>
              <w:left w:val="nil"/>
              <w:bottom w:val="single" w:sz="4" w:space="0" w:color="auto"/>
              <w:right w:val="nil"/>
            </w:tcBorders>
            <w:shd w:val="clear" w:color="auto" w:fill="auto"/>
            <w:noWrap/>
            <w:vAlign w:val="center"/>
            <w:hideMark/>
          </w:tcPr>
          <w:p w14:paraId="430DF2B2"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5DA1CDD9"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536A9426"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Praha</w:t>
            </w:r>
          </w:p>
        </w:tc>
        <w:tc>
          <w:tcPr>
            <w:tcW w:w="1093" w:type="dxa"/>
            <w:tcBorders>
              <w:top w:val="nil"/>
              <w:left w:val="nil"/>
              <w:bottom w:val="single" w:sz="4" w:space="0" w:color="auto"/>
              <w:right w:val="nil"/>
            </w:tcBorders>
            <w:shd w:val="clear" w:color="auto" w:fill="auto"/>
            <w:noWrap/>
            <w:vAlign w:val="bottom"/>
            <w:hideMark/>
          </w:tcPr>
          <w:p w14:paraId="3AC26633"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194,50</w:t>
            </w:r>
          </w:p>
        </w:tc>
        <w:tc>
          <w:tcPr>
            <w:tcW w:w="799" w:type="dxa"/>
            <w:tcBorders>
              <w:top w:val="nil"/>
              <w:left w:val="nil"/>
              <w:bottom w:val="single" w:sz="4" w:space="0" w:color="auto"/>
              <w:right w:val="nil"/>
            </w:tcBorders>
            <w:shd w:val="clear" w:color="auto" w:fill="auto"/>
            <w:noWrap/>
            <w:vAlign w:val="center"/>
            <w:hideMark/>
          </w:tcPr>
          <w:p w14:paraId="4ED777B0"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92" w:type="dxa"/>
            <w:tcBorders>
              <w:top w:val="nil"/>
              <w:left w:val="single" w:sz="4" w:space="0" w:color="auto"/>
              <w:bottom w:val="single" w:sz="4" w:space="0" w:color="auto"/>
              <w:right w:val="nil"/>
            </w:tcBorders>
            <w:shd w:val="clear" w:color="auto" w:fill="auto"/>
            <w:noWrap/>
            <w:vAlign w:val="bottom"/>
            <w:hideMark/>
          </w:tcPr>
          <w:p w14:paraId="3B176784"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195,79</w:t>
            </w:r>
          </w:p>
        </w:tc>
        <w:tc>
          <w:tcPr>
            <w:tcW w:w="838" w:type="dxa"/>
            <w:tcBorders>
              <w:top w:val="nil"/>
              <w:left w:val="nil"/>
              <w:bottom w:val="single" w:sz="4" w:space="0" w:color="auto"/>
              <w:right w:val="single" w:sz="4" w:space="0" w:color="auto"/>
            </w:tcBorders>
            <w:shd w:val="clear" w:color="auto" w:fill="auto"/>
            <w:noWrap/>
            <w:vAlign w:val="center"/>
            <w:hideMark/>
          </w:tcPr>
          <w:p w14:paraId="0BEAFEDC"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20" w:type="dxa"/>
            <w:tcBorders>
              <w:top w:val="nil"/>
              <w:left w:val="nil"/>
              <w:bottom w:val="single" w:sz="4" w:space="0" w:color="auto"/>
              <w:right w:val="nil"/>
            </w:tcBorders>
            <w:shd w:val="clear" w:color="auto" w:fill="auto"/>
            <w:noWrap/>
            <w:vAlign w:val="bottom"/>
            <w:hideMark/>
          </w:tcPr>
          <w:p w14:paraId="513FF179"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13,86</w:t>
            </w:r>
          </w:p>
        </w:tc>
        <w:tc>
          <w:tcPr>
            <w:tcW w:w="838" w:type="dxa"/>
            <w:tcBorders>
              <w:top w:val="nil"/>
              <w:left w:val="nil"/>
              <w:bottom w:val="single" w:sz="4" w:space="0" w:color="auto"/>
              <w:right w:val="nil"/>
            </w:tcBorders>
            <w:shd w:val="clear" w:color="auto" w:fill="auto"/>
            <w:noWrap/>
            <w:vAlign w:val="center"/>
            <w:hideMark/>
          </w:tcPr>
          <w:p w14:paraId="1D1F879A"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-2 %</w:t>
            </w:r>
          </w:p>
        </w:tc>
      </w:tr>
      <w:tr w:rsidR="00F85178" w:rsidRPr="00F85178" w14:paraId="47C478AE"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2362F2CC"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Č. Budějovice</w:t>
            </w:r>
          </w:p>
        </w:tc>
        <w:tc>
          <w:tcPr>
            <w:tcW w:w="1093" w:type="dxa"/>
            <w:tcBorders>
              <w:top w:val="nil"/>
              <w:left w:val="nil"/>
              <w:bottom w:val="single" w:sz="4" w:space="0" w:color="auto"/>
              <w:right w:val="nil"/>
            </w:tcBorders>
            <w:shd w:val="clear" w:color="auto" w:fill="auto"/>
            <w:noWrap/>
            <w:vAlign w:val="bottom"/>
            <w:hideMark/>
          </w:tcPr>
          <w:p w14:paraId="26094458"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145,06</w:t>
            </w:r>
          </w:p>
        </w:tc>
        <w:tc>
          <w:tcPr>
            <w:tcW w:w="799" w:type="dxa"/>
            <w:tcBorders>
              <w:top w:val="nil"/>
              <w:left w:val="nil"/>
              <w:bottom w:val="single" w:sz="4" w:space="0" w:color="auto"/>
              <w:right w:val="nil"/>
            </w:tcBorders>
            <w:shd w:val="clear" w:color="auto" w:fill="auto"/>
            <w:noWrap/>
            <w:vAlign w:val="center"/>
            <w:hideMark/>
          </w:tcPr>
          <w:p w14:paraId="4C8F9B57"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92" w:type="dxa"/>
            <w:tcBorders>
              <w:top w:val="nil"/>
              <w:left w:val="single" w:sz="4" w:space="0" w:color="auto"/>
              <w:bottom w:val="single" w:sz="4" w:space="0" w:color="auto"/>
              <w:right w:val="nil"/>
            </w:tcBorders>
            <w:shd w:val="clear" w:color="auto" w:fill="auto"/>
            <w:noWrap/>
            <w:vAlign w:val="bottom"/>
            <w:hideMark/>
          </w:tcPr>
          <w:p w14:paraId="3C473B5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144,79</w:t>
            </w:r>
          </w:p>
        </w:tc>
        <w:tc>
          <w:tcPr>
            <w:tcW w:w="838" w:type="dxa"/>
            <w:tcBorders>
              <w:top w:val="nil"/>
              <w:left w:val="nil"/>
              <w:bottom w:val="single" w:sz="4" w:space="0" w:color="auto"/>
              <w:right w:val="single" w:sz="4" w:space="0" w:color="auto"/>
            </w:tcBorders>
            <w:shd w:val="clear" w:color="auto" w:fill="auto"/>
            <w:noWrap/>
            <w:vAlign w:val="center"/>
            <w:hideMark/>
          </w:tcPr>
          <w:p w14:paraId="13BD21B3"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20" w:type="dxa"/>
            <w:tcBorders>
              <w:top w:val="nil"/>
              <w:left w:val="nil"/>
              <w:bottom w:val="single" w:sz="4" w:space="0" w:color="auto"/>
              <w:right w:val="nil"/>
            </w:tcBorders>
            <w:shd w:val="clear" w:color="auto" w:fill="auto"/>
            <w:noWrap/>
            <w:vAlign w:val="bottom"/>
            <w:hideMark/>
          </w:tcPr>
          <w:p w14:paraId="59C28B5F"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21,06</w:t>
            </w:r>
          </w:p>
        </w:tc>
        <w:tc>
          <w:tcPr>
            <w:tcW w:w="838" w:type="dxa"/>
            <w:tcBorders>
              <w:top w:val="nil"/>
              <w:left w:val="nil"/>
              <w:bottom w:val="single" w:sz="4" w:space="0" w:color="auto"/>
              <w:right w:val="nil"/>
            </w:tcBorders>
            <w:shd w:val="clear" w:color="auto" w:fill="auto"/>
            <w:noWrap/>
            <w:vAlign w:val="center"/>
            <w:hideMark/>
          </w:tcPr>
          <w:p w14:paraId="17698FF5"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2FE62F65"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57567A69"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Plzeň</w:t>
            </w:r>
          </w:p>
        </w:tc>
        <w:tc>
          <w:tcPr>
            <w:tcW w:w="1093" w:type="dxa"/>
            <w:tcBorders>
              <w:top w:val="nil"/>
              <w:left w:val="nil"/>
              <w:bottom w:val="single" w:sz="4" w:space="0" w:color="auto"/>
              <w:right w:val="nil"/>
            </w:tcBorders>
            <w:shd w:val="clear" w:color="auto" w:fill="auto"/>
            <w:noWrap/>
            <w:vAlign w:val="bottom"/>
            <w:hideMark/>
          </w:tcPr>
          <w:p w14:paraId="2BA2E7C3"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138,93</w:t>
            </w:r>
          </w:p>
        </w:tc>
        <w:tc>
          <w:tcPr>
            <w:tcW w:w="799" w:type="dxa"/>
            <w:tcBorders>
              <w:top w:val="nil"/>
              <w:left w:val="nil"/>
              <w:bottom w:val="single" w:sz="4" w:space="0" w:color="auto"/>
              <w:right w:val="nil"/>
            </w:tcBorders>
            <w:shd w:val="clear" w:color="auto" w:fill="auto"/>
            <w:noWrap/>
            <w:vAlign w:val="center"/>
            <w:hideMark/>
          </w:tcPr>
          <w:p w14:paraId="23A1E09C"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92" w:type="dxa"/>
            <w:tcBorders>
              <w:top w:val="nil"/>
              <w:left w:val="single" w:sz="4" w:space="0" w:color="auto"/>
              <w:bottom w:val="single" w:sz="4" w:space="0" w:color="auto"/>
              <w:right w:val="nil"/>
            </w:tcBorders>
            <w:shd w:val="clear" w:color="auto" w:fill="auto"/>
            <w:noWrap/>
            <w:vAlign w:val="bottom"/>
            <w:hideMark/>
          </w:tcPr>
          <w:p w14:paraId="14328010"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141,65</w:t>
            </w:r>
          </w:p>
        </w:tc>
        <w:tc>
          <w:tcPr>
            <w:tcW w:w="838" w:type="dxa"/>
            <w:tcBorders>
              <w:top w:val="nil"/>
              <w:left w:val="nil"/>
              <w:bottom w:val="single" w:sz="4" w:space="0" w:color="auto"/>
              <w:right w:val="single" w:sz="4" w:space="0" w:color="auto"/>
            </w:tcBorders>
            <w:shd w:val="clear" w:color="auto" w:fill="auto"/>
            <w:noWrap/>
            <w:vAlign w:val="center"/>
            <w:hideMark/>
          </w:tcPr>
          <w:p w14:paraId="7067B2E9"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920" w:type="dxa"/>
            <w:tcBorders>
              <w:top w:val="nil"/>
              <w:left w:val="nil"/>
              <w:bottom w:val="single" w:sz="4" w:space="0" w:color="auto"/>
              <w:right w:val="nil"/>
            </w:tcBorders>
            <w:shd w:val="clear" w:color="auto" w:fill="auto"/>
            <w:noWrap/>
            <w:vAlign w:val="bottom"/>
            <w:hideMark/>
          </w:tcPr>
          <w:p w14:paraId="55479153"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27,54</w:t>
            </w:r>
          </w:p>
        </w:tc>
        <w:tc>
          <w:tcPr>
            <w:tcW w:w="838" w:type="dxa"/>
            <w:tcBorders>
              <w:top w:val="nil"/>
              <w:left w:val="nil"/>
              <w:bottom w:val="single" w:sz="4" w:space="0" w:color="auto"/>
              <w:right w:val="nil"/>
            </w:tcBorders>
            <w:shd w:val="clear" w:color="auto" w:fill="auto"/>
            <w:noWrap/>
            <w:vAlign w:val="center"/>
            <w:hideMark/>
          </w:tcPr>
          <w:p w14:paraId="359F0095"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F85178" w:rsidRPr="00F85178" w14:paraId="16B3FB8F"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2CB4F24F"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Ústí n. Labem</w:t>
            </w:r>
          </w:p>
        </w:tc>
        <w:tc>
          <w:tcPr>
            <w:tcW w:w="1093" w:type="dxa"/>
            <w:tcBorders>
              <w:top w:val="nil"/>
              <w:left w:val="nil"/>
              <w:bottom w:val="single" w:sz="4" w:space="0" w:color="auto"/>
              <w:right w:val="nil"/>
            </w:tcBorders>
            <w:shd w:val="clear" w:color="auto" w:fill="auto"/>
            <w:noWrap/>
            <w:vAlign w:val="bottom"/>
            <w:hideMark/>
          </w:tcPr>
          <w:p w14:paraId="34C09884"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140,91</w:t>
            </w:r>
          </w:p>
        </w:tc>
        <w:tc>
          <w:tcPr>
            <w:tcW w:w="799" w:type="dxa"/>
            <w:tcBorders>
              <w:top w:val="nil"/>
              <w:left w:val="nil"/>
              <w:bottom w:val="single" w:sz="4" w:space="0" w:color="auto"/>
              <w:right w:val="nil"/>
            </w:tcBorders>
            <w:shd w:val="clear" w:color="auto" w:fill="auto"/>
            <w:noWrap/>
            <w:vAlign w:val="center"/>
            <w:hideMark/>
          </w:tcPr>
          <w:p w14:paraId="5BA7D54C"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092" w:type="dxa"/>
            <w:tcBorders>
              <w:top w:val="nil"/>
              <w:left w:val="single" w:sz="4" w:space="0" w:color="auto"/>
              <w:bottom w:val="single" w:sz="4" w:space="0" w:color="auto"/>
              <w:right w:val="nil"/>
            </w:tcBorders>
            <w:shd w:val="clear" w:color="auto" w:fill="auto"/>
            <w:noWrap/>
            <w:vAlign w:val="bottom"/>
            <w:hideMark/>
          </w:tcPr>
          <w:p w14:paraId="50AE9A2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145,58</w:t>
            </w:r>
          </w:p>
        </w:tc>
        <w:tc>
          <w:tcPr>
            <w:tcW w:w="838" w:type="dxa"/>
            <w:tcBorders>
              <w:top w:val="nil"/>
              <w:left w:val="nil"/>
              <w:bottom w:val="single" w:sz="4" w:space="0" w:color="auto"/>
              <w:right w:val="single" w:sz="4" w:space="0" w:color="auto"/>
            </w:tcBorders>
            <w:shd w:val="clear" w:color="auto" w:fill="auto"/>
            <w:noWrap/>
            <w:vAlign w:val="center"/>
            <w:hideMark/>
          </w:tcPr>
          <w:p w14:paraId="555D9AD2"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920" w:type="dxa"/>
            <w:tcBorders>
              <w:top w:val="nil"/>
              <w:left w:val="nil"/>
              <w:bottom w:val="single" w:sz="4" w:space="0" w:color="auto"/>
              <w:right w:val="nil"/>
            </w:tcBorders>
            <w:shd w:val="clear" w:color="auto" w:fill="auto"/>
            <w:noWrap/>
            <w:vAlign w:val="bottom"/>
            <w:hideMark/>
          </w:tcPr>
          <w:p w14:paraId="03094867"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41,31</w:t>
            </w:r>
          </w:p>
        </w:tc>
        <w:tc>
          <w:tcPr>
            <w:tcW w:w="838" w:type="dxa"/>
            <w:tcBorders>
              <w:top w:val="nil"/>
              <w:left w:val="nil"/>
              <w:bottom w:val="single" w:sz="4" w:space="0" w:color="auto"/>
              <w:right w:val="nil"/>
            </w:tcBorders>
            <w:shd w:val="clear" w:color="auto" w:fill="auto"/>
            <w:noWrap/>
            <w:vAlign w:val="center"/>
            <w:hideMark/>
          </w:tcPr>
          <w:p w14:paraId="162B504B"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-14 %</w:t>
            </w:r>
          </w:p>
        </w:tc>
      </w:tr>
      <w:tr w:rsidR="00F85178" w:rsidRPr="00F85178" w14:paraId="3D334ECC"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11C64ACF"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Hr. Králové</w:t>
            </w:r>
          </w:p>
        </w:tc>
        <w:tc>
          <w:tcPr>
            <w:tcW w:w="1093" w:type="dxa"/>
            <w:tcBorders>
              <w:top w:val="nil"/>
              <w:left w:val="nil"/>
              <w:bottom w:val="single" w:sz="4" w:space="0" w:color="auto"/>
              <w:right w:val="nil"/>
            </w:tcBorders>
            <w:shd w:val="clear" w:color="auto" w:fill="auto"/>
            <w:noWrap/>
            <w:vAlign w:val="bottom"/>
            <w:hideMark/>
          </w:tcPr>
          <w:p w14:paraId="7F30A0F7"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166,05</w:t>
            </w:r>
          </w:p>
        </w:tc>
        <w:tc>
          <w:tcPr>
            <w:tcW w:w="799" w:type="dxa"/>
            <w:tcBorders>
              <w:top w:val="nil"/>
              <w:left w:val="nil"/>
              <w:bottom w:val="single" w:sz="4" w:space="0" w:color="auto"/>
              <w:right w:val="nil"/>
            </w:tcBorders>
            <w:shd w:val="clear" w:color="auto" w:fill="auto"/>
            <w:noWrap/>
            <w:vAlign w:val="center"/>
            <w:hideMark/>
          </w:tcPr>
          <w:p w14:paraId="079C25A9"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92" w:type="dxa"/>
            <w:tcBorders>
              <w:top w:val="nil"/>
              <w:left w:val="single" w:sz="4" w:space="0" w:color="auto"/>
              <w:bottom w:val="single" w:sz="4" w:space="0" w:color="auto"/>
              <w:right w:val="nil"/>
            </w:tcBorders>
            <w:shd w:val="clear" w:color="auto" w:fill="auto"/>
            <w:noWrap/>
            <w:vAlign w:val="bottom"/>
            <w:hideMark/>
          </w:tcPr>
          <w:p w14:paraId="0C5D76A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168,23</w:t>
            </w:r>
          </w:p>
        </w:tc>
        <w:tc>
          <w:tcPr>
            <w:tcW w:w="838" w:type="dxa"/>
            <w:tcBorders>
              <w:top w:val="nil"/>
              <w:left w:val="nil"/>
              <w:bottom w:val="single" w:sz="4" w:space="0" w:color="auto"/>
              <w:right w:val="single" w:sz="4" w:space="0" w:color="auto"/>
            </w:tcBorders>
            <w:shd w:val="clear" w:color="auto" w:fill="auto"/>
            <w:noWrap/>
            <w:vAlign w:val="center"/>
            <w:hideMark/>
          </w:tcPr>
          <w:p w14:paraId="789E79C0"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20" w:type="dxa"/>
            <w:tcBorders>
              <w:top w:val="nil"/>
              <w:left w:val="nil"/>
              <w:bottom w:val="single" w:sz="4" w:space="0" w:color="auto"/>
              <w:right w:val="nil"/>
            </w:tcBorders>
            <w:shd w:val="clear" w:color="auto" w:fill="auto"/>
            <w:noWrap/>
            <w:vAlign w:val="bottom"/>
            <w:hideMark/>
          </w:tcPr>
          <w:p w14:paraId="72B1AFB6"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17,63</w:t>
            </w:r>
          </w:p>
        </w:tc>
        <w:tc>
          <w:tcPr>
            <w:tcW w:w="838" w:type="dxa"/>
            <w:tcBorders>
              <w:top w:val="nil"/>
              <w:left w:val="nil"/>
              <w:bottom w:val="single" w:sz="4" w:space="0" w:color="auto"/>
              <w:right w:val="nil"/>
            </w:tcBorders>
            <w:shd w:val="clear" w:color="auto" w:fill="auto"/>
            <w:noWrap/>
            <w:vAlign w:val="center"/>
            <w:hideMark/>
          </w:tcPr>
          <w:p w14:paraId="25AEC7CA"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1567632D" w14:textId="77777777" w:rsidTr="007C2FD9">
        <w:trPr>
          <w:trHeight w:val="315"/>
        </w:trPr>
        <w:tc>
          <w:tcPr>
            <w:tcW w:w="2020" w:type="dxa"/>
            <w:tcBorders>
              <w:top w:val="nil"/>
              <w:left w:val="nil"/>
              <w:bottom w:val="single" w:sz="4" w:space="0" w:color="auto"/>
              <w:right w:val="nil"/>
            </w:tcBorders>
            <w:shd w:val="clear" w:color="auto" w:fill="auto"/>
            <w:noWrap/>
            <w:vAlign w:val="bottom"/>
            <w:hideMark/>
          </w:tcPr>
          <w:p w14:paraId="7462CDB6"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Brno</w:t>
            </w:r>
          </w:p>
        </w:tc>
        <w:tc>
          <w:tcPr>
            <w:tcW w:w="1093" w:type="dxa"/>
            <w:tcBorders>
              <w:top w:val="nil"/>
              <w:left w:val="nil"/>
              <w:bottom w:val="single" w:sz="4" w:space="0" w:color="auto"/>
              <w:right w:val="nil"/>
            </w:tcBorders>
            <w:shd w:val="clear" w:color="auto" w:fill="auto"/>
            <w:noWrap/>
            <w:vAlign w:val="bottom"/>
            <w:hideMark/>
          </w:tcPr>
          <w:p w14:paraId="0D7AA4A6"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183,15</w:t>
            </w:r>
          </w:p>
        </w:tc>
        <w:tc>
          <w:tcPr>
            <w:tcW w:w="799" w:type="dxa"/>
            <w:tcBorders>
              <w:top w:val="nil"/>
              <w:left w:val="nil"/>
              <w:bottom w:val="single" w:sz="4" w:space="0" w:color="auto"/>
              <w:right w:val="nil"/>
            </w:tcBorders>
            <w:shd w:val="clear" w:color="auto" w:fill="auto"/>
            <w:noWrap/>
            <w:vAlign w:val="center"/>
            <w:hideMark/>
          </w:tcPr>
          <w:p w14:paraId="350B2C94"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92" w:type="dxa"/>
            <w:tcBorders>
              <w:top w:val="nil"/>
              <w:left w:val="single" w:sz="4" w:space="0" w:color="auto"/>
              <w:bottom w:val="single" w:sz="4" w:space="0" w:color="auto"/>
              <w:right w:val="nil"/>
            </w:tcBorders>
            <w:shd w:val="clear" w:color="auto" w:fill="auto"/>
            <w:noWrap/>
            <w:vAlign w:val="bottom"/>
            <w:hideMark/>
          </w:tcPr>
          <w:p w14:paraId="08B9ED0E"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183,66</w:t>
            </w:r>
          </w:p>
        </w:tc>
        <w:tc>
          <w:tcPr>
            <w:tcW w:w="838" w:type="dxa"/>
            <w:tcBorders>
              <w:top w:val="nil"/>
              <w:left w:val="nil"/>
              <w:bottom w:val="single" w:sz="4" w:space="0" w:color="auto"/>
              <w:right w:val="single" w:sz="4" w:space="0" w:color="auto"/>
            </w:tcBorders>
            <w:shd w:val="clear" w:color="auto" w:fill="auto"/>
            <w:noWrap/>
            <w:vAlign w:val="center"/>
            <w:hideMark/>
          </w:tcPr>
          <w:p w14:paraId="5FC7E9E8"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920" w:type="dxa"/>
            <w:tcBorders>
              <w:top w:val="nil"/>
              <w:left w:val="nil"/>
              <w:bottom w:val="single" w:sz="4" w:space="0" w:color="auto"/>
              <w:right w:val="nil"/>
            </w:tcBorders>
            <w:shd w:val="clear" w:color="auto" w:fill="auto"/>
            <w:noWrap/>
            <w:vAlign w:val="bottom"/>
            <w:hideMark/>
          </w:tcPr>
          <w:p w14:paraId="13654F7D"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29,46</w:t>
            </w:r>
          </w:p>
        </w:tc>
        <w:tc>
          <w:tcPr>
            <w:tcW w:w="838" w:type="dxa"/>
            <w:tcBorders>
              <w:top w:val="nil"/>
              <w:left w:val="nil"/>
              <w:bottom w:val="single" w:sz="4" w:space="0" w:color="auto"/>
              <w:right w:val="nil"/>
            </w:tcBorders>
            <w:shd w:val="clear" w:color="auto" w:fill="auto"/>
            <w:noWrap/>
            <w:vAlign w:val="center"/>
            <w:hideMark/>
          </w:tcPr>
          <w:p w14:paraId="30A71899"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37629D91" w14:textId="77777777" w:rsidTr="007C2FD9">
        <w:trPr>
          <w:trHeight w:val="330"/>
        </w:trPr>
        <w:tc>
          <w:tcPr>
            <w:tcW w:w="2020" w:type="dxa"/>
            <w:tcBorders>
              <w:top w:val="nil"/>
              <w:left w:val="nil"/>
              <w:bottom w:val="double" w:sz="6" w:space="0" w:color="auto"/>
              <w:right w:val="nil"/>
            </w:tcBorders>
            <w:shd w:val="clear" w:color="auto" w:fill="auto"/>
            <w:noWrap/>
            <w:vAlign w:val="bottom"/>
            <w:hideMark/>
          </w:tcPr>
          <w:p w14:paraId="3A5474AA" w14:textId="77777777" w:rsidR="007C2FD9" w:rsidRPr="00F85178" w:rsidRDefault="007C2FD9" w:rsidP="007C2FD9">
            <w:pPr>
              <w:spacing w:line="240" w:lineRule="auto"/>
              <w:jc w:val="left"/>
              <w:rPr>
                <w:rFonts w:eastAsia="Times New Roman"/>
                <w:szCs w:val="24"/>
                <w:lang w:eastAsia="cs-CZ"/>
              </w:rPr>
            </w:pPr>
            <w:r w:rsidRPr="00F85178">
              <w:rPr>
                <w:rFonts w:eastAsia="Times New Roman"/>
                <w:szCs w:val="24"/>
                <w:lang w:eastAsia="cs-CZ"/>
              </w:rPr>
              <w:t>KS Ostrava</w:t>
            </w:r>
          </w:p>
        </w:tc>
        <w:tc>
          <w:tcPr>
            <w:tcW w:w="1093" w:type="dxa"/>
            <w:tcBorders>
              <w:top w:val="nil"/>
              <w:left w:val="nil"/>
              <w:bottom w:val="double" w:sz="6" w:space="0" w:color="auto"/>
              <w:right w:val="nil"/>
            </w:tcBorders>
            <w:shd w:val="clear" w:color="auto" w:fill="auto"/>
            <w:noWrap/>
            <w:vAlign w:val="bottom"/>
            <w:hideMark/>
          </w:tcPr>
          <w:p w14:paraId="550C63E4"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178,64</w:t>
            </w:r>
          </w:p>
        </w:tc>
        <w:tc>
          <w:tcPr>
            <w:tcW w:w="799" w:type="dxa"/>
            <w:tcBorders>
              <w:top w:val="nil"/>
              <w:left w:val="nil"/>
              <w:bottom w:val="double" w:sz="6" w:space="0" w:color="auto"/>
              <w:right w:val="nil"/>
            </w:tcBorders>
            <w:shd w:val="clear" w:color="auto" w:fill="auto"/>
            <w:noWrap/>
            <w:vAlign w:val="center"/>
            <w:hideMark/>
          </w:tcPr>
          <w:p w14:paraId="5760FC44"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092" w:type="dxa"/>
            <w:tcBorders>
              <w:top w:val="nil"/>
              <w:left w:val="single" w:sz="4" w:space="0" w:color="auto"/>
              <w:bottom w:val="double" w:sz="6" w:space="0" w:color="auto"/>
              <w:right w:val="nil"/>
            </w:tcBorders>
            <w:shd w:val="clear" w:color="auto" w:fill="auto"/>
            <w:noWrap/>
            <w:vAlign w:val="bottom"/>
            <w:hideMark/>
          </w:tcPr>
          <w:p w14:paraId="3EBA9FC2"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177,69</w:t>
            </w:r>
          </w:p>
        </w:tc>
        <w:tc>
          <w:tcPr>
            <w:tcW w:w="838" w:type="dxa"/>
            <w:tcBorders>
              <w:top w:val="nil"/>
              <w:left w:val="nil"/>
              <w:bottom w:val="double" w:sz="6" w:space="0" w:color="auto"/>
              <w:right w:val="single" w:sz="4" w:space="0" w:color="auto"/>
            </w:tcBorders>
            <w:shd w:val="clear" w:color="auto" w:fill="auto"/>
            <w:noWrap/>
            <w:vAlign w:val="center"/>
            <w:hideMark/>
          </w:tcPr>
          <w:p w14:paraId="188FB443"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20" w:type="dxa"/>
            <w:tcBorders>
              <w:top w:val="nil"/>
              <w:left w:val="nil"/>
              <w:bottom w:val="double" w:sz="6" w:space="0" w:color="auto"/>
              <w:right w:val="nil"/>
            </w:tcBorders>
            <w:shd w:val="clear" w:color="auto" w:fill="auto"/>
            <w:noWrap/>
            <w:vAlign w:val="bottom"/>
            <w:hideMark/>
          </w:tcPr>
          <w:p w14:paraId="5C033F90" w14:textId="77777777" w:rsidR="007C2FD9" w:rsidRPr="00F85178" w:rsidRDefault="007C2FD9" w:rsidP="007C2FD9">
            <w:pPr>
              <w:spacing w:line="240" w:lineRule="auto"/>
              <w:jc w:val="center"/>
              <w:rPr>
                <w:rFonts w:eastAsia="Times New Roman"/>
                <w:szCs w:val="24"/>
                <w:lang w:eastAsia="cs-CZ"/>
              </w:rPr>
            </w:pPr>
            <w:r w:rsidRPr="00F85178">
              <w:rPr>
                <w:rFonts w:eastAsia="Times New Roman"/>
                <w:szCs w:val="24"/>
                <w:lang w:eastAsia="cs-CZ"/>
              </w:rPr>
              <w:t>34,64</w:t>
            </w:r>
          </w:p>
        </w:tc>
        <w:tc>
          <w:tcPr>
            <w:tcW w:w="838" w:type="dxa"/>
            <w:tcBorders>
              <w:top w:val="nil"/>
              <w:left w:val="nil"/>
              <w:bottom w:val="double" w:sz="6" w:space="0" w:color="auto"/>
              <w:right w:val="nil"/>
            </w:tcBorders>
            <w:shd w:val="clear" w:color="auto" w:fill="auto"/>
            <w:noWrap/>
            <w:vAlign w:val="center"/>
            <w:hideMark/>
          </w:tcPr>
          <w:p w14:paraId="03AA4D42" w14:textId="77777777" w:rsidR="007C2FD9" w:rsidRPr="00F85178" w:rsidRDefault="007C2FD9" w:rsidP="00800DD0">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7C2FD9" w:rsidRPr="00F85178" w14:paraId="58BE93FF" w14:textId="77777777" w:rsidTr="007C2FD9">
        <w:trPr>
          <w:trHeight w:val="345"/>
        </w:trPr>
        <w:tc>
          <w:tcPr>
            <w:tcW w:w="2020" w:type="dxa"/>
            <w:tcBorders>
              <w:top w:val="nil"/>
              <w:left w:val="nil"/>
              <w:bottom w:val="double" w:sz="6" w:space="0" w:color="auto"/>
              <w:right w:val="nil"/>
            </w:tcBorders>
            <w:shd w:val="clear" w:color="auto" w:fill="auto"/>
            <w:noWrap/>
            <w:vAlign w:val="bottom"/>
            <w:hideMark/>
          </w:tcPr>
          <w:p w14:paraId="5D438D2E" w14:textId="77777777" w:rsidR="007C2FD9" w:rsidRPr="00F85178" w:rsidRDefault="007C2FD9" w:rsidP="007C2FD9">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93" w:type="dxa"/>
            <w:tcBorders>
              <w:top w:val="nil"/>
              <w:left w:val="nil"/>
              <w:bottom w:val="double" w:sz="6" w:space="0" w:color="auto"/>
              <w:right w:val="nil"/>
            </w:tcBorders>
            <w:shd w:val="clear" w:color="auto" w:fill="auto"/>
            <w:noWrap/>
            <w:vAlign w:val="bottom"/>
            <w:hideMark/>
          </w:tcPr>
          <w:p w14:paraId="038BFED2"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160,79</w:t>
            </w:r>
          </w:p>
        </w:tc>
        <w:tc>
          <w:tcPr>
            <w:tcW w:w="799" w:type="dxa"/>
            <w:tcBorders>
              <w:top w:val="nil"/>
              <w:left w:val="nil"/>
              <w:bottom w:val="double" w:sz="6" w:space="0" w:color="auto"/>
              <w:right w:val="nil"/>
            </w:tcBorders>
            <w:shd w:val="clear" w:color="auto" w:fill="auto"/>
            <w:noWrap/>
            <w:vAlign w:val="center"/>
            <w:hideMark/>
          </w:tcPr>
          <w:p w14:paraId="2CBB815A" w14:textId="77777777" w:rsidR="007C2FD9" w:rsidRPr="00F85178" w:rsidRDefault="007C2FD9" w:rsidP="00800DD0">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1092" w:type="dxa"/>
            <w:tcBorders>
              <w:top w:val="nil"/>
              <w:left w:val="single" w:sz="4" w:space="0" w:color="auto"/>
              <w:bottom w:val="double" w:sz="6" w:space="0" w:color="auto"/>
              <w:right w:val="nil"/>
            </w:tcBorders>
            <w:shd w:val="clear" w:color="auto" w:fill="auto"/>
            <w:noWrap/>
            <w:vAlign w:val="bottom"/>
            <w:hideMark/>
          </w:tcPr>
          <w:p w14:paraId="305E22FA"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162,13</w:t>
            </w:r>
          </w:p>
        </w:tc>
        <w:tc>
          <w:tcPr>
            <w:tcW w:w="838" w:type="dxa"/>
            <w:tcBorders>
              <w:top w:val="nil"/>
              <w:left w:val="nil"/>
              <w:bottom w:val="double" w:sz="6" w:space="0" w:color="auto"/>
              <w:right w:val="single" w:sz="4" w:space="0" w:color="auto"/>
            </w:tcBorders>
            <w:shd w:val="clear" w:color="auto" w:fill="auto"/>
            <w:noWrap/>
            <w:vAlign w:val="center"/>
            <w:hideMark/>
          </w:tcPr>
          <w:p w14:paraId="26709D06" w14:textId="77777777" w:rsidR="007C2FD9" w:rsidRPr="00F85178" w:rsidRDefault="007C2FD9" w:rsidP="00800DD0">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920" w:type="dxa"/>
            <w:tcBorders>
              <w:top w:val="nil"/>
              <w:left w:val="nil"/>
              <w:bottom w:val="double" w:sz="6" w:space="0" w:color="auto"/>
              <w:right w:val="nil"/>
            </w:tcBorders>
            <w:shd w:val="clear" w:color="auto" w:fill="auto"/>
            <w:noWrap/>
            <w:vAlign w:val="bottom"/>
            <w:hideMark/>
          </w:tcPr>
          <w:p w14:paraId="4944BE9A" w14:textId="77777777" w:rsidR="007C2FD9" w:rsidRPr="00F85178" w:rsidRDefault="007C2FD9" w:rsidP="007C2FD9">
            <w:pPr>
              <w:spacing w:line="240" w:lineRule="auto"/>
              <w:jc w:val="center"/>
              <w:rPr>
                <w:rFonts w:eastAsia="Times New Roman"/>
                <w:b/>
                <w:bCs/>
                <w:szCs w:val="24"/>
                <w:lang w:eastAsia="cs-CZ"/>
              </w:rPr>
            </w:pPr>
            <w:r w:rsidRPr="00F85178">
              <w:rPr>
                <w:rFonts w:eastAsia="Times New Roman"/>
                <w:b/>
                <w:bCs/>
                <w:szCs w:val="24"/>
                <w:lang w:eastAsia="cs-CZ"/>
              </w:rPr>
              <w:t>27,84</w:t>
            </w:r>
          </w:p>
        </w:tc>
        <w:tc>
          <w:tcPr>
            <w:tcW w:w="838" w:type="dxa"/>
            <w:tcBorders>
              <w:top w:val="nil"/>
              <w:left w:val="nil"/>
              <w:bottom w:val="double" w:sz="6" w:space="0" w:color="auto"/>
              <w:right w:val="nil"/>
            </w:tcBorders>
            <w:shd w:val="clear" w:color="auto" w:fill="auto"/>
            <w:noWrap/>
            <w:vAlign w:val="center"/>
            <w:hideMark/>
          </w:tcPr>
          <w:p w14:paraId="6D510876" w14:textId="77777777" w:rsidR="007C2FD9" w:rsidRPr="00F85178" w:rsidRDefault="007C2FD9" w:rsidP="00800DD0">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r>
    </w:tbl>
    <w:p w14:paraId="224084AA" w14:textId="77777777" w:rsidR="007C2FD9" w:rsidRPr="00F85178" w:rsidRDefault="007C2FD9" w:rsidP="00770E8A"/>
    <w:p w14:paraId="202E3E3C" w14:textId="15BC9B25" w:rsidR="007C2FD9" w:rsidRPr="00F85178" w:rsidRDefault="007C2FD9" w:rsidP="007C2FD9">
      <w:pPr>
        <w:pStyle w:val="Podtitul"/>
        <w:rPr>
          <w:color w:val="auto"/>
        </w:rPr>
      </w:pPr>
      <w:bookmarkStart w:id="214" w:name="_Toc515871354"/>
      <w:bookmarkStart w:id="215" w:name="_Toc11135089"/>
      <w:bookmarkStart w:id="216" w:name="_Toc1383752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28</w:t>
      </w:r>
      <w:r w:rsidRPr="00F85178">
        <w:rPr>
          <w:noProof/>
          <w:color w:val="auto"/>
        </w:rPr>
        <w:fldChar w:fldCharType="end"/>
      </w:r>
      <w:r w:rsidRPr="00F85178">
        <w:rPr>
          <w:color w:val="auto"/>
        </w:rPr>
        <w:t xml:space="preserve">: OS – počet nevyříz. </w:t>
      </w:r>
      <w:proofErr w:type="gramStart"/>
      <w:r w:rsidRPr="00F85178">
        <w:rPr>
          <w:color w:val="auto"/>
        </w:rPr>
        <w:t>trestních</w:t>
      </w:r>
      <w:proofErr w:type="gramEnd"/>
      <w:r w:rsidRPr="00F85178">
        <w:rPr>
          <w:color w:val="auto"/>
        </w:rPr>
        <w:t xml:space="preserve"> věcí na soudce u jednotlivých soudů</w:t>
      </w:r>
      <w:bookmarkEnd w:id="214"/>
      <w:bookmarkEnd w:id="215"/>
      <w:bookmarkEnd w:id="216"/>
    </w:p>
    <w:p w14:paraId="29163A6C" w14:textId="7F989495" w:rsidR="007C2FD9" w:rsidRPr="00F85178" w:rsidRDefault="00D6763E" w:rsidP="00770E8A">
      <w:r>
        <w:rPr>
          <w:noProof/>
          <w:lang w:eastAsia="cs-CZ"/>
        </w:rPr>
        <w:drawing>
          <wp:anchor distT="0" distB="0" distL="114300" distR="114300" simplePos="0" relativeHeight="251656704" behindDoc="0" locked="0" layoutInCell="1" allowOverlap="1" wp14:anchorId="2618A29E" wp14:editId="36A57961">
            <wp:simplePos x="0" y="0"/>
            <wp:positionH relativeFrom="margin">
              <wp:posOffset>4628292</wp:posOffset>
            </wp:positionH>
            <wp:positionV relativeFrom="paragraph">
              <wp:posOffset>45608</wp:posOffset>
            </wp:positionV>
            <wp:extent cx="1080000" cy="792000"/>
            <wp:effectExtent l="0" t="0" r="6350" b="8255"/>
            <wp:wrapNone/>
            <wp:docPr id="114" name="Obrázek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4"/>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1080000" cy="792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295">
        <w:rPr>
          <w:noProof/>
          <w:lang w:eastAsia="cs-CZ"/>
        </w:rPr>
        <w:drawing>
          <wp:inline distT="0" distB="0" distL="0" distR="0" wp14:anchorId="54CFF276" wp14:editId="48956C90">
            <wp:extent cx="5759450" cy="3329940"/>
            <wp:effectExtent l="0" t="0" r="0" b="0"/>
            <wp:docPr id="29" name="Obrázek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20590AC9" w14:textId="55F82C6D" w:rsidR="00756542" w:rsidRPr="00F85178" w:rsidRDefault="009C7E76" w:rsidP="00756542">
      <w:pPr>
        <w:pStyle w:val="OdstavecASR"/>
      </w:pPr>
      <w:r w:rsidRPr="00F85178">
        <w:t>V kartogramu opět vyčnívají především soudy v Severočeském kraji</w:t>
      </w:r>
      <w:r w:rsidR="00900801" w:rsidRPr="00F85178">
        <w:t xml:space="preserve"> s nejvyššími počty nevyřízených věcí na soudce</w:t>
      </w:r>
      <w:r w:rsidRPr="00F85178">
        <w:t xml:space="preserve">. Existují také výjimky v jiných krajích – například </w:t>
      </w:r>
      <w:r w:rsidR="00900801" w:rsidRPr="00F85178">
        <w:t>OS Bruntál</w:t>
      </w:r>
      <w:r w:rsidRPr="00F85178">
        <w:t xml:space="preserve"> v Severomoravském kraji nebo OS </w:t>
      </w:r>
      <w:r w:rsidR="00900801" w:rsidRPr="00F85178">
        <w:t>Uherské Hradiště v Jihomoravském kraji, které si oproti roku 2017 výrazně pohoršily (naopak velmi se zlepšil OS Jeseník i některé další OS)</w:t>
      </w:r>
      <w:r w:rsidRPr="00F85178">
        <w:t>.</w:t>
      </w:r>
      <w:r w:rsidR="00756542">
        <w:t xml:space="preserve"> Ne vždy je</w:t>
      </w:r>
      <w:r w:rsidR="006D2D81">
        <w:t xml:space="preserve"> však</w:t>
      </w:r>
      <w:r w:rsidR="00756542">
        <w:t xml:space="preserve"> možné vyčíst příčiny všech změn ve výkonosti soudů z dat.</w:t>
      </w:r>
      <w:r w:rsidR="00F2120F">
        <w:t xml:space="preserve"> Například výše zmíněný OS Bruntál měl </w:t>
      </w:r>
      <w:r w:rsidR="00B367E7">
        <w:t xml:space="preserve">po </w:t>
      </w:r>
      <w:r w:rsidR="00B367E7" w:rsidRPr="00F2120F">
        <w:t>vysoký</w:t>
      </w:r>
      <w:r w:rsidR="00B367E7">
        <w:t xml:space="preserve"> počet</w:t>
      </w:r>
      <w:r w:rsidR="00B367E7" w:rsidRPr="00F2120F">
        <w:t xml:space="preserve"> dnů</w:t>
      </w:r>
      <w:r w:rsidR="00B367E7">
        <w:t xml:space="preserve"> </w:t>
      </w:r>
      <w:r w:rsidR="00F2120F">
        <w:t>dva soudce v dočasné pracovní neschopnosti.</w:t>
      </w:r>
    </w:p>
    <w:p w14:paraId="6002287B" w14:textId="742F0F23" w:rsidR="009C7E76" w:rsidRPr="00F85178" w:rsidRDefault="009C7E76" w:rsidP="009C7E76">
      <w:pPr>
        <w:pStyle w:val="OdstavecASR"/>
      </w:pPr>
      <w:r w:rsidRPr="00F85178">
        <w:t xml:space="preserve">Soudy s nejmenším počtem nevyřízených věcí v přepočtu na soudce jsou </w:t>
      </w:r>
      <w:r w:rsidR="009F2675" w:rsidRPr="00F85178">
        <w:t>OS Beroun (4 věci), OS</w:t>
      </w:r>
      <w:r w:rsidR="00800DD0" w:rsidRPr="00F85178">
        <w:t> </w:t>
      </w:r>
      <w:r w:rsidR="009F2675" w:rsidRPr="00F85178">
        <w:t xml:space="preserve">Rakovník (7) </w:t>
      </w:r>
      <w:r w:rsidRPr="00F85178">
        <w:t>OS Kutná Hora (</w:t>
      </w:r>
      <w:r w:rsidR="009F2675" w:rsidRPr="00F85178">
        <w:t>8</w:t>
      </w:r>
      <w:r w:rsidRPr="00F85178">
        <w:t>). Naopak soudy s největším počtem nevyřízených věcí na soudce jsou</w:t>
      </w:r>
      <w:r w:rsidR="00621CB4" w:rsidRPr="00F85178">
        <w:t xml:space="preserve"> OS Uherské Hradiště (83),</w:t>
      </w:r>
      <w:r w:rsidRPr="00F85178">
        <w:t xml:space="preserve"> OS Děčín (</w:t>
      </w:r>
      <w:r w:rsidR="00621CB4" w:rsidRPr="00F85178">
        <w:t>7</w:t>
      </w:r>
      <w:r w:rsidRPr="00F85178">
        <w:t xml:space="preserve">8) </w:t>
      </w:r>
      <w:r w:rsidR="00621CB4" w:rsidRPr="00F85178">
        <w:t xml:space="preserve">a </w:t>
      </w:r>
      <w:r w:rsidRPr="00F85178">
        <w:t xml:space="preserve">OS </w:t>
      </w:r>
      <w:r w:rsidR="00621CB4" w:rsidRPr="00F85178">
        <w:t xml:space="preserve">Chomutov </w:t>
      </w:r>
      <w:r w:rsidRPr="00F85178">
        <w:t>(</w:t>
      </w:r>
      <w:r w:rsidR="00621CB4" w:rsidRPr="00F85178">
        <w:t>6</w:t>
      </w:r>
      <w:r w:rsidRPr="00F85178">
        <w:t>6)</w:t>
      </w:r>
      <w:r w:rsidR="00AD08FB">
        <w:t>.</w:t>
      </w:r>
      <w:r w:rsidR="007467A5">
        <w:t xml:space="preserve"> </w:t>
      </w:r>
      <w:r w:rsidRPr="00F85178">
        <w:t>Stejně jako u civilní agendy se v krátkosti podíváme, jestli je zde nějaký vztah mezi počtem vyřízených věcí na soudce a počtem nevyřízených věcí na soudce. Opět platí, že účelem této zprávy není podrobná analýza této problematiky, předmětný vztah však krátce okomentujeme.</w:t>
      </w:r>
    </w:p>
    <w:p w14:paraId="4DD7EE58" w14:textId="77777777" w:rsidR="007C2FD9" w:rsidRPr="00F85178" w:rsidRDefault="007C2FD9" w:rsidP="007C2FD9">
      <w:pPr>
        <w:pStyle w:val="Podtitul"/>
        <w:rPr>
          <w:color w:val="auto"/>
        </w:rPr>
      </w:pPr>
      <w:bookmarkStart w:id="217" w:name="_Toc515871355"/>
      <w:bookmarkStart w:id="218" w:name="_Toc11135090"/>
      <w:bookmarkStart w:id="219" w:name="_Toc13837522"/>
      <w:bookmarkStart w:id="220" w:name="_Toc51587135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29</w:t>
      </w:r>
      <w:r w:rsidRPr="00F85178">
        <w:rPr>
          <w:noProof/>
          <w:color w:val="auto"/>
        </w:rPr>
        <w:fldChar w:fldCharType="end"/>
      </w:r>
      <w:r w:rsidRPr="00F85178">
        <w:rPr>
          <w:color w:val="auto"/>
        </w:rPr>
        <w:t>: OS – počet vyřízených trestních věcí na soudce u jednotlivých soudů</w:t>
      </w:r>
      <w:bookmarkEnd w:id="217"/>
      <w:bookmarkEnd w:id="218"/>
      <w:bookmarkEnd w:id="219"/>
    </w:p>
    <w:p w14:paraId="6FDF82E1" w14:textId="77777777" w:rsidR="007C2FD9" w:rsidRPr="00F85178" w:rsidRDefault="00890295" w:rsidP="007C2FD9">
      <w:r>
        <w:rPr>
          <w:noProof/>
          <w:lang w:eastAsia="cs-CZ"/>
        </w:rPr>
        <w:drawing>
          <wp:anchor distT="0" distB="0" distL="114300" distR="114300" simplePos="0" relativeHeight="251657728" behindDoc="0" locked="0" layoutInCell="1" allowOverlap="1" wp14:anchorId="2772A608" wp14:editId="73B19D87">
            <wp:simplePos x="0" y="0"/>
            <wp:positionH relativeFrom="margin">
              <wp:posOffset>4540941</wp:posOffset>
            </wp:positionH>
            <wp:positionV relativeFrom="paragraph">
              <wp:posOffset>41275</wp:posOffset>
            </wp:positionV>
            <wp:extent cx="1171575" cy="857250"/>
            <wp:effectExtent l="0" t="0" r="9525" b="0"/>
            <wp:wrapNone/>
            <wp:docPr id="113" name="Obrázek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1171575" cy="8572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7B733081" wp14:editId="0D18CB5D">
            <wp:extent cx="5759450" cy="3329940"/>
            <wp:effectExtent l="0" t="0" r="0" b="0"/>
            <wp:docPr id="30" name="Obrázek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9"/>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6CACD491" w14:textId="77777777" w:rsidR="007C2FD9" w:rsidRPr="00F85178" w:rsidRDefault="007C2FD9" w:rsidP="007C2FD9"/>
    <w:p w14:paraId="3D63AEFE" w14:textId="77777777" w:rsidR="00290333" w:rsidRPr="00F85178" w:rsidRDefault="009C7E76" w:rsidP="006D7033">
      <w:pPr>
        <w:pStyle w:val="OdstavecASR"/>
      </w:pPr>
      <w:r w:rsidRPr="00F85178">
        <w:t>Pohled na mapu nenaznačuje žádný vztah mezi počtem vyřízených a počtem nevyřízených věcí na soudce.</w:t>
      </w:r>
    </w:p>
    <w:p w14:paraId="343D2AE7" w14:textId="77777777" w:rsidR="00376157" w:rsidRPr="00F85178" w:rsidRDefault="007C2FD9" w:rsidP="00290333">
      <w:pPr>
        <w:pStyle w:val="Podtitul"/>
        <w:keepNext w:val="0"/>
        <w:rPr>
          <w:color w:val="auto"/>
        </w:rPr>
      </w:pPr>
      <w:bookmarkStart w:id="221" w:name="_Toc11135091"/>
      <w:bookmarkStart w:id="222" w:name="_Toc1383752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30</w:t>
      </w:r>
      <w:r w:rsidRPr="00F85178">
        <w:rPr>
          <w:noProof/>
          <w:color w:val="auto"/>
        </w:rPr>
        <w:fldChar w:fldCharType="end"/>
      </w:r>
      <w:r w:rsidRPr="00F85178">
        <w:rPr>
          <w:color w:val="auto"/>
        </w:rPr>
        <w:t>: OS – krabicové grafy, nevyřízené trestní věci na soudce</w:t>
      </w:r>
      <w:bookmarkEnd w:id="220"/>
      <w:bookmarkEnd w:id="221"/>
      <w:bookmarkEnd w:id="222"/>
    </w:p>
    <w:p w14:paraId="29A3B796" w14:textId="77777777" w:rsidR="007C2FD9" w:rsidRPr="00F85178" w:rsidRDefault="00890295" w:rsidP="00290333">
      <w:pPr>
        <w:pStyle w:val="Podtitul"/>
        <w:keepNext w:val="0"/>
        <w:rPr>
          <w:color w:val="auto"/>
        </w:rPr>
      </w:pPr>
      <w:r>
        <w:rPr>
          <w:noProof/>
          <w:color w:val="auto"/>
          <w:lang w:eastAsia="cs-CZ"/>
        </w:rPr>
        <w:drawing>
          <wp:inline distT="0" distB="0" distL="0" distR="0" wp14:anchorId="0B3E6410" wp14:editId="739172E8">
            <wp:extent cx="5118100" cy="3746500"/>
            <wp:effectExtent l="0" t="0" r="0" b="0"/>
            <wp:docPr id="31" name="Obrázek 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8C6BCE7" w14:textId="77777777" w:rsidR="007C2FD9" w:rsidRPr="00F85178" w:rsidRDefault="007C2FD9" w:rsidP="007C2FD9">
      <w:pPr>
        <w:pStyle w:val="Nadpis3"/>
        <w:rPr>
          <w:color w:val="auto"/>
        </w:rPr>
      </w:pPr>
      <w:bookmarkStart w:id="223" w:name="_Toc515871234"/>
      <w:bookmarkStart w:id="224" w:name="_Toc14076886"/>
      <w:r w:rsidRPr="00F85178">
        <w:rPr>
          <w:color w:val="auto"/>
        </w:rPr>
        <w:t>Disposition time</w:t>
      </w:r>
      <w:bookmarkEnd w:id="223"/>
      <w:bookmarkEnd w:id="224"/>
    </w:p>
    <w:p w14:paraId="4B49A15D" w14:textId="77777777" w:rsidR="00290333" w:rsidRPr="00F85178" w:rsidRDefault="00290333" w:rsidP="00290333">
      <w:pPr>
        <w:pStyle w:val="OdstavecASR"/>
        <w:spacing w:before="0" w:after="0"/>
      </w:pPr>
      <w:r w:rsidRPr="00F85178">
        <w:t>Základní popis způsobu výpočtu a účelu tohoto ukazatele se nachází v části věnované civilnímu řízení u OS (</w:t>
      </w:r>
      <w:proofErr w:type="gramStart"/>
      <w:r w:rsidRPr="00F85178">
        <w:t>podkapitola </w:t>
      </w:r>
      <w:r w:rsidRPr="00F85178">
        <w:fldChar w:fldCharType="begin"/>
      </w:r>
      <w:r w:rsidRPr="00F85178">
        <w:instrText xml:space="preserve"> REF _Ref510592105 \r \h  \* MERGEFORMAT </w:instrText>
      </w:r>
      <w:r w:rsidRPr="00F85178">
        <w:fldChar w:fldCharType="separate"/>
      </w:r>
      <w:r w:rsidR="00306940">
        <w:t>2.2.4</w:t>
      </w:r>
      <w:proofErr w:type="gramEnd"/>
      <w:r w:rsidRPr="00F85178">
        <w:fldChar w:fldCharType="end"/>
      </w:r>
      <w:r w:rsidRPr="00F85178">
        <w:t>). Výsledky DT velmi silně korespondují s výsledky z předchozích podkapitol.</w:t>
      </w:r>
    </w:p>
    <w:p w14:paraId="62C05682" w14:textId="77777777" w:rsidR="00E50877" w:rsidRPr="00F85178" w:rsidRDefault="00E50877" w:rsidP="00E50877">
      <w:pPr>
        <w:pStyle w:val="Podtitul"/>
        <w:rPr>
          <w:color w:val="auto"/>
        </w:rPr>
      </w:pPr>
      <w:bookmarkStart w:id="225" w:name="_Toc515871358"/>
      <w:bookmarkStart w:id="226" w:name="_Toc11135092"/>
      <w:bookmarkStart w:id="227" w:name="_Toc1383752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31</w:t>
      </w:r>
      <w:r w:rsidRPr="00F85178">
        <w:rPr>
          <w:noProof/>
          <w:color w:val="auto"/>
        </w:rPr>
        <w:fldChar w:fldCharType="end"/>
      </w:r>
      <w:r w:rsidRPr="00F85178">
        <w:rPr>
          <w:color w:val="auto"/>
        </w:rPr>
        <w:t>: OS – disposition time trestního řízení v letech 2008–201</w:t>
      </w:r>
      <w:bookmarkEnd w:id="225"/>
      <w:r w:rsidRPr="00F85178">
        <w:rPr>
          <w:color w:val="auto"/>
        </w:rPr>
        <w:t>8</w:t>
      </w:r>
      <w:bookmarkEnd w:id="226"/>
      <w:bookmarkEnd w:id="227"/>
    </w:p>
    <w:p w14:paraId="07C39E62" w14:textId="77777777" w:rsidR="00E50877" w:rsidRPr="00F85178" w:rsidRDefault="00890295" w:rsidP="00E50877">
      <w:r>
        <w:rPr>
          <w:noProof/>
          <w:lang w:eastAsia="cs-CZ"/>
        </w:rPr>
        <w:drawing>
          <wp:inline distT="0" distB="0" distL="0" distR="0" wp14:anchorId="2DF217DB" wp14:editId="3B8A03DA">
            <wp:extent cx="5118100" cy="3746500"/>
            <wp:effectExtent l="0" t="0" r="0" b="0"/>
            <wp:docPr id="32" name="Obrázek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4"/>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69FD151" w14:textId="77777777" w:rsidR="00290333" w:rsidRPr="00F85178" w:rsidRDefault="00290333" w:rsidP="00290333">
      <w:pPr>
        <w:pStyle w:val="OdstavecASR"/>
      </w:pPr>
      <w:r w:rsidRPr="00F85178">
        <w:t xml:space="preserve">Zajímavý je určitý pokles DT v roce 2013. Ten je způsoben nárůstem v počtu napadlých (a tedy i vyřízených věcí) v tomto roce. Od roku 2013 je DT velmi stabilní. </w:t>
      </w:r>
      <w:r w:rsidR="00D9718D" w:rsidRPr="00F85178">
        <w:t>Pokračující pokles počtu</w:t>
      </w:r>
      <w:r w:rsidRPr="00F85178">
        <w:t xml:space="preserve"> vyřízených i nevyřízených věcí </w:t>
      </w:r>
      <w:r w:rsidR="00D9718D" w:rsidRPr="00F85178">
        <w:t xml:space="preserve">za celou ČR </w:t>
      </w:r>
      <w:r w:rsidRPr="00F85178">
        <w:t>klesá přibližně stejným tempem, DT tak zůstává téměř neměnný. Pokles v počtu nevyřízených věcí lze rozhodně považovat za pozitivní jev. Pokles v počtu vyřízených věcí sám o sobě pozitivním jevem není, ale vyplývá z poklesu v nápadu, který příznivý je.</w:t>
      </w:r>
    </w:p>
    <w:p w14:paraId="6C2E07B6" w14:textId="77777777" w:rsidR="00544DE6" w:rsidRPr="00F85178" w:rsidRDefault="00544DE6" w:rsidP="00544DE6">
      <w:pPr>
        <w:pStyle w:val="Podtitul"/>
        <w:rPr>
          <w:color w:val="auto"/>
        </w:rPr>
      </w:pPr>
      <w:bookmarkStart w:id="228" w:name="_Toc515871455"/>
      <w:bookmarkStart w:id="229" w:name="_Toc11133223"/>
      <w:bookmarkStart w:id="230" w:name="_Toc1383744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21</w:t>
      </w:r>
      <w:r w:rsidRPr="00F85178">
        <w:rPr>
          <w:noProof/>
          <w:color w:val="auto"/>
        </w:rPr>
        <w:fldChar w:fldCharType="end"/>
      </w:r>
      <w:r w:rsidRPr="00F85178">
        <w:rPr>
          <w:color w:val="auto"/>
        </w:rPr>
        <w:t>: OS – disposition time trestního řízení dle krajů</w:t>
      </w:r>
      <w:bookmarkEnd w:id="228"/>
      <w:bookmarkEnd w:id="229"/>
      <w:bookmarkEnd w:id="230"/>
    </w:p>
    <w:tbl>
      <w:tblPr>
        <w:tblW w:w="5960" w:type="dxa"/>
        <w:tblInd w:w="70" w:type="dxa"/>
        <w:tblCellMar>
          <w:left w:w="70" w:type="dxa"/>
          <w:right w:w="70" w:type="dxa"/>
        </w:tblCellMar>
        <w:tblLook w:val="04A0" w:firstRow="1" w:lastRow="0" w:firstColumn="1" w:lastColumn="0" w:noHBand="0" w:noVBand="1"/>
      </w:tblPr>
      <w:tblGrid>
        <w:gridCol w:w="2780"/>
        <w:gridCol w:w="1356"/>
        <w:gridCol w:w="1824"/>
      </w:tblGrid>
      <w:tr w:rsidR="00F85178" w:rsidRPr="00F85178" w14:paraId="284DEE7D" w14:textId="77777777" w:rsidTr="006D703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CEAB18D" w14:textId="77777777" w:rsidR="006D7033" w:rsidRPr="00F85178" w:rsidRDefault="006D7033" w:rsidP="006D7033">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12AA3F60" w14:textId="77777777" w:rsidR="006D7033" w:rsidRPr="00F85178" w:rsidRDefault="006D7033" w:rsidP="006D7033">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6E761AAB" w14:textId="77777777" w:rsidTr="006D7033">
        <w:trPr>
          <w:trHeight w:val="330"/>
        </w:trPr>
        <w:tc>
          <w:tcPr>
            <w:tcW w:w="2780" w:type="dxa"/>
            <w:tcBorders>
              <w:top w:val="nil"/>
              <w:left w:val="nil"/>
              <w:bottom w:val="single" w:sz="4" w:space="0" w:color="auto"/>
              <w:right w:val="nil"/>
            </w:tcBorders>
            <w:shd w:val="clear" w:color="auto" w:fill="auto"/>
            <w:noWrap/>
            <w:vAlign w:val="bottom"/>
            <w:hideMark/>
          </w:tcPr>
          <w:p w14:paraId="50C2F61E"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MS Praha</w:t>
            </w:r>
          </w:p>
        </w:tc>
        <w:tc>
          <w:tcPr>
            <w:tcW w:w="1356" w:type="dxa"/>
            <w:tcBorders>
              <w:top w:val="nil"/>
              <w:left w:val="nil"/>
              <w:bottom w:val="single" w:sz="4" w:space="0" w:color="auto"/>
              <w:right w:val="nil"/>
            </w:tcBorders>
            <w:shd w:val="clear" w:color="auto" w:fill="auto"/>
            <w:noWrap/>
            <w:vAlign w:val="bottom"/>
            <w:hideMark/>
          </w:tcPr>
          <w:p w14:paraId="6268CC64"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49</w:t>
            </w:r>
          </w:p>
        </w:tc>
        <w:tc>
          <w:tcPr>
            <w:tcW w:w="1824" w:type="dxa"/>
            <w:tcBorders>
              <w:top w:val="nil"/>
              <w:left w:val="nil"/>
              <w:bottom w:val="single" w:sz="4" w:space="0" w:color="auto"/>
              <w:right w:val="nil"/>
            </w:tcBorders>
            <w:shd w:val="clear" w:color="auto" w:fill="auto"/>
            <w:noWrap/>
            <w:vAlign w:val="center"/>
            <w:hideMark/>
          </w:tcPr>
          <w:p w14:paraId="6975FCF4" w14:textId="0C5F8CFD"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496AC73C"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3E9FFE4"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Praha</w:t>
            </w:r>
          </w:p>
        </w:tc>
        <w:tc>
          <w:tcPr>
            <w:tcW w:w="1356" w:type="dxa"/>
            <w:tcBorders>
              <w:top w:val="nil"/>
              <w:left w:val="nil"/>
              <w:bottom w:val="single" w:sz="4" w:space="0" w:color="auto"/>
              <w:right w:val="nil"/>
            </w:tcBorders>
            <w:shd w:val="clear" w:color="auto" w:fill="auto"/>
            <w:noWrap/>
            <w:vAlign w:val="bottom"/>
            <w:hideMark/>
          </w:tcPr>
          <w:p w14:paraId="030AABB8"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26</w:t>
            </w:r>
          </w:p>
        </w:tc>
        <w:tc>
          <w:tcPr>
            <w:tcW w:w="1824" w:type="dxa"/>
            <w:tcBorders>
              <w:top w:val="nil"/>
              <w:left w:val="nil"/>
              <w:bottom w:val="single" w:sz="4" w:space="0" w:color="auto"/>
              <w:right w:val="nil"/>
            </w:tcBorders>
            <w:shd w:val="clear" w:color="auto" w:fill="auto"/>
            <w:noWrap/>
            <w:vAlign w:val="center"/>
            <w:hideMark/>
          </w:tcPr>
          <w:p w14:paraId="4B6A55CF" w14:textId="48B085D3"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6AD40E88"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206A1BE5"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Č. Budějovice</w:t>
            </w:r>
          </w:p>
        </w:tc>
        <w:tc>
          <w:tcPr>
            <w:tcW w:w="1356" w:type="dxa"/>
            <w:tcBorders>
              <w:top w:val="nil"/>
              <w:left w:val="nil"/>
              <w:bottom w:val="single" w:sz="4" w:space="0" w:color="auto"/>
              <w:right w:val="nil"/>
            </w:tcBorders>
            <w:shd w:val="clear" w:color="auto" w:fill="auto"/>
            <w:noWrap/>
            <w:vAlign w:val="bottom"/>
            <w:hideMark/>
          </w:tcPr>
          <w:p w14:paraId="21BCE487"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53</w:t>
            </w:r>
          </w:p>
        </w:tc>
        <w:tc>
          <w:tcPr>
            <w:tcW w:w="1824" w:type="dxa"/>
            <w:tcBorders>
              <w:top w:val="nil"/>
              <w:left w:val="nil"/>
              <w:bottom w:val="single" w:sz="4" w:space="0" w:color="auto"/>
              <w:right w:val="nil"/>
            </w:tcBorders>
            <w:shd w:val="clear" w:color="auto" w:fill="auto"/>
            <w:noWrap/>
            <w:vAlign w:val="center"/>
            <w:hideMark/>
          </w:tcPr>
          <w:p w14:paraId="6697DBB1" w14:textId="370AC72B"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3A98F097"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643E7390"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Plzeň</w:t>
            </w:r>
          </w:p>
        </w:tc>
        <w:tc>
          <w:tcPr>
            <w:tcW w:w="1356" w:type="dxa"/>
            <w:tcBorders>
              <w:top w:val="nil"/>
              <w:left w:val="nil"/>
              <w:bottom w:val="single" w:sz="4" w:space="0" w:color="auto"/>
              <w:right w:val="nil"/>
            </w:tcBorders>
            <w:shd w:val="clear" w:color="auto" w:fill="auto"/>
            <w:noWrap/>
            <w:vAlign w:val="bottom"/>
            <w:hideMark/>
          </w:tcPr>
          <w:p w14:paraId="4AE43467"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71</w:t>
            </w:r>
          </w:p>
        </w:tc>
        <w:tc>
          <w:tcPr>
            <w:tcW w:w="1824" w:type="dxa"/>
            <w:tcBorders>
              <w:top w:val="nil"/>
              <w:left w:val="nil"/>
              <w:bottom w:val="single" w:sz="4" w:space="0" w:color="auto"/>
              <w:right w:val="nil"/>
            </w:tcBorders>
            <w:shd w:val="clear" w:color="auto" w:fill="auto"/>
            <w:noWrap/>
            <w:vAlign w:val="center"/>
            <w:hideMark/>
          </w:tcPr>
          <w:p w14:paraId="2FBB2C22" w14:textId="33879C75"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49BF6782"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18529B56"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Ústí n. Labem</w:t>
            </w:r>
          </w:p>
        </w:tc>
        <w:tc>
          <w:tcPr>
            <w:tcW w:w="1356" w:type="dxa"/>
            <w:tcBorders>
              <w:top w:val="nil"/>
              <w:left w:val="nil"/>
              <w:bottom w:val="single" w:sz="4" w:space="0" w:color="auto"/>
              <w:right w:val="nil"/>
            </w:tcBorders>
            <w:shd w:val="clear" w:color="auto" w:fill="auto"/>
            <w:noWrap/>
            <w:vAlign w:val="bottom"/>
            <w:hideMark/>
          </w:tcPr>
          <w:p w14:paraId="341DFAD9"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104</w:t>
            </w:r>
          </w:p>
        </w:tc>
        <w:tc>
          <w:tcPr>
            <w:tcW w:w="1824" w:type="dxa"/>
            <w:tcBorders>
              <w:top w:val="nil"/>
              <w:left w:val="nil"/>
              <w:bottom w:val="single" w:sz="4" w:space="0" w:color="auto"/>
              <w:right w:val="nil"/>
            </w:tcBorders>
            <w:shd w:val="clear" w:color="auto" w:fill="auto"/>
            <w:noWrap/>
            <w:vAlign w:val="center"/>
            <w:hideMark/>
          </w:tcPr>
          <w:p w14:paraId="7D2D310B" w14:textId="7489F431"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1E23F2FA"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EF2D173"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Hr. Králové</w:t>
            </w:r>
          </w:p>
        </w:tc>
        <w:tc>
          <w:tcPr>
            <w:tcW w:w="1356" w:type="dxa"/>
            <w:tcBorders>
              <w:top w:val="nil"/>
              <w:left w:val="nil"/>
              <w:bottom w:val="single" w:sz="4" w:space="0" w:color="auto"/>
              <w:right w:val="nil"/>
            </w:tcBorders>
            <w:shd w:val="clear" w:color="auto" w:fill="auto"/>
            <w:noWrap/>
            <w:vAlign w:val="bottom"/>
            <w:hideMark/>
          </w:tcPr>
          <w:p w14:paraId="5459FFD8"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38</w:t>
            </w:r>
          </w:p>
        </w:tc>
        <w:tc>
          <w:tcPr>
            <w:tcW w:w="1824" w:type="dxa"/>
            <w:tcBorders>
              <w:top w:val="nil"/>
              <w:left w:val="nil"/>
              <w:bottom w:val="single" w:sz="4" w:space="0" w:color="auto"/>
              <w:right w:val="nil"/>
            </w:tcBorders>
            <w:shd w:val="clear" w:color="auto" w:fill="auto"/>
            <w:noWrap/>
            <w:vAlign w:val="center"/>
            <w:hideMark/>
          </w:tcPr>
          <w:p w14:paraId="1BB8DDDC" w14:textId="6B69E4C6"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04D3E3F7"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642D212F"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Brno</w:t>
            </w:r>
          </w:p>
        </w:tc>
        <w:tc>
          <w:tcPr>
            <w:tcW w:w="1356" w:type="dxa"/>
            <w:tcBorders>
              <w:top w:val="nil"/>
              <w:left w:val="nil"/>
              <w:bottom w:val="single" w:sz="4" w:space="0" w:color="auto"/>
              <w:right w:val="nil"/>
            </w:tcBorders>
            <w:shd w:val="clear" w:color="auto" w:fill="auto"/>
            <w:noWrap/>
            <w:vAlign w:val="bottom"/>
            <w:hideMark/>
          </w:tcPr>
          <w:p w14:paraId="325EE30A"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59</w:t>
            </w:r>
          </w:p>
        </w:tc>
        <w:tc>
          <w:tcPr>
            <w:tcW w:w="1824" w:type="dxa"/>
            <w:tcBorders>
              <w:top w:val="nil"/>
              <w:left w:val="nil"/>
              <w:bottom w:val="single" w:sz="4" w:space="0" w:color="auto"/>
              <w:right w:val="nil"/>
            </w:tcBorders>
            <w:shd w:val="clear" w:color="auto" w:fill="auto"/>
            <w:noWrap/>
            <w:vAlign w:val="center"/>
            <w:hideMark/>
          </w:tcPr>
          <w:p w14:paraId="7D38BDBD" w14:textId="587A6C33"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3B6E7A7D" w14:textId="77777777" w:rsidTr="006D7033">
        <w:trPr>
          <w:trHeight w:val="330"/>
        </w:trPr>
        <w:tc>
          <w:tcPr>
            <w:tcW w:w="2780" w:type="dxa"/>
            <w:tcBorders>
              <w:top w:val="nil"/>
              <w:left w:val="nil"/>
              <w:bottom w:val="double" w:sz="6" w:space="0" w:color="auto"/>
              <w:right w:val="nil"/>
            </w:tcBorders>
            <w:shd w:val="clear" w:color="auto" w:fill="auto"/>
            <w:noWrap/>
            <w:vAlign w:val="bottom"/>
            <w:hideMark/>
          </w:tcPr>
          <w:p w14:paraId="4FDD2836"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Ostrava</w:t>
            </w:r>
          </w:p>
        </w:tc>
        <w:tc>
          <w:tcPr>
            <w:tcW w:w="1356" w:type="dxa"/>
            <w:tcBorders>
              <w:top w:val="nil"/>
              <w:left w:val="nil"/>
              <w:bottom w:val="double" w:sz="6" w:space="0" w:color="auto"/>
              <w:right w:val="nil"/>
            </w:tcBorders>
            <w:shd w:val="clear" w:color="auto" w:fill="auto"/>
            <w:noWrap/>
            <w:vAlign w:val="bottom"/>
            <w:hideMark/>
          </w:tcPr>
          <w:p w14:paraId="725C8345" w14:textId="77777777" w:rsidR="006D7033" w:rsidRPr="00F85178" w:rsidRDefault="006D7033" w:rsidP="006D7033">
            <w:pPr>
              <w:spacing w:line="240" w:lineRule="auto"/>
              <w:jc w:val="center"/>
              <w:rPr>
                <w:rFonts w:eastAsia="Times New Roman"/>
                <w:szCs w:val="24"/>
                <w:lang w:eastAsia="cs-CZ"/>
              </w:rPr>
            </w:pPr>
            <w:r w:rsidRPr="00F85178">
              <w:rPr>
                <w:rFonts w:eastAsia="Times New Roman"/>
                <w:szCs w:val="24"/>
                <w:lang w:eastAsia="cs-CZ"/>
              </w:rPr>
              <w:t>71</w:t>
            </w:r>
          </w:p>
        </w:tc>
        <w:tc>
          <w:tcPr>
            <w:tcW w:w="1824" w:type="dxa"/>
            <w:tcBorders>
              <w:top w:val="nil"/>
              <w:left w:val="nil"/>
              <w:bottom w:val="double" w:sz="6" w:space="0" w:color="auto"/>
              <w:right w:val="nil"/>
            </w:tcBorders>
            <w:shd w:val="clear" w:color="auto" w:fill="auto"/>
            <w:noWrap/>
            <w:vAlign w:val="center"/>
            <w:hideMark/>
          </w:tcPr>
          <w:p w14:paraId="6224DE3B" w14:textId="6B95CC7F" w:rsidR="006D7033" w:rsidRPr="00F85178" w:rsidRDefault="006D7033" w:rsidP="006D7033">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6D7033" w:rsidRPr="00F85178" w14:paraId="51922046" w14:textId="77777777" w:rsidTr="006D7033">
        <w:trPr>
          <w:trHeight w:val="345"/>
        </w:trPr>
        <w:tc>
          <w:tcPr>
            <w:tcW w:w="2780" w:type="dxa"/>
            <w:tcBorders>
              <w:top w:val="nil"/>
              <w:left w:val="nil"/>
              <w:bottom w:val="double" w:sz="6" w:space="0" w:color="auto"/>
              <w:right w:val="nil"/>
            </w:tcBorders>
            <w:shd w:val="clear" w:color="auto" w:fill="auto"/>
            <w:noWrap/>
            <w:vAlign w:val="bottom"/>
            <w:hideMark/>
          </w:tcPr>
          <w:p w14:paraId="185DED52" w14:textId="77777777" w:rsidR="006D7033" w:rsidRPr="00F85178" w:rsidRDefault="006D7033" w:rsidP="006D703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356" w:type="dxa"/>
            <w:tcBorders>
              <w:top w:val="nil"/>
              <w:left w:val="nil"/>
              <w:bottom w:val="double" w:sz="6" w:space="0" w:color="auto"/>
              <w:right w:val="nil"/>
            </w:tcBorders>
            <w:shd w:val="clear" w:color="auto" w:fill="auto"/>
            <w:noWrap/>
            <w:vAlign w:val="bottom"/>
            <w:hideMark/>
          </w:tcPr>
          <w:p w14:paraId="66662972" w14:textId="77777777" w:rsidR="006D7033" w:rsidRPr="00F85178" w:rsidRDefault="006D7033" w:rsidP="006D7033">
            <w:pPr>
              <w:spacing w:line="240" w:lineRule="auto"/>
              <w:jc w:val="center"/>
              <w:rPr>
                <w:rFonts w:eastAsia="Times New Roman"/>
                <w:b/>
                <w:bCs/>
                <w:szCs w:val="24"/>
                <w:lang w:eastAsia="cs-CZ"/>
              </w:rPr>
            </w:pPr>
            <w:r w:rsidRPr="00F85178">
              <w:rPr>
                <w:rFonts w:eastAsia="Times New Roman"/>
                <w:b/>
                <w:bCs/>
                <w:szCs w:val="24"/>
                <w:lang w:eastAsia="cs-CZ"/>
              </w:rPr>
              <w:t>63</w:t>
            </w:r>
          </w:p>
        </w:tc>
        <w:tc>
          <w:tcPr>
            <w:tcW w:w="1824" w:type="dxa"/>
            <w:tcBorders>
              <w:top w:val="nil"/>
              <w:left w:val="nil"/>
              <w:bottom w:val="double" w:sz="6" w:space="0" w:color="auto"/>
              <w:right w:val="nil"/>
            </w:tcBorders>
            <w:shd w:val="clear" w:color="auto" w:fill="auto"/>
            <w:noWrap/>
            <w:vAlign w:val="center"/>
            <w:hideMark/>
          </w:tcPr>
          <w:p w14:paraId="7850DF44" w14:textId="6CD31A85" w:rsidR="006D7033" w:rsidRPr="00F85178" w:rsidRDefault="006D7033" w:rsidP="006D7033">
            <w:pPr>
              <w:spacing w:line="240" w:lineRule="auto"/>
              <w:jc w:val="center"/>
              <w:rPr>
                <w:rFonts w:eastAsia="Times New Roman"/>
                <w:b/>
                <w:bCs/>
                <w:sz w:val="20"/>
                <w:szCs w:val="20"/>
                <w:lang w:eastAsia="cs-CZ"/>
              </w:rPr>
            </w:pPr>
            <w:r w:rsidRPr="00F85178">
              <w:rPr>
                <w:rFonts w:eastAsia="Times New Roman"/>
                <w:b/>
                <w:bCs/>
                <w:sz w:val="20"/>
                <w:szCs w:val="20"/>
                <w:lang w:eastAsia="cs-CZ"/>
              </w:rPr>
              <w:t>+0 %</w:t>
            </w:r>
          </w:p>
        </w:tc>
      </w:tr>
    </w:tbl>
    <w:p w14:paraId="6DECFEE9" w14:textId="77777777" w:rsidR="006D7033" w:rsidRPr="00F85178" w:rsidRDefault="006D7033" w:rsidP="00E50877"/>
    <w:p w14:paraId="37FC168C" w14:textId="77777777" w:rsidR="0012301D" w:rsidRPr="00F85178" w:rsidRDefault="00290333" w:rsidP="00290333">
      <w:pPr>
        <w:pStyle w:val="OdstavecASR"/>
      </w:pPr>
      <w:r w:rsidRPr="00F85178">
        <w:t>Celorepublikový DT zůstává neměnný, v jednotlivých krajích ale k určitým změnám došlo</w:t>
      </w:r>
      <w:r w:rsidR="00527816" w:rsidRPr="00F85178">
        <w:t>.</w:t>
      </w:r>
      <w:r w:rsidR="00DF5394" w:rsidRPr="00F85178">
        <w:t xml:space="preserve"> </w:t>
      </w:r>
      <w:r w:rsidR="00527816" w:rsidRPr="00F85178">
        <w:t>V</w:t>
      </w:r>
      <w:r w:rsidR="00DF5394" w:rsidRPr="00F85178">
        <w:t xml:space="preserve"> roce 2018 u poloviny soudních krajů </w:t>
      </w:r>
      <w:r w:rsidR="00527816" w:rsidRPr="00F85178">
        <w:t xml:space="preserve">DT klesl </w:t>
      </w:r>
      <w:r w:rsidR="00DF5394" w:rsidRPr="00F85178">
        <w:t xml:space="preserve">a u poloviny </w:t>
      </w:r>
      <w:r w:rsidR="00527816" w:rsidRPr="00F85178">
        <w:t xml:space="preserve">DT narostl </w:t>
      </w:r>
      <w:r w:rsidR="00800DD0" w:rsidRPr="00F85178">
        <w:t>oproti</w:t>
      </w:r>
      <w:r w:rsidR="00DF5394" w:rsidRPr="00F85178">
        <w:t xml:space="preserve"> 2017</w:t>
      </w:r>
      <w:r w:rsidRPr="00F85178">
        <w:t xml:space="preserve">. Jedná se především o nejpomalejší Severočeský kraj. V roce 2016 byl v tomto kraji DT 130, </w:t>
      </w:r>
      <w:r w:rsidR="00E31192" w:rsidRPr="00F85178">
        <w:t>v roce 2017 byl DT 108</w:t>
      </w:r>
      <w:r w:rsidR="006D7033" w:rsidRPr="00F85178">
        <w:t>.</w:t>
      </w:r>
      <w:r w:rsidR="00E31192" w:rsidRPr="00F85178">
        <w:t xml:space="preserve"> </w:t>
      </w:r>
      <w:r w:rsidR="006D7033" w:rsidRPr="00F85178">
        <w:t>D</w:t>
      </w:r>
      <w:r w:rsidRPr="00F85178">
        <w:t>ošlo tedy k</w:t>
      </w:r>
      <w:r w:rsidR="00E31192" w:rsidRPr="00F85178">
        <w:t>e zvolnění tempa</w:t>
      </w:r>
      <w:r w:rsidRPr="00F85178">
        <w:t xml:space="preserve"> poklesu </w:t>
      </w:r>
      <w:r w:rsidR="00E31192" w:rsidRPr="00F85178">
        <w:t>z</w:t>
      </w:r>
      <w:r w:rsidR="00527816" w:rsidRPr="00F85178">
        <w:t>e</w:t>
      </w:r>
      <w:r w:rsidR="00E31192" w:rsidRPr="00F85178">
        <w:t xml:space="preserve"> 17</w:t>
      </w:r>
      <w:r w:rsidR="009157F9" w:rsidRPr="00F85178">
        <w:t xml:space="preserve"> </w:t>
      </w:r>
      <w:r w:rsidR="00E31192" w:rsidRPr="00F85178">
        <w:t>% v roce 2017 na 3,7</w:t>
      </w:r>
      <w:r w:rsidR="009157F9" w:rsidRPr="00F85178">
        <w:t xml:space="preserve"> </w:t>
      </w:r>
      <w:r w:rsidR="00E31192" w:rsidRPr="00F85178">
        <w:t>% v roce 2018.</w:t>
      </w:r>
    </w:p>
    <w:p w14:paraId="5CF9D3E5" w14:textId="77777777" w:rsidR="00544DE6" w:rsidRPr="00F85178" w:rsidRDefault="0012301D" w:rsidP="00290333">
      <w:pPr>
        <w:pStyle w:val="OdstavecASR"/>
      </w:pPr>
      <w:r w:rsidRPr="00F85178">
        <w:t>Za pozornost stojí také výrazný pokles DT u OS spadajících pod KS Hradec Králové o 11,6</w:t>
      </w:r>
      <w:r w:rsidR="009157F9" w:rsidRPr="00F85178">
        <w:t xml:space="preserve"> </w:t>
      </w:r>
      <w:r w:rsidRPr="00F85178">
        <w:t>% v roce 2018</w:t>
      </w:r>
      <w:r w:rsidR="006D7033" w:rsidRPr="00F85178">
        <w:t xml:space="preserve"> oproti roku</w:t>
      </w:r>
      <w:r w:rsidR="00527816" w:rsidRPr="00F85178">
        <w:t xml:space="preserve"> </w:t>
      </w:r>
      <w:r w:rsidRPr="00F85178">
        <w:t>2017 (v roce 2017 došlo naopak k nárůstu o 7,5</w:t>
      </w:r>
      <w:r w:rsidR="009157F9" w:rsidRPr="00F85178">
        <w:t xml:space="preserve"> </w:t>
      </w:r>
      <w:r w:rsidRPr="00F85178">
        <w:t>%</w:t>
      </w:r>
      <w:r w:rsidR="000E4B31" w:rsidRPr="00F85178">
        <w:t xml:space="preserve"> oproti roku 2016</w:t>
      </w:r>
      <w:r w:rsidRPr="00F85178">
        <w:t>)</w:t>
      </w:r>
      <w:r w:rsidR="00290333" w:rsidRPr="00F85178">
        <w:t>.</w:t>
      </w:r>
      <w:r w:rsidR="00DF5394" w:rsidRPr="00F85178">
        <w:t xml:space="preserve"> Je to dáno vyřízením v podstatě stejného počtu věcí jako v roce 2017 při výrazném snížení věcí nevyřízených (viz tabulka 19).</w:t>
      </w:r>
    </w:p>
    <w:p w14:paraId="7742ECA0" w14:textId="77777777" w:rsidR="007C2FD9" w:rsidRPr="00F85178" w:rsidRDefault="007C2FD9" w:rsidP="00770E8A"/>
    <w:p w14:paraId="5D7CC0AA" w14:textId="77777777" w:rsidR="00396227" w:rsidRPr="00F85178" w:rsidRDefault="00CD0368" w:rsidP="00CD0368">
      <w:pPr>
        <w:pStyle w:val="Podtitul"/>
        <w:rPr>
          <w:color w:val="auto"/>
        </w:rPr>
      </w:pPr>
      <w:bookmarkStart w:id="231" w:name="_Toc515871359"/>
      <w:bookmarkStart w:id="232" w:name="_Toc11135093"/>
      <w:bookmarkStart w:id="233" w:name="_Toc1383752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32</w:t>
      </w:r>
      <w:r w:rsidRPr="00F85178">
        <w:rPr>
          <w:noProof/>
          <w:color w:val="auto"/>
        </w:rPr>
        <w:fldChar w:fldCharType="end"/>
      </w:r>
      <w:r w:rsidRPr="00F85178">
        <w:rPr>
          <w:color w:val="auto"/>
        </w:rPr>
        <w:t>: OS – disposition time trestního řízení u jednotlivých soudů</w:t>
      </w:r>
      <w:bookmarkEnd w:id="231"/>
      <w:bookmarkEnd w:id="232"/>
      <w:bookmarkEnd w:id="233"/>
    </w:p>
    <w:p w14:paraId="15F8346B" w14:textId="77777777" w:rsidR="00396227" w:rsidRPr="00F85178" w:rsidRDefault="00890295" w:rsidP="00770E8A">
      <w:r>
        <w:rPr>
          <w:noProof/>
          <w:lang w:eastAsia="cs-CZ"/>
        </w:rPr>
        <w:drawing>
          <wp:anchor distT="0" distB="0" distL="114300" distR="114300" simplePos="0" relativeHeight="251658752" behindDoc="0" locked="0" layoutInCell="1" allowOverlap="1" wp14:anchorId="38C28D20" wp14:editId="067271CB">
            <wp:simplePos x="0" y="0"/>
            <wp:positionH relativeFrom="margin">
              <wp:posOffset>4472940</wp:posOffset>
            </wp:positionH>
            <wp:positionV relativeFrom="paragraph">
              <wp:posOffset>34234</wp:posOffset>
            </wp:positionV>
            <wp:extent cx="1240155" cy="907415"/>
            <wp:effectExtent l="0" t="0" r="0" b="6985"/>
            <wp:wrapNone/>
            <wp:docPr id="112" name="Obrázek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3"/>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1240155"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72CE64B2" wp14:editId="72F9F76C">
            <wp:extent cx="5759450" cy="3329940"/>
            <wp:effectExtent l="0" t="0" r="0" b="0"/>
            <wp:docPr id="33" name="Obrázek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6DFFAD9B" w14:textId="77777777" w:rsidR="00396227" w:rsidRPr="00F85178" w:rsidRDefault="00396227" w:rsidP="00770E8A"/>
    <w:p w14:paraId="04B4111E" w14:textId="77777777" w:rsidR="00290333" w:rsidRPr="00F85178" w:rsidRDefault="00290333" w:rsidP="00290333">
      <w:pPr>
        <w:pStyle w:val="OdstavecASR"/>
      </w:pPr>
      <w:r w:rsidRPr="00F85178">
        <w:t>Data v kartogramu potvrzují závěry z předchozích podkapitol věnovaných délkám řízení a vyřizování věcí. Na krabicových grafech opět registrujeme snižování extrémních hodnot.</w:t>
      </w:r>
    </w:p>
    <w:p w14:paraId="0B015E7B" w14:textId="77777777" w:rsidR="00396227" w:rsidRPr="00F85178" w:rsidRDefault="00396227" w:rsidP="00396227">
      <w:pPr>
        <w:pStyle w:val="Podtitul"/>
        <w:rPr>
          <w:color w:val="auto"/>
        </w:rPr>
      </w:pPr>
      <w:bookmarkStart w:id="234" w:name="_Toc515871360"/>
      <w:bookmarkStart w:id="235" w:name="_Toc11135094"/>
      <w:bookmarkStart w:id="236" w:name="_Toc1383752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33</w:t>
      </w:r>
      <w:r w:rsidRPr="00F85178">
        <w:rPr>
          <w:noProof/>
          <w:color w:val="auto"/>
        </w:rPr>
        <w:fldChar w:fldCharType="end"/>
      </w:r>
      <w:r w:rsidRPr="00F85178">
        <w:rPr>
          <w:color w:val="auto"/>
        </w:rPr>
        <w:t>: OS – krabicové grafy, DT trestního řízení</w:t>
      </w:r>
      <w:bookmarkEnd w:id="234"/>
      <w:bookmarkEnd w:id="235"/>
      <w:bookmarkEnd w:id="236"/>
    </w:p>
    <w:p w14:paraId="4E923919" w14:textId="77777777" w:rsidR="00CD0368" w:rsidRPr="00F85178" w:rsidRDefault="00890295" w:rsidP="00770E8A">
      <w:r>
        <w:rPr>
          <w:noProof/>
          <w:lang w:eastAsia="cs-CZ"/>
        </w:rPr>
        <w:drawing>
          <wp:inline distT="0" distB="0" distL="0" distR="0" wp14:anchorId="7A95E6B0" wp14:editId="63BFE2E6">
            <wp:extent cx="5118100" cy="3746500"/>
            <wp:effectExtent l="0" t="0" r="0" b="0"/>
            <wp:docPr id="34" name="Obrázek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1"/>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AA5588F" w14:textId="77777777" w:rsidR="00290333" w:rsidRPr="00F85178" w:rsidRDefault="00290333" w:rsidP="00290333">
      <w:pPr>
        <w:pStyle w:val="OdstavecASR"/>
      </w:pPr>
      <w:r w:rsidRPr="00F85178">
        <w:t>Závěrem můžeme uvést, že situace v trestní agendě se velmi pomalu vylepšuje, a to díky tomu, že se zlepšuje situace v Severočeském kraji. Snižuje se tedy variabilita mezi soudy. Na rozdíl od civilního řízení na tom však má zásluhu především snižující se nápad a posilování trestních úseků vybraných soudů.</w:t>
      </w:r>
      <w:r w:rsidR="00527816" w:rsidRPr="00F85178">
        <w:t xml:space="preserve"> </w:t>
      </w:r>
      <w:r w:rsidR="007B4495" w:rsidRPr="00F85178">
        <w:t>Pozastavení snižování variability v roce 2018 nelze nyní hodnotit, je třeba vyčkat vývoje v dalších letech.</w:t>
      </w:r>
    </w:p>
    <w:p w14:paraId="1443560C" w14:textId="77777777" w:rsidR="00E3671D" w:rsidRPr="00F85178" w:rsidRDefault="00E3671D" w:rsidP="00E3671D">
      <w:pPr>
        <w:pStyle w:val="Nadpis3"/>
        <w:rPr>
          <w:color w:val="auto"/>
        </w:rPr>
      </w:pPr>
      <w:bookmarkStart w:id="237" w:name="_Toc515871235"/>
      <w:bookmarkStart w:id="238" w:name="_Toc14076887"/>
      <w:r w:rsidRPr="00F85178">
        <w:rPr>
          <w:color w:val="auto"/>
        </w:rPr>
        <w:t>Další statistiky</w:t>
      </w:r>
      <w:bookmarkEnd w:id="237"/>
      <w:bookmarkEnd w:id="238"/>
    </w:p>
    <w:p w14:paraId="7648B3A4" w14:textId="0B512096" w:rsidR="00527816" w:rsidRPr="00F85178" w:rsidRDefault="00FC000D" w:rsidP="00FC000D">
      <w:pPr>
        <w:pStyle w:val="OdstavecASR"/>
      </w:pPr>
      <w:r w:rsidRPr="00F85178">
        <w:t xml:space="preserve">Data pochází ze statistických listů, zkoumáme tedy agendy T a Tm. I zde uvádíme několik příkladů dalších sledovaných statistik, podobně jako u civilního řízení je to míra odvolání a míra změny rozsudku. </w:t>
      </w:r>
      <w:r w:rsidR="00EF0B79">
        <w:t>Připomínáme, že jsme u</w:t>
      </w:r>
      <w:r w:rsidRPr="00F85178">
        <w:t> těchto statistik vyřadili věci vyřízené trestním příkazem, jejichž podíl na celkovém počtu věcí v této podkapitole také zkoumáme. Nakonec se zabýváme podílem počtu odsouzených dle hlav trestního zákoníku a nejčastějšími trestnými činy v jednotlivých hlavách.</w:t>
      </w:r>
    </w:p>
    <w:p w14:paraId="5E209E00" w14:textId="77777777" w:rsidR="00527816" w:rsidRPr="00F85178" w:rsidRDefault="00527816">
      <w:pPr>
        <w:spacing w:line="240" w:lineRule="auto"/>
        <w:jc w:val="left"/>
      </w:pPr>
      <w:r w:rsidRPr="00F85178">
        <w:br w:type="page"/>
      </w:r>
    </w:p>
    <w:p w14:paraId="245A56EB" w14:textId="77777777" w:rsidR="006F4096" w:rsidRPr="00F85178" w:rsidRDefault="006F4096" w:rsidP="006F4096">
      <w:pPr>
        <w:pStyle w:val="Podtitul"/>
        <w:rPr>
          <w:color w:val="auto"/>
        </w:rPr>
      </w:pPr>
      <w:bookmarkStart w:id="239" w:name="_Toc515871456"/>
      <w:bookmarkStart w:id="240" w:name="_Toc11133224"/>
      <w:bookmarkStart w:id="241" w:name="_Toc1383744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22</w:t>
      </w:r>
      <w:r w:rsidRPr="00F85178">
        <w:rPr>
          <w:noProof/>
          <w:color w:val="auto"/>
        </w:rPr>
        <w:fldChar w:fldCharType="end"/>
      </w:r>
      <w:r w:rsidRPr="00F85178">
        <w:rPr>
          <w:color w:val="auto"/>
        </w:rPr>
        <w:t>: OS – míra odvolání dle krajů v trestním řízení</w:t>
      </w:r>
      <w:bookmarkEnd w:id="239"/>
      <w:bookmarkEnd w:id="240"/>
      <w:bookmarkEnd w:id="241"/>
    </w:p>
    <w:tbl>
      <w:tblPr>
        <w:tblW w:w="6300" w:type="dxa"/>
        <w:tblInd w:w="70" w:type="dxa"/>
        <w:tblCellMar>
          <w:left w:w="70" w:type="dxa"/>
          <w:right w:w="70" w:type="dxa"/>
        </w:tblCellMar>
        <w:tblLook w:val="04A0" w:firstRow="1" w:lastRow="0" w:firstColumn="1" w:lastColumn="0" w:noHBand="0" w:noVBand="1"/>
      </w:tblPr>
      <w:tblGrid>
        <w:gridCol w:w="2780"/>
        <w:gridCol w:w="1477"/>
        <w:gridCol w:w="2043"/>
      </w:tblGrid>
      <w:tr w:rsidR="00F85178" w:rsidRPr="00F85178" w14:paraId="37D5F141" w14:textId="77777777" w:rsidTr="006D703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8C544F2" w14:textId="77777777" w:rsidR="006D7033" w:rsidRPr="00F85178" w:rsidRDefault="006D7033" w:rsidP="006D7033">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2F2CE03" w14:textId="77777777" w:rsidR="006D7033" w:rsidRPr="00F85178" w:rsidRDefault="008F7177" w:rsidP="006D7033">
            <w:pPr>
              <w:spacing w:line="240" w:lineRule="auto"/>
              <w:jc w:val="center"/>
              <w:rPr>
                <w:rFonts w:eastAsia="Times New Roman"/>
                <w:b/>
                <w:bCs/>
                <w:szCs w:val="24"/>
                <w:lang w:eastAsia="cs-CZ"/>
              </w:rPr>
            </w:pPr>
            <w:r w:rsidRPr="00F85178">
              <w:rPr>
                <w:rFonts w:eastAsia="Times New Roman"/>
                <w:b/>
                <w:bCs/>
                <w:szCs w:val="24"/>
                <w:lang w:eastAsia="cs-CZ"/>
              </w:rPr>
              <w:t>Míra odvolání</w:t>
            </w:r>
          </w:p>
        </w:tc>
      </w:tr>
      <w:tr w:rsidR="00F85178" w:rsidRPr="00F85178" w14:paraId="16D7CBCB" w14:textId="77777777" w:rsidTr="006D7033">
        <w:trPr>
          <w:trHeight w:val="330"/>
        </w:trPr>
        <w:tc>
          <w:tcPr>
            <w:tcW w:w="2780" w:type="dxa"/>
            <w:tcBorders>
              <w:top w:val="nil"/>
              <w:left w:val="nil"/>
              <w:bottom w:val="single" w:sz="4" w:space="0" w:color="auto"/>
              <w:right w:val="nil"/>
            </w:tcBorders>
            <w:shd w:val="clear" w:color="auto" w:fill="auto"/>
            <w:noWrap/>
            <w:vAlign w:val="bottom"/>
            <w:hideMark/>
          </w:tcPr>
          <w:p w14:paraId="25950BE1"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MS Praha</w:t>
            </w:r>
          </w:p>
        </w:tc>
        <w:tc>
          <w:tcPr>
            <w:tcW w:w="1477" w:type="dxa"/>
            <w:tcBorders>
              <w:top w:val="nil"/>
              <w:left w:val="nil"/>
              <w:bottom w:val="single" w:sz="4" w:space="0" w:color="auto"/>
              <w:right w:val="nil"/>
            </w:tcBorders>
            <w:shd w:val="clear" w:color="auto" w:fill="auto"/>
            <w:noWrap/>
            <w:vAlign w:val="bottom"/>
            <w:hideMark/>
          </w:tcPr>
          <w:p w14:paraId="61F5893C"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30</w:t>
            </w:r>
            <w:r w:rsidR="00527816" w:rsidRPr="00F85178">
              <w:rPr>
                <w:rFonts w:eastAsia="Times New Roman"/>
                <w:szCs w:val="24"/>
                <w:lang w:eastAsia="cs-CZ"/>
              </w:rPr>
              <w:t>,</w:t>
            </w:r>
            <w:r w:rsidRPr="00F85178">
              <w:rPr>
                <w:rFonts w:eastAsia="Times New Roman"/>
                <w:szCs w:val="24"/>
                <w:lang w:eastAsia="cs-CZ"/>
              </w:rPr>
              <w:t>48</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239E9C1D"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+0</w:t>
            </w:r>
            <w:r w:rsidR="00527816" w:rsidRPr="00F85178">
              <w:rPr>
                <w:rFonts w:eastAsia="Times New Roman"/>
                <w:sz w:val="20"/>
                <w:szCs w:val="20"/>
                <w:lang w:eastAsia="cs-CZ"/>
              </w:rPr>
              <w:t>,</w:t>
            </w:r>
            <w:r w:rsidRPr="00F85178">
              <w:rPr>
                <w:rFonts w:eastAsia="Times New Roman"/>
                <w:sz w:val="20"/>
                <w:szCs w:val="20"/>
                <w:lang w:eastAsia="cs-CZ"/>
              </w:rPr>
              <w:t>4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313BB76F"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6FB1FA9E"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Praha</w:t>
            </w:r>
          </w:p>
        </w:tc>
        <w:tc>
          <w:tcPr>
            <w:tcW w:w="1477" w:type="dxa"/>
            <w:tcBorders>
              <w:top w:val="nil"/>
              <w:left w:val="nil"/>
              <w:bottom w:val="single" w:sz="4" w:space="0" w:color="auto"/>
              <w:right w:val="nil"/>
            </w:tcBorders>
            <w:shd w:val="clear" w:color="auto" w:fill="auto"/>
            <w:noWrap/>
            <w:vAlign w:val="bottom"/>
            <w:hideMark/>
          </w:tcPr>
          <w:p w14:paraId="19E8715E"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29</w:t>
            </w:r>
            <w:r w:rsidR="00527816" w:rsidRPr="00F85178">
              <w:rPr>
                <w:rFonts w:eastAsia="Times New Roman"/>
                <w:szCs w:val="24"/>
                <w:lang w:eastAsia="cs-CZ"/>
              </w:rPr>
              <w:t>,</w:t>
            </w:r>
            <w:r w:rsidRPr="00F85178">
              <w:rPr>
                <w:rFonts w:eastAsia="Times New Roman"/>
                <w:szCs w:val="24"/>
                <w:lang w:eastAsia="cs-CZ"/>
              </w:rPr>
              <w:t>36</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0551E145"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-1</w:t>
            </w:r>
            <w:r w:rsidR="00527816" w:rsidRPr="00F85178">
              <w:rPr>
                <w:rFonts w:eastAsia="Times New Roman"/>
                <w:sz w:val="20"/>
                <w:szCs w:val="20"/>
                <w:lang w:eastAsia="cs-CZ"/>
              </w:rPr>
              <w:t>,</w:t>
            </w:r>
            <w:r w:rsidRPr="00F85178">
              <w:rPr>
                <w:rFonts w:eastAsia="Times New Roman"/>
                <w:sz w:val="20"/>
                <w:szCs w:val="20"/>
                <w:lang w:eastAsia="cs-CZ"/>
              </w:rPr>
              <w:t>2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0D3643D9"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5AF8ECF9"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Č. Budějovice</w:t>
            </w:r>
          </w:p>
        </w:tc>
        <w:tc>
          <w:tcPr>
            <w:tcW w:w="1477" w:type="dxa"/>
            <w:tcBorders>
              <w:top w:val="nil"/>
              <w:left w:val="nil"/>
              <w:bottom w:val="single" w:sz="4" w:space="0" w:color="auto"/>
              <w:right w:val="nil"/>
            </w:tcBorders>
            <w:shd w:val="clear" w:color="auto" w:fill="auto"/>
            <w:noWrap/>
            <w:vAlign w:val="bottom"/>
            <w:hideMark/>
          </w:tcPr>
          <w:p w14:paraId="1AA7E985"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21</w:t>
            </w:r>
            <w:r w:rsidR="00527816" w:rsidRPr="00F85178">
              <w:rPr>
                <w:rFonts w:eastAsia="Times New Roman"/>
                <w:szCs w:val="24"/>
                <w:lang w:eastAsia="cs-CZ"/>
              </w:rPr>
              <w:t>,</w:t>
            </w:r>
            <w:r w:rsidRPr="00F85178">
              <w:rPr>
                <w:rFonts w:eastAsia="Times New Roman"/>
                <w:szCs w:val="24"/>
                <w:lang w:eastAsia="cs-CZ"/>
              </w:rPr>
              <w:t>55</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36B65DB9"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+0</w:t>
            </w:r>
            <w:r w:rsidR="00527816" w:rsidRPr="00F85178">
              <w:rPr>
                <w:rFonts w:eastAsia="Times New Roman"/>
                <w:sz w:val="20"/>
                <w:szCs w:val="20"/>
                <w:lang w:eastAsia="cs-CZ"/>
              </w:rPr>
              <w:t>,</w:t>
            </w:r>
            <w:r w:rsidRPr="00F85178">
              <w:rPr>
                <w:rFonts w:eastAsia="Times New Roman"/>
                <w:sz w:val="20"/>
                <w:szCs w:val="20"/>
                <w:lang w:eastAsia="cs-CZ"/>
              </w:rPr>
              <w:t>8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13544C0E"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75D593CD"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Plzeň</w:t>
            </w:r>
          </w:p>
        </w:tc>
        <w:tc>
          <w:tcPr>
            <w:tcW w:w="1477" w:type="dxa"/>
            <w:tcBorders>
              <w:top w:val="nil"/>
              <w:left w:val="nil"/>
              <w:bottom w:val="single" w:sz="4" w:space="0" w:color="auto"/>
              <w:right w:val="nil"/>
            </w:tcBorders>
            <w:shd w:val="clear" w:color="auto" w:fill="auto"/>
            <w:noWrap/>
            <w:vAlign w:val="bottom"/>
            <w:hideMark/>
          </w:tcPr>
          <w:p w14:paraId="1D94139D"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25</w:t>
            </w:r>
            <w:r w:rsidR="00527816" w:rsidRPr="00F85178">
              <w:rPr>
                <w:rFonts w:eastAsia="Times New Roman"/>
                <w:szCs w:val="24"/>
                <w:lang w:eastAsia="cs-CZ"/>
              </w:rPr>
              <w:t>,</w:t>
            </w:r>
            <w:r w:rsidRPr="00F85178">
              <w:rPr>
                <w:rFonts w:eastAsia="Times New Roman"/>
                <w:szCs w:val="24"/>
                <w:lang w:eastAsia="cs-CZ"/>
              </w:rPr>
              <w:t>47</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54C1367D"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-1</w:t>
            </w:r>
            <w:r w:rsidR="00527816" w:rsidRPr="00F85178">
              <w:rPr>
                <w:rFonts w:eastAsia="Times New Roman"/>
                <w:sz w:val="20"/>
                <w:szCs w:val="20"/>
                <w:lang w:eastAsia="cs-CZ"/>
              </w:rPr>
              <w:t>,</w:t>
            </w:r>
            <w:r w:rsidRPr="00F85178">
              <w:rPr>
                <w:rFonts w:eastAsia="Times New Roman"/>
                <w:sz w:val="20"/>
                <w:szCs w:val="20"/>
                <w:lang w:eastAsia="cs-CZ"/>
              </w:rPr>
              <w:t>5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62A75D15"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23F6651E"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Ústí n. Labem</w:t>
            </w:r>
          </w:p>
        </w:tc>
        <w:tc>
          <w:tcPr>
            <w:tcW w:w="1477" w:type="dxa"/>
            <w:tcBorders>
              <w:top w:val="nil"/>
              <w:left w:val="nil"/>
              <w:bottom w:val="single" w:sz="4" w:space="0" w:color="auto"/>
              <w:right w:val="nil"/>
            </w:tcBorders>
            <w:shd w:val="clear" w:color="auto" w:fill="auto"/>
            <w:noWrap/>
            <w:vAlign w:val="bottom"/>
            <w:hideMark/>
          </w:tcPr>
          <w:p w14:paraId="3E91F3EF"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20</w:t>
            </w:r>
            <w:r w:rsidR="00527816" w:rsidRPr="00F85178">
              <w:rPr>
                <w:rFonts w:eastAsia="Times New Roman"/>
                <w:szCs w:val="24"/>
                <w:lang w:eastAsia="cs-CZ"/>
              </w:rPr>
              <w:t>,</w:t>
            </w:r>
            <w:r w:rsidRPr="00F85178">
              <w:rPr>
                <w:rFonts w:eastAsia="Times New Roman"/>
                <w:szCs w:val="24"/>
                <w:lang w:eastAsia="cs-CZ"/>
              </w:rPr>
              <w:t>70</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0047EEF8"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+3</w:t>
            </w:r>
            <w:r w:rsidR="00527816" w:rsidRPr="00F85178">
              <w:rPr>
                <w:rFonts w:eastAsia="Times New Roman"/>
                <w:sz w:val="20"/>
                <w:szCs w:val="20"/>
                <w:lang w:eastAsia="cs-CZ"/>
              </w:rPr>
              <w:t>,</w:t>
            </w:r>
            <w:r w:rsidRPr="00F85178">
              <w:rPr>
                <w:rFonts w:eastAsia="Times New Roman"/>
                <w:sz w:val="20"/>
                <w:szCs w:val="20"/>
                <w:lang w:eastAsia="cs-CZ"/>
              </w:rPr>
              <w:t>1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676989C3"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9AAE94A"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Hr. Králové</w:t>
            </w:r>
          </w:p>
        </w:tc>
        <w:tc>
          <w:tcPr>
            <w:tcW w:w="1477" w:type="dxa"/>
            <w:tcBorders>
              <w:top w:val="nil"/>
              <w:left w:val="nil"/>
              <w:bottom w:val="single" w:sz="4" w:space="0" w:color="auto"/>
              <w:right w:val="nil"/>
            </w:tcBorders>
            <w:shd w:val="clear" w:color="auto" w:fill="auto"/>
            <w:noWrap/>
            <w:vAlign w:val="bottom"/>
            <w:hideMark/>
          </w:tcPr>
          <w:p w14:paraId="3CC48B02"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22</w:t>
            </w:r>
            <w:r w:rsidR="00527816" w:rsidRPr="00F85178">
              <w:rPr>
                <w:rFonts w:eastAsia="Times New Roman"/>
                <w:szCs w:val="24"/>
                <w:lang w:eastAsia="cs-CZ"/>
              </w:rPr>
              <w:t>,</w:t>
            </w:r>
            <w:r w:rsidRPr="00F85178">
              <w:rPr>
                <w:rFonts w:eastAsia="Times New Roman"/>
                <w:szCs w:val="24"/>
                <w:lang w:eastAsia="cs-CZ"/>
              </w:rPr>
              <w:t>84</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5B159E5F"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-3</w:t>
            </w:r>
            <w:r w:rsidR="00527816" w:rsidRPr="00F85178">
              <w:rPr>
                <w:rFonts w:eastAsia="Times New Roman"/>
                <w:sz w:val="20"/>
                <w:szCs w:val="20"/>
                <w:lang w:eastAsia="cs-CZ"/>
              </w:rPr>
              <w:t>,</w:t>
            </w:r>
            <w:r w:rsidRPr="00F85178">
              <w:rPr>
                <w:rFonts w:eastAsia="Times New Roman"/>
                <w:sz w:val="20"/>
                <w:szCs w:val="20"/>
                <w:lang w:eastAsia="cs-CZ"/>
              </w:rPr>
              <w:t>0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4931A139"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56D6E337"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Brno</w:t>
            </w:r>
          </w:p>
        </w:tc>
        <w:tc>
          <w:tcPr>
            <w:tcW w:w="1477" w:type="dxa"/>
            <w:tcBorders>
              <w:top w:val="nil"/>
              <w:left w:val="nil"/>
              <w:bottom w:val="single" w:sz="4" w:space="0" w:color="auto"/>
              <w:right w:val="nil"/>
            </w:tcBorders>
            <w:shd w:val="clear" w:color="auto" w:fill="auto"/>
            <w:noWrap/>
            <w:vAlign w:val="bottom"/>
            <w:hideMark/>
          </w:tcPr>
          <w:p w14:paraId="0CD7ABF8"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25</w:t>
            </w:r>
            <w:r w:rsidR="00527816" w:rsidRPr="00F85178">
              <w:rPr>
                <w:rFonts w:eastAsia="Times New Roman"/>
                <w:szCs w:val="24"/>
                <w:lang w:eastAsia="cs-CZ"/>
              </w:rPr>
              <w:t>,</w:t>
            </w:r>
            <w:r w:rsidRPr="00F85178">
              <w:rPr>
                <w:rFonts w:eastAsia="Times New Roman"/>
                <w:szCs w:val="24"/>
                <w:lang w:eastAsia="cs-CZ"/>
              </w:rPr>
              <w:t>14</w:t>
            </w:r>
            <w:r w:rsidR="008F7177" w:rsidRPr="00F85178">
              <w:rPr>
                <w:rFonts w:eastAsia="Times New Roman"/>
                <w:szCs w:val="24"/>
                <w:lang w:eastAsia="cs-CZ"/>
              </w:rPr>
              <w:t xml:space="preserve"> %</w:t>
            </w:r>
          </w:p>
        </w:tc>
        <w:tc>
          <w:tcPr>
            <w:tcW w:w="2043" w:type="dxa"/>
            <w:tcBorders>
              <w:top w:val="nil"/>
              <w:left w:val="nil"/>
              <w:bottom w:val="single" w:sz="4" w:space="0" w:color="auto"/>
              <w:right w:val="nil"/>
            </w:tcBorders>
            <w:shd w:val="clear" w:color="auto" w:fill="auto"/>
            <w:noWrap/>
            <w:vAlign w:val="center"/>
            <w:hideMark/>
          </w:tcPr>
          <w:p w14:paraId="48ED0DA7"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-0</w:t>
            </w:r>
            <w:r w:rsidR="00527816" w:rsidRPr="00F85178">
              <w:rPr>
                <w:rFonts w:eastAsia="Times New Roman"/>
                <w:sz w:val="20"/>
                <w:szCs w:val="20"/>
                <w:lang w:eastAsia="cs-CZ"/>
              </w:rPr>
              <w:t>,</w:t>
            </w:r>
            <w:r w:rsidRPr="00F85178">
              <w:rPr>
                <w:rFonts w:eastAsia="Times New Roman"/>
                <w:sz w:val="20"/>
                <w:szCs w:val="20"/>
                <w:lang w:eastAsia="cs-CZ"/>
              </w:rPr>
              <w:t>1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228C96D7" w14:textId="77777777" w:rsidTr="006D7033">
        <w:trPr>
          <w:trHeight w:val="330"/>
        </w:trPr>
        <w:tc>
          <w:tcPr>
            <w:tcW w:w="2780" w:type="dxa"/>
            <w:tcBorders>
              <w:top w:val="nil"/>
              <w:left w:val="nil"/>
              <w:bottom w:val="double" w:sz="6" w:space="0" w:color="auto"/>
              <w:right w:val="nil"/>
            </w:tcBorders>
            <w:shd w:val="clear" w:color="auto" w:fill="auto"/>
            <w:noWrap/>
            <w:vAlign w:val="bottom"/>
            <w:hideMark/>
          </w:tcPr>
          <w:p w14:paraId="1002F495"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Ostrava</w:t>
            </w:r>
          </w:p>
        </w:tc>
        <w:tc>
          <w:tcPr>
            <w:tcW w:w="1477" w:type="dxa"/>
            <w:tcBorders>
              <w:top w:val="nil"/>
              <w:left w:val="nil"/>
              <w:bottom w:val="double" w:sz="6" w:space="0" w:color="auto"/>
              <w:right w:val="nil"/>
            </w:tcBorders>
            <w:shd w:val="clear" w:color="auto" w:fill="auto"/>
            <w:noWrap/>
            <w:vAlign w:val="bottom"/>
            <w:hideMark/>
          </w:tcPr>
          <w:p w14:paraId="5C6DA8AE" w14:textId="77777777" w:rsidR="006D7033" w:rsidRPr="00F85178" w:rsidRDefault="006D7033" w:rsidP="00527816">
            <w:pPr>
              <w:spacing w:line="240" w:lineRule="auto"/>
              <w:jc w:val="center"/>
              <w:rPr>
                <w:rFonts w:eastAsia="Times New Roman"/>
                <w:szCs w:val="24"/>
                <w:lang w:eastAsia="cs-CZ"/>
              </w:rPr>
            </w:pPr>
            <w:r w:rsidRPr="00F85178">
              <w:rPr>
                <w:rFonts w:eastAsia="Times New Roman"/>
                <w:szCs w:val="24"/>
                <w:lang w:eastAsia="cs-CZ"/>
              </w:rPr>
              <w:t>25</w:t>
            </w:r>
            <w:r w:rsidR="00527816" w:rsidRPr="00F85178">
              <w:rPr>
                <w:rFonts w:eastAsia="Times New Roman"/>
                <w:szCs w:val="24"/>
                <w:lang w:eastAsia="cs-CZ"/>
              </w:rPr>
              <w:t>,</w:t>
            </w:r>
            <w:r w:rsidRPr="00F85178">
              <w:rPr>
                <w:rFonts w:eastAsia="Times New Roman"/>
                <w:szCs w:val="24"/>
                <w:lang w:eastAsia="cs-CZ"/>
              </w:rPr>
              <w:t>64</w:t>
            </w:r>
            <w:r w:rsidR="008F7177" w:rsidRPr="00F85178">
              <w:rPr>
                <w:rFonts w:eastAsia="Times New Roman"/>
                <w:szCs w:val="24"/>
                <w:lang w:eastAsia="cs-CZ"/>
              </w:rPr>
              <w:t xml:space="preserve"> %</w:t>
            </w:r>
          </w:p>
        </w:tc>
        <w:tc>
          <w:tcPr>
            <w:tcW w:w="2043" w:type="dxa"/>
            <w:tcBorders>
              <w:top w:val="nil"/>
              <w:left w:val="nil"/>
              <w:bottom w:val="double" w:sz="6" w:space="0" w:color="auto"/>
              <w:right w:val="nil"/>
            </w:tcBorders>
            <w:shd w:val="clear" w:color="auto" w:fill="auto"/>
            <w:noWrap/>
            <w:vAlign w:val="center"/>
            <w:hideMark/>
          </w:tcPr>
          <w:p w14:paraId="75ED1005" w14:textId="77777777" w:rsidR="006D7033" w:rsidRPr="00F85178" w:rsidRDefault="006D7033" w:rsidP="00527816">
            <w:pPr>
              <w:spacing w:line="240" w:lineRule="auto"/>
              <w:jc w:val="center"/>
              <w:rPr>
                <w:rFonts w:eastAsia="Times New Roman"/>
                <w:sz w:val="20"/>
                <w:szCs w:val="20"/>
                <w:lang w:eastAsia="cs-CZ"/>
              </w:rPr>
            </w:pPr>
            <w:r w:rsidRPr="00F85178">
              <w:rPr>
                <w:rFonts w:eastAsia="Times New Roman"/>
                <w:sz w:val="20"/>
                <w:szCs w:val="20"/>
                <w:lang w:eastAsia="cs-CZ"/>
              </w:rPr>
              <w:t>+2</w:t>
            </w:r>
            <w:r w:rsidR="00527816" w:rsidRPr="00F85178">
              <w:rPr>
                <w:rFonts w:eastAsia="Times New Roman"/>
                <w:sz w:val="20"/>
                <w:szCs w:val="20"/>
                <w:lang w:eastAsia="cs-CZ"/>
              </w:rPr>
              <w:t>,</w:t>
            </w:r>
            <w:r w:rsidRPr="00F85178">
              <w:rPr>
                <w:rFonts w:eastAsia="Times New Roman"/>
                <w:sz w:val="20"/>
                <w:szCs w:val="20"/>
                <w:lang w:eastAsia="cs-CZ"/>
              </w:rPr>
              <w:t>0 p.</w:t>
            </w:r>
            <w:r w:rsidR="00527816" w:rsidRPr="00F85178">
              <w:rPr>
                <w:rFonts w:eastAsia="Times New Roman"/>
                <w:sz w:val="20"/>
                <w:szCs w:val="20"/>
                <w:lang w:eastAsia="cs-CZ"/>
              </w:rPr>
              <w:t xml:space="preserve"> </w:t>
            </w:r>
            <w:r w:rsidRPr="00F85178">
              <w:rPr>
                <w:rFonts w:eastAsia="Times New Roman"/>
                <w:sz w:val="20"/>
                <w:szCs w:val="20"/>
                <w:lang w:eastAsia="cs-CZ"/>
              </w:rPr>
              <w:t>b.</w:t>
            </w:r>
          </w:p>
        </w:tc>
      </w:tr>
      <w:tr w:rsidR="006D7033" w:rsidRPr="00F85178" w14:paraId="3FED14D7" w14:textId="77777777" w:rsidTr="006D7033">
        <w:trPr>
          <w:trHeight w:val="345"/>
        </w:trPr>
        <w:tc>
          <w:tcPr>
            <w:tcW w:w="2780" w:type="dxa"/>
            <w:tcBorders>
              <w:top w:val="nil"/>
              <w:left w:val="nil"/>
              <w:bottom w:val="double" w:sz="6" w:space="0" w:color="auto"/>
              <w:right w:val="nil"/>
            </w:tcBorders>
            <w:shd w:val="clear" w:color="auto" w:fill="auto"/>
            <w:noWrap/>
            <w:vAlign w:val="bottom"/>
            <w:hideMark/>
          </w:tcPr>
          <w:p w14:paraId="068375E0" w14:textId="77777777" w:rsidR="006D7033" w:rsidRPr="00F85178" w:rsidRDefault="006D7033" w:rsidP="006D703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477" w:type="dxa"/>
            <w:tcBorders>
              <w:top w:val="nil"/>
              <w:left w:val="nil"/>
              <w:bottom w:val="double" w:sz="6" w:space="0" w:color="auto"/>
              <w:right w:val="nil"/>
            </w:tcBorders>
            <w:shd w:val="clear" w:color="auto" w:fill="auto"/>
            <w:noWrap/>
            <w:vAlign w:val="bottom"/>
            <w:hideMark/>
          </w:tcPr>
          <w:p w14:paraId="7C4DB597" w14:textId="77777777" w:rsidR="006D7033" w:rsidRPr="00F85178" w:rsidRDefault="006D7033" w:rsidP="00527816">
            <w:pPr>
              <w:spacing w:line="240" w:lineRule="auto"/>
              <w:jc w:val="center"/>
              <w:rPr>
                <w:rFonts w:eastAsia="Times New Roman"/>
                <w:b/>
                <w:bCs/>
                <w:szCs w:val="24"/>
                <w:lang w:eastAsia="cs-CZ"/>
              </w:rPr>
            </w:pPr>
            <w:r w:rsidRPr="00F85178">
              <w:rPr>
                <w:rFonts w:eastAsia="Times New Roman"/>
                <w:b/>
                <w:bCs/>
                <w:szCs w:val="24"/>
                <w:lang w:eastAsia="cs-CZ"/>
              </w:rPr>
              <w:t>25</w:t>
            </w:r>
            <w:r w:rsidR="00527816" w:rsidRPr="00F85178">
              <w:rPr>
                <w:rFonts w:eastAsia="Times New Roman"/>
                <w:b/>
                <w:bCs/>
                <w:szCs w:val="24"/>
                <w:lang w:eastAsia="cs-CZ"/>
              </w:rPr>
              <w:t>,</w:t>
            </w:r>
            <w:r w:rsidRPr="00F85178">
              <w:rPr>
                <w:rFonts w:eastAsia="Times New Roman"/>
                <w:b/>
                <w:bCs/>
                <w:szCs w:val="24"/>
                <w:lang w:eastAsia="cs-CZ"/>
              </w:rPr>
              <w:t>13</w:t>
            </w:r>
            <w:r w:rsidR="008F7177" w:rsidRPr="00F85178">
              <w:rPr>
                <w:rFonts w:eastAsia="Times New Roman"/>
                <w:b/>
                <w:bCs/>
                <w:szCs w:val="24"/>
                <w:lang w:eastAsia="cs-CZ"/>
              </w:rPr>
              <w:t xml:space="preserve"> %</w:t>
            </w:r>
          </w:p>
        </w:tc>
        <w:tc>
          <w:tcPr>
            <w:tcW w:w="2043" w:type="dxa"/>
            <w:tcBorders>
              <w:top w:val="nil"/>
              <w:left w:val="nil"/>
              <w:bottom w:val="double" w:sz="6" w:space="0" w:color="auto"/>
              <w:right w:val="nil"/>
            </w:tcBorders>
            <w:shd w:val="clear" w:color="auto" w:fill="auto"/>
            <w:noWrap/>
            <w:vAlign w:val="center"/>
            <w:hideMark/>
          </w:tcPr>
          <w:p w14:paraId="4C3C49EE" w14:textId="77777777" w:rsidR="006D7033" w:rsidRPr="00F85178" w:rsidRDefault="006D7033" w:rsidP="00527816">
            <w:pPr>
              <w:spacing w:line="240" w:lineRule="auto"/>
              <w:jc w:val="center"/>
              <w:rPr>
                <w:rFonts w:eastAsia="Times New Roman"/>
                <w:b/>
                <w:bCs/>
                <w:sz w:val="20"/>
                <w:szCs w:val="20"/>
                <w:lang w:eastAsia="cs-CZ"/>
              </w:rPr>
            </w:pPr>
            <w:r w:rsidRPr="00F85178">
              <w:rPr>
                <w:rFonts w:eastAsia="Times New Roman"/>
                <w:b/>
                <w:bCs/>
                <w:sz w:val="20"/>
                <w:szCs w:val="20"/>
                <w:lang w:eastAsia="cs-CZ"/>
              </w:rPr>
              <w:t>+0</w:t>
            </w:r>
            <w:r w:rsidR="00527816" w:rsidRPr="00F85178">
              <w:rPr>
                <w:rFonts w:eastAsia="Times New Roman"/>
                <w:b/>
                <w:bCs/>
                <w:sz w:val="20"/>
                <w:szCs w:val="20"/>
                <w:lang w:eastAsia="cs-CZ"/>
              </w:rPr>
              <w:t>,</w:t>
            </w:r>
            <w:r w:rsidRPr="00F85178">
              <w:rPr>
                <w:rFonts w:eastAsia="Times New Roman"/>
                <w:b/>
                <w:bCs/>
                <w:sz w:val="20"/>
                <w:szCs w:val="20"/>
                <w:lang w:eastAsia="cs-CZ"/>
              </w:rPr>
              <w:t>7 p.</w:t>
            </w:r>
            <w:r w:rsidR="00527816" w:rsidRPr="00F85178">
              <w:rPr>
                <w:rFonts w:eastAsia="Times New Roman"/>
                <w:b/>
                <w:bCs/>
                <w:sz w:val="20"/>
                <w:szCs w:val="20"/>
                <w:lang w:eastAsia="cs-CZ"/>
              </w:rPr>
              <w:t xml:space="preserve"> </w:t>
            </w:r>
            <w:r w:rsidRPr="00F85178">
              <w:rPr>
                <w:rFonts w:eastAsia="Times New Roman"/>
                <w:b/>
                <w:bCs/>
                <w:sz w:val="20"/>
                <w:szCs w:val="20"/>
                <w:lang w:eastAsia="cs-CZ"/>
              </w:rPr>
              <w:t>b.</w:t>
            </w:r>
          </w:p>
        </w:tc>
      </w:tr>
    </w:tbl>
    <w:p w14:paraId="05454CBB" w14:textId="77777777" w:rsidR="006D7033" w:rsidRPr="00F85178" w:rsidRDefault="006D7033" w:rsidP="006F4096"/>
    <w:p w14:paraId="4E9D667E" w14:textId="77777777" w:rsidR="00CA3F29" w:rsidRPr="00F85178" w:rsidRDefault="00CA3F29" w:rsidP="00CA3F29">
      <w:pPr>
        <w:pStyle w:val="OdstavecASR"/>
      </w:pPr>
      <w:r w:rsidRPr="00F85178">
        <w:t xml:space="preserve">Platí stejná poznámka jako u civilního řízení – způsob výpočtu míry odvolání jsme </w:t>
      </w:r>
      <w:r w:rsidR="00590A7E" w:rsidRPr="00F85178">
        <w:t>od roku 2017 (včetně)</w:t>
      </w:r>
      <w:r w:rsidRPr="00F85178">
        <w:t xml:space="preserve"> mírně upravili. Výpočty nyní zahrnují i věci, ve kterých odvolací soud zrušil rozhodnutí soudu I. stupně a věc mu vrátil. Následně již odvolání podáno nebylo.</w:t>
      </w:r>
    </w:p>
    <w:p w14:paraId="0771D155" w14:textId="77777777" w:rsidR="006F4096" w:rsidRPr="00F85178" w:rsidRDefault="006F4096" w:rsidP="006F4096">
      <w:pPr>
        <w:pStyle w:val="Podtitul"/>
        <w:rPr>
          <w:color w:val="auto"/>
        </w:rPr>
      </w:pPr>
      <w:bookmarkStart w:id="242" w:name="_Toc515871361"/>
      <w:bookmarkStart w:id="243" w:name="_Toc11135095"/>
      <w:bookmarkStart w:id="244" w:name="_Toc1383752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34</w:t>
      </w:r>
      <w:r w:rsidRPr="00F85178">
        <w:rPr>
          <w:noProof/>
          <w:color w:val="auto"/>
        </w:rPr>
        <w:fldChar w:fldCharType="end"/>
      </w:r>
      <w:r w:rsidRPr="00F85178">
        <w:rPr>
          <w:color w:val="auto"/>
        </w:rPr>
        <w:t>: OS – míra odvolání u jednotlivých soudů v trestním řízení</w:t>
      </w:r>
      <w:bookmarkEnd w:id="242"/>
      <w:bookmarkEnd w:id="243"/>
      <w:bookmarkEnd w:id="244"/>
    </w:p>
    <w:p w14:paraId="34787063" w14:textId="77777777" w:rsidR="00CA3F29" w:rsidRPr="00F85178" w:rsidRDefault="00890295">
      <w:pPr>
        <w:spacing w:line="240" w:lineRule="auto"/>
        <w:jc w:val="left"/>
      </w:pPr>
      <w:r>
        <w:rPr>
          <w:noProof/>
          <w:lang w:eastAsia="cs-CZ"/>
        </w:rPr>
        <w:drawing>
          <wp:anchor distT="0" distB="0" distL="114300" distR="114300" simplePos="0" relativeHeight="251659776" behindDoc="0" locked="0" layoutInCell="1" allowOverlap="1" wp14:anchorId="53708039" wp14:editId="073A4D3E">
            <wp:simplePos x="0" y="0"/>
            <wp:positionH relativeFrom="margin">
              <wp:posOffset>4496491</wp:posOffset>
            </wp:positionH>
            <wp:positionV relativeFrom="paragraph">
              <wp:posOffset>48260</wp:posOffset>
            </wp:positionV>
            <wp:extent cx="1218565" cy="892175"/>
            <wp:effectExtent l="0" t="0" r="635" b="3175"/>
            <wp:wrapNone/>
            <wp:docPr id="111" name="Obrázek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7"/>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1218565" cy="8921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32346DC8" wp14:editId="206454F2">
            <wp:extent cx="5759450" cy="3329940"/>
            <wp:effectExtent l="0" t="0" r="0" b="0"/>
            <wp:docPr id="35" name="Obrázek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0B7C5CE3" w14:textId="77777777" w:rsidR="00C514C1" w:rsidRPr="00F85178" w:rsidRDefault="00C514C1">
      <w:pPr>
        <w:spacing w:line="240" w:lineRule="auto"/>
        <w:jc w:val="left"/>
      </w:pPr>
    </w:p>
    <w:p w14:paraId="3D04188D" w14:textId="77777777" w:rsidR="00CA3F29" w:rsidRPr="00F85178" w:rsidRDefault="00CA3F29" w:rsidP="00CA3F29">
      <w:pPr>
        <w:pStyle w:val="OdstavecASR"/>
        <w:keepNext/>
      </w:pPr>
      <w:bookmarkStart w:id="245" w:name="_Toc515871457"/>
      <w:r w:rsidRPr="00F85178">
        <w:t>Při pohledu na data o míře odvolání je třeba poukázat na několik věcí:</w:t>
      </w:r>
    </w:p>
    <w:p w14:paraId="612EB9E1" w14:textId="77777777" w:rsidR="00CA3F29" w:rsidRPr="00F85178" w:rsidRDefault="00CA3F29" w:rsidP="00CA3F29">
      <w:pPr>
        <w:pStyle w:val="OdstavecASR"/>
        <w:numPr>
          <w:ilvl w:val="0"/>
          <w:numId w:val="15"/>
        </w:numPr>
      </w:pPr>
      <w:r w:rsidRPr="00F85178">
        <w:t>Míra odvolání v trestním řízení je vysoká – téměř třikrát vyšší než v řízení občanskoprávním. Odvolání je podáno přibližně v každém čtvrtém trestním řízení u okresního soudu.</w:t>
      </w:r>
    </w:p>
    <w:p w14:paraId="589DD2B7" w14:textId="77777777" w:rsidR="00CA3F29" w:rsidRPr="00F85178" w:rsidRDefault="00CA3F29" w:rsidP="00CA3F29">
      <w:pPr>
        <w:pStyle w:val="OdstavecASR"/>
        <w:numPr>
          <w:ilvl w:val="0"/>
          <w:numId w:val="15"/>
        </w:numPr>
      </w:pPr>
      <w:r w:rsidRPr="00F85178">
        <w:t xml:space="preserve">Největší míra odvolání </w:t>
      </w:r>
      <w:r w:rsidR="00A71093" w:rsidRPr="00F85178">
        <w:t xml:space="preserve">zůstává </w:t>
      </w:r>
      <w:r w:rsidRPr="00F85178">
        <w:t xml:space="preserve">v Praze a Středočeském kraji </w:t>
      </w:r>
      <w:r w:rsidR="00A71093" w:rsidRPr="00F85178">
        <w:t xml:space="preserve">a zůstává </w:t>
      </w:r>
      <w:r w:rsidRPr="00F85178">
        <w:t>nejnižší v Severočeském kraji</w:t>
      </w:r>
      <w:r w:rsidR="00A71093" w:rsidRPr="00F85178">
        <w:t xml:space="preserve">, </w:t>
      </w:r>
      <w:r w:rsidR="002068E9" w:rsidRPr="00F85178">
        <w:t xml:space="preserve">i </w:t>
      </w:r>
      <w:r w:rsidR="00A71093" w:rsidRPr="00F85178">
        <w:t xml:space="preserve">když se zvýšila o </w:t>
      </w:r>
      <w:r w:rsidR="006D7033" w:rsidRPr="00F85178">
        <w:t xml:space="preserve">3 </w:t>
      </w:r>
      <w:r w:rsidR="00A71093" w:rsidRPr="00F85178">
        <w:t>procentní bod</w:t>
      </w:r>
      <w:r w:rsidR="006D7033" w:rsidRPr="00F85178">
        <w:t>y</w:t>
      </w:r>
      <w:r w:rsidRPr="00F85178">
        <w:t>. Částečně to zřejmě souvisí s rozdílnou agendou a s rozdíly v socioekonomických ukazatelích. Uspokojivé vysvětlení pro takto markantní rozdíl to však není. Rozdíly jsou totiž někdy značné i v rámci jednoho kraje.</w:t>
      </w:r>
    </w:p>
    <w:p w14:paraId="39A9987D" w14:textId="77777777" w:rsidR="00A71093" w:rsidRPr="00F85178" w:rsidRDefault="00A71093" w:rsidP="00CA3F29">
      <w:pPr>
        <w:pStyle w:val="OdstavecASR"/>
        <w:numPr>
          <w:ilvl w:val="0"/>
          <w:numId w:val="15"/>
        </w:numPr>
      </w:pPr>
      <w:r w:rsidRPr="00F85178">
        <w:t>Za pozornost stojí také snížení míry odvolání u OS spadajících pod KS Hradec Králové.</w:t>
      </w:r>
    </w:p>
    <w:p w14:paraId="3A4BBD5D" w14:textId="77777777" w:rsidR="00CA3F29" w:rsidRPr="00F85178" w:rsidRDefault="00CA3F29" w:rsidP="00CA3F29">
      <w:pPr>
        <w:pStyle w:val="OdstavecASR"/>
        <w:numPr>
          <w:ilvl w:val="0"/>
          <w:numId w:val="15"/>
        </w:numPr>
      </w:pPr>
      <w:r w:rsidRPr="00F85178">
        <w:t>V míře odvolání mezi jednotlivými soudy jsou velké rozdíly – čtyřnásobek</w:t>
      </w:r>
      <w:r w:rsidR="00DE61FB" w:rsidRPr="00F85178">
        <w:t xml:space="preserve"> až pětinásobek</w:t>
      </w:r>
      <w:r w:rsidRPr="00F85178">
        <w:t xml:space="preserve"> u soudů s nejvyšší mírou odvolání oproti soudům s nejnižší mírou odvolání.</w:t>
      </w:r>
    </w:p>
    <w:p w14:paraId="06AC7D58" w14:textId="77777777" w:rsidR="00CA3F29" w:rsidRPr="00F85178" w:rsidRDefault="00CA3F29" w:rsidP="00CA3F29">
      <w:pPr>
        <w:pStyle w:val="OdstavecASR"/>
      </w:pPr>
      <w:r w:rsidRPr="00F85178">
        <w:t xml:space="preserve">Soudy s nejnižší mírou odvolání v roce </w:t>
      </w:r>
      <w:r w:rsidR="00465456">
        <w:t>2018</w:t>
      </w:r>
      <w:r w:rsidRPr="00F85178">
        <w:t xml:space="preserve"> jsou OS </w:t>
      </w:r>
      <w:r w:rsidR="00AA71B9" w:rsidRPr="00F85178">
        <w:t>Nový Jičín</w:t>
      </w:r>
      <w:r w:rsidR="009157F9" w:rsidRPr="00F85178">
        <w:t xml:space="preserve"> </w:t>
      </w:r>
      <w:r w:rsidRPr="00F85178">
        <w:t>(</w:t>
      </w:r>
      <w:r w:rsidR="00AA71B9" w:rsidRPr="00F85178">
        <w:t>7</w:t>
      </w:r>
      <w:r w:rsidR="002068E9" w:rsidRPr="00F85178">
        <w:t>,</w:t>
      </w:r>
      <w:r w:rsidR="00AA71B9" w:rsidRPr="00F85178">
        <w:t>90</w:t>
      </w:r>
      <w:r w:rsidRPr="00F85178">
        <w:t xml:space="preserve"> %), OS </w:t>
      </w:r>
      <w:r w:rsidR="00252262" w:rsidRPr="00F85178">
        <w:t xml:space="preserve">Most </w:t>
      </w:r>
      <w:r w:rsidRPr="00F85178">
        <w:t>(9,</w:t>
      </w:r>
      <w:r w:rsidR="00252262" w:rsidRPr="00F85178">
        <w:t>74</w:t>
      </w:r>
      <w:r w:rsidRPr="00F85178">
        <w:t xml:space="preserve"> %) a OS </w:t>
      </w:r>
      <w:r w:rsidR="004B2F7C">
        <w:t>Svitavy</w:t>
      </w:r>
      <w:r w:rsidR="000638A9">
        <w:t xml:space="preserve"> </w:t>
      </w:r>
      <w:r w:rsidRPr="00F85178">
        <w:t>(1</w:t>
      </w:r>
      <w:r w:rsidR="00252262" w:rsidRPr="00F85178">
        <w:t>1</w:t>
      </w:r>
      <w:r w:rsidRPr="00F85178">
        <w:t>,</w:t>
      </w:r>
      <w:r w:rsidR="00252262" w:rsidRPr="00F85178">
        <w:t>24</w:t>
      </w:r>
      <w:r w:rsidRPr="00F85178">
        <w:t xml:space="preserve"> %). Nejvyšší míra odvolání naopak u OS </w:t>
      </w:r>
      <w:r w:rsidR="00D42872" w:rsidRPr="00F85178">
        <w:t>pro Prahu 4</w:t>
      </w:r>
      <w:r w:rsidR="00D42872" w:rsidRPr="00F85178" w:rsidDel="00D42872">
        <w:t xml:space="preserve"> </w:t>
      </w:r>
      <w:r w:rsidRPr="00F85178">
        <w:t>(40,</w:t>
      </w:r>
      <w:r w:rsidR="00D42872" w:rsidRPr="00F85178">
        <w:t>90</w:t>
      </w:r>
      <w:r w:rsidRPr="00F85178">
        <w:t xml:space="preserve"> %), OS pro Prahu </w:t>
      </w:r>
      <w:r w:rsidR="00D42872" w:rsidRPr="00F85178">
        <w:t>6</w:t>
      </w:r>
      <w:r w:rsidRPr="00F85178">
        <w:t> (</w:t>
      </w:r>
      <w:r w:rsidR="00D42872" w:rsidRPr="00F85178">
        <w:t>44</w:t>
      </w:r>
      <w:r w:rsidRPr="00F85178">
        <w:t>,</w:t>
      </w:r>
      <w:r w:rsidR="00D42872" w:rsidRPr="00F85178">
        <w:t>07</w:t>
      </w:r>
      <w:r w:rsidRPr="00F85178">
        <w:t>%) a OS </w:t>
      </w:r>
      <w:r w:rsidR="00D42872" w:rsidRPr="00F85178">
        <w:t>Praha-západ</w:t>
      </w:r>
      <w:r w:rsidRPr="00F85178">
        <w:t xml:space="preserve"> (</w:t>
      </w:r>
      <w:r w:rsidR="00D42872" w:rsidRPr="00F85178">
        <w:t>44</w:t>
      </w:r>
      <w:r w:rsidRPr="00F85178">
        <w:t>,</w:t>
      </w:r>
      <w:r w:rsidR="00D42872" w:rsidRPr="00F85178">
        <w:t>74</w:t>
      </w:r>
      <w:r w:rsidRPr="00F85178">
        <w:t> %).</w:t>
      </w:r>
    </w:p>
    <w:p w14:paraId="2251434E" w14:textId="77777777" w:rsidR="00CA3F29" w:rsidRPr="00F85178" w:rsidRDefault="00CA3F29" w:rsidP="00CA3F29">
      <w:pPr>
        <w:pStyle w:val="OdstavecASR"/>
      </w:pPr>
      <w:r w:rsidRPr="00F85178">
        <w:t>Dalším sledovaným ukazatelem je míra změny rozsudku. Jedná se o podíl věcí v procentech, ve kterých odvolací soud na podkladu odvolání změnil rozhodnutí soudu I. stupně. Jako změna rozsudku se započítávají i případy, kdy bylo rozhodnutí soudu I. stupně u odvolacího soudu zrušeno nebo vráceno soudu I. stupně.</w:t>
      </w:r>
    </w:p>
    <w:p w14:paraId="228FD2DE" w14:textId="77777777" w:rsidR="00396227" w:rsidRPr="00F85178" w:rsidRDefault="00C514C1" w:rsidP="00C514C1">
      <w:pPr>
        <w:pStyle w:val="Podtitul"/>
        <w:rPr>
          <w:color w:val="auto"/>
        </w:rPr>
      </w:pPr>
      <w:bookmarkStart w:id="246" w:name="_Toc11133225"/>
      <w:bookmarkStart w:id="247" w:name="_Toc13837446"/>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23</w:t>
      </w:r>
      <w:r w:rsidRPr="00F85178">
        <w:rPr>
          <w:noProof/>
          <w:color w:val="auto"/>
        </w:rPr>
        <w:fldChar w:fldCharType="end"/>
      </w:r>
      <w:r w:rsidRPr="00F85178">
        <w:rPr>
          <w:color w:val="auto"/>
        </w:rPr>
        <w:t>: OS – míra změny rozsudku dle krajů v trestním řízení</w:t>
      </w:r>
      <w:bookmarkEnd w:id="245"/>
      <w:bookmarkEnd w:id="246"/>
      <w:bookmarkEnd w:id="247"/>
    </w:p>
    <w:tbl>
      <w:tblPr>
        <w:tblW w:w="6980" w:type="dxa"/>
        <w:tblInd w:w="70" w:type="dxa"/>
        <w:tblCellMar>
          <w:left w:w="70" w:type="dxa"/>
          <w:right w:w="70" w:type="dxa"/>
        </w:tblCellMar>
        <w:tblLook w:val="04A0" w:firstRow="1" w:lastRow="0" w:firstColumn="1" w:lastColumn="0" w:noHBand="0" w:noVBand="1"/>
      </w:tblPr>
      <w:tblGrid>
        <w:gridCol w:w="2780"/>
        <w:gridCol w:w="1726"/>
        <w:gridCol w:w="2474"/>
      </w:tblGrid>
      <w:tr w:rsidR="00F85178" w:rsidRPr="00F85178" w14:paraId="290EF2C1" w14:textId="77777777" w:rsidTr="006D703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29945BA" w14:textId="77777777" w:rsidR="006D7033" w:rsidRPr="00F85178" w:rsidRDefault="006D7033" w:rsidP="006D7033">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4D149117" w14:textId="77777777" w:rsidR="006D7033" w:rsidRPr="00F85178" w:rsidRDefault="002068E9" w:rsidP="002068E9">
            <w:pPr>
              <w:spacing w:line="240" w:lineRule="auto"/>
              <w:jc w:val="center"/>
              <w:rPr>
                <w:rFonts w:eastAsia="Times New Roman"/>
                <w:b/>
                <w:bCs/>
                <w:szCs w:val="24"/>
                <w:lang w:eastAsia="cs-CZ"/>
              </w:rPr>
            </w:pPr>
            <w:r w:rsidRPr="00F85178">
              <w:rPr>
                <w:rFonts w:eastAsia="Times New Roman"/>
                <w:b/>
                <w:bCs/>
                <w:szCs w:val="24"/>
                <w:lang w:eastAsia="cs-CZ"/>
              </w:rPr>
              <w:t>Míra změny rozsudku</w:t>
            </w:r>
          </w:p>
        </w:tc>
      </w:tr>
      <w:tr w:rsidR="00F85178" w:rsidRPr="00F85178" w14:paraId="558CB31C" w14:textId="77777777" w:rsidTr="006D7033">
        <w:trPr>
          <w:trHeight w:val="330"/>
        </w:trPr>
        <w:tc>
          <w:tcPr>
            <w:tcW w:w="2780" w:type="dxa"/>
            <w:tcBorders>
              <w:top w:val="nil"/>
              <w:left w:val="nil"/>
              <w:bottom w:val="single" w:sz="4" w:space="0" w:color="auto"/>
              <w:right w:val="nil"/>
            </w:tcBorders>
            <w:shd w:val="clear" w:color="auto" w:fill="auto"/>
            <w:noWrap/>
            <w:vAlign w:val="bottom"/>
            <w:hideMark/>
          </w:tcPr>
          <w:p w14:paraId="3D83A6F6"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MS Praha</w:t>
            </w:r>
          </w:p>
        </w:tc>
        <w:tc>
          <w:tcPr>
            <w:tcW w:w="1726" w:type="dxa"/>
            <w:tcBorders>
              <w:top w:val="nil"/>
              <w:left w:val="nil"/>
              <w:bottom w:val="single" w:sz="4" w:space="0" w:color="auto"/>
              <w:right w:val="nil"/>
            </w:tcBorders>
            <w:shd w:val="clear" w:color="auto" w:fill="auto"/>
            <w:noWrap/>
            <w:vAlign w:val="bottom"/>
            <w:hideMark/>
          </w:tcPr>
          <w:p w14:paraId="7EA904D4"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46,</w:t>
            </w:r>
            <w:r w:rsidR="006D7033" w:rsidRPr="00F85178">
              <w:rPr>
                <w:rFonts w:eastAsia="Times New Roman"/>
                <w:szCs w:val="24"/>
                <w:lang w:eastAsia="cs-CZ"/>
              </w:rPr>
              <w:t>70</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352B3493"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-2,</w:t>
            </w:r>
            <w:r w:rsidR="006D7033" w:rsidRPr="00F85178">
              <w:rPr>
                <w:rFonts w:eastAsia="Times New Roman"/>
                <w:sz w:val="20"/>
                <w:szCs w:val="20"/>
                <w:lang w:eastAsia="cs-CZ"/>
              </w:rPr>
              <w:t>1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6E51B104"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11C00C7F"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Praha</w:t>
            </w:r>
          </w:p>
        </w:tc>
        <w:tc>
          <w:tcPr>
            <w:tcW w:w="1726" w:type="dxa"/>
            <w:tcBorders>
              <w:top w:val="nil"/>
              <w:left w:val="nil"/>
              <w:bottom w:val="single" w:sz="4" w:space="0" w:color="auto"/>
              <w:right w:val="nil"/>
            </w:tcBorders>
            <w:shd w:val="clear" w:color="auto" w:fill="auto"/>
            <w:noWrap/>
            <w:vAlign w:val="bottom"/>
            <w:hideMark/>
          </w:tcPr>
          <w:p w14:paraId="0FAC1704" w14:textId="77777777" w:rsidR="006D7033" w:rsidRPr="00F85178" w:rsidRDefault="00DE61FB" w:rsidP="006D7033">
            <w:pPr>
              <w:spacing w:line="240" w:lineRule="auto"/>
              <w:jc w:val="center"/>
              <w:rPr>
                <w:rFonts w:eastAsia="Times New Roman"/>
                <w:b/>
                <w:szCs w:val="24"/>
                <w:lang w:eastAsia="cs-CZ"/>
              </w:rPr>
            </w:pPr>
            <w:r w:rsidRPr="00F85178">
              <w:rPr>
                <w:rFonts w:eastAsia="Times New Roman"/>
                <w:szCs w:val="24"/>
                <w:lang w:eastAsia="cs-CZ"/>
              </w:rPr>
              <w:t>42,</w:t>
            </w:r>
            <w:r w:rsidR="006D7033" w:rsidRPr="00F85178">
              <w:rPr>
                <w:rFonts w:eastAsia="Times New Roman"/>
                <w:szCs w:val="24"/>
                <w:lang w:eastAsia="cs-CZ"/>
              </w:rPr>
              <w:t>76</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57FBB4BE"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-1,</w:t>
            </w:r>
            <w:r w:rsidR="006D7033" w:rsidRPr="00F85178">
              <w:rPr>
                <w:rFonts w:eastAsia="Times New Roman"/>
                <w:sz w:val="20"/>
                <w:szCs w:val="20"/>
                <w:lang w:eastAsia="cs-CZ"/>
              </w:rPr>
              <w:t>6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0EBBE57F"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F00D80B"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Č. Budějovice</w:t>
            </w:r>
          </w:p>
        </w:tc>
        <w:tc>
          <w:tcPr>
            <w:tcW w:w="1726" w:type="dxa"/>
            <w:tcBorders>
              <w:top w:val="nil"/>
              <w:left w:val="nil"/>
              <w:bottom w:val="single" w:sz="4" w:space="0" w:color="auto"/>
              <w:right w:val="nil"/>
            </w:tcBorders>
            <w:shd w:val="clear" w:color="auto" w:fill="auto"/>
            <w:noWrap/>
            <w:vAlign w:val="bottom"/>
            <w:hideMark/>
          </w:tcPr>
          <w:p w14:paraId="6E6D05EB"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31,</w:t>
            </w:r>
            <w:r w:rsidR="006D7033" w:rsidRPr="00F85178">
              <w:rPr>
                <w:rFonts w:eastAsia="Times New Roman"/>
                <w:szCs w:val="24"/>
                <w:lang w:eastAsia="cs-CZ"/>
              </w:rPr>
              <w:t>40</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67890619"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-1,</w:t>
            </w:r>
            <w:r w:rsidR="006D7033" w:rsidRPr="00F85178">
              <w:rPr>
                <w:rFonts w:eastAsia="Times New Roman"/>
                <w:sz w:val="20"/>
                <w:szCs w:val="20"/>
                <w:lang w:eastAsia="cs-CZ"/>
              </w:rPr>
              <w:t>5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3881E7EC"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595FE8A4"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Plzeň</w:t>
            </w:r>
          </w:p>
        </w:tc>
        <w:tc>
          <w:tcPr>
            <w:tcW w:w="1726" w:type="dxa"/>
            <w:tcBorders>
              <w:top w:val="nil"/>
              <w:left w:val="nil"/>
              <w:bottom w:val="single" w:sz="4" w:space="0" w:color="auto"/>
              <w:right w:val="nil"/>
            </w:tcBorders>
            <w:shd w:val="clear" w:color="auto" w:fill="auto"/>
            <w:noWrap/>
            <w:vAlign w:val="bottom"/>
            <w:hideMark/>
          </w:tcPr>
          <w:p w14:paraId="4F6CBB90"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51,</w:t>
            </w:r>
            <w:r w:rsidR="006D7033" w:rsidRPr="00F85178">
              <w:rPr>
                <w:rFonts w:eastAsia="Times New Roman"/>
                <w:szCs w:val="24"/>
                <w:lang w:eastAsia="cs-CZ"/>
              </w:rPr>
              <w:t>93</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196450F1"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+0,</w:t>
            </w:r>
            <w:r w:rsidR="006D7033" w:rsidRPr="00F85178">
              <w:rPr>
                <w:rFonts w:eastAsia="Times New Roman"/>
                <w:sz w:val="20"/>
                <w:szCs w:val="20"/>
                <w:lang w:eastAsia="cs-CZ"/>
              </w:rPr>
              <w:t>5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32143C5D"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6AAB0F51"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Ústí n. Labem</w:t>
            </w:r>
          </w:p>
        </w:tc>
        <w:tc>
          <w:tcPr>
            <w:tcW w:w="1726" w:type="dxa"/>
            <w:tcBorders>
              <w:top w:val="nil"/>
              <w:left w:val="nil"/>
              <w:bottom w:val="single" w:sz="4" w:space="0" w:color="auto"/>
              <w:right w:val="nil"/>
            </w:tcBorders>
            <w:shd w:val="clear" w:color="auto" w:fill="auto"/>
            <w:noWrap/>
            <w:vAlign w:val="bottom"/>
            <w:hideMark/>
          </w:tcPr>
          <w:p w14:paraId="3F777450"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54,</w:t>
            </w:r>
            <w:r w:rsidR="006D7033" w:rsidRPr="00F85178">
              <w:rPr>
                <w:rFonts w:eastAsia="Times New Roman"/>
                <w:szCs w:val="24"/>
                <w:lang w:eastAsia="cs-CZ"/>
              </w:rPr>
              <w:t>23</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64B5EB64"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+2,</w:t>
            </w:r>
            <w:r w:rsidR="006D7033" w:rsidRPr="00F85178">
              <w:rPr>
                <w:rFonts w:eastAsia="Times New Roman"/>
                <w:sz w:val="20"/>
                <w:szCs w:val="20"/>
                <w:lang w:eastAsia="cs-CZ"/>
              </w:rPr>
              <w:t>2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6368C73A"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D5C77E1"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Hr. Králové</w:t>
            </w:r>
          </w:p>
        </w:tc>
        <w:tc>
          <w:tcPr>
            <w:tcW w:w="1726" w:type="dxa"/>
            <w:tcBorders>
              <w:top w:val="nil"/>
              <w:left w:val="nil"/>
              <w:bottom w:val="single" w:sz="4" w:space="0" w:color="auto"/>
              <w:right w:val="nil"/>
            </w:tcBorders>
            <w:shd w:val="clear" w:color="auto" w:fill="auto"/>
            <w:noWrap/>
            <w:vAlign w:val="bottom"/>
            <w:hideMark/>
          </w:tcPr>
          <w:p w14:paraId="6F6FC023"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26,</w:t>
            </w:r>
            <w:r w:rsidR="006D7033" w:rsidRPr="00F85178">
              <w:rPr>
                <w:rFonts w:eastAsia="Times New Roman"/>
                <w:szCs w:val="24"/>
                <w:lang w:eastAsia="cs-CZ"/>
              </w:rPr>
              <w:t>44</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2D2AF0E8"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-10,</w:t>
            </w:r>
            <w:r w:rsidR="006D7033" w:rsidRPr="00F85178">
              <w:rPr>
                <w:rFonts w:eastAsia="Times New Roman"/>
                <w:sz w:val="20"/>
                <w:szCs w:val="20"/>
                <w:lang w:eastAsia="cs-CZ"/>
              </w:rPr>
              <w:t>6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4D65A90F" w14:textId="77777777" w:rsidTr="006D7033">
        <w:trPr>
          <w:trHeight w:val="315"/>
        </w:trPr>
        <w:tc>
          <w:tcPr>
            <w:tcW w:w="2780" w:type="dxa"/>
            <w:tcBorders>
              <w:top w:val="nil"/>
              <w:left w:val="nil"/>
              <w:bottom w:val="single" w:sz="4" w:space="0" w:color="auto"/>
              <w:right w:val="nil"/>
            </w:tcBorders>
            <w:shd w:val="clear" w:color="auto" w:fill="auto"/>
            <w:noWrap/>
            <w:vAlign w:val="bottom"/>
            <w:hideMark/>
          </w:tcPr>
          <w:p w14:paraId="45AFD8D5"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Brno</w:t>
            </w:r>
          </w:p>
        </w:tc>
        <w:tc>
          <w:tcPr>
            <w:tcW w:w="1726" w:type="dxa"/>
            <w:tcBorders>
              <w:top w:val="nil"/>
              <w:left w:val="nil"/>
              <w:bottom w:val="single" w:sz="4" w:space="0" w:color="auto"/>
              <w:right w:val="nil"/>
            </w:tcBorders>
            <w:shd w:val="clear" w:color="auto" w:fill="auto"/>
            <w:noWrap/>
            <w:vAlign w:val="bottom"/>
            <w:hideMark/>
          </w:tcPr>
          <w:p w14:paraId="061E3847"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26,</w:t>
            </w:r>
            <w:r w:rsidR="006D7033" w:rsidRPr="00F85178">
              <w:rPr>
                <w:rFonts w:eastAsia="Times New Roman"/>
                <w:szCs w:val="24"/>
                <w:lang w:eastAsia="cs-CZ"/>
              </w:rPr>
              <w:t>94</w:t>
            </w:r>
            <w:r w:rsidR="002068E9" w:rsidRPr="00F85178">
              <w:rPr>
                <w:rFonts w:eastAsia="Times New Roman"/>
                <w:szCs w:val="24"/>
                <w:lang w:eastAsia="cs-CZ"/>
              </w:rPr>
              <w:t xml:space="preserve"> %</w:t>
            </w:r>
          </w:p>
        </w:tc>
        <w:tc>
          <w:tcPr>
            <w:tcW w:w="2474" w:type="dxa"/>
            <w:tcBorders>
              <w:top w:val="nil"/>
              <w:left w:val="nil"/>
              <w:bottom w:val="single" w:sz="4" w:space="0" w:color="auto"/>
              <w:right w:val="nil"/>
            </w:tcBorders>
            <w:shd w:val="clear" w:color="auto" w:fill="auto"/>
            <w:noWrap/>
            <w:vAlign w:val="center"/>
            <w:hideMark/>
          </w:tcPr>
          <w:p w14:paraId="5061A78D"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-1,</w:t>
            </w:r>
            <w:r w:rsidR="006D7033" w:rsidRPr="00F85178">
              <w:rPr>
                <w:rFonts w:eastAsia="Times New Roman"/>
                <w:sz w:val="20"/>
                <w:szCs w:val="20"/>
                <w:lang w:eastAsia="cs-CZ"/>
              </w:rPr>
              <w:t>2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F85178" w:rsidRPr="00F85178" w14:paraId="0942F886" w14:textId="77777777" w:rsidTr="006D7033">
        <w:trPr>
          <w:trHeight w:val="330"/>
        </w:trPr>
        <w:tc>
          <w:tcPr>
            <w:tcW w:w="2780" w:type="dxa"/>
            <w:tcBorders>
              <w:top w:val="nil"/>
              <w:left w:val="nil"/>
              <w:bottom w:val="double" w:sz="6" w:space="0" w:color="auto"/>
              <w:right w:val="nil"/>
            </w:tcBorders>
            <w:shd w:val="clear" w:color="auto" w:fill="auto"/>
            <w:noWrap/>
            <w:vAlign w:val="bottom"/>
            <w:hideMark/>
          </w:tcPr>
          <w:p w14:paraId="50138050" w14:textId="77777777" w:rsidR="006D7033" w:rsidRPr="00F85178" w:rsidRDefault="006D7033" w:rsidP="006D7033">
            <w:pPr>
              <w:spacing w:line="240" w:lineRule="auto"/>
              <w:jc w:val="left"/>
              <w:rPr>
                <w:rFonts w:eastAsia="Times New Roman"/>
                <w:szCs w:val="24"/>
                <w:lang w:eastAsia="cs-CZ"/>
              </w:rPr>
            </w:pPr>
            <w:r w:rsidRPr="00F85178">
              <w:rPr>
                <w:rFonts w:eastAsia="Times New Roman"/>
                <w:szCs w:val="24"/>
                <w:lang w:eastAsia="cs-CZ"/>
              </w:rPr>
              <w:t>KS Ostrava</w:t>
            </w:r>
          </w:p>
        </w:tc>
        <w:tc>
          <w:tcPr>
            <w:tcW w:w="1726" w:type="dxa"/>
            <w:tcBorders>
              <w:top w:val="nil"/>
              <w:left w:val="nil"/>
              <w:bottom w:val="double" w:sz="6" w:space="0" w:color="auto"/>
              <w:right w:val="nil"/>
            </w:tcBorders>
            <w:shd w:val="clear" w:color="auto" w:fill="auto"/>
            <w:noWrap/>
            <w:vAlign w:val="bottom"/>
            <w:hideMark/>
          </w:tcPr>
          <w:p w14:paraId="172E4B11" w14:textId="77777777" w:rsidR="006D7033" w:rsidRPr="00F85178" w:rsidRDefault="00DE61FB" w:rsidP="006D7033">
            <w:pPr>
              <w:spacing w:line="240" w:lineRule="auto"/>
              <w:jc w:val="center"/>
              <w:rPr>
                <w:rFonts w:eastAsia="Times New Roman"/>
                <w:szCs w:val="24"/>
                <w:lang w:eastAsia="cs-CZ"/>
              </w:rPr>
            </w:pPr>
            <w:r w:rsidRPr="00F85178">
              <w:rPr>
                <w:rFonts w:eastAsia="Times New Roman"/>
                <w:szCs w:val="24"/>
                <w:lang w:eastAsia="cs-CZ"/>
              </w:rPr>
              <w:t>46,</w:t>
            </w:r>
            <w:r w:rsidR="006D7033" w:rsidRPr="00F85178">
              <w:rPr>
                <w:rFonts w:eastAsia="Times New Roman"/>
                <w:szCs w:val="24"/>
                <w:lang w:eastAsia="cs-CZ"/>
              </w:rPr>
              <w:t>04</w:t>
            </w:r>
            <w:r w:rsidR="002068E9" w:rsidRPr="00F85178">
              <w:rPr>
                <w:rFonts w:eastAsia="Times New Roman"/>
                <w:szCs w:val="24"/>
                <w:lang w:eastAsia="cs-CZ"/>
              </w:rPr>
              <w:t xml:space="preserve"> %</w:t>
            </w:r>
          </w:p>
        </w:tc>
        <w:tc>
          <w:tcPr>
            <w:tcW w:w="2474" w:type="dxa"/>
            <w:tcBorders>
              <w:top w:val="nil"/>
              <w:left w:val="nil"/>
              <w:bottom w:val="double" w:sz="6" w:space="0" w:color="auto"/>
              <w:right w:val="nil"/>
            </w:tcBorders>
            <w:shd w:val="clear" w:color="auto" w:fill="auto"/>
            <w:noWrap/>
            <w:vAlign w:val="center"/>
            <w:hideMark/>
          </w:tcPr>
          <w:p w14:paraId="66028205" w14:textId="77777777" w:rsidR="006D7033" w:rsidRPr="00F85178" w:rsidRDefault="00DE61FB" w:rsidP="002068E9">
            <w:pPr>
              <w:spacing w:line="240" w:lineRule="auto"/>
              <w:jc w:val="center"/>
              <w:rPr>
                <w:rFonts w:eastAsia="Times New Roman"/>
                <w:sz w:val="20"/>
                <w:szCs w:val="20"/>
                <w:lang w:eastAsia="cs-CZ"/>
              </w:rPr>
            </w:pPr>
            <w:r w:rsidRPr="00F85178">
              <w:rPr>
                <w:rFonts w:eastAsia="Times New Roman"/>
                <w:sz w:val="20"/>
                <w:szCs w:val="20"/>
                <w:lang w:eastAsia="cs-CZ"/>
              </w:rPr>
              <w:t>+4,</w:t>
            </w:r>
            <w:r w:rsidR="006D7033" w:rsidRPr="00F85178">
              <w:rPr>
                <w:rFonts w:eastAsia="Times New Roman"/>
                <w:sz w:val="20"/>
                <w:szCs w:val="20"/>
                <w:lang w:eastAsia="cs-CZ"/>
              </w:rPr>
              <w:t>6 p.</w:t>
            </w:r>
            <w:r w:rsidR="002068E9" w:rsidRPr="00F85178">
              <w:rPr>
                <w:rFonts w:eastAsia="Times New Roman"/>
                <w:sz w:val="20"/>
                <w:szCs w:val="20"/>
                <w:lang w:eastAsia="cs-CZ"/>
              </w:rPr>
              <w:t xml:space="preserve"> </w:t>
            </w:r>
            <w:r w:rsidR="006D7033" w:rsidRPr="00F85178">
              <w:rPr>
                <w:rFonts w:eastAsia="Times New Roman"/>
                <w:sz w:val="20"/>
                <w:szCs w:val="20"/>
                <w:lang w:eastAsia="cs-CZ"/>
              </w:rPr>
              <w:t>b.</w:t>
            </w:r>
          </w:p>
        </w:tc>
      </w:tr>
      <w:tr w:rsidR="006D7033" w:rsidRPr="00F85178" w14:paraId="59299C66" w14:textId="77777777" w:rsidTr="006D7033">
        <w:trPr>
          <w:trHeight w:val="345"/>
        </w:trPr>
        <w:tc>
          <w:tcPr>
            <w:tcW w:w="2780" w:type="dxa"/>
            <w:tcBorders>
              <w:top w:val="nil"/>
              <w:left w:val="nil"/>
              <w:bottom w:val="double" w:sz="6" w:space="0" w:color="auto"/>
              <w:right w:val="nil"/>
            </w:tcBorders>
            <w:shd w:val="clear" w:color="auto" w:fill="auto"/>
            <w:noWrap/>
            <w:vAlign w:val="bottom"/>
            <w:hideMark/>
          </w:tcPr>
          <w:p w14:paraId="6944E613" w14:textId="77777777" w:rsidR="006D7033" w:rsidRPr="00F85178" w:rsidRDefault="006D7033" w:rsidP="006D703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726" w:type="dxa"/>
            <w:tcBorders>
              <w:top w:val="nil"/>
              <w:left w:val="nil"/>
              <w:bottom w:val="double" w:sz="6" w:space="0" w:color="auto"/>
              <w:right w:val="nil"/>
            </w:tcBorders>
            <w:shd w:val="clear" w:color="auto" w:fill="auto"/>
            <w:noWrap/>
            <w:vAlign w:val="bottom"/>
            <w:hideMark/>
          </w:tcPr>
          <w:p w14:paraId="133B45FD" w14:textId="77777777" w:rsidR="006D7033" w:rsidRPr="00F85178" w:rsidRDefault="002068E9" w:rsidP="002068E9">
            <w:pPr>
              <w:spacing w:line="240" w:lineRule="auto"/>
              <w:jc w:val="center"/>
              <w:rPr>
                <w:rFonts w:eastAsia="Times New Roman"/>
                <w:b/>
                <w:bCs/>
                <w:szCs w:val="24"/>
                <w:lang w:eastAsia="cs-CZ"/>
              </w:rPr>
            </w:pPr>
            <w:r w:rsidRPr="00F85178">
              <w:rPr>
                <w:rFonts w:eastAsia="Times New Roman"/>
                <w:b/>
                <w:bCs/>
                <w:szCs w:val="24"/>
                <w:lang w:eastAsia="cs-CZ"/>
              </w:rPr>
              <w:t>42,</w:t>
            </w:r>
            <w:r w:rsidR="006D7033" w:rsidRPr="00F85178">
              <w:rPr>
                <w:rFonts w:eastAsia="Times New Roman"/>
                <w:b/>
                <w:bCs/>
                <w:szCs w:val="24"/>
                <w:lang w:eastAsia="cs-CZ"/>
              </w:rPr>
              <w:t>22</w:t>
            </w:r>
            <w:r w:rsidRPr="00F85178">
              <w:rPr>
                <w:rFonts w:eastAsia="Times New Roman"/>
                <w:szCs w:val="24"/>
                <w:lang w:eastAsia="cs-CZ"/>
              </w:rPr>
              <w:t xml:space="preserve"> %</w:t>
            </w:r>
          </w:p>
        </w:tc>
        <w:tc>
          <w:tcPr>
            <w:tcW w:w="2474" w:type="dxa"/>
            <w:tcBorders>
              <w:top w:val="nil"/>
              <w:left w:val="nil"/>
              <w:bottom w:val="double" w:sz="6" w:space="0" w:color="auto"/>
              <w:right w:val="nil"/>
            </w:tcBorders>
            <w:shd w:val="clear" w:color="auto" w:fill="auto"/>
            <w:noWrap/>
            <w:vAlign w:val="center"/>
            <w:hideMark/>
          </w:tcPr>
          <w:p w14:paraId="63F8C1A4" w14:textId="77777777" w:rsidR="006D7033" w:rsidRPr="00F85178" w:rsidRDefault="00DE61FB" w:rsidP="002068E9">
            <w:pPr>
              <w:spacing w:line="240" w:lineRule="auto"/>
              <w:jc w:val="center"/>
              <w:rPr>
                <w:rFonts w:eastAsia="Times New Roman"/>
                <w:b/>
                <w:bCs/>
                <w:sz w:val="20"/>
                <w:szCs w:val="20"/>
                <w:lang w:eastAsia="cs-CZ"/>
              </w:rPr>
            </w:pPr>
            <w:r w:rsidRPr="00F85178">
              <w:rPr>
                <w:rFonts w:eastAsia="Times New Roman"/>
                <w:b/>
                <w:bCs/>
                <w:sz w:val="20"/>
                <w:szCs w:val="20"/>
                <w:lang w:eastAsia="cs-CZ"/>
              </w:rPr>
              <w:t>+0,</w:t>
            </w:r>
            <w:r w:rsidR="006D7033" w:rsidRPr="00F85178">
              <w:rPr>
                <w:rFonts w:eastAsia="Times New Roman"/>
                <w:b/>
                <w:bCs/>
                <w:sz w:val="20"/>
                <w:szCs w:val="20"/>
                <w:lang w:eastAsia="cs-CZ"/>
              </w:rPr>
              <w:t>0 p.</w:t>
            </w:r>
            <w:r w:rsidR="002068E9" w:rsidRPr="00F85178">
              <w:rPr>
                <w:rFonts w:eastAsia="Times New Roman"/>
                <w:b/>
                <w:bCs/>
                <w:sz w:val="20"/>
                <w:szCs w:val="20"/>
                <w:lang w:eastAsia="cs-CZ"/>
              </w:rPr>
              <w:t xml:space="preserve"> </w:t>
            </w:r>
            <w:r w:rsidR="006D7033" w:rsidRPr="00F85178">
              <w:rPr>
                <w:rFonts w:eastAsia="Times New Roman"/>
                <w:b/>
                <w:bCs/>
                <w:sz w:val="20"/>
                <w:szCs w:val="20"/>
                <w:lang w:eastAsia="cs-CZ"/>
              </w:rPr>
              <w:t>b.</w:t>
            </w:r>
          </w:p>
        </w:tc>
      </w:tr>
    </w:tbl>
    <w:p w14:paraId="2C61DD82" w14:textId="77777777" w:rsidR="006D7033" w:rsidRPr="00F85178" w:rsidRDefault="006D7033" w:rsidP="00B55BD2">
      <w:pPr>
        <w:pStyle w:val="OdstavecASR"/>
      </w:pPr>
    </w:p>
    <w:p w14:paraId="417B7FA5" w14:textId="2A0769CC" w:rsidR="00B55BD2" w:rsidRPr="00F85178" w:rsidRDefault="00B55BD2" w:rsidP="00B55BD2">
      <w:pPr>
        <w:pStyle w:val="OdstavecASR"/>
      </w:pPr>
      <w:r w:rsidRPr="00F85178">
        <w:t xml:space="preserve">Míra změny rozsudku v trestním řízení </w:t>
      </w:r>
      <w:r w:rsidR="0011197F" w:rsidRPr="00F85178">
        <w:t>zůstává na vel</w:t>
      </w:r>
      <w:r w:rsidR="00DE61FB" w:rsidRPr="00F85178">
        <w:t>m</w:t>
      </w:r>
      <w:r w:rsidR="0011197F" w:rsidRPr="00F85178">
        <w:t>i nízké úrovni</w:t>
      </w:r>
      <w:r w:rsidRPr="00F85178">
        <w:t xml:space="preserve"> v Jihomoravském kraji a </w:t>
      </w:r>
      <w:r w:rsidR="0011197F" w:rsidRPr="00F85178">
        <w:t xml:space="preserve">nově výrazně poklesla </w:t>
      </w:r>
      <w:r w:rsidR="002236BE" w:rsidRPr="00F85178">
        <w:t>u OS spadajících pod KS Hradec Králové</w:t>
      </w:r>
      <w:r w:rsidRPr="00F85178">
        <w:t xml:space="preserve">. Nejvyšší </w:t>
      </w:r>
      <w:r w:rsidR="002236BE" w:rsidRPr="00F85178">
        <w:t xml:space="preserve">zůstává </w:t>
      </w:r>
      <w:r w:rsidRPr="00F85178">
        <w:t>v Severočeském a Západočeském kraji</w:t>
      </w:r>
      <w:r w:rsidR="002236BE" w:rsidRPr="00F85178">
        <w:t xml:space="preserve"> s mírným nárůstem v roce 2018</w:t>
      </w:r>
      <w:r w:rsidRPr="00F85178">
        <w:t xml:space="preserve">. Z okresních soudů mají nejnižší míru změny rozsudku </w:t>
      </w:r>
      <w:r w:rsidR="00EB5A57" w:rsidRPr="00F85178">
        <w:t>OS Třebíč (7,69</w:t>
      </w:r>
      <w:r w:rsidR="002068E9" w:rsidRPr="00F85178">
        <w:t> </w:t>
      </w:r>
      <w:r w:rsidR="00EB5A57" w:rsidRPr="00F85178">
        <w:t xml:space="preserve">%), </w:t>
      </w:r>
      <w:r w:rsidRPr="00F85178">
        <w:t>OS Rychnov nad Kněžnou (15,</w:t>
      </w:r>
      <w:r w:rsidR="00EB5A57" w:rsidRPr="00F85178">
        <w:t>00</w:t>
      </w:r>
      <w:r w:rsidRPr="00F85178">
        <w:t> %) a OS </w:t>
      </w:r>
      <w:r w:rsidR="00EB5A57" w:rsidRPr="00F85178">
        <w:t xml:space="preserve">Hradec </w:t>
      </w:r>
      <w:r w:rsidR="00995CC2">
        <w:t>K</w:t>
      </w:r>
      <w:r w:rsidR="00EB5A57" w:rsidRPr="00F85178">
        <w:t xml:space="preserve">rálové </w:t>
      </w:r>
      <w:r w:rsidRPr="00F85178">
        <w:t>(</w:t>
      </w:r>
      <w:r w:rsidR="00EB5A57" w:rsidRPr="00F85178">
        <w:t>15</w:t>
      </w:r>
      <w:r w:rsidRPr="00F85178">
        <w:t>,</w:t>
      </w:r>
      <w:r w:rsidR="00EB5A57" w:rsidRPr="00F85178">
        <w:t>96</w:t>
      </w:r>
      <w:r w:rsidRPr="00F85178">
        <w:t xml:space="preserve"> %). Na druhém konci se nacházejí OS </w:t>
      </w:r>
      <w:r w:rsidR="00263C6C" w:rsidRPr="00F85178">
        <w:t xml:space="preserve">Plzeň-sever </w:t>
      </w:r>
      <w:r w:rsidRPr="00F85178">
        <w:t>(67,5</w:t>
      </w:r>
      <w:r w:rsidR="00263C6C" w:rsidRPr="00F85178">
        <w:t>0</w:t>
      </w:r>
      <w:r w:rsidRPr="00F85178">
        <w:t> %), OS Děčín (</w:t>
      </w:r>
      <w:r w:rsidR="00263C6C" w:rsidRPr="00F85178">
        <w:t>72</w:t>
      </w:r>
      <w:r w:rsidRPr="00F85178">
        <w:t>,</w:t>
      </w:r>
      <w:r w:rsidR="00263C6C" w:rsidRPr="00F85178">
        <w:t>8</w:t>
      </w:r>
      <w:r w:rsidRPr="00F85178">
        <w:t>2 %) a OS </w:t>
      </w:r>
      <w:r w:rsidR="00AF3BE4" w:rsidRPr="00F85178">
        <w:t>Tachov</w:t>
      </w:r>
      <w:r w:rsidRPr="00F85178">
        <w:t xml:space="preserve"> (</w:t>
      </w:r>
      <w:r w:rsidR="00AF3BE4" w:rsidRPr="00F85178">
        <w:t>78</w:t>
      </w:r>
      <w:r w:rsidRPr="00F85178">
        <w:t>,</w:t>
      </w:r>
      <w:r w:rsidR="00AF3BE4" w:rsidRPr="00F85178">
        <w:t>26</w:t>
      </w:r>
      <w:r w:rsidRPr="00F85178">
        <w:t> %).</w:t>
      </w:r>
    </w:p>
    <w:p w14:paraId="39DCB85B" w14:textId="77777777" w:rsidR="004B5B6E" w:rsidRPr="00F85178" w:rsidRDefault="004B5B6E" w:rsidP="004B5B6E"/>
    <w:p w14:paraId="6399459C" w14:textId="77777777" w:rsidR="00726A6B" w:rsidRPr="00F85178" w:rsidRDefault="00726A6B" w:rsidP="00726A6B">
      <w:pPr>
        <w:pStyle w:val="Podtitul"/>
        <w:rPr>
          <w:color w:val="auto"/>
        </w:rPr>
      </w:pPr>
      <w:bookmarkStart w:id="248" w:name="_Toc515871362"/>
      <w:bookmarkStart w:id="249" w:name="_Toc11135096"/>
      <w:bookmarkStart w:id="250" w:name="_Toc1383752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35</w:t>
      </w:r>
      <w:r w:rsidRPr="00F85178">
        <w:rPr>
          <w:noProof/>
          <w:color w:val="auto"/>
        </w:rPr>
        <w:fldChar w:fldCharType="end"/>
      </w:r>
      <w:r w:rsidRPr="00F85178">
        <w:rPr>
          <w:color w:val="auto"/>
        </w:rPr>
        <w:t>: OS – míra změny rozsudku u jednotlivých soudů v trestním řízení</w:t>
      </w:r>
      <w:bookmarkEnd w:id="248"/>
      <w:bookmarkEnd w:id="249"/>
      <w:bookmarkEnd w:id="250"/>
    </w:p>
    <w:p w14:paraId="0A10679D" w14:textId="77777777" w:rsidR="00C514C1" w:rsidRPr="00F85178" w:rsidRDefault="00890295" w:rsidP="00770E8A">
      <w:r>
        <w:rPr>
          <w:noProof/>
          <w:lang w:eastAsia="cs-CZ"/>
        </w:rPr>
        <w:drawing>
          <wp:anchor distT="0" distB="0" distL="114300" distR="114300" simplePos="0" relativeHeight="251660800" behindDoc="0" locked="0" layoutInCell="1" allowOverlap="1" wp14:anchorId="441B7FBC" wp14:editId="38D14315">
            <wp:simplePos x="0" y="0"/>
            <wp:positionH relativeFrom="margin">
              <wp:posOffset>4544226</wp:posOffset>
            </wp:positionH>
            <wp:positionV relativeFrom="paragraph">
              <wp:posOffset>46990</wp:posOffset>
            </wp:positionV>
            <wp:extent cx="1170000" cy="856800"/>
            <wp:effectExtent l="0" t="0" r="0" b="635"/>
            <wp:wrapNone/>
            <wp:docPr id="110" name="Obrázek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8"/>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1170000" cy="8568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1911400D" wp14:editId="45D2F063">
            <wp:extent cx="5759450" cy="3329940"/>
            <wp:effectExtent l="0" t="0" r="0" b="0"/>
            <wp:docPr id="36" name="Obrázek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5"/>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3263A1C4" w14:textId="77777777" w:rsidR="00726A6B" w:rsidRPr="00F85178" w:rsidRDefault="00726A6B" w:rsidP="00770E8A"/>
    <w:p w14:paraId="3341AABB" w14:textId="2F06A13B" w:rsidR="000E6515" w:rsidRPr="00F85178" w:rsidRDefault="000E6515" w:rsidP="000E6515">
      <w:pPr>
        <w:pStyle w:val="OdstavecASR"/>
      </w:pPr>
      <w:r w:rsidRPr="00F85178">
        <w:t>Nakonec ještě krátce porovnáme rok 201</w:t>
      </w:r>
      <w:r w:rsidR="0004359D" w:rsidRPr="00F85178">
        <w:t>8</w:t>
      </w:r>
      <w:r w:rsidRPr="00F85178">
        <w:t xml:space="preserve"> s rokem 201</w:t>
      </w:r>
      <w:r w:rsidR="0004359D" w:rsidRPr="00F85178">
        <w:t>7</w:t>
      </w:r>
      <w:r w:rsidRPr="00F85178">
        <w:t xml:space="preserve">. V roce </w:t>
      </w:r>
      <w:r w:rsidR="00946D01" w:rsidRPr="00F85178">
        <w:t xml:space="preserve">2018 byla míra odvolání dle současné metodiky </w:t>
      </w:r>
      <w:r w:rsidR="008E236B" w:rsidRPr="00F85178">
        <w:t>25,13</w:t>
      </w:r>
      <w:r w:rsidR="00995CC2">
        <w:t xml:space="preserve"> </w:t>
      </w:r>
      <w:r w:rsidR="008E236B" w:rsidRPr="00F85178">
        <w:t>% a míra změny rozsudku 42,22</w:t>
      </w:r>
      <w:r w:rsidR="00995CC2">
        <w:t xml:space="preserve"> </w:t>
      </w:r>
      <w:r w:rsidR="008E236B" w:rsidRPr="00F85178">
        <w:t>%.</w:t>
      </w:r>
    </w:p>
    <w:p w14:paraId="793F8931" w14:textId="076BBE5A" w:rsidR="000E6515" w:rsidRPr="00F85178" w:rsidRDefault="000E6515" w:rsidP="000E6515">
      <w:pPr>
        <w:pStyle w:val="OdstavecASR"/>
      </w:pPr>
      <w:r w:rsidRPr="00F85178">
        <w:t xml:space="preserve">Míra </w:t>
      </w:r>
      <w:r w:rsidRPr="003A3197">
        <w:t>celkové</w:t>
      </w:r>
      <w:r w:rsidRPr="00F85178">
        <w:t xml:space="preserve"> změny rozsudku se v roce 2016 rovnala 25,76 % × 39,40 % </w:t>
      </w:r>
      <w:r w:rsidRPr="00F85178">
        <w:rPr>
          <w:rFonts w:ascii="Cambria Math" w:hAnsi="Cambria Math" w:cs="Cambria Math"/>
        </w:rPr>
        <w:t>≐</w:t>
      </w:r>
      <w:r w:rsidRPr="00F85178">
        <w:rPr>
          <w:rFonts w:cs="Cambria Math"/>
        </w:rPr>
        <w:t xml:space="preserve"> </w:t>
      </w:r>
      <w:r w:rsidRPr="00F85178">
        <w:t xml:space="preserve">10,15 %, v roce 2017 24,39 % × 42,18 % </w:t>
      </w:r>
      <w:r w:rsidRPr="00F85178">
        <w:rPr>
          <w:rFonts w:ascii="Cambria Math" w:hAnsi="Cambria Math" w:cs="Cambria Math"/>
        </w:rPr>
        <w:t>≐</w:t>
      </w:r>
      <w:r w:rsidRPr="00F85178">
        <w:rPr>
          <w:rFonts w:cs="Cambria Math"/>
        </w:rPr>
        <w:t xml:space="preserve"> </w:t>
      </w:r>
      <w:r w:rsidRPr="00F85178">
        <w:t>10,29</w:t>
      </w:r>
      <w:r w:rsidR="001F1AE2" w:rsidRPr="00F85178">
        <w:t xml:space="preserve"> a v roce 2018 byla 25,13</w:t>
      </w:r>
      <w:r w:rsidR="00995CC2">
        <w:t xml:space="preserve"> </w:t>
      </w:r>
      <w:r w:rsidR="001F1AE2" w:rsidRPr="00F85178">
        <w:t xml:space="preserve">% </w:t>
      </w:r>
      <w:r w:rsidR="007720D9" w:rsidRPr="00F85178">
        <w:t>×</w:t>
      </w:r>
      <w:r w:rsidR="001F1AE2" w:rsidRPr="00F85178">
        <w:t xml:space="preserve"> 42,22</w:t>
      </w:r>
      <w:r w:rsidR="00995CC2">
        <w:t xml:space="preserve"> </w:t>
      </w:r>
      <w:r w:rsidR="001F1AE2" w:rsidRPr="00F85178">
        <w:t xml:space="preserve">% </w:t>
      </w:r>
      <w:r w:rsidR="001F1AE2" w:rsidRPr="00F85178">
        <w:rPr>
          <w:rFonts w:ascii="Cambria Math" w:hAnsi="Cambria Math" w:cs="Cambria Math"/>
        </w:rPr>
        <w:t xml:space="preserve">≐ </w:t>
      </w:r>
      <w:r w:rsidR="001F1AE2" w:rsidRPr="00F85178">
        <w:t>10,61</w:t>
      </w:r>
      <w:r w:rsidRPr="00F85178">
        <w:t>.</w:t>
      </w:r>
    </w:p>
    <w:p w14:paraId="157F2506" w14:textId="77777777" w:rsidR="000E6515" w:rsidRPr="00F85178" w:rsidRDefault="000E6515" w:rsidP="000E6515">
      <w:pPr>
        <w:pStyle w:val="OdstavecASR"/>
      </w:pPr>
      <w:r w:rsidRPr="00F85178">
        <w:t>Výše uvedená data jsou očištěna o věci skončené trestním příkazem, nicméně údaj o využívání tohoto nástroje je významný. Proto je v následujícím grafu uveden podíl věcí, které byly pravomocně skončeny trestním příkazem.</w:t>
      </w:r>
    </w:p>
    <w:p w14:paraId="49BC1359" w14:textId="77777777" w:rsidR="000E6515" w:rsidRPr="00F85178" w:rsidRDefault="000E6515" w:rsidP="000E6515">
      <w:pPr>
        <w:pStyle w:val="OdstavecASR"/>
      </w:pPr>
      <w:r w:rsidRPr="00F85178">
        <w:t>Nárůst podílu v roce 2013 je dán tím, že s účinností od 1. 1. 2012 byla posunuta nejvyšší zákonná trestní sazba pro věci, které lze řešit ve zkráceném přípravném řízení ze tří na pět let. Tyto věci lze u soudů vyřídit trestním příkazem. Došlo tedy k nárůstu počtu věcí řešených ve zkráceném přípravném řízení, a rozšířil se tak okruh věcí, které lze vyřídit trestním příkazem. K nárůstu ve statistikách došlo až v roce 2013 kvůli časovému posunu (četnost využití se zvyšovala postupně, roli hraje také délka řízení u soudů). Po roce 2013 je v řadě vidět klesající tendenc</w:t>
      </w:r>
      <w:r w:rsidR="008E236B" w:rsidRPr="00F85178">
        <w:t>i až do roku 2016</w:t>
      </w:r>
      <w:r w:rsidRPr="00F85178">
        <w:t xml:space="preserve">. </w:t>
      </w:r>
      <w:r w:rsidR="008E236B" w:rsidRPr="00F85178">
        <w:t xml:space="preserve">To </w:t>
      </w:r>
      <w:r w:rsidRPr="00F85178">
        <w:t xml:space="preserve">zřejmě ukazuje, že pozorovaný pokles celkové kriminality se týká zejména méně závažných věcí, ze kterých se věci řešené trestním příkazem rekrutují, závažnější kriminalita zřejmě klesá méně či vůbec. Tento trend se </w:t>
      </w:r>
      <w:r w:rsidR="008E236B" w:rsidRPr="00F85178">
        <w:t xml:space="preserve">otočil </w:t>
      </w:r>
      <w:r w:rsidRPr="00F85178">
        <w:t>v roce 2017</w:t>
      </w:r>
      <w:r w:rsidR="008E236B" w:rsidRPr="00F85178">
        <w:t xml:space="preserve"> s pokračováním v roce 2018</w:t>
      </w:r>
      <w:r w:rsidRPr="00F85178">
        <w:t>.</w:t>
      </w:r>
    </w:p>
    <w:p w14:paraId="4F3F11B3" w14:textId="77777777" w:rsidR="00A5250B" w:rsidRPr="00F85178" w:rsidRDefault="00CA3840" w:rsidP="00CA3840">
      <w:pPr>
        <w:pStyle w:val="Podtitul"/>
        <w:rPr>
          <w:color w:val="auto"/>
        </w:rPr>
      </w:pPr>
      <w:r w:rsidRPr="00F85178">
        <w:rPr>
          <w:color w:val="auto"/>
        </w:rPr>
        <w:t>Graf 39: OS – podíl věcí skončených trestním příkazem v letech 2008–</w:t>
      </w:r>
      <w:r w:rsidR="00F46896" w:rsidRPr="00F85178">
        <w:rPr>
          <w:color w:val="auto"/>
        </w:rPr>
        <w:t>2018</w:t>
      </w:r>
    </w:p>
    <w:p w14:paraId="4196EE19" w14:textId="77777777" w:rsidR="00820F7C" w:rsidRPr="00F85178" w:rsidRDefault="00890295" w:rsidP="00A5250B">
      <w:pPr>
        <w:pStyle w:val="OdstavecASR"/>
      </w:pPr>
      <w:r>
        <w:rPr>
          <w:noProof/>
          <w:lang w:eastAsia="cs-CZ"/>
        </w:rPr>
        <w:drawing>
          <wp:inline distT="0" distB="0" distL="0" distR="0" wp14:anchorId="485CF29C" wp14:editId="30D4330C">
            <wp:extent cx="5118100" cy="3746500"/>
            <wp:effectExtent l="0" t="0" r="0" b="0"/>
            <wp:docPr id="37" name="Obrázek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9"/>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6390867" w14:textId="77777777" w:rsidR="000E6515" w:rsidRPr="00F85178" w:rsidRDefault="000E6515" w:rsidP="000E6515">
      <w:pPr>
        <w:pStyle w:val="OdstavecASR"/>
      </w:pPr>
      <w:r w:rsidRPr="00F85178">
        <w:t>Jako poslední statistiku v této kapitole uvádíme podíl počtu odsouzených dle hlav trestního zákoníku. Tento podíl je uveden zvlášť pro věci vyřízené trestním příkazem a zvlášť pro věci vyřízené rozsudkem.</w:t>
      </w:r>
    </w:p>
    <w:p w14:paraId="650430A8" w14:textId="6BF5E4F2" w:rsidR="000E6515" w:rsidRPr="00F85178" w:rsidRDefault="000E6515" w:rsidP="000E6515">
      <w:pPr>
        <w:pStyle w:val="OdstavecASR"/>
      </w:pPr>
      <w:r w:rsidRPr="00F85178">
        <w:t>V tabulce níže vidíme, že</w:t>
      </w:r>
      <w:r w:rsidR="00D60C8E" w:rsidRPr="00F85178">
        <w:t xml:space="preserve"> v porovnání s rokem 2017 zůstává rozložení nejčastěji páchaných trestných činů stejné i v roce 2018, i když došlo k mírnému poklesu trestných činů proti majetku a</w:t>
      </w:r>
      <w:r w:rsidR="009E0D3E">
        <w:t> </w:t>
      </w:r>
      <w:r w:rsidR="00D60C8E" w:rsidRPr="00F85178">
        <w:t>mírnému nárůstu trestných činů obecně nebezpečných.</w:t>
      </w:r>
      <w:r w:rsidRPr="00F85178">
        <w:t xml:space="preserve"> </w:t>
      </w:r>
      <w:r w:rsidR="00D60C8E" w:rsidRPr="00F85178">
        <w:t>N</w:t>
      </w:r>
      <w:r w:rsidRPr="00F85178">
        <w:t xml:space="preserve">ejběžnější jsou trestné činy proti majetku, především trestný čin </w:t>
      </w:r>
      <w:r w:rsidRPr="00F85178">
        <w:rPr>
          <w:i/>
        </w:rPr>
        <w:t>krádeže</w:t>
      </w:r>
      <w:r w:rsidRPr="00F85178">
        <w:t xml:space="preserve">, za který byla odsouzena více než polovina odsouzených osob v této hlavě. Velmi časté jsou také trestné činy obecně nebezpečné (více než ¾ osob v této hlavě jsou odsouzeny za trestný čin </w:t>
      </w:r>
      <w:r w:rsidRPr="00F85178">
        <w:rPr>
          <w:i/>
        </w:rPr>
        <w:t>ohrožení pod vlivem návykové látky</w:t>
      </w:r>
      <w:r w:rsidRPr="00F85178">
        <w:t xml:space="preserve">) a trestné činy proti pořádku ve věcech veřejných (především trestný čin </w:t>
      </w:r>
      <w:r w:rsidRPr="00F85178">
        <w:rPr>
          <w:i/>
        </w:rPr>
        <w:t>maření výkonu úředního rozhodnutí a vykázání</w:t>
      </w:r>
      <w:r w:rsidRPr="00F85178">
        <w:t>, který tvoří více než polovinu odsouzených v této hlavě).</w:t>
      </w:r>
    </w:p>
    <w:p w14:paraId="6CCB83AE" w14:textId="77777777" w:rsidR="000E6515" w:rsidRPr="00F85178" w:rsidRDefault="000E6515" w:rsidP="00A5250B">
      <w:pPr>
        <w:pStyle w:val="OdstavecASR"/>
      </w:pPr>
      <w:r w:rsidRPr="00F85178">
        <w:t>V tabulce na konci této podkapitoly uvádíme nejběžnější trestné činy dle jednotlivých hlav trestního zákoníku</w:t>
      </w:r>
      <w:r w:rsidR="00F637DA" w:rsidRPr="00F85178">
        <w:t>, které opět zůstávají stejné jako v roce 2017</w:t>
      </w:r>
      <w:r w:rsidRPr="00F85178">
        <w:t>.</w:t>
      </w:r>
    </w:p>
    <w:p w14:paraId="5687A491" w14:textId="77777777" w:rsidR="00820F7C" w:rsidRPr="00F85178" w:rsidRDefault="00820F7C">
      <w:pPr>
        <w:spacing w:line="240" w:lineRule="auto"/>
        <w:jc w:val="left"/>
      </w:pPr>
      <w:r w:rsidRPr="00F85178">
        <w:br w:type="page"/>
      </w:r>
    </w:p>
    <w:p w14:paraId="2CC14058" w14:textId="77777777" w:rsidR="00CA3840" w:rsidRPr="00F85178" w:rsidRDefault="00820F7C" w:rsidP="00820F7C">
      <w:pPr>
        <w:pStyle w:val="Podtitul"/>
        <w:rPr>
          <w:color w:val="auto"/>
        </w:rPr>
      </w:pPr>
      <w:bookmarkStart w:id="251" w:name="_Toc515871458"/>
      <w:bookmarkStart w:id="252" w:name="_Toc11133226"/>
      <w:bookmarkStart w:id="253" w:name="_Toc1383744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24</w:t>
      </w:r>
      <w:r w:rsidRPr="00F85178">
        <w:rPr>
          <w:noProof/>
          <w:color w:val="auto"/>
        </w:rPr>
        <w:fldChar w:fldCharType="end"/>
      </w:r>
      <w:r w:rsidRPr="00F85178">
        <w:rPr>
          <w:color w:val="auto"/>
        </w:rPr>
        <w:t>: OS – podíl počtu odsouzených dle hlav trestního zákoníku</w:t>
      </w:r>
      <w:bookmarkEnd w:id="251"/>
      <w:bookmarkEnd w:id="252"/>
      <w:bookmarkEnd w:id="253"/>
    </w:p>
    <w:tbl>
      <w:tblPr>
        <w:tblW w:w="8940" w:type="dxa"/>
        <w:tblInd w:w="70" w:type="dxa"/>
        <w:tblCellMar>
          <w:left w:w="70" w:type="dxa"/>
          <w:right w:w="70" w:type="dxa"/>
        </w:tblCellMar>
        <w:tblLook w:val="04A0" w:firstRow="1" w:lastRow="0" w:firstColumn="1" w:lastColumn="0" w:noHBand="0" w:noVBand="1"/>
      </w:tblPr>
      <w:tblGrid>
        <w:gridCol w:w="1080"/>
        <w:gridCol w:w="3340"/>
        <w:gridCol w:w="1723"/>
        <w:gridCol w:w="2797"/>
      </w:tblGrid>
      <w:tr w:rsidR="00F85178" w:rsidRPr="00F85178" w14:paraId="4F9F05CE" w14:textId="77777777" w:rsidTr="00682461">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0CCE3881" w14:textId="77777777" w:rsidR="00682461" w:rsidRPr="00F85178" w:rsidRDefault="00682461" w:rsidP="00682461">
            <w:pPr>
              <w:spacing w:line="240" w:lineRule="auto"/>
              <w:jc w:val="center"/>
              <w:rPr>
                <w:rFonts w:eastAsia="Times New Roman"/>
                <w:b/>
                <w:bCs/>
                <w:szCs w:val="24"/>
                <w:lang w:eastAsia="cs-CZ"/>
              </w:rPr>
            </w:pPr>
            <w:r w:rsidRPr="00F85178">
              <w:rPr>
                <w:rFonts w:eastAsia="Times New Roman"/>
                <w:b/>
                <w:bCs/>
                <w:szCs w:val="24"/>
                <w:lang w:eastAsia="cs-CZ"/>
              </w:rPr>
              <w:t>Hlava</w:t>
            </w:r>
          </w:p>
        </w:tc>
        <w:tc>
          <w:tcPr>
            <w:tcW w:w="3340" w:type="dxa"/>
            <w:vMerge w:val="restart"/>
            <w:tcBorders>
              <w:top w:val="double" w:sz="6" w:space="0" w:color="auto"/>
              <w:left w:val="nil"/>
              <w:bottom w:val="double" w:sz="6" w:space="0" w:color="000000"/>
              <w:right w:val="nil"/>
            </w:tcBorders>
            <w:shd w:val="clear" w:color="auto" w:fill="auto"/>
            <w:vAlign w:val="center"/>
            <w:hideMark/>
          </w:tcPr>
          <w:p w14:paraId="5E5A59BE" w14:textId="77777777" w:rsidR="00682461" w:rsidRPr="00F85178" w:rsidRDefault="00682461" w:rsidP="00682461">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520" w:type="dxa"/>
            <w:gridSpan w:val="2"/>
            <w:tcBorders>
              <w:top w:val="double" w:sz="6" w:space="0" w:color="auto"/>
              <w:left w:val="nil"/>
              <w:bottom w:val="nil"/>
              <w:right w:val="nil"/>
            </w:tcBorders>
            <w:shd w:val="clear" w:color="auto" w:fill="auto"/>
            <w:noWrap/>
            <w:vAlign w:val="center"/>
            <w:hideMark/>
          </w:tcPr>
          <w:p w14:paraId="4B31C6A8" w14:textId="77777777" w:rsidR="00682461" w:rsidRPr="00F85178" w:rsidRDefault="00682461" w:rsidP="00682461">
            <w:pPr>
              <w:spacing w:line="240" w:lineRule="auto"/>
              <w:jc w:val="center"/>
              <w:rPr>
                <w:rFonts w:eastAsia="Times New Roman"/>
                <w:b/>
                <w:bCs/>
                <w:szCs w:val="24"/>
                <w:lang w:eastAsia="cs-CZ"/>
              </w:rPr>
            </w:pPr>
            <w:r w:rsidRPr="00F85178">
              <w:rPr>
                <w:rFonts w:eastAsia="Times New Roman"/>
                <w:b/>
                <w:bCs/>
                <w:szCs w:val="24"/>
                <w:lang w:eastAsia="cs-CZ"/>
              </w:rPr>
              <w:t>Podíl v % na počtu odsouzených</w:t>
            </w:r>
          </w:p>
        </w:tc>
      </w:tr>
      <w:tr w:rsidR="00F85178" w:rsidRPr="00F85178" w14:paraId="48317C4F" w14:textId="77777777" w:rsidTr="00682461">
        <w:trPr>
          <w:trHeight w:val="330"/>
        </w:trPr>
        <w:tc>
          <w:tcPr>
            <w:tcW w:w="1080" w:type="dxa"/>
            <w:vMerge/>
            <w:tcBorders>
              <w:top w:val="double" w:sz="6" w:space="0" w:color="auto"/>
              <w:left w:val="nil"/>
              <w:bottom w:val="double" w:sz="6" w:space="0" w:color="000000"/>
              <w:right w:val="nil"/>
            </w:tcBorders>
            <w:vAlign w:val="center"/>
            <w:hideMark/>
          </w:tcPr>
          <w:p w14:paraId="22AE8375" w14:textId="77777777" w:rsidR="00682461" w:rsidRPr="00F85178" w:rsidRDefault="00682461" w:rsidP="00682461">
            <w:pPr>
              <w:spacing w:line="240" w:lineRule="auto"/>
              <w:jc w:val="left"/>
              <w:rPr>
                <w:rFonts w:eastAsia="Times New Roman"/>
                <w:b/>
                <w:bCs/>
                <w:szCs w:val="24"/>
                <w:lang w:eastAsia="cs-CZ"/>
              </w:rPr>
            </w:pPr>
          </w:p>
        </w:tc>
        <w:tc>
          <w:tcPr>
            <w:tcW w:w="3340" w:type="dxa"/>
            <w:vMerge/>
            <w:tcBorders>
              <w:top w:val="double" w:sz="6" w:space="0" w:color="auto"/>
              <w:left w:val="nil"/>
              <w:bottom w:val="double" w:sz="6" w:space="0" w:color="000000"/>
              <w:right w:val="nil"/>
            </w:tcBorders>
            <w:vAlign w:val="center"/>
            <w:hideMark/>
          </w:tcPr>
          <w:p w14:paraId="1BF5EE42" w14:textId="77777777" w:rsidR="00682461" w:rsidRPr="00F85178" w:rsidRDefault="00682461" w:rsidP="00682461">
            <w:pPr>
              <w:spacing w:line="240" w:lineRule="auto"/>
              <w:jc w:val="left"/>
              <w:rPr>
                <w:rFonts w:eastAsia="Times New Roman"/>
                <w:b/>
                <w:bCs/>
                <w:szCs w:val="24"/>
                <w:lang w:eastAsia="cs-CZ"/>
              </w:rPr>
            </w:pPr>
          </w:p>
        </w:tc>
        <w:tc>
          <w:tcPr>
            <w:tcW w:w="1723" w:type="dxa"/>
            <w:tcBorders>
              <w:top w:val="nil"/>
              <w:left w:val="nil"/>
              <w:bottom w:val="double" w:sz="6" w:space="0" w:color="auto"/>
              <w:right w:val="nil"/>
            </w:tcBorders>
            <w:shd w:val="clear" w:color="auto" w:fill="auto"/>
            <w:noWrap/>
            <w:vAlign w:val="center"/>
            <w:hideMark/>
          </w:tcPr>
          <w:p w14:paraId="44C209C8" w14:textId="77777777" w:rsidR="00682461" w:rsidRPr="00F85178" w:rsidRDefault="00682461" w:rsidP="00682461">
            <w:pPr>
              <w:spacing w:line="240" w:lineRule="auto"/>
              <w:jc w:val="center"/>
              <w:rPr>
                <w:rFonts w:eastAsia="Times New Roman"/>
                <w:b/>
                <w:bCs/>
                <w:szCs w:val="24"/>
                <w:lang w:eastAsia="cs-CZ"/>
              </w:rPr>
            </w:pPr>
            <w:r w:rsidRPr="00F85178">
              <w:rPr>
                <w:rFonts w:eastAsia="Times New Roman"/>
                <w:b/>
                <w:bCs/>
                <w:szCs w:val="24"/>
                <w:lang w:eastAsia="cs-CZ"/>
              </w:rPr>
              <w:t>Vyřízeno TP</w:t>
            </w:r>
          </w:p>
        </w:tc>
        <w:tc>
          <w:tcPr>
            <w:tcW w:w="2797" w:type="dxa"/>
            <w:tcBorders>
              <w:top w:val="nil"/>
              <w:left w:val="nil"/>
              <w:bottom w:val="double" w:sz="6" w:space="0" w:color="auto"/>
              <w:right w:val="nil"/>
            </w:tcBorders>
            <w:shd w:val="clear" w:color="auto" w:fill="auto"/>
            <w:noWrap/>
            <w:vAlign w:val="center"/>
            <w:hideMark/>
          </w:tcPr>
          <w:p w14:paraId="62FE1326" w14:textId="77777777" w:rsidR="00682461" w:rsidRPr="00F85178" w:rsidRDefault="00682461" w:rsidP="00682461">
            <w:pPr>
              <w:spacing w:line="240" w:lineRule="auto"/>
              <w:jc w:val="center"/>
              <w:rPr>
                <w:rFonts w:eastAsia="Times New Roman"/>
                <w:b/>
                <w:bCs/>
                <w:szCs w:val="24"/>
                <w:lang w:eastAsia="cs-CZ"/>
              </w:rPr>
            </w:pPr>
            <w:r w:rsidRPr="00F85178">
              <w:rPr>
                <w:rFonts w:eastAsia="Times New Roman"/>
                <w:b/>
                <w:bCs/>
                <w:szCs w:val="24"/>
                <w:lang w:eastAsia="cs-CZ"/>
              </w:rPr>
              <w:t>Vyřízeno rozsudkem</w:t>
            </w:r>
          </w:p>
        </w:tc>
      </w:tr>
      <w:tr w:rsidR="00F85178" w:rsidRPr="00F85178" w14:paraId="5001FAB0" w14:textId="77777777" w:rsidTr="00682461">
        <w:trPr>
          <w:trHeight w:val="330"/>
        </w:trPr>
        <w:tc>
          <w:tcPr>
            <w:tcW w:w="1080" w:type="dxa"/>
            <w:tcBorders>
              <w:top w:val="nil"/>
              <w:left w:val="nil"/>
              <w:bottom w:val="single" w:sz="4" w:space="0" w:color="auto"/>
              <w:right w:val="nil"/>
            </w:tcBorders>
            <w:shd w:val="clear" w:color="auto" w:fill="auto"/>
            <w:noWrap/>
            <w:vAlign w:val="center"/>
            <w:hideMark/>
          </w:tcPr>
          <w:p w14:paraId="2D7AC4E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59E1BD52"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1723" w:type="dxa"/>
            <w:tcBorders>
              <w:top w:val="nil"/>
              <w:left w:val="nil"/>
              <w:bottom w:val="single" w:sz="4" w:space="0" w:color="auto"/>
              <w:right w:val="nil"/>
            </w:tcBorders>
            <w:shd w:val="clear" w:color="auto" w:fill="auto"/>
            <w:noWrap/>
            <w:vAlign w:val="center"/>
            <w:hideMark/>
          </w:tcPr>
          <w:p w14:paraId="4428CAFB"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5,73</w:t>
            </w:r>
          </w:p>
        </w:tc>
        <w:tc>
          <w:tcPr>
            <w:tcW w:w="2797" w:type="dxa"/>
            <w:tcBorders>
              <w:top w:val="nil"/>
              <w:left w:val="nil"/>
              <w:bottom w:val="single" w:sz="4" w:space="0" w:color="auto"/>
              <w:right w:val="nil"/>
            </w:tcBorders>
            <w:shd w:val="clear" w:color="auto" w:fill="auto"/>
            <w:noWrap/>
            <w:vAlign w:val="center"/>
            <w:hideMark/>
          </w:tcPr>
          <w:p w14:paraId="6BFFD101"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8,97</w:t>
            </w:r>
          </w:p>
        </w:tc>
      </w:tr>
      <w:tr w:rsidR="00F85178" w:rsidRPr="00F85178" w14:paraId="11C37475" w14:textId="77777777" w:rsidTr="00682461">
        <w:trPr>
          <w:trHeight w:val="945"/>
        </w:trPr>
        <w:tc>
          <w:tcPr>
            <w:tcW w:w="1080" w:type="dxa"/>
            <w:tcBorders>
              <w:top w:val="nil"/>
              <w:left w:val="nil"/>
              <w:bottom w:val="single" w:sz="4" w:space="0" w:color="auto"/>
              <w:right w:val="nil"/>
            </w:tcBorders>
            <w:shd w:val="clear" w:color="auto" w:fill="auto"/>
            <w:noWrap/>
            <w:vAlign w:val="center"/>
            <w:hideMark/>
          </w:tcPr>
          <w:p w14:paraId="76FB1E5B"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1AC882E5"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1723" w:type="dxa"/>
            <w:tcBorders>
              <w:top w:val="nil"/>
              <w:left w:val="nil"/>
              <w:bottom w:val="single" w:sz="4" w:space="0" w:color="auto"/>
              <w:right w:val="nil"/>
            </w:tcBorders>
            <w:shd w:val="clear" w:color="auto" w:fill="auto"/>
            <w:noWrap/>
            <w:vAlign w:val="center"/>
            <w:hideMark/>
          </w:tcPr>
          <w:p w14:paraId="19524C28"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2,68</w:t>
            </w:r>
          </w:p>
        </w:tc>
        <w:tc>
          <w:tcPr>
            <w:tcW w:w="2797" w:type="dxa"/>
            <w:tcBorders>
              <w:top w:val="nil"/>
              <w:left w:val="nil"/>
              <w:bottom w:val="single" w:sz="4" w:space="0" w:color="auto"/>
              <w:right w:val="nil"/>
            </w:tcBorders>
            <w:shd w:val="clear" w:color="auto" w:fill="auto"/>
            <w:noWrap/>
            <w:vAlign w:val="center"/>
            <w:hideMark/>
          </w:tcPr>
          <w:p w14:paraId="05406085"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7,14</w:t>
            </w:r>
          </w:p>
        </w:tc>
      </w:tr>
      <w:tr w:rsidR="00F85178" w:rsidRPr="00F85178" w14:paraId="4E8BAC97" w14:textId="77777777" w:rsidTr="00682461">
        <w:trPr>
          <w:trHeight w:val="630"/>
        </w:trPr>
        <w:tc>
          <w:tcPr>
            <w:tcW w:w="1080" w:type="dxa"/>
            <w:tcBorders>
              <w:top w:val="nil"/>
              <w:left w:val="nil"/>
              <w:bottom w:val="single" w:sz="4" w:space="0" w:color="auto"/>
              <w:right w:val="nil"/>
            </w:tcBorders>
            <w:shd w:val="clear" w:color="auto" w:fill="auto"/>
            <w:noWrap/>
            <w:vAlign w:val="center"/>
            <w:hideMark/>
          </w:tcPr>
          <w:p w14:paraId="12577171"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3FA7B3B9"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1723" w:type="dxa"/>
            <w:tcBorders>
              <w:top w:val="nil"/>
              <w:left w:val="nil"/>
              <w:bottom w:val="single" w:sz="4" w:space="0" w:color="auto"/>
              <w:right w:val="nil"/>
            </w:tcBorders>
            <w:shd w:val="clear" w:color="auto" w:fill="auto"/>
            <w:noWrap/>
            <w:vAlign w:val="center"/>
            <w:hideMark/>
          </w:tcPr>
          <w:p w14:paraId="1FA6987A"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0,28</w:t>
            </w:r>
          </w:p>
        </w:tc>
        <w:tc>
          <w:tcPr>
            <w:tcW w:w="2797" w:type="dxa"/>
            <w:tcBorders>
              <w:top w:val="nil"/>
              <w:left w:val="nil"/>
              <w:bottom w:val="single" w:sz="4" w:space="0" w:color="auto"/>
              <w:right w:val="nil"/>
            </w:tcBorders>
            <w:shd w:val="clear" w:color="auto" w:fill="auto"/>
            <w:noWrap/>
            <w:vAlign w:val="center"/>
            <w:hideMark/>
          </w:tcPr>
          <w:p w14:paraId="553432B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2,36</w:t>
            </w:r>
          </w:p>
        </w:tc>
      </w:tr>
      <w:tr w:rsidR="00F85178" w:rsidRPr="00F85178" w14:paraId="25DB5502" w14:textId="77777777" w:rsidTr="00682461">
        <w:trPr>
          <w:trHeight w:val="315"/>
        </w:trPr>
        <w:tc>
          <w:tcPr>
            <w:tcW w:w="1080" w:type="dxa"/>
            <w:tcBorders>
              <w:top w:val="nil"/>
              <w:left w:val="nil"/>
              <w:bottom w:val="single" w:sz="4" w:space="0" w:color="auto"/>
              <w:right w:val="nil"/>
            </w:tcBorders>
            <w:shd w:val="clear" w:color="auto" w:fill="auto"/>
            <w:noWrap/>
            <w:vAlign w:val="center"/>
            <w:hideMark/>
          </w:tcPr>
          <w:p w14:paraId="5F690993"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5BA13BBF"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1723" w:type="dxa"/>
            <w:tcBorders>
              <w:top w:val="nil"/>
              <w:left w:val="nil"/>
              <w:bottom w:val="single" w:sz="4" w:space="0" w:color="auto"/>
              <w:right w:val="nil"/>
            </w:tcBorders>
            <w:shd w:val="clear" w:color="auto" w:fill="auto"/>
            <w:noWrap/>
            <w:vAlign w:val="center"/>
            <w:hideMark/>
          </w:tcPr>
          <w:p w14:paraId="537DE514"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14,06</w:t>
            </w:r>
          </w:p>
        </w:tc>
        <w:tc>
          <w:tcPr>
            <w:tcW w:w="2797" w:type="dxa"/>
            <w:tcBorders>
              <w:top w:val="nil"/>
              <w:left w:val="nil"/>
              <w:bottom w:val="single" w:sz="4" w:space="0" w:color="auto"/>
              <w:right w:val="nil"/>
            </w:tcBorders>
            <w:shd w:val="clear" w:color="auto" w:fill="auto"/>
            <w:noWrap/>
            <w:vAlign w:val="center"/>
            <w:hideMark/>
          </w:tcPr>
          <w:p w14:paraId="1FCA102D"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9,34</w:t>
            </w:r>
          </w:p>
        </w:tc>
      </w:tr>
      <w:tr w:rsidR="00F85178" w:rsidRPr="00F85178" w14:paraId="245BC165" w14:textId="77777777" w:rsidTr="00682461">
        <w:trPr>
          <w:trHeight w:val="315"/>
        </w:trPr>
        <w:tc>
          <w:tcPr>
            <w:tcW w:w="1080" w:type="dxa"/>
            <w:tcBorders>
              <w:top w:val="nil"/>
              <w:left w:val="nil"/>
              <w:bottom w:val="single" w:sz="4" w:space="0" w:color="auto"/>
              <w:right w:val="nil"/>
            </w:tcBorders>
            <w:shd w:val="clear" w:color="auto" w:fill="auto"/>
            <w:noWrap/>
            <w:vAlign w:val="center"/>
            <w:hideMark/>
          </w:tcPr>
          <w:p w14:paraId="6A58EC37"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706AE68D"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1723" w:type="dxa"/>
            <w:tcBorders>
              <w:top w:val="nil"/>
              <w:left w:val="nil"/>
              <w:bottom w:val="single" w:sz="4" w:space="0" w:color="auto"/>
              <w:right w:val="nil"/>
            </w:tcBorders>
            <w:shd w:val="clear" w:color="auto" w:fill="auto"/>
            <w:noWrap/>
            <w:vAlign w:val="center"/>
            <w:hideMark/>
          </w:tcPr>
          <w:p w14:paraId="501B90A1"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27,57</w:t>
            </w:r>
          </w:p>
        </w:tc>
        <w:tc>
          <w:tcPr>
            <w:tcW w:w="2797" w:type="dxa"/>
            <w:tcBorders>
              <w:top w:val="nil"/>
              <w:left w:val="nil"/>
              <w:bottom w:val="single" w:sz="4" w:space="0" w:color="auto"/>
              <w:right w:val="nil"/>
            </w:tcBorders>
            <w:shd w:val="clear" w:color="auto" w:fill="auto"/>
            <w:noWrap/>
            <w:vAlign w:val="center"/>
            <w:hideMark/>
          </w:tcPr>
          <w:p w14:paraId="4C884F6C"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36,11</w:t>
            </w:r>
          </w:p>
        </w:tc>
      </w:tr>
      <w:tr w:rsidR="00F85178" w:rsidRPr="00F85178" w14:paraId="20AD94F4" w14:textId="77777777" w:rsidTr="00682461">
        <w:trPr>
          <w:trHeight w:val="315"/>
        </w:trPr>
        <w:tc>
          <w:tcPr>
            <w:tcW w:w="1080" w:type="dxa"/>
            <w:tcBorders>
              <w:top w:val="nil"/>
              <w:left w:val="nil"/>
              <w:bottom w:val="single" w:sz="4" w:space="0" w:color="auto"/>
              <w:right w:val="nil"/>
            </w:tcBorders>
            <w:shd w:val="clear" w:color="auto" w:fill="auto"/>
            <w:noWrap/>
            <w:vAlign w:val="center"/>
            <w:hideMark/>
          </w:tcPr>
          <w:p w14:paraId="6F170D64"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62699D07"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1723" w:type="dxa"/>
            <w:tcBorders>
              <w:top w:val="nil"/>
              <w:left w:val="nil"/>
              <w:bottom w:val="single" w:sz="4" w:space="0" w:color="auto"/>
              <w:right w:val="nil"/>
            </w:tcBorders>
            <w:shd w:val="clear" w:color="auto" w:fill="auto"/>
            <w:noWrap/>
            <w:vAlign w:val="center"/>
            <w:hideMark/>
          </w:tcPr>
          <w:p w14:paraId="08B9FE5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2,45</w:t>
            </w:r>
          </w:p>
        </w:tc>
        <w:tc>
          <w:tcPr>
            <w:tcW w:w="2797" w:type="dxa"/>
            <w:tcBorders>
              <w:top w:val="nil"/>
              <w:left w:val="nil"/>
              <w:bottom w:val="single" w:sz="4" w:space="0" w:color="auto"/>
              <w:right w:val="nil"/>
            </w:tcBorders>
            <w:shd w:val="clear" w:color="auto" w:fill="auto"/>
            <w:noWrap/>
            <w:vAlign w:val="center"/>
            <w:hideMark/>
          </w:tcPr>
          <w:p w14:paraId="62603A68"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2,43</w:t>
            </w:r>
          </w:p>
        </w:tc>
      </w:tr>
      <w:tr w:rsidR="00F85178" w:rsidRPr="00F85178" w14:paraId="794F2710" w14:textId="77777777" w:rsidTr="00682461">
        <w:trPr>
          <w:trHeight w:val="315"/>
        </w:trPr>
        <w:tc>
          <w:tcPr>
            <w:tcW w:w="1080" w:type="dxa"/>
            <w:tcBorders>
              <w:top w:val="nil"/>
              <w:left w:val="nil"/>
              <w:bottom w:val="single" w:sz="4" w:space="0" w:color="auto"/>
              <w:right w:val="nil"/>
            </w:tcBorders>
            <w:shd w:val="clear" w:color="auto" w:fill="auto"/>
            <w:noWrap/>
            <w:vAlign w:val="center"/>
            <w:hideMark/>
          </w:tcPr>
          <w:p w14:paraId="3E382111"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0A596D82"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1723" w:type="dxa"/>
            <w:tcBorders>
              <w:top w:val="nil"/>
              <w:left w:val="nil"/>
              <w:bottom w:val="single" w:sz="4" w:space="0" w:color="auto"/>
              <w:right w:val="nil"/>
            </w:tcBorders>
            <w:shd w:val="clear" w:color="auto" w:fill="auto"/>
            <w:noWrap/>
            <w:vAlign w:val="center"/>
            <w:hideMark/>
          </w:tcPr>
          <w:p w14:paraId="23CAD005"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27,58</w:t>
            </w:r>
          </w:p>
        </w:tc>
        <w:tc>
          <w:tcPr>
            <w:tcW w:w="2797" w:type="dxa"/>
            <w:tcBorders>
              <w:top w:val="nil"/>
              <w:left w:val="nil"/>
              <w:bottom w:val="single" w:sz="4" w:space="0" w:color="auto"/>
              <w:right w:val="nil"/>
            </w:tcBorders>
            <w:shd w:val="clear" w:color="auto" w:fill="auto"/>
            <w:noWrap/>
            <w:vAlign w:val="center"/>
            <w:hideMark/>
          </w:tcPr>
          <w:p w14:paraId="369B27B5"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13,14</w:t>
            </w:r>
          </w:p>
        </w:tc>
      </w:tr>
      <w:tr w:rsidR="00F85178" w:rsidRPr="00F85178" w14:paraId="0894AF9B" w14:textId="77777777" w:rsidTr="00682461">
        <w:trPr>
          <w:trHeight w:val="630"/>
        </w:trPr>
        <w:tc>
          <w:tcPr>
            <w:tcW w:w="1080" w:type="dxa"/>
            <w:tcBorders>
              <w:top w:val="nil"/>
              <w:left w:val="nil"/>
              <w:bottom w:val="single" w:sz="4" w:space="0" w:color="auto"/>
              <w:right w:val="nil"/>
            </w:tcBorders>
            <w:shd w:val="clear" w:color="auto" w:fill="auto"/>
            <w:noWrap/>
            <w:vAlign w:val="center"/>
            <w:hideMark/>
          </w:tcPr>
          <w:p w14:paraId="6C9A889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7F7826AE"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1723" w:type="dxa"/>
            <w:tcBorders>
              <w:top w:val="nil"/>
              <w:left w:val="nil"/>
              <w:bottom w:val="single" w:sz="4" w:space="0" w:color="auto"/>
              <w:right w:val="nil"/>
            </w:tcBorders>
            <w:shd w:val="clear" w:color="auto" w:fill="auto"/>
            <w:noWrap/>
            <w:vAlign w:val="center"/>
            <w:hideMark/>
          </w:tcPr>
          <w:p w14:paraId="3F70E935"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0,09</w:t>
            </w:r>
          </w:p>
        </w:tc>
        <w:tc>
          <w:tcPr>
            <w:tcW w:w="2797" w:type="dxa"/>
            <w:tcBorders>
              <w:top w:val="nil"/>
              <w:left w:val="nil"/>
              <w:bottom w:val="single" w:sz="4" w:space="0" w:color="auto"/>
              <w:right w:val="nil"/>
            </w:tcBorders>
            <w:shd w:val="clear" w:color="auto" w:fill="auto"/>
            <w:noWrap/>
            <w:vAlign w:val="center"/>
            <w:hideMark/>
          </w:tcPr>
          <w:p w14:paraId="69AF63CD"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0,11</w:t>
            </w:r>
          </w:p>
        </w:tc>
      </w:tr>
      <w:tr w:rsidR="00F85178" w:rsidRPr="00F85178" w14:paraId="0C356143" w14:textId="77777777" w:rsidTr="00682461">
        <w:trPr>
          <w:trHeight w:val="945"/>
        </w:trPr>
        <w:tc>
          <w:tcPr>
            <w:tcW w:w="1080" w:type="dxa"/>
            <w:tcBorders>
              <w:top w:val="nil"/>
              <w:left w:val="nil"/>
              <w:bottom w:val="single" w:sz="4" w:space="0" w:color="auto"/>
              <w:right w:val="nil"/>
            </w:tcBorders>
            <w:shd w:val="clear" w:color="auto" w:fill="auto"/>
            <w:noWrap/>
            <w:vAlign w:val="center"/>
            <w:hideMark/>
          </w:tcPr>
          <w:p w14:paraId="4B2171A6"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5D11CAD0"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p>
        </w:tc>
        <w:tc>
          <w:tcPr>
            <w:tcW w:w="1723" w:type="dxa"/>
            <w:tcBorders>
              <w:top w:val="nil"/>
              <w:left w:val="nil"/>
              <w:bottom w:val="single" w:sz="4" w:space="0" w:color="auto"/>
              <w:right w:val="nil"/>
            </w:tcBorders>
            <w:shd w:val="clear" w:color="auto" w:fill="auto"/>
            <w:noWrap/>
            <w:vAlign w:val="center"/>
            <w:hideMark/>
          </w:tcPr>
          <w:p w14:paraId="0E9E81C8"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71E57E90"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5D860E28" w14:textId="77777777" w:rsidTr="00682461">
        <w:trPr>
          <w:trHeight w:val="630"/>
        </w:trPr>
        <w:tc>
          <w:tcPr>
            <w:tcW w:w="1080" w:type="dxa"/>
            <w:tcBorders>
              <w:top w:val="nil"/>
              <w:left w:val="nil"/>
              <w:bottom w:val="single" w:sz="4" w:space="0" w:color="auto"/>
              <w:right w:val="nil"/>
            </w:tcBorders>
            <w:shd w:val="clear" w:color="auto" w:fill="auto"/>
            <w:noWrap/>
            <w:vAlign w:val="center"/>
            <w:hideMark/>
          </w:tcPr>
          <w:p w14:paraId="76E1000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30CC2C8C"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1723" w:type="dxa"/>
            <w:tcBorders>
              <w:top w:val="nil"/>
              <w:left w:val="nil"/>
              <w:bottom w:val="single" w:sz="4" w:space="0" w:color="auto"/>
              <w:right w:val="nil"/>
            </w:tcBorders>
            <w:shd w:val="clear" w:color="auto" w:fill="auto"/>
            <w:noWrap/>
            <w:vAlign w:val="center"/>
            <w:hideMark/>
          </w:tcPr>
          <w:p w14:paraId="23D5BC52"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19,46</w:t>
            </w:r>
          </w:p>
        </w:tc>
        <w:tc>
          <w:tcPr>
            <w:tcW w:w="2797" w:type="dxa"/>
            <w:tcBorders>
              <w:top w:val="nil"/>
              <w:left w:val="nil"/>
              <w:bottom w:val="single" w:sz="4" w:space="0" w:color="auto"/>
              <w:right w:val="nil"/>
            </w:tcBorders>
            <w:shd w:val="clear" w:color="auto" w:fill="auto"/>
            <w:noWrap/>
            <w:vAlign w:val="center"/>
            <w:hideMark/>
          </w:tcPr>
          <w:p w14:paraId="59A657E0"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20,35</w:t>
            </w:r>
          </w:p>
        </w:tc>
      </w:tr>
      <w:tr w:rsidR="00F85178" w:rsidRPr="00F85178" w14:paraId="7800380B" w14:textId="77777777" w:rsidTr="00682461">
        <w:trPr>
          <w:trHeight w:val="630"/>
        </w:trPr>
        <w:tc>
          <w:tcPr>
            <w:tcW w:w="1080" w:type="dxa"/>
            <w:tcBorders>
              <w:top w:val="nil"/>
              <w:left w:val="nil"/>
              <w:bottom w:val="single" w:sz="4" w:space="0" w:color="auto"/>
              <w:right w:val="nil"/>
            </w:tcBorders>
            <w:shd w:val="clear" w:color="auto" w:fill="auto"/>
            <w:noWrap/>
            <w:vAlign w:val="center"/>
            <w:hideMark/>
          </w:tcPr>
          <w:p w14:paraId="7AD9EFF1"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15D6E178"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1723" w:type="dxa"/>
            <w:tcBorders>
              <w:top w:val="nil"/>
              <w:left w:val="nil"/>
              <w:bottom w:val="single" w:sz="4" w:space="0" w:color="auto"/>
              <w:right w:val="nil"/>
            </w:tcBorders>
            <w:shd w:val="clear" w:color="auto" w:fill="auto"/>
            <w:noWrap/>
            <w:vAlign w:val="center"/>
            <w:hideMark/>
          </w:tcPr>
          <w:p w14:paraId="6F94883D"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303B8F96"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0FE1BA31" w14:textId="77777777" w:rsidTr="00682461">
        <w:trPr>
          <w:trHeight w:val="315"/>
        </w:trPr>
        <w:tc>
          <w:tcPr>
            <w:tcW w:w="1080" w:type="dxa"/>
            <w:tcBorders>
              <w:top w:val="nil"/>
              <w:left w:val="nil"/>
              <w:bottom w:val="single" w:sz="4" w:space="0" w:color="auto"/>
              <w:right w:val="nil"/>
            </w:tcBorders>
            <w:shd w:val="clear" w:color="auto" w:fill="auto"/>
            <w:noWrap/>
            <w:vAlign w:val="center"/>
            <w:hideMark/>
          </w:tcPr>
          <w:p w14:paraId="3B72F3E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4404EE11"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1723" w:type="dxa"/>
            <w:tcBorders>
              <w:top w:val="nil"/>
              <w:left w:val="nil"/>
              <w:bottom w:val="single" w:sz="4" w:space="0" w:color="auto"/>
              <w:right w:val="nil"/>
            </w:tcBorders>
            <w:shd w:val="clear" w:color="auto" w:fill="auto"/>
            <w:noWrap/>
            <w:vAlign w:val="center"/>
            <w:hideMark/>
          </w:tcPr>
          <w:p w14:paraId="0C2DDEA4"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w:t>
            </w:r>
          </w:p>
        </w:tc>
        <w:tc>
          <w:tcPr>
            <w:tcW w:w="2797" w:type="dxa"/>
            <w:tcBorders>
              <w:top w:val="nil"/>
              <w:left w:val="nil"/>
              <w:bottom w:val="single" w:sz="4" w:space="0" w:color="auto"/>
              <w:right w:val="nil"/>
            </w:tcBorders>
            <w:shd w:val="clear" w:color="auto" w:fill="auto"/>
            <w:noWrap/>
            <w:vAlign w:val="center"/>
            <w:hideMark/>
          </w:tcPr>
          <w:p w14:paraId="56C2F299"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0,01</w:t>
            </w:r>
          </w:p>
        </w:tc>
      </w:tr>
      <w:tr w:rsidR="00F85178" w:rsidRPr="00F85178" w14:paraId="69BD1A0A" w14:textId="77777777" w:rsidTr="00682461">
        <w:trPr>
          <w:trHeight w:val="645"/>
        </w:trPr>
        <w:tc>
          <w:tcPr>
            <w:tcW w:w="1080" w:type="dxa"/>
            <w:tcBorders>
              <w:top w:val="nil"/>
              <w:left w:val="nil"/>
              <w:bottom w:val="double" w:sz="6" w:space="0" w:color="auto"/>
              <w:right w:val="nil"/>
            </w:tcBorders>
            <w:shd w:val="clear" w:color="auto" w:fill="auto"/>
            <w:noWrap/>
            <w:vAlign w:val="center"/>
            <w:hideMark/>
          </w:tcPr>
          <w:p w14:paraId="61B09EC6"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4FC7FBE1" w14:textId="77777777" w:rsidR="00682461" w:rsidRPr="00F85178" w:rsidRDefault="00682461" w:rsidP="00682461">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1723" w:type="dxa"/>
            <w:tcBorders>
              <w:top w:val="nil"/>
              <w:left w:val="nil"/>
              <w:bottom w:val="double" w:sz="6" w:space="0" w:color="auto"/>
              <w:right w:val="nil"/>
            </w:tcBorders>
            <w:shd w:val="clear" w:color="auto" w:fill="auto"/>
            <w:noWrap/>
            <w:vAlign w:val="center"/>
            <w:hideMark/>
          </w:tcPr>
          <w:p w14:paraId="4616BA6F"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0,10</w:t>
            </w:r>
          </w:p>
        </w:tc>
        <w:tc>
          <w:tcPr>
            <w:tcW w:w="2797" w:type="dxa"/>
            <w:tcBorders>
              <w:top w:val="nil"/>
              <w:left w:val="nil"/>
              <w:bottom w:val="double" w:sz="6" w:space="0" w:color="auto"/>
              <w:right w:val="nil"/>
            </w:tcBorders>
            <w:shd w:val="clear" w:color="auto" w:fill="auto"/>
            <w:noWrap/>
            <w:vAlign w:val="center"/>
            <w:hideMark/>
          </w:tcPr>
          <w:p w14:paraId="70FB0A0A" w14:textId="77777777" w:rsidR="00682461" w:rsidRPr="00F85178" w:rsidRDefault="00682461" w:rsidP="00682461">
            <w:pPr>
              <w:spacing w:line="240" w:lineRule="auto"/>
              <w:jc w:val="center"/>
              <w:rPr>
                <w:rFonts w:eastAsia="Times New Roman"/>
                <w:szCs w:val="24"/>
                <w:lang w:eastAsia="cs-CZ"/>
              </w:rPr>
            </w:pPr>
            <w:r w:rsidRPr="00F85178">
              <w:rPr>
                <w:rFonts w:eastAsia="Times New Roman"/>
                <w:szCs w:val="24"/>
                <w:lang w:eastAsia="cs-CZ"/>
              </w:rPr>
              <w:t>0,04</w:t>
            </w:r>
          </w:p>
        </w:tc>
      </w:tr>
    </w:tbl>
    <w:p w14:paraId="169CEDF1" w14:textId="77777777" w:rsidR="000E6515" w:rsidRPr="00F85178" w:rsidRDefault="000E6515" w:rsidP="000E6515">
      <w:pPr>
        <w:pStyle w:val="OdstavecASR"/>
      </w:pPr>
      <w:r w:rsidRPr="00F85178">
        <w:t>Zajímavé</w:t>
      </w:r>
      <w:r w:rsidR="007720D9" w:rsidRPr="00F85178">
        <w:t xml:space="preserve"> </w:t>
      </w:r>
      <w:r w:rsidRPr="00F85178">
        <w:t xml:space="preserve">je také srovnání zastoupení jednotlivých hlav trestního zákoníku mezi věcmi vyřízenými trestním příkazem a věcmi vyřízenými rozsudkem. Výrazně </w:t>
      </w:r>
      <w:r w:rsidR="00F637DA" w:rsidRPr="00F85178">
        <w:t xml:space="preserve">největší </w:t>
      </w:r>
      <w:r w:rsidRPr="00F85178">
        <w:t xml:space="preserve">podíl u věcí vyřízených trestním příkazem tvoří </w:t>
      </w:r>
      <w:r w:rsidRPr="00F85178">
        <w:rPr>
          <w:rFonts w:eastAsia="Times New Roman"/>
          <w:szCs w:val="24"/>
          <w:lang w:eastAsia="cs-CZ"/>
        </w:rPr>
        <w:t xml:space="preserve">trestné </w:t>
      </w:r>
      <w:r w:rsidR="007720D9" w:rsidRPr="00F85178">
        <w:rPr>
          <w:rFonts w:eastAsia="Times New Roman"/>
          <w:szCs w:val="24"/>
          <w:lang w:eastAsia="cs-CZ"/>
        </w:rPr>
        <w:t xml:space="preserve">činy </w:t>
      </w:r>
      <w:r w:rsidR="00F637DA" w:rsidRPr="00F85178">
        <w:rPr>
          <w:rFonts w:eastAsia="Times New Roman"/>
          <w:szCs w:val="24"/>
          <w:lang w:eastAsia="cs-CZ"/>
        </w:rPr>
        <w:t xml:space="preserve">proti majetku a trestné činy </w:t>
      </w:r>
      <w:r w:rsidRPr="00F85178">
        <w:rPr>
          <w:rFonts w:eastAsia="Times New Roman"/>
          <w:szCs w:val="24"/>
          <w:lang w:eastAsia="cs-CZ"/>
        </w:rPr>
        <w:t>obecně nebezpečné</w:t>
      </w:r>
      <w:r w:rsidR="00F637DA" w:rsidRPr="00F85178">
        <w:rPr>
          <w:rFonts w:eastAsia="Times New Roman"/>
          <w:szCs w:val="24"/>
          <w:lang w:eastAsia="cs-CZ"/>
        </w:rPr>
        <w:t xml:space="preserve"> (v</w:t>
      </w:r>
      <w:r w:rsidR="007720D9" w:rsidRPr="00F85178">
        <w:rPr>
          <w:rFonts w:eastAsia="Times New Roman"/>
          <w:szCs w:val="24"/>
          <w:lang w:eastAsia="cs-CZ"/>
        </w:rPr>
        <w:t> </w:t>
      </w:r>
      <w:r w:rsidR="00F637DA" w:rsidRPr="00F85178">
        <w:rPr>
          <w:rFonts w:eastAsia="Times New Roman"/>
          <w:szCs w:val="24"/>
          <w:lang w:eastAsia="cs-CZ"/>
        </w:rPr>
        <w:t>součtu přes 55</w:t>
      </w:r>
      <w:r w:rsidR="00F46896" w:rsidRPr="00F85178">
        <w:rPr>
          <w:rFonts w:eastAsia="Times New Roman"/>
          <w:szCs w:val="24"/>
          <w:lang w:eastAsia="cs-CZ"/>
        </w:rPr>
        <w:t xml:space="preserve"> </w:t>
      </w:r>
      <w:r w:rsidR="00F637DA" w:rsidRPr="00F85178">
        <w:rPr>
          <w:rFonts w:eastAsia="Times New Roman"/>
          <w:szCs w:val="24"/>
          <w:lang w:eastAsia="cs-CZ"/>
        </w:rPr>
        <w:t>% všech trestných činů)</w:t>
      </w:r>
      <w:r w:rsidRPr="00F85178">
        <w:rPr>
          <w:rFonts w:eastAsia="Times New Roman"/>
          <w:szCs w:val="24"/>
          <w:lang w:eastAsia="cs-CZ"/>
        </w:rPr>
        <w:t xml:space="preserve">. </w:t>
      </w:r>
      <w:r w:rsidR="00F637DA" w:rsidRPr="00F85178">
        <w:rPr>
          <w:rFonts w:eastAsia="Times New Roman"/>
          <w:szCs w:val="24"/>
          <w:lang w:eastAsia="cs-CZ"/>
        </w:rPr>
        <w:t>U trestných činů obecně nebezpečných je za to stejně jako v roce 2017</w:t>
      </w:r>
      <w:r w:rsidRPr="00F85178">
        <w:rPr>
          <w:rFonts w:eastAsia="Times New Roman"/>
          <w:szCs w:val="24"/>
          <w:lang w:eastAsia="cs-CZ"/>
        </w:rPr>
        <w:t xml:space="preserve"> „zodpovědný“ </w:t>
      </w:r>
      <w:r w:rsidR="00F637DA" w:rsidRPr="00F85178">
        <w:rPr>
          <w:rFonts w:eastAsia="Times New Roman"/>
          <w:szCs w:val="24"/>
          <w:lang w:eastAsia="cs-CZ"/>
        </w:rPr>
        <w:t xml:space="preserve">již </w:t>
      </w:r>
      <w:r w:rsidRPr="00F85178">
        <w:rPr>
          <w:rFonts w:eastAsia="Times New Roman"/>
          <w:szCs w:val="24"/>
          <w:lang w:eastAsia="cs-CZ"/>
        </w:rPr>
        <w:t xml:space="preserve">výše zmíněný trestný čin </w:t>
      </w:r>
      <w:r w:rsidRPr="00F85178">
        <w:rPr>
          <w:i/>
        </w:rPr>
        <w:t>ohrožení pod vlivem návykové látky</w:t>
      </w:r>
      <w:r w:rsidRPr="00F85178">
        <w:t xml:space="preserve">. </w:t>
      </w:r>
      <w:r w:rsidR="00682461" w:rsidRPr="00F85178">
        <w:t>Asi</w:t>
      </w:r>
      <w:r w:rsidRPr="00F85178">
        <w:t xml:space="preserve"> 80 % těchto trestných činů je vyřízeno trestním příkazem. To při četnosti tohoto trestného činu hraje velkou roli a ovlivní to tak výstup zobrazený v tabulce.</w:t>
      </w:r>
    </w:p>
    <w:p w14:paraId="1D60F724" w14:textId="77777777" w:rsidR="000E6515" w:rsidRPr="00F85178" w:rsidRDefault="000E6515" w:rsidP="000E6515">
      <w:pPr>
        <w:pStyle w:val="OdstavecASR"/>
      </w:pPr>
      <w:r w:rsidRPr="00F85178">
        <w:t>Naopak relativně výrazně častěji jsou rozsudkem vyřízeny například trestné činy proti svobodě a právům na ochranu osobnosti, soukromí a listovního tajemství nebo trestné činy proti lidské důstojnosti v sexuální oblasti.</w:t>
      </w:r>
    </w:p>
    <w:p w14:paraId="2BF5E996" w14:textId="77777777" w:rsidR="000E6515" w:rsidRPr="00F85178" w:rsidRDefault="000E6515" w:rsidP="00770E8A"/>
    <w:p w14:paraId="140EDA3D" w14:textId="77777777" w:rsidR="00820F7C" w:rsidRPr="00F85178" w:rsidRDefault="00820F7C">
      <w:pPr>
        <w:spacing w:line="240" w:lineRule="auto"/>
        <w:jc w:val="left"/>
      </w:pPr>
      <w:r w:rsidRPr="00F85178">
        <w:br w:type="page"/>
      </w:r>
    </w:p>
    <w:p w14:paraId="18D71939" w14:textId="77777777" w:rsidR="00726A6B" w:rsidRPr="00F85178" w:rsidRDefault="00820F7C" w:rsidP="00820F7C">
      <w:pPr>
        <w:pStyle w:val="Podtitul"/>
        <w:rPr>
          <w:color w:val="auto"/>
        </w:rPr>
      </w:pPr>
      <w:bookmarkStart w:id="254" w:name="_Toc515871459"/>
      <w:bookmarkStart w:id="255" w:name="_Toc11133227"/>
      <w:bookmarkStart w:id="256" w:name="_Toc1383744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25</w:t>
      </w:r>
      <w:r w:rsidRPr="00F85178">
        <w:rPr>
          <w:noProof/>
          <w:color w:val="auto"/>
        </w:rPr>
        <w:fldChar w:fldCharType="end"/>
      </w:r>
      <w:r w:rsidRPr="00F85178">
        <w:rPr>
          <w:color w:val="auto"/>
        </w:rPr>
        <w:t>: OS – nejčastější trestné činy dle hlav</w:t>
      </w:r>
      <w:bookmarkEnd w:id="254"/>
      <w:bookmarkEnd w:id="255"/>
      <w:bookmarkEnd w:id="256"/>
    </w:p>
    <w:tbl>
      <w:tblPr>
        <w:tblW w:w="8940" w:type="dxa"/>
        <w:tblCellMar>
          <w:left w:w="70" w:type="dxa"/>
          <w:right w:w="70" w:type="dxa"/>
        </w:tblCellMar>
        <w:tblLook w:val="04A0" w:firstRow="1" w:lastRow="0" w:firstColumn="1" w:lastColumn="0" w:noHBand="0" w:noVBand="1"/>
      </w:tblPr>
      <w:tblGrid>
        <w:gridCol w:w="1080"/>
        <w:gridCol w:w="3340"/>
        <w:gridCol w:w="4520"/>
      </w:tblGrid>
      <w:tr w:rsidR="00F85178" w:rsidRPr="00F85178" w14:paraId="1D52BE87" w14:textId="77777777" w:rsidTr="00820F7C">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0EEF68FD" w14:textId="77777777" w:rsidR="00820F7C" w:rsidRPr="00F85178" w:rsidRDefault="00820F7C" w:rsidP="00820F7C">
            <w:pPr>
              <w:spacing w:line="240" w:lineRule="auto"/>
              <w:jc w:val="center"/>
              <w:rPr>
                <w:rFonts w:eastAsia="Times New Roman"/>
                <w:b/>
                <w:bCs/>
                <w:szCs w:val="24"/>
                <w:lang w:eastAsia="cs-CZ"/>
              </w:rPr>
            </w:pPr>
            <w:r w:rsidRPr="00F85178">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119B7E1E" w14:textId="77777777" w:rsidR="00820F7C" w:rsidRPr="00F85178" w:rsidRDefault="00820F7C" w:rsidP="00820F7C">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520" w:type="dxa"/>
            <w:tcBorders>
              <w:top w:val="double" w:sz="6" w:space="0" w:color="auto"/>
              <w:left w:val="single" w:sz="4" w:space="0" w:color="auto"/>
              <w:bottom w:val="double" w:sz="6" w:space="0" w:color="auto"/>
              <w:right w:val="nil"/>
            </w:tcBorders>
            <w:shd w:val="clear" w:color="auto" w:fill="auto"/>
            <w:vAlign w:val="center"/>
            <w:hideMark/>
          </w:tcPr>
          <w:p w14:paraId="1541EDF6" w14:textId="77777777" w:rsidR="00820F7C" w:rsidRPr="00F85178" w:rsidRDefault="00820F7C" w:rsidP="00820F7C">
            <w:pPr>
              <w:spacing w:line="240" w:lineRule="auto"/>
              <w:jc w:val="center"/>
              <w:rPr>
                <w:rFonts w:eastAsia="Times New Roman"/>
                <w:b/>
                <w:bCs/>
                <w:szCs w:val="24"/>
                <w:lang w:eastAsia="cs-CZ"/>
              </w:rPr>
            </w:pPr>
            <w:r w:rsidRPr="00F85178">
              <w:rPr>
                <w:rFonts w:eastAsia="Times New Roman"/>
                <w:b/>
                <w:bCs/>
                <w:szCs w:val="24"/>
                <w:lang w:eastAsia="cs-CZ"/>
              </w:rPr>
              <w:t>Nejčastější trestný čin</w:t>
            </w:r>
          </w:p>
        </w:tc>
      </w:tr>
      <w:tr w:rsidR="00F85178" w:rsidRPr="00F85178" w14:paraId="5F8F11E2" w14:textId="77777777" w:rsidTr="00820F7C">
        <w:trPr>
          <w:trHeight w:val="330"/>
        </w:trPr>
        <w:tc>
          <w:tcPr>
            <w:tcW w:w="1080" w:type="dxa"/>
            <w:tcBorders>
              <w:top w:val="nil"/>
              <w:left w:val="nil"/>
              <w:bottom w:val="single" w:sz="4" w:space="0" w:color="auto"/>
              <w:right w:val="nil"/>
            </w:tcBorders>
            <w:shd w:val="clear" w:color="auto" w:fill="auto"/>
            <w:noWrap/>
            <w:vAlign w:val="center"/>
            <w:hideMark/>
          </w:tcPr>
          <w:p w14:paraId="0A63F173"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3732894B"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4520" w:type="dxa"/>
            <w:tcBorders>
              <w:top w:val="double" w:sz="6" w:space="0" w:color="auto"/>
              <w:left w:val="single" w:sz="4" w:space="0" w:color="auto"/>
              <w:bottom w:val="single" w:sz="4" w:space="0" w:color="auto"/>
              <w:right w:val="nil"/>
            </w:tcBorders>
            <w:shd w:val="clear" w:color="auto" w:fill="auto"/>
            <w:vAlign w:val="center"/>
            <w:hideMark/>
          </w:tcPr>
          <w:p w14:paraId="28C9C4C9"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Ublížení na zdraví</w:t>
            </w:r>
          </w:p>
        </w:tc>
      </w:tr>
      <w:tr w:rsidR="00F85178" w:rsidRPr="00F85178" w14:paraId="16959579" w14:textId="77777777" w:rsidTr="00820F7C">
        <w:trPr>
          <w:trHeight w:val="945"/>
        </w:trPr>
        <w:tc>
          <w:tcPr>
            <w:tcW w:w="1080" w:type="dxa"/>
            <w:tcBorders>
              <w:top w:val="nil"/>
              <w:left w:val="nil"/>
              <w:bottom w:val="single" w:sz="4" w:space="0" w:color="auto"/>
              <w:right w:val="nil"/>
            </w:tcBorders>
            <w:shd w:val="clear" w:color="auto" w:fill="auto"/>
            <w:noWrap/>
            <w:vAlign w:val="center"/>
            <w:hideMark/>
          </w:tcPr>
          <w:p w14:paraId="0EADF428"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427C48F8"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350832E7"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Porušování domovní svobody</w:t>
            </w:r>
          </w:p>
        </w:tc>
      </w:tr>
      <w:tr w:rsidR="00F85178" w:rsidRPr="00F85178" w14:paraId="4EC87391" w14:textId="77777777" w:rsidTr="00820F7C">
        <w:trPr>
          <w:trHeight w:val="630"/>
        </w:trPr>
        <w:tc>
          <w:tcPr>
            <w:tcW w:w="1080" w:type="dxa"/>
            <w:tcBorders>
              <w:top w:val="nil"/>
              <w:left w:val="nil"/>
              <w:bottom w:val="single" w:sz="4" w:space="0" w:color="auto"/>
              <w:right w:val="nil"/>
            </w:tcBorders>
            <w:shd w:val="clear" w:color="auto" w:fill="auto"/>
            <w:noWrap/>
            <w:vAlign w:val="center"/>
            <w:hideMark/>
          </w:tcPr>
          <w:p w14:paraId="0393F65D"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5E5EF220"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7B7B9322"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Pohlavní zneužití</w:t>
            </w:r>
          </w:p>
        </w:tc>
      </w:tr>
      <w:tr w:rsidR="00F85178" w:rsidRPr="00F85178" w14:paraId="04E20889" w14:textId="77777777" w:rsidTr="00820F7C">
        <w:trPr>
          <w:trHeight w:val="315"/>
        </w:trPr>
        <w:tc>
          <w:tcPr>
            <w:tcW w:w="1080" w:type="dxa"/>
            <w:tcBorders>
              <w:top w:val="nil"/>
              <w:left w:val="nil"/>
              <w:bottom w:val="single" w:sz="4" w:space="0" w:color="auto"/>
              <w:right w:val="nil"/>
            </w:tcBorders>
            <w:shd w:val="clear" w:color="auto" w:fill="auto"/>
            <w:noWrap/>
            <w:vAlign w:val="center"/>
            <w:hideMark/>
          </w:tcPr>
          <w:p w14:paraId="7B065106"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3C5F3ABB"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2C5CF2F9"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Zanedbání povinné výživy</w:t>
            </w:r>
          </w:p>
        </w:tc>
      </w:tr>
      <w:tr w:rsidR="00F85178" w:rsidRPr="00F85178" w14:paraId="51ED5FD0" w14:textId="77777777" w:rsidTr="00820F7C">
        <w:trPr>
          <w:trHeight w:val="315"/>
        </w:trPr>
        <w:tc>
          <w:tcPr>
            <w:tcW w:w="1080" w:type="dxa"/>
            <w:tcBorders>
              <w:top w:val="nil"/>
              <w:left w:val="nil"/>
              <w:bottom w:val="single" w:sz="4" w:space="0" w:color="auto"/>
              <w:right w:val="nil"/>
            </w:tcBorders>
            <w:shd w:val="clear" w:color="auto" w:fill="auto"/>
            <w:noWrap/>
            <w:vAlign w:val="center"/>
            <w:hideMark/>
          </w:tcPr>
          <w:p w14:paraId="6E6E2D95"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13D7A7B7"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5349D140"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Krádež</w:t>
            </w:r>
          </w:p>
        </w:tc>
      </w:tr>
      <w:tr w:rsidR="00F85178" w:rsidRPr="00F85178" w14:paraId="12CCBA0A" w14:textId="77777777" w:rsidTr="00820F7C">
        <w:trPr>
          <w:trHeight w:val="315"/>
        </w:trPr>
        <w:tc>
          <w:tcPr>
            <w:tcW w:w="1080" w:type="dxa"/>
            <w:tcBorders>
              <w:top w:val="nil"/>
              <w:left w:val="nil"/>
              <w:bottom w:val="single" w:sz="4" w:space="0" w:color="auto"/>
              <w:right w:val="nil"/>
            </w:tcBorders>
            <w:shd w:val="clear" w:color="auto" w:fill="auto"/>
            <w:noWrap/>
            <w:vAlign w:val="center"/>
            <w:hideMark/>
          </w:tcPr>
          <w:p w14:paraId="1A81870E"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7626EB6A"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4E223EB6"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Neoprávněné opatření, padělání a pozměnění platebního prostředku</w:t>
            </w:r>
          </w:p>
        </w:tc>
      </w:tr>
      <w:tr w:rsidR="00F85178" w:rsidRPr="00F85178" w14:paraId="71AED59B" w14:textId="77777777" w:rsidTr="00820F7C">
        <w:trPr>
          <w:trHeight w:val="315"/>
        </w:trPr>
        <w:tc>
          <w:tcPr>
            <w:tcW w:w="1080" w:type="dxa"/>
            <w:tcBorders>
              <w:top w:val="nil"/>
              <w:left w:val="nil"/>
              <w:bottom w:val="single" w:sz="4" w:space="0" w:color="auto"/>
              <w:right w:val="nil"/>
            </w:tcBorders>
            <w:shd w:val="clear" w:color="auto" w:fill="auto"/>
            <w:noWrap/>
            <w:vAlign w:val="center"/>
            <w:hideMark/>
          </w:tcPr>
          <w:p w14:paraId="5309D704"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3B8A95EF"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4EA6D7BA"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Ohrožení pod vlivem návykové látky</w:t>
            </w:r>
          </w:p>
        </w:tc>
      </w:tr>
      <w:tr w:rsidR="00F85178" w:rsidRPr="00F85178" w14:paraId="27C0411C" w14:textId="77777777" w:rsidTr="00820F7C">
        <w:trPr>
          <w:trHeight w:val="630"/>
        </w:trPr>
        <w:tc>
          <w:tcPr>
            <w:tcW w:w="1080" w:type="dxa"/>
            <w:tcBorders>
              <w:top w:val="nil"/>
              <w:left w:val="nil"/>
              <w:bottom w:val="single" w:sz="4" w:space="0" w:color="auto"/>
              <w:right w:val="nil"/>
            </w:tcBorders>
            <w:shd w:val="clear" w:color="auto" w:fill="auto"/>
            <w:noWrap/>
            <w:vAlign w:val="center"/>
            <w:hideMark/>
          </w:tcPr>
          <w:p w14:paraId="5B458FBF"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16A876B8"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57DF2CA3"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Týrání zvířat</w:t>
            </w:r>
          </w:p>
        </w:tc>
      </w:tr>
      <w:tr w:rsidR="00F85178" w:rsidRPr="00F85178" w14:paraId="7BAFCF88" w14:textId="77777777" w:rsidTr="00820F7C">
        <w:trPr>
          <w:trHeight w:val="945"/>
        </w:trPr>
        <w:tc>
          <w:tcPr>
            <w:tcW w:w="1080" w:type="dxa"/>
            <w:tcBorders>
              <w:top w:val="nil"/>
              <w:left w:val="nil"/>
              <w:bottom w:val="single" w:sz="4" w:space="0" w:color="auto"/>
              <w:right w:val="nil"/>
            </w:tcBorders>
            <w:shd w:val="clear" w:color="auto" w:fill="auto"/>
            <w:noWrap/>
            <w:vAlign w:val="center"/>
            <w:hideMark/>
          </w:tcPr>
          <w:p w14:paraId="158E8520"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1795C7B6"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681B5599"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2EF7697D" w14:textId="77777777" w:rsidTr="00820F7C">
        <w:trPr>
          <w:trHeight w:val="630"/>
        </w:trPr>
        <w:tc>
          <w:tcPr>
            <w:tcW w:w="1080" w:type="dxa"/>
            <w:tcBorders>
              <w:top w:val="nil"/>
              <w:left w:val="nil"/>
              <w:bottom w:val="single" w:sz="4" w:space="0" w:color="auto"/>
              <w:right w:val="nil"/>
            </w:tcBorders>
            <w:shd w:val="clear" w:color="auto" w:fill="auto"/>
            <w:noWrap/>
            <w:vAlign w:val="center"/>
            <w:hideMark/>
          </w:tcPr>
          <w:p w14:paraId="22B98566"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423F7099"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16CF6F8E"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Maření výkonu úředního rozhodnutí a vykázání</w:t>
            </w:r>
          </w:p>
        </w:tc>
      </w:tr>
      <w:tr w:rsidR="00F85178" w:rsidRPr="00F85178" w14:paraId="3C9762D0" w14:textId="77777777" w:rsidTr="00820F7C">
        <w:trPr>
          <w:trHeight w:val="630"/>
        </w:trPr>
        <w:tc>
          <w:tcPr>
            <w:tcW w:w="1080" w:type="dxa"/>
            <w:tcBorders>
              <w:top w:val="nil"/>
              <w:left w:val="nil"/>
              <w:bottom w:val="single" w:sz="4" w:space="0" w:color="auto"/>
              <w:right w:val="nil"/>
            </w:tcBorders>
            <w:shd w:val="clear" w:color="auto" w:fill="auto"/>
            <w:noWrap/>
            <w:vAlign w:val="center"/>
            <w:hideMark/>
          </w:tcPr>
          <w:p w14:paraId="64969E26"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013E0B6C"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4448EC20"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026CD598" w14:textId="77777777" w:rsidTr="00820F7C">
        <w:trPr>
          <w:trHeight w:val="315"/>
        </w:trPr>
        <w:tc>
          <w:tcPr>
            <w:tcW w:w="1080" w:type="dxa"/>
            <w:tcBorders>
              <w:top w:val="nil"/>
              <w:left w:val="nil"/>
              <w:bottom w:val="single" w:sz="4" w:space="0" w:color="auto"/>
              <w:right w:val="nil"/>
            </w:tcBorders>
            <w:shd w:val="clear" w:color="auto" w:fill="auto"/>
            <w:noWrap/>
            <w:vAlign w:val="center"/>
            <w:hideMark/>
          </w:tcPr>
          <w:p w14:paraId="16B6AD0B"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79192C8D" w14:textId="77777777" w:rsidR="00820F7C" w:rsidRPr="00F85178" w:rsidRDefault="00820F7C" w:rsidP="00B216E2">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4520" w:type="dxa"/>
            <w:tcBorders>
              <w:top w:val="single" w:sz="4" w:space="0" w:color="auto"/>
              <w:left w:val="single" w:sz="4" w:space="0" w:color="auto"/>
              <w:bottom w:val="single" w:sz="4" w:space="0" w:color="auto"/>
              <w:right w:val="nil"/>
            </w:tcBorders>
            <w:shd w:val="clear" w:color="auto" w:fill="auto"/>
            <w:vAlign w:val="center"/>
            <w:hideMark/>
          </w:tcPr>
          <w:p w14:paraId="55CF07D8"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Svémocné odloučení</w:t>
            </w:r>
          </w:p>
        </w:tc>
      </w:tr>
      <w:tr w:rsidR="00820F7C" w:rsidRPr="00F85178" w14:paraId="2BD44987" w14:textId="77777777" w:rsidTr="00820F7C">
        <w:trPr>
          <w:trHeight w:val="645"/>
        </w:trPr>
        <w:tc>
          <w:tcPr>
            <w:tcW w:w="1080" w:type="dxa"/>
            <w:tcBorders>
              <w:top w:val="nil"/>
              <w:left w:val="nil"/>
              <w:bottom w:val="double" w:sz="6" w:space="0" w:color="auto"/>
              <w:right w:val="nil"/>
            </w:tcBorders>
            <w:shd w:val="clear" w:color="auto" w:fill="auto"/>
            <w:noWrap/>
            <w:vAlign w:val="center"/>
            <w:hideMark/>
          </w:tcPr>
          <w:p w14:paraId="244ADFD1"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67792639" w14:textId="77777777" w:rsidR="00820F7C" w:rsidRPr="00F85178" w:rsidRDefault="00820F7C" w:rsidP="00820F7C">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4520" w:type="dxa"/>
            <w:tcBorders>
              <w:top w:val="single" w:sz="4" w:space="0" w:color="auto"/>
              <w:left w:val="single" w:sz="4" w:space="0" w:color="auto"/>
              <w:bottom w:val="double" w:sz="6" w:space="0" w:color="auto"/>
              <w:right w:val="nil"/>
            </w:tcBorders>
            <w:shd w:val="clear" w:color="auto" w:fill="auto"/>
            <w:vAlign w:val="center"/>
            <w:hideMark/>
          </w:tcPr>
          <w:p w14:paraId="2DBC4C9F" w14:textId="77777777" w:rsidR="00820F7C" w:rsidRPr="00F85178" w:rsidRDefault="00820F7C" w:rsidP="00820F7C">
            <w:pPr>
              <w:spacing w:line="240" w:lineRule="auto"/>
              <w:jc w:val="center"/>
              <w:rPr>
                <w:rFonts w:eastAsia="Times New Roman"/>
                <w:szCs w:val="24"/>
                <w:lang w:eastAsia="cs-CZ"/>
              </w:rPr>
            </w:pPr>
            <w:r w:rsidRPr="00F85178">
              <w:rPr>
                <w:rFonts w:eastAsia="Times New Roman"/>
                <w:szCs w:val="24"/>
                <w:lang w:eastAsia="cs-CZ"/>
              </w:rPr>
              <w:t>Projev sympatií k hnutí směřujícímu k potlačení práv a svobod člověka</w:t>
            </w:r>
          </w:p>
        </w:tc>
      </w:tr>
    </w:tbl>
    <w:p w14:paraId="0A158AC0" w14:textId="77777777" w:rsidR="002568A6" w:rsidRPr="00F85178" w:rsidRDefault="002568A6" w:rsidP="00770E8A"/>
    <w:p w14:paraId="77789EE5" w14:textId="77777777" w:rsidR="002568A6" w:rsidRPr="00F85178" w:rsidRDefault="002568A6">
      <w:pPr>
        <w:spacing w:line="240" w:lineRule="auto"/>
        <w:jc w:val="left"/>
      </w:pPr>
      <w:r w:rsidRPr="00F85178">
        <w:br w:type="page"/>
      </w:r>
    </w:p>
    <w:p w14:paraId="6974AB67" w14:textId="77777777" w:rsidR="002568A6" w:rsidRPr="00F85178" w:rsidRDefault="002568A6" w:rsidP="002568A6">
      <w:pPr>
        <w:pStyle w:val="Nadpis2"/>
      </w:pPr>
      <w:bookmarkStart w:id="257" w:name="_Ref511307913"/>
      <w:bookmarkStart w:id="258" w:name="_Toc515871236"/>
      <w:bookmarkStart w:id="259" w:name="_Toc14076888"/>
      <w:r w:rsidRPr="00F85178">
        <w:t>Opatrovnická agenda</w:t>
      </w:r>
      <w:bookmarkEnd w:id="257"/>
      <w:bookmarkEnd w:id="258"/>
      <w:bookmarkEnd w:id="259"/>
    </w:p>
    <w:p w14:paraId="3BE08422" w14:textId="77777777" w:rsidR="00BE6FD7" w:rsidRPr="00F85178" w:rsidRDefault="00BE6FD7" w:rsidP="00BE6FD7">
      <w:pPr>
        <w:pStyle w:val="OdstavecASR"/>
      </w:pPr>
      <w:r w:rsidRPr="00F85178">
        <w:t>Z hlediska statistického vykazování je sledování opatrovnické agendy nejjednodušší, ve statistickém pozorování totiž nedocházelo k žádným velkým změnám. Stejně jako u civilního řízení zahrnuje opatrovnická agenda několik rejstříků. Zdaleka nejvýznamnější, a pro soud časově i jinak nejnáročnější, je agenda zahrnující řízení ohledně svéprávnosti a opatrovnictví člověka, péče soudu o nezletilé apod., tedy věci vedené v rejstříku P a Nc. U této agendy je vynechána podkapitola věnovaná vyřizování věcí v přepočtu na soudce. Počet soudců, kteří rozhodují opatrovnickou agendu, totiž není v dostupných datech uveden, protože je zahrnut do počtu soudců na civilním úseku.</w:t>
      </w:r>
    </w:p>
    <w:p w14:paraId="2F39CD8A" w14:textId="77777777" w:rsidR="002568A6" w:rsidRPr="00F85178" w:rsidRDefault="002568A6" w:rsidP="002568A6">
      <w:pPr>
        <w:pStyle w:val="Nadpis3"/>
        <w:rPr>
          <w:color w:val="auto"/>
        </w:rPr>
      </w:pPr>
      <w:bookmarkStart w:id="260" w:name="_Toc515871237"/>
      <w:bookmarkStart w:id="261" w:name="_Toc14076889"/>
      <w:r w:rsidRPr="00F85178">
        <w:rPr>
          <w:color w:val="auto"/>
        </w:rPr>
        <w:t>Délka řízení</w:t>
      </w:r>
      <w:bookmarkEnd w:id="260"/>
      <w:bookmarkEnd w:id="261"/>
    </w:p>
    <w:p w14:paraId="578F0205" w14:textId="77777777" w:rsidR="00BE6FD7" w:rsidRPr="00F85178" w:rsidRDefault="00BE6FD7" w:rsidP="00BE6FD7">
      <w:pPr>
        <w:pStyle w:val="OdstavecASR"/>
      </w:pPr>
      <w:r w:rsidRPr="00F85178">
        <w:t>Platí stejné poznámky jako u civilního řízení. Délku řízení tedy zjišťujeme ze statistických listů a uvádíme v kalendářních dnech ode dne nápadu do dne konečného vyřízení soudem I. stupně. Statistiky týkající se délky řízení jsou v této agendě dostupné až od roku 2009.</w:t>
      </w:r>
    </w:p>
    <w:p w14:paraId="664AF92C" w14:textId="77777777" w:rsidR="0032015B" w:rsidRDefault="00BE6FD7" w:rsidP="00BE6FD7">
      <w:pPr>
        <w:pStyle w:val="OdstavecASR"/>
      </w:pPr>
      <w:r w:rsidRPr="00F85178">
        <w:t>Délka řízení byla až do roku 2015 velmi stabilní, v letech 2015 a 2016 došlo k náhlému nárůstu</w:t>
      </w:r>
      <w:r w:rsidR="00507F17" w:rsidRPr="00F85178">
        <w:t xml:space="preserve"> následovanému</w:t>
      </w:r>
      <w:r w:rsidR="001458FC" w:rsidRPr="00F85178">
        <w:t xml:space="preserve"> dvouletým poklesem</w:t>
      </w:r>
      <w:r w:rsidRPr="00F85178">
        <w:t xml:space="preserve">. Příčinu </w:t>
      </w:r>
      <w:r w:rsidR="001458FC" w:rsidRPr="00F85178">
        <w:t xml:space="preserve">zmíněného </w:t>
      </w:r>
      <w:r w:rsidRPr="00F85178">
        <w:t xml:space="preserve">nárůstu můžeme spatřovat především v nabytí účinnosti zákona č. 89/2012 Sb., občanský zákoník (OZ), </w:t>
      </w:r>
      <w:r w:rsidR="00507F17" w:rsidRPr="00F85178">
        <w:t xml:space="preserve">podle kterého </w:t>
      </w:r>
      <w:r w:rsidRPr="00F85178">
        <w:t>bylo třeba do tří let přezkoumat všechny osoby, kterým byla omezena svéprávnost.</w:t>
      </w:r>
      <w:r w:rsidRPr="00F85178">
        <w:rPr>
          <w:rStyle w:val="Znakapoznpodarou"/>
        </w:rPr>
        <w:footnoteReference w:id="8"/>
      </w:r>
      <w:r w:rsidRPr="00F85178">
        <w:t xml:space="preserve"> Přibyly i další druhy rozhodování (podpůrná opatření při narušení schopnosti zletilého právně jednat apod.). Došlo tak k velkému rozšíření obsahu opatrovnické agendy soudů, jak ukazuje další podkapitola.</w:t>
      </w:r>
      <w:r w:rsidR="001458FC" w:rsidRPr="00F85178">
        <w:t xml:space="preserve"> Pokles délky řízení v letech </w:t>
      </w:r>
      <w:r w:rsidR="00BF15FD" w:rsidRPr="00F85178">
        <w:t>2017–</w:t>
      </w:r>
      <w:r w:rsidR="001458FC" w:rsidRPr="00F85178">
        <w:t xml:space="preserve">2018 </w:t>
      </w:r>
      <w:r w:rsidR="00BF15FD" w:rsidRPr="00F85178">
        <w:t>byl pravděpodobně</w:t>
      </w:r>
      <w:r w:rsidR="001458FC" w:rsidRPr="00F85178">
        <w:t xml:space="preserve"> ovlivněn </w:t>
      </w:r>
      <w:r w:rsidR="00BF15FD" w:rsidRPr="00F85178">
        <w:t xml:space="preserve">zejména </w:t>
      </w:r>
      <w:r w:rsidR="001458FC" w:rsidRPr="00F85178">
        <w:t xml:space="preserve">přijetím novely </w:t>
      </w:r>
      <w:r w:rsidR="00507F17" w:rsidRPr="00F85178">
        <w:t xml:space="preserve">OZ provedenou zákonem č. </w:t>
      </w:r>
      <w:r w:rsidR="00BF15FD" w:rsidRPr="00F85178">
        <w:t>460</w:t>
      </w:r>
      <w:r w:rsidR="00507F17" w:rsidRPr="00F85178">
        <w:t>/</w:t>
      </w:r>
      <w:r w:rsidR="00BF15FD" w:rsidRPr="00F85178">
        <w:t>2016 </w:t>
      </w:r>
      <w:r w:rsidR="00507F17" w:rsidRPr="00F85178">
        <w:t>Sb</w:t>
      </w:r>
      <w:r w:rsidR="00BF15FD" w:rsidRPr="00F85178">
        <w:t>.</w:t>
      </w:r>
      <w:r w:rsidR="009F6158" w:rsidRPr="00F85178">
        <w:t>,</w:t>
      </w:r>
      <w:r w:rsidR="00507F17" w:rsidRPr="00F85178">
        <w:t xml:space="preserve"> která prodlužuje </w:t>
      </w:r>
      <w:r w:rsidR="0069214B" w:rsidRPr="00F85178">
        <w:t xml:space="preserve">v některých případech </w:t>
      </w:r>
      <w:r w:rsidR="00507F17" w:rsidRPr="00F85178">
        <w:t xml:space="preserve">dobu přezkumu osob zbavených či omezených ve svéprávnosti před rokem 2014 </w:t>
      </w:r>
      <w:proofErr w:type="gramStart"/>
      <w:r w:rsidR="00507F17" w:rsidRPr="00F85178">
        <w:t>ze</w:t>
      </w:r>
      <w:proofErr w:type="gramEnd"/>
      <w:r w:rsidR="00507F17" w:rsidRPr="00F85178">
        <w:t xml:space="preserve"> 3 na 5 let</w:t>
      </w:r>
      <w:r w:rsidR="00BF15FD" w:rsidRPr="00F85178">
        <w:t xml:space="preserve"> (§ 59 OZ)</w:t>
      </w:r>
      <w:r w:rsidR="00507F17" w:rsidRPr="00F85178">
        <w:t>.</w:t>
      </w:r>
    </w:p>
    <w:p w14:paraId="4774EFD9" w14:textId="30D13E2C" w:rsidR="00BE6FD7" w:rsidRPr="00F85178" w:rsidRDefault="00BE6FD7" w:rsidP="00BE6FD7"/>
    <w:p w14:paraId="6C222B4D" w14:textId="77777777" w:rsidR="00820F7C" w:rsidRPr="00F85178" w:rsidRDefault="00820F7C" w:rsidP="00770E8A"/>
    <w:p w14:paraId="75E41025" w14:textId="77777777" w:rsidR="005E58A2" w:rsidRPr="00F85178" w:rsidRDefault="005E58A2" w:rsidP="005E58A2">
      <w:pPr>
        <w:pStyle w:val="Podtitul"/>
        <w:rPr>
          <w:color w:val="auto"/>
        </w:rPr>
      </w:pPr>
      <w:bookmarkStart w:id="262" w:name="_Toc515871365"/>
      <w:bookmarkStart w:id="263" w:name="_Toc11135097"/>
      <w:bookmarkStart w:id="264" w:name="_Toc1383752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36</w:t>
      </w:r>
      <w:r w:rsidRPr="00F85178">
        <w:rPr>
          <w:noProof/>
          <w:color w:val="auto"/>
        </w:rPr>
        <w:fldChar w:fldCharType="end"/>
      </w:r>
      <w:r w:rsidRPr="00F85178">
        <w:rPr>
          <w:color w:val="auto"/>
        </w:rPr>
        <w:t>: OS – délka řízení v opatrovnické agendě v letech 2009–201</w:t>
      </w:r>
      <w:bookmarkEnd w:id="262"/>
      <w:r w:rsidRPr="00F85178">
        <w:rPr>
          <w:color w:val="auto"/>
        </w:rPr>
        <w:t>8</w:t>
      </w:r>
      <w:bookmarkEnd w:id="263"/>
      <w:bookmarkEnd w:id="264"/>
    </w:p>
    <w:p w14:paraId="494C604A" w14:textId="77777777" w:rsidR="005E58A2" w:rsidRPr="00F85178" w:rsidRDefault="00890295" w:rsidP="00770E8A">
      <w:r>
        <w:rPr>
          <w:noProof/>
          <w:lang w:eastAsia="cs-CZ"/>
        </w:rPr>
        <w:drawing>
          <wp:inline distT="0" distB="0" distL="0" distR="0" wp14:anchorId="57B72E2C" wp14:editId="29732D85">
            <wp:extent cx="5118100" cy="3746500"/>
            <wp:effectExtent l="0" t="0" r="0" b="0"/>
            <wp:docPr id="38" name="Obrázek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0"/>
                    <pic:cNvPicPr>
                      <a:picLocks noChangeAspect="1" noChangeArrowheads="1"/>
                    </pic:cNvPicPr>
                  </pic:nvPicPr>
                  <pic:blipFill>
                    <a:blip r:embed="rId6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216D2AC" w14:textId="77777777" w:rsidR="00D80B35" w:rsidRPr="00F85178" w:rsidRDefault="00D80B35" w:rsidP="00770E8A"/>
    <w:p w14:paraId="109CD785" w14:textId="77777777" w:rsidR="00BE6FD7" w:rsidRPr="00F85178" w:rsidRDefault="00BE6FD7" w:rsidP="00BE6FD7">
      <w:pPr>
        <w:pStyle w:val="OdstavecASR"/>
      </w:pPr>
      <w:r w:rsidRPr="00F85178">
        <w:t>Podle zkušeností soudů nová agenda samozřejmě představuje dodatečnou zátěž. Hlavní problém ale ležel ve vyhotovování znaleckých posudků potřebných pro přezkum svéprávnosti. Znalci byli natolik zahlceni, že odmítali zpracovávat nové věci do té doby, než zpracovali ty, které jim byly přiděleny dříve. Na znalecké posudky soudy čekaly a dosud čekají šest měsíců, někdy i déle. To se samozřejmě promítlo do celkové délky řízení. Jak jsme řekli již dříve, reálné změny ve vyřizování agendy se do délky řízení promítají s určitým zpožděním. Nárůst v délce řízení je tedy patrný až v roce 2015 a 2016</w:t>
      </w:r>
      <w:r w:rsidR="0069214B" w:rsidRPr="00F85178">
        <w:t xml:space="preserve"> a </w:t>
      </w:r>
      <w:r w:rsidR="00017962" w:rsidRPr="00F85178">
        <w:t xml:space="preserve">následovaný poklesem </w:t>
      </w:r>
      <w:r w:rsidR="0069214B" w:rsidRPr="00F85178">
        <w:t>v letech 2017 a 2018</w:t>
      </w:r>
      <w:r w:rsidRPr="00F85178">
        <w:t>.</w:t>
      </w:r>
    </w:p>
    <w:p w14:paraId="6C04C448" w14:textId="77777777" w:rsidR="00BE6FD7" w:rsidRPr="00F85178" w:rsidRDefault="00BE6FD7" w:rsidP="00BE6FD7">
      <w:pPr>
        <w:pStyle w:val="OdstavecASR"/>
      </w:pPr>
      <w:r w:rsidRPr="00F85178">
        <w:t>V délkách řízení se projevilo</w:t>
      </w:r>
      <w:r w:rsidR="00017962" w:rsidRPr="00F85178">
        <w:t xml:space="preserve"> to</w:t>
      </w:r>
      <w:r w:rsidRPr="00F85178">
        <w:t>, že v </w:t>
      </w:r>
      <w:r w:rsidR="00A70AB4" w:rsidRPr="00F85178">
        <w:t xml:space="preserve">letech </w:t>
      </w:r>
      <w:r w:rsidRPr="00F85178">
        <w:t>2016</w:t>
      </w:r>
      <w:r w:rsidR="00A70AB4" w:rsidRPr="00F85178">
        <w:t xml:space="preserve"> až 2018</w:t>
      </w:r>
      <w:r w:rsidRPr="00F85178">
        <w:t xml:space="preserve"> převýšil počet vyřízených věcí počet věcí příchozích. Zdá se tedy, že výše popsané problémy v této agendě, které nastaly po nabytí účinnosti OZ, se již daří řešit. To může částečně plynout i z opatření některých soudů na posílení opatrovnických oddělení. Nyní nezbývá než počkat na data za další roky, která ukáží, jestli se délka řízení vrátí na úroveň před rokem 2015.</w:t>
      </w:r>
    </w:p>
    <w:p w14:paraId="0DEAFC7D" w14:textId="77777777" w:rsidR="00BE6FD7" w:rsidRPr="00F85178" w:rsidRDefault="00BE6FD7">
      <w:pPr>
        <w:spacing w:line="240" w:lineRule="auto"/>
        <w:jc w:val="left"/>
      </w:pPr>
      <w:r w:rsidRPr="00F85178">
        <w:br w:type="page"/>
      </w:r>
    </w:p>
    <w:p w14:paraId="0AE5047B" w14:textId="77777777" w:rsidR="00D80B35" w:rsidRPr="00F85178" w:rsidRDefault="00D80B35" w:rsidP="00D80B35">
      <w:pPr>
        <w:pStyle w:val="Podtitul"/>
        <w:rPr>
          <w:color w:val="auto"/>
        </w:rPr>
      </w:pPr>
      <w:bookmarkStart w:id="265" w:name="_Toc515871460"/>
      <w:bookmarkStart w:id="266" w:name="_Toc11133228"/>
      <w:bookmarkStart w:id="267" w:name="_Toc1383744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26</w:t>
      </w:r>
      <w:r w:rsidRPr="00F85178">
        <w:rPr>
          <w:noProof/>
          <w:color w:val="auto"/>
        </w:rPr>
        <w:fldChar w:fldCharType="end"/>
      </w:r>
      <w:r w:rsidRPr="00F85178">
        <w:rPr>
          <w:color w:val="auto"/>
        </w:rPr>
        <w:t>: OS – délky řízení v opatrovnické agendě dle krajů</w:t>
      </w:r>
      <w:bookmarkEnd w:id="265"/>
      <w:bookmarkEnd w:id="266"/>
      <w:bookmarkEnd w:id="267"/>
    </w:p>
    <w:tbl>
      <w:tblPr>
        <w:tblW w:w="7520" w:type="dxa"/>
        <w:tblCellMar>
          <w:left w:w="70" w:type="dxa"/>
          <w:right w:w="70" w:type="dxa"/>
        </w:tblCellMar>
        <w:tblLook w:val="04A0" w:firstRow="1" w:lastRow="0" w:firstColumn="1" w:lastColumn="0" w:noHBand="0" w:noVBand="1"/>
      </w:tblPr>
      <w:tblGrid>
        <w:gridCol w:w="2480"/>
        <w:gridCol w:w="698"/>
        <w:gridCol w:w="938"/>
        <w:gridCol w:w="697"/>
        <w:gridCol w:w="1072"/>
        <w:gridCol w:w="697"/>
        <w:gridCol w:w="938"/>
      </w:tblGrid>
      <w:tr w:rsidR="00F85178" w:rsidRPr="00F85178" w14:paraId="03E893FE" w14:textId="77777777" w:rsidTr="00D80B35">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EE99796"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040" w:type="dxa"/>
            <w:gridSpan w:val="6"/>
            <w:tcBorders>
              <w:top w:val="double" w:sz="6" w:space="0" w:color="auto"/>
              <w:left w:val="nil"/>
              <w:bottom w:val="nil"/>
              <w:right w:val="nil"/>
            </w:tcBorders>
            <w:shd w:val="clear" w:color="auto" w:fill="auto"/>
            <w:noWrap/>
            <w:vAlign w:val="center"/>
            <w:hideMark/>
          </w:tcPr>
          <w:p w14:paraId="3269121C"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601CDB2D" w14:textId="77777777" w:rsidTr="00D80B35">
        <w:trPr>
          <w:trHeight w:val="330"/>
        </w:trPr>
        <w:tc>
          <w:tcPr>
            <w:tcW w:w="2480" w:type="dxa"/>
            <w:vMerge/>
            <w:tcBorders>
              <w:top w:val="double" w:sz="6" w:space="0" w:color="auto"/>
              <w:left w:val="nil"/>
              <w:bottom w:val="double" w:sz="6" w:space="0" w:color="000000"/>
              <w:right w:val="nil"/>
            </w:tcBorders>
            <w:vAlign w:val="center"/>
            <w:hideMark/>
          </w:tcPr>
          <w:p w14:paraId="0C822642" w14:textId="77777777" w:rsidR="00D80B35" w:rsidRPr="00F85178" w:rsidRDefault="00D80B35" w:rsidP="00D80B35">
            <w:pPr>
              <w:spacing w:line="240" w:lineRule="auto"/>
              <w:jc w:val="left"/>
              <w:rPr>
                <w:rFonts w:eastAsia="Times New Roman"/>
                <w:b/>
                <w:bCs/>
                <w:szCs w:val="24"/>
                <w:lang w:eastAsia="cs-CZ"/>
              </w:rPr>
            </w:pPr>
          </w:p>
        </w:tc>
        <w:tc>
          <w:tcPr>
            <w:tcW w:w="1636" w:type="dxa"/>
            <w:gridSpan w:val="2"/>
            <w:tcBorders>
              <w:top w:val="nil"/>
              <w:left w:val="nil"/>
              <w:bottom w:val="double" w:sz="6" w:space="0" w:color="auto"/>
              <w:right w:val="nil"/>
            </w:tcBorders>
            <w:shd w:val="clear" w:color="auto" w:fill="auto"/>
            <w:noWrap/>
            <w:vAlign w:val="center"/>
            <w:hideMark/>
          </w:tcPr>
          <w:p w14:paraId="7802612E"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76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570C30"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635" w:type="dxa"/>
            <w:gridSpan w:val="2"/>
            <w:tcBorders>
              <w:top w:val="nil"/>
              <w:left w:val="nil"/>
              <w:bottom w:val="double" w:sz="6" w:space="0" w:color="auto"/>
              <w:right w:val="nil"/>
            </w:tcBorders>
            <w:shd w:val="clear" w:color="auto" w:fill="auto"/>
            <w:noWrap/>
            <w:vAlign w:val="center"/>
            <w:hideMark/>
          </w:tcPr>
          <w:p w14:paraId="3C7B4542"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18324A83" w14:textId="77777777" w:rsidTr="00D80B35">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4E114442"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MS Praha</w:t>
            </w:r>
          </w:p>
        </w:tc>
        <w:tc>
          <w:tcPr>
            <w:tcW w:w="698" w:type="dxa"/>
            <w:tcBorders>
              <w:top w:val="single" w:sz="4" w:space="0" w:color="auto"/>
              <w:left w:val="nil"/>
              <w:bottom w:val="single" w:sz="4" w:space="0" w:color="auto"/>
              <w:right w:val="nil"/>
            </w:tcBorders>
            <w:shd w:val="clear" w:color="auto" w:fill="auto"/>
            <w:noWrap/>
            <w:vAlign w:val="bottom"/>
            <w:hideMark/>
          </w:tcPr>
          <w:p w14:paraId="07747BEF"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146</w:t>
            </w:r>
          </w:p>
        </w:tc>
        <w:tc>
          <w:tcPr>
            <w:tcW w:w="938" w:type="dxa"/>
            <w:tcBorders>
              <w:top w:val="single" w:sz="4" w:space="0" w:color="auto"/>
              <w:left w:val="nil"/>
              <w:bottom w:val="single" w:sz="4" w:space="0" w:color="auto"/>
              <w:right w:val="nil"/>
            </w:tcBorders>
            <w:shd w:val="clear" w:color="auto" w:fill="auto"/>
            <w:noWrap/>
            <w:vAlign w:val="center"/>
            <w:hideMark/>
          </w:tcPr>
          <w:p w14:paraId="1AC33F24"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697" w:type="dxa"/>
            <w:tcBorders>
              <w:top w:val="nil"/>
              <w:left w:val="single" w:sz="4" w:space="0" w:color="auto"/>
              <w:bottom w:val="single" w:sz="4" w:space="0" w:color="auto"/>
              <w:right w:val="nil"/>
            </w:tcBorders>
            <w:shd w:val="clear" w:color="auto" w:fill="auto"/>
            <w:noWrap/>
            <w:vAlign w:val="bottom"/>
            <w:hideMark/>
          </w:tcPr>
          <w:p w14:paraId="4F5A0E36"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88</w:t>
            </w:r>
          </w:p>
        </w:tc>
        <w:tc>
          <w:tcPr>
            <w:tcW w:w="1072" w:type="dxa"/>
            <w:tcBorders>
              <w:top w:val="nil"/>
              <w:left w:val="nil"/>
              <w:bottom w:val="single" w:sz="4" w:space="0" w:color="auto"/>
              <w:right w:val="single" w:sz="4" w:space="0" w:color="auto"/>
            </w:tcBorders>
            <w:shd w:val="clear" w:color="auto" w:fill="auto"/>
            <w:noWrap/>
            <w:vAlign w:val="center"/>
            <w:hideMark/>
          </w:tcPr>
          <w:p w14:paraId="4CE0080E"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697" w:type="dxa"/>
            <w:tcBorders>
              <w:top w:val="single" w:sz="4" w:space="0" w:color="auto"/>
              <w:left w:val="nil"/>
              <w:bottom w:val="single" w:sz="4" w:space="0" w:color="auto"/>
              <w:right w:val="nil"/>
            </w:tcBorders>
            <w:shd w:val="clear" w:color="auto" w:fill="auto"/>
            <w:noWrap/>
            <w:vAlign w:val="bottom"/>
            <w:hideMark/>
          </w:tcPr>
          <w:p w14:paraId="49A1E424"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328</w:t>
            </w:r>
          </w:p>
        </w:tc>
        <w:tc>
          <w:tcPr>
            <w:tcW w:w="938" w:type="dxa"/>
            <w:tcBorders>
              <w:top w:val="single" w:sz="4" w:space="0" w:color="auto"/>
              <w:left w:val="nil"/>
              <w:bottom w:val="single" w:sz="4" w:space="0" w:color="auto"/>
              <w:right w:val="nil"/>
            </w:tcBorders>
            <w:shd w:val="clear" w:color="auto" w:fill="auto"/>
            <w:noWrap/>
            <w:vAlign w:val="center"/>
            <w:hideMark/>
          </w:tcPr>
          <w:p w14:paraId="62BA17DC"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7038D0CC"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5C61332B"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Praha</w:t>
            </w:r>
          </w:p>
        </w:tc>
        <w:tc>
          <w:tcPr>
            <w:tcW w:w="698" w:type="dxa"/>
            <w:tcBorders>
              <w:top w:val="nil"/>
              <w:left w:val="nil"/>
              <w:bottom w:val="single" w:sz="4" w:space="0" w:color="auto"/>
              <w:right w:val="nil"/>
            </w:tcBorders>
            <w:shd w:val="clear" w:color="auto" w:fill="auto"/>
            <w:noWrap/>
            <w:vAlign w:val="bottom"/>
            <w:hideMark/>
          </w:tcPr>
          <w:p w14:paraId="17F4DF93"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91</w:t>
            </w:r>
          </w:p>
        </w:tc>
        <w:tc>
          <w:tcPr>
            <w:tcW w:w="938" w:type="dxa"/>
            <w:tcBorders>
              <w:top w:val="nil"/>
              <w:left w:val="nil"/>
              <w:bottom w:val="single" w:sz="4" w:space="0" w:color="auto"/>
              <w:right w:val="nil"/>
            </w:tcBorders>
            <w:shd w:val="clear" w:color="auto" w:fill="auto"/>
            <w:noWrap/>
            <w:vAlign w:val="center"/>
            <w:hideMark/>
          </w:tcPr>
          <w:p w14:paraId="2831D3E9"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697" w:type="dxa"/>
            <w:tcBorders>
              <w:top w:val="nil"/>
              <w:left w:val="single" w:sz="4" w:space="0" w:color="auto"/>
              <w:bottom w:val="single" w:sz="4" w:space="0" w:color="auto"/>
              <w:right w:val="nil"/>
            </w:tcBorders>
            <w:shd w:val="clear" w:color="auto" w:fill="auto"/>
            <w:noWrap/>
            <w:vAlign w:val="bottom"/>
            <w:hideMark/>
          </w:tcPr>
          <w:p w14:paraId="1A9B4C64"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57</w:t>
            </w:r>
          </w:p>
        </w:tc>
        <w:tc>
          <w:tcPr>
            <w:tcW w:w="1072" w:type="dxa"/>
            <w:tcBorders>
              <w:top w:val="nil"/>
              <w:left w:val="nil"/>
              <w:bottom w:val="single" w:sz="4" w:space="0" w:color="auto"/>
              <w:right w:val="single" w:sz="4" w:space="0" w:color="auto"/>
            </w:tcBorders>
            <w:shd w:val="clear" w:color="auto" w:fill="auto"/>
            <w:noWrap/>
            <w:vAlign w:val="center"/>
            <w:hideMark/>
          </w:tcPr>
          <w:p w14:paraId="52CE5B63"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697" w:type="dxa"/>
            <w:tcBorders>
              <w:top w:val="nil"/>
              <w:left w:val="nil"/>
              <w:bottom w:val="single" w:sz="4" w:space="0" w:color="auto"/>
              <w:right w:val="nil"/>
            </w:tcBorders>
            <w:shd w:val="clear" w:color="auto" w:fill="auto"/>
            <w:noWrap/>
            <w:vAlign w:val="bottom"/>
            <w:hideMark/>
          </w:tcPr>
          <w:p w14:paraId="5194D49B"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195</w:t>
            </w:r>
          </w:p>
        </w:tc>
        <w:tc>
          <w:tcPr>
            <w:tcW w:w="938" w:type="dxa"/>
            <w:tcBorders>
              <w:top w:val="nil"/>
              <w:left w:val="nil"/>
              <w:bottom w:val="single" w:sz="4" w:space="0" w:color="auto"/>
              <w:right w:val="nil"/>
            </w:tcBorders>
            <w:shd w:val="clear" w:color="auto" w:fill="auto"/>
            <w:noWrap/>
            <w:vAlign w:val="center"/>
            <w:hideMark/>
          </w:tcPr>
          <w:p w14:paraId="55AD30DF"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-16 %</w:t>
            </w:r>
          </w:p>
        </w:tc>
      </w:tr>
      <w:tr w:rsidR="00F85178" w:rsidRPr="00F85178" w14:paraId="1A860446"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4EAF10A1"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Č. Budějovice</w:t>
            </w:r>
          </w:p>
        </w:tc>
        <w:tc>
          <w:tcPr>
            <w:tcW w:w="698" w:type="dxa"/>
            <w:tcBorders>
              <w:top w:val="nil"/>
              <w:left w:val="nil"/>
              <w:bottom w:val="single" w:sz="4" w:space="0" w:color="auto"/>
              <w:right w:val="nil"/>
            </w:tcBorders>
            <w:shd w:val="clear" w:color="auto" w:fill="auto"/>
            <w:noWrap/>
            <w:vAlign w:val="bottom"/>
            <w:hideMark/>
          </w:tcPr>
          <w:p w14:paraId="2D1DC755"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72</w:t>
            </w:r>
          </w:p>
        </w:tc>
        <w:tc>
          <w:tcPr>
            <w:tcW w:w="938" w:type="dxa"/>
            <w:tcBorders>
              <w:top w:val="nil"/>
              <w:left w:val="nil"/>
              <w:bottom w:val="single" w:sz="4" w:space="0" w:color="auto"/>
              <w:right w:val="nil"/>
            </w:tcBorders>
            <w:shd w:val="clear" w:color="auto" w:fill="auto"/>
            <w:noWrap/>
            <w:vAlign w:val="center"/>
            <w:hideMark/>
          </w:tcPr>
          <w:p w14:paraId="6A74CF5C"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697" w:type="dxa"/>
            <w:tcBorders>
              <w:top w:val="nil"/>
              <w:left w:val="single" w:sz="4" w:space="0" w:color="auto"/>
              <w:bottom w:val="single" w:sz="4" w:space="0" w:color="auto"/>
              <w:right w:val="nil"/>
            </w:tcBorders>
            <w:shd w:val="clear" w:color="auto" w:fill="auto"/>
            <w:noWrap/>
            <w:vAlign w:val="bottom"/>
            <w:hideMark/>
          </w:tcPr>
          <w:p w14:paraId="1E43E134"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43</w:t>
            </w:r>
          </w:p>
        </w:tc>
        <w:tc>
          <w:tcPr>
            <w:tcW w:w="1072" w:type="dxa"/>
            <w:tcBorders>
              <w:top w:val="nil"/>
              <w:left w:val="nil"/>
              <w:bottom w:val="single" w:sz="4" w:space="0" w:color="auto"/>
              <w:right w:val="single" w:sz="4" w:space="0" w:color="auto"/>
            </w:tcBorders>
            <w:shd w:val="clear" w:color="auto" w:fill="auto"/>
            <w:noWrap/>
            <w:vAlign w:val="center"/>
            <w:hideMark/>
          </w:tcPr>
          <w:p w14:paraId="2D234722"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697" w:type="dxa"/>
            <w:tcBorders>
              <w:top w:val="nil"/>
              <w:left w:val="nil"/>
              <w:bottom w:val="single" w:sz="4" w:space="0" w:color="auto"/>
              <w:right w:val="nil"/>
            </w:tcBorders>
            <w:shd w:val="clear" w:color="auto" w:fill="auto"/>
            <w:noWrap/>
            <w:vAlign w:val="bottom"/>
            <w:hideMark/>
          </w:tcPr>
          <w:p w14:paraId="3D6CA284"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164</w:t>
            </w:r>
          </w:p>
        </w:tc>
        <w:tc>
          <w:tcPr>
            <w:tcW w:w="938" w:type="dxa"/>
            <w:tcBorders>
              <w:top w:val="nil"/>
              <w:left w:val="nil"/>
              <w:bottom w:val="single" w:sz="4" w:space="0" w:color="auto"/>
              <w:right w:val="nil"/>
            </w:tcBorders>
            <w:shd w:val="clear" w:color="auto" w:fill="auto"/>
            <w:noWrap/>
            <w:vAlign w:val="center"/>
            <w:hideMark/>
          </w:tcPr>
          <w:p w14:paraId="0BA38084"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-16 %</w:t>
            </w:r>
          </w:p>
        </w:tc>
      </w:tr>
      <w:tr w:rsidR="00F85178" w:rsidRPr="00F85178" w14:paraId="21CF07F5"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225EAD60"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Plzeň</w:t>
            </w:r>
          </w:p>
        </w:tc>
        <w:tc>
          <w:tcPr>
            <w:tcW w:w="698" w:type="dxa"/>
            <w:tcBorders>
              <w:top w:val="nil"/>
              <w:left w:val="nil"/>
              <w:bottom w:val="single" w:sz="4" w:space="0" w:color="auto"/>
              <w:right w:val="nil"/>
            </w:tcBorders>
            <w:shd w:val="clear" w:color="auto" w:fill="auto"/>
            <w:noWrap/>
            <w:vAlign w:val="bottom"/>
            <w:hideMark/>
          </w:tcPr>
          <w:p w14:paraId="252DFB57"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110</w:t>
            </w:r>
          </w:p>
        </w:tc>
        <w:tc>
          <w:tcPr>
            <w:tcW w:w="938" w:type="dxa"/>
            <w:tcBorders>
              <w:top w:val="nil"/>
              <w:left w:val="nil"/>
              <w:bottom w:val="single" w:sz="4" w:space="0" w:color="auto"/>
              <w:right w:val="nil"/>
            </w:tcBorders>
            <w:shd w:val="clear" w:color="auto" w:fill="auto"/>
            <w:noWrap/>
            <w:vAlign w:val="center"/>
            <w:hideMark/>
          </w:tcPr>
          <w:p w14:paraId="70100CAC"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697" w:type="dxa"/>
            <w:tcBorders>
              <w:top w:val="nil"/>
              <w:left w:val="single" w:sz="4" w:space="0" w:color="auto"/>
              <w:bottom w:val="single" w:sz="4" w:space="0" w:color="auto"/>
              <w:right w:val="nil"/>
            </w:tcBorders>
            <w:shd w:val="clear" w:color="auto" w:fill="auto"/>
            <w:noWrap/>
            <w:vAlign w:val="bottom"/>
            <w:hideMark/>
          </w:tcPr>
          <w:p w14:paraId="32C31B0C"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71</w:t>
            </w:r>
          </w:p>
        </w:tc>
        <w:tc>
          <w:tcPr>
            <w:tcW w:w="1072" w:type="dxa"/>
            <w:tcBorders>
              <w:top w:val="nil"/>
              <w:left w:val="nil"/>
              <w:bottom w:val="single" w:sz="4" w:space="0" w:color="auto"/>
              <w:right w:val="single" w:sz="4" w:space="0" w:color="auto"/>
            </w:tcBorders>
            <w:shd w:val="clear" w:color="auto" w:fill="auto"/>
            <w:noWrap/>
            <w:vAlign w:val="center"/>
            <w:hideMark/>
          </w:tcPr>
          <w:p w14:paraId="01F158E1"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697" w:type="dxa"/>
            <w:tcBorders>
              <w:top w:val="nil"/>
              <w:left w:val="nil"/>
              <w:bottom w:val="single" w:sz="4" w:space="0" w:color="auto"/>
              <w:right w:val="nil"/>
            </w:tcBorders>
            <w:shd w:val="clear" w:color="auto" w:fill="auto"/>
            <w:noWrap/>
            <w:vAlign w:val="bottom"/>
            <w:hideMark/>
          </w:tcPr>
          <w:p w14:paraId="22EB6816"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230</w:t>
            </w:r>
          </w:p>
        </w:tc>
        <w:tc>
          <w:tcPr>
            <w:tcW w:w="938" w:type="dxa"/>
            <w:tcBorders>
              <w:top w:val="nil"/>
              <w:left w:val="nil"/>
              <w:bottom w:val="single" w:sz="4" w:space="0" w:color="auto"/>
              <w:right w:val="nil"/>
            </w:tcBorders>
            <w:shd w:val="clear" w:color="auto" w:fill="auto"/>
            <w:noWrap/>
            <w:vAlign w:val="center"/>
            <w:hideMark/>
          </w:tcPr>
          <w:p w14:paraId="3C04DE40"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10B70D78"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1E70F927"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Ústí n. Labem</w:t>
            </w:r>
          </w:p>
        </w:tc>
        <w:tc>
          <w:tcPr>
            <w:tcW w:w="698" w:type="dxa"/>
            <w:tcBorders>
              <w:top w:val="nil"/>
              <w:left w:val="nil"/>
              <w:bottom w:val="single" w:sz="4" w:space="0" w:color="auto"/>
              <w:right w:val="nil"/>
            </w:tcBorders>
            <w:shd w:val="clear" w:color="auto" w:fill="auto"/>
            <w:noWrap/>
            <w:vAlign w:val="bottom"/>
            <w:hideMark/>
          </w:tcPr>
          <w:p w14:paraId="6F131B04"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211</w:t>
            </w:r>
          </w:p>
        </w:tc>
        <w:tc>
          <w:tcPr>
            <w:tcW w:w="938" w:type="dxa"/>
            <w:tcBorders>
              <w:top w:val="nil"/>
              <w:left w:val="nil"/>
              <w:bottom w:val="single" w:sz="4" w:space="0" w:color="auto"/>
              <w:right w:val="nil"/>
            </w:tcBorders>
            <w:shd w:val="clear" w:color="auto" w:fill="auto"/>
            <w:noWrap/>
            <w:vAlign w:val="center"/>
            <w:hideMark/>
          </w:tcPr>
          <w:p w14:paraId="4B005E17"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697" w:type="dxa"/>
            <w:tcBorders>
              <w:top w:val="nil"/>
              <w:left w:val="single" w:sz="4" w:space="0" w:color="auto"/>
              <w:bottom w:val="single" w:sz="4" w:space="0" w:color="auto"/>
              <w:right w:val="nil"/>
            </w:tcBorders>
            <w:shd w:val="clear" w:color="auto" w:fill="auto"/>
            <w:noWrap/>
            <w:vAlign w:val="bottom"/>
            <w:hideMark/>
          </w:tcPr>
          <w:p w14:paraId="68267916"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101</w:t>
            </w:r>
          </w:p>
        </w:tc>
        <w:tc>
          <w:tcPr>
            <w:tcW w:w="1072" w:type="dxa"/>
            <w:tcBorders>
              <w:top w:val="nil"/>
              <w:left w:val="nil"/>
              <w:bottom w:val="single" w:sz="4" w:space="0" w:color="auto"/>
              <w:right w:val="single" w:sz="4" w:space="0" w:color="auto"/>
            </w:tcBorders>
            <w:shd w:val="clear" w:color="auto" w:fill="auto"/>
            <w:noWrap/>
            <w:vAlign w:val="center"/>
            <w:hideMark/>
          </w:tcPr>
          <w:p w14:paraId="27002DF1"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697" w:type="dxa"/>
            <w:tcBorders>
              <w:top w:val="nil"/>
              <w:left w:val="nil"/>
              <w:bottom w:val="single" w:sz="4" w:space="0" w:color="auto"/>
              <w:right w:val="nil"/>
            </w:tcBorders>
            <w:shd w:val="clear" w:color="auto" w:fill="auto"/>
            <w:noWrap/>
            <w:vAlign w:val="bottom"/>
            <w:hideMark/>
          </w:tcPr>
          <w:p w14:paraId="4CEF2E12"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574</w:t>
            </w:r>
          </w:p>
        </w:tc>
        <w:tc>
          <w:tcPr>
            <w:tcW w:w="938" w:type="dxa"/>
            <w:tcBorders>
              <w:top w:val="nil"/>
              <w:left w:val="nil"/>
              <w:bottom w:val="single" w:sz="4" w:space="0" w:color="auto"/>
              <w:right w:val="nil"/>
            </w:tcBorders>
            <w:shd w:val="clear" w:color="auto" w:fill="auto"/>
            <w:noWrap/>
            <w:vAlign w:val="center"/>
            <w:hideMark/>
          </w:tcPr>
          <w:p w14:paraId="0EC7593C"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299FD2E9"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598C70AF"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Hr. Králové</w:t>
            </w:r>
          </w:p>
        </w:tc>
        <w:tc>
          <w:tcPr>
            <w:tcW w:w="698" w:type="dxa"/>
            <w:tcBorders>
              <w:top w:val="nil"/>
              <w:left w:val="nil"/>
              <w:bottom w:val="single" w:sz="4" w:space="0" w:color="auto"/>
              <w:right w:val="nil"/>
            </w:tcBorders>
            <w:shd w:val="clear" w:color="auto" w:fill="auto"/>
            <w:noWrap/>
            <w:vAlign w:val="bottom"/>
            <w:hideMark/>
          </w:tcPr>
          <w:p w14:paraId="7BCBDD56"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118</w:t>
            </w:r>
          </w:p>
        </w:tc>
        <w:tc>
          <w:tcPr>
            <w:tcW w:w="938" w:type="dxa"/>
            <w:tcBorders>
              <w:top w:val="nil"/>
              <w:left w:val="nil"/>
              <w:bottom w:val="single" w:sz="4" w:space="0" w:color="auto"/>
              <w:right w:val="nil"/>
            </w:tcBorders>
            <w:shd w:val="clear" w:color="auto" w:fill="auto"/>
            <w:noWrap/>
            <w:vAlign w:val="center"/>
            <w:hideMark/>
          </w:tcPr>
          <w:p w14:paraId="56F71E6F"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697" w:type="dxa"/>
            <w:tcBorders>
              <w:top w:val="nil"/>
              <w:left w:val="single" w:sz="4" w:space="0" w:color="auto"/>
              <w:bottom w:val="single" w:sz="4" w:space="0" w:color="auto"/>
              <w:right w:val="nil"/>
            </w:tcBorders>
            <w:shd w:val="clear" w:color="auto" w:fill="auto"/>
            <w:noWrap/>
            <w:vAlign w:val="bottom"/>
            <w:hideMark/>
          </w:tcPr>
          <w:p w14:paraId="61575B45"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69</w:t>
            </w:r>
          </w:p>
        </w:tc>
        <w:tc>
          <w:tcPr>
            <w:tcW w:w="1072" w:type="dxa"/>
            <w:tcBorders>
              <w:top w:val="nil"/>
              <w:left w:val="nil"/>
              <w:bottom w:val="single" w:sz="4" w:space="0" w:color="auto"/>
              <w:right w:val="single" w:sz="4" w:space="0" w:color="auto"/>
            </w:tcBorders>
            <w:shd w:val="clear" w:color="auto" w:fill="auto"/>
            <w:noWrap/>
            <w:vAlign w:val="center"/>
            <w:hideMark/>
          </w:tcPr>
          <w:p w14:paraId="6F5542D3"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697" w:type="dxa"/>
            <w:tcBorders>
              <w:top w:val="nil"/>
              <w:left w:val="nil"/>
              <w:bottom w:val="single" w:sz="4" w:space="0" w:color="auto"/>
              <w:right w:val="nil"/>
            </w:tcBorders>
            <w:shd w:val="clear" w:color="auto" w:fill="auto"/>
            <w:noWrap/>
            <w:vAlign w:val="bottom"/>
            <w:hideMark/>
          </w:tcPr>
          <w:p w14:paraId="34F193E9"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264</w:t>
            </w:r>
          </w:p>
        </w:tc>
        <w:tc>
          <w:tcPr>
            <w:tcW w:w="938" w:type="dxa"/>
            <w:tcBorders>
              <w:top w:val="nil"/>
              <w:left w:val="nil"/>
              <w:bottom w:val="single" w:sz="4" w:space="0" w:color="auto"/>
              <w:right w:val="nil"/>
            </w:tcBorders>
            <w:shd w:val="clear" w:color="auto" w:fill="auto"/>
            <w:noWrap/>
            <w:vAlign w:val="center"/>
            <w:hideMark/>
          </w:tcPr>
          <w:p w14:paraId="32C423D8"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56E714E9" w14:textId="77777777" w:rsidTr="00D80B35">
        <w:trPr>
          <w:trHeight w:val="315"/>
        </w:trPr>
        <w:tc>
          <w:tcPr>
            <w:tcW w:w="2480" w:type="dxa"/>
            <w:tcBorders>
              <w:top w:val="nil"/>
              <w:left w:val="nil"/>
              <w:bottom w:val="single" w:sz="4" w:space="0" w:color="auto"/>
              <w:right w:val="nil"/>
            </w:tcBorders>
            <w:shd w:val="clear" w:color="auto" w:fill="auto"/>
            <w:noWrap/>
            <w:vAlign w:val="bottom"/>
            <w:hideMark/>
          </w:tcPr>
          <w:p w14:paraId="736B0C62"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Brno</w:t>
            </w:r>
          </w:p>
        </w:tc>
        <w:tc>
          <w:tcPr>
            <w:tcW w:w="698" w:type="dxa"/>
            <w:tcBorders>
              <w:top w:val="nil"/>
              <w:left w:val="nil"/>
              <w:bottom w:val="single" w:sz="4" w:space="0" w:color="auto"/>
              <w:right w:val="nil"/>
            </w:tcBorders>
            <w:shd w:val="clear" w:color="auto" w:fill="auto"/>
            <w:noWrap/>
            <w:vAlign w:val="bottom"/>
            <w:hideMark/>
          </w:tcPr>
          <w:p w14:paraId="6CC70056"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171</w:t>
            </w:r>
          </w:p>
        </w:tc>
        <w:tc>
          <w:tcPr>
            <w:tcW w:w="938" w:type="dxa"/>
            <w:tcBorders>
              <w:top w:val="nil"/>
              <w:left w:val="nil"/>
              <w:bottom w:val="single" w:sz="4" w:space="0" w:color="auto"/>
              <w:right w:val="nil"/>
            </w:tcBorders>
            <w:shd w:val="clear" w:color="auto" w:fill="auto"/>
            <w:noWrap/>
            <w:vAlign w:val="center"/>
            <w:hideMark/>
          </w:tcPr>
          <w:p w14:paraId="2964E372"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697" w:type="dxa"/>
            <w:tcBorders>
              <w:top w:val="nil"/>
              <w:left w:val="single" w:sz="4" w:space="0" w:color="auto"/>
              <w:bottom w:val="single" w:sz="4" w:space="0" w:color="auto"/>
              <w:right w:val="nil"/>
            </w:tcBorders>
            <w:shd w:val="clear" w:color="auto" w:fill="auto"/>
            <w:noWrap/>
            <w:vAlign w:val="bottom"/>
            <w:hideMark/>
          </w:tcPr>
          <w:p w14:paraId="1E765E2A"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103</w:t>
            </w:r>
          </w:p>
        </w:tc>
        <w:tc>
          <w:tcPr>
            <w:tcW w:w="1072" w:type="dxa"/>
            <w:tcBorders>
              <w:top w:val="nil"/>
              <w:left w:val="nil"/>
              <w:bottom w:val="single" w:sz="4" w:space="0" w:color="auto"/>
              <w:right w:val="single" w:sz="4" w:space="0" w:color="auto"/>
            </w:tcBorders>
            <w:shd w:val="clear" w:color="auto" w:fill="auto"/>
            <w:noWrap/>
            <w:vAlign w:val="center"/>
            <w:hideMark/>
          </w:tcPr>
          <w:p w14:paraId="3E072B41"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697" w:type="dxa"/>
            <w:tcBorders>
              <w:top w:val="nil"/>
              <w:left w:val="nil"/>
              <w:bottom w:val="single" w:sz="4" w:space="0" w:color="auto"/>
              <w:right w:val="nil"/>
            </w:tcBorders>
            <w:shd w:val="clear" w:color="auto" w:fill="auto"/>
            <w:noWrap/>
            <w:vAlign w:val="bottom"/>
            <w:hideMark/>
          </w:tcPr>
          <w:p w14:paraId="341326B8"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383</w:t>
            </w:r>
          </w:p>
        </w:tc>
        <w:tc>
          <w:tcPr>
            <w:tcW w:w="938" w:type="dxa"/>
            <w:tcBorders>
              <w:top w:val="nil"/>
              <w:left w:val="nil"/>
              <w:bottom w:val="single" w:sz="4" w:space="0" w:color="auto"/>
              <w:right w:val="nil"/>
            </w:tcBorders>
            <w:shd w:val="clear" w:color="auto" w:fill="auto"/>
            <w:noWrap/>
            <w:vAlign w:val="center"/>
            <w:hideMark/>
          </w:tcPr>
          <w:p w14:paraId="5DC12CF8"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-22 %</w:t>
            </w:r>
          </w:p>
        </w:tc>
      </w:tr>
      <w:tr w:rsidR="00F85178" w:rsidRPr="00F85178" w14:paraId="565BFC08" w14:textId="77777777" w:rsidTr="00D80B35">
        <w:trPr>
          <w:trHeight w:val="330"/>
        </w:trPr>
        <w:tc>
          <w:tcPr>
            <w:tcW w:w="2480" w:type="dxa"/>
            <w:tcBorders>
              <w:top w:val="nil"/>
              <w:left w:val="nil"/>
              <w:bottom w:val="double" w:sz="6" w:space="0" w:color="auto"/>
              <w:right w:val="nil"/>
            </w:tcBorders>
            <w:shd w:val="clear" w:color="auto" w:fill="auto"/>
            <w:noWrap/>
            <w:vAlign w:val="bottom"/>
            <w:hideMark/>
          </w:tcPr>
          <w:p w14:paraId="7A1A2148" w14:textId="77777777" w:rsidR="00D80B35" w:rsidRPr="00F85178" w:rsidRDefault="00D80B35" w:rsidP="00D80B35">
            <w:pPr>
              <w:spacing w:line="240" w:lineRule="auto"/>
              <w:jc w:val="left"/>
              <w:rPr>
                <w:rFonts w:eastAsia="Times New Roman"/>
                <w:szCs w:val="24"/>
                <w:lang w:eastAsia="cs-CZ"/>
              </w:rPr>
            </w:pPr>
            <w:r w:rsidRPr="00F85178">
              <w:rPr>
                <w:rFonts w:eastAsia="Times New Roman"/>
                <w:szCs w:val="24"/>
                <w:lang w:eastAsia="cs-CZ"/>
              </w:rPr>
              <w:t>KS Ostrava</w:t>
            </w:r>
          </w:p>
        </w:tc>
        <w:tc>
          <w:tcPr>
            <w:tcW w:w="698" w:type="dxa"/>
            <w:tcBorders>
              <w:top w:val="nil"/>
              <w:left w:val="nil"/>
              <w:bottom w:val="double" w:sz="6" w:space="0" w:color="auto"/>
              <w:right w:val="nil"/>
            </w:tcBorders>
            <w:shd w:val="clear" w:color="auto" w:fill="auto"/>
            <w:noWrap/>
            <w:vAlign w:val="bottom"/>
            <w:hideMark/>
          </w:tcPr>
          <w:p w14:paraId="577BC3E9"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132</w:t>
            </w:r>
          </w:p>
        </w:tc>
        <w:tc>
          <w:tcPr>
            <w:tcW w:w="938" w:type="dxa"/>
            <w:tcBorders>
              <w:top w:val="nil"/>
              <w:left w:val="nil"/>
              <w:bottom w:val="double" w:sz="6" w:space="0" w:color="auto"/>
              <w:right w:val="nil"/>
            </w:tcBorders>
            <w:shd w:val="clear" w:color="auto" w:fill="auto"/>
            <w:noWrap/>
            <w:vAlign w:val="center"/>
            <w:hideMark/>
          </w:tcPr>
          <w:p w14:paraId="4217AC1E"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697" w:type="dxa"/>
            <w:tcBorders>
              <w:top w:val="nil"/>
              <w:left w:val="single" w:sz="4" w:space="0" w:color="auto"/>
              <w:bottom w:val="double" w:sz="6" w:space="0" w:color="auto"/>
              <w:right w:val="nil"/>
            </w:tcBorders>
            <w:shd w:val="clear" w:color="auto" w:fill="auto"/>
            <w:noWrap/>
            <w:vAlign w:val="bottom"/>
            <w:hideMark/>
          </w:tcPr>
          <w:p w14:paraId="2132D903"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87</w:t>
            </w:r>
          </w:p>
        </w:tc>
        <w:tc>
          <w:tcPr>
            <w:tcW w:w="1072" w:type="dxa"/>
            <w:tcBorders>
              <w:top w:val="nil"/>
              <w:left w:val="nil"/>
              <w:bottom w:val="double" w:sz="6" w:space="0" w:color="auto"/>
              <w:right w:val="single" w:sz="4" w:space="0" w:color="auto"/>
            </w:tcBorders>
            <w:shd w:val="clear" w:color="auto" w:fill="auto"/>
            <w:noWrap/>
            <w:vAlign w:val="center"/>
            <w:hideMark/>
          </w:tcPr>
          <w:p w14:paraId="36BC00F6"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697" w:type="dxa"/>
            <w:tcBorders>
              <w:top w:val="nil"/>
              <w:left w:val="nil"/>
              <w:bottom w:val="double" w:sz="6" w:space="0" w:color="auto"/>
              <w:right w:val="nil"/>
            </w:tcBorders>
            <w:shd w:val="clear" w:color="auto" w:fill="auto"/>
            <w:noWrap/>
            <w:vAlign w:val="bottom"/>
            <w:hideMark/>
          </w:tcPr>
          <w:p w14:paraId="657DB209" w14:textId="77777777" w:rsidR="00D80B35" w:rsidRPr="00F85178" w:rsidRDefault="00D80B35" w:rsidP="00D80B35">
            <w:pPr>
              <w:spacing w:line="240" w:lineRule="auto"/>
              <w:jc w:val="center"/>
              <w:rPr>
                <w:rFonts w:eastAsia="Times New Roman"/>
                <w:szCs w:val="24"/>
                <w:lang w:eastAsia="cs-CZ"/>
              </w:rPr>
            </w:pPr>
            <w:r w:rsidRPr="00F85178">
              <w:rPr>
                <w:rFonts w:eastAsia="Times New Roman"/>
                <w:szCs w:val="24"/>
                <w:lang w:eastAsia="cs-CZ"/>
              </w:rPr>
              <w:t>274</w:t>
            </w:r>
          </w:p>
        </w:tc>
        <w:tc>
          <w:tcPr>
            <w:tcW w:w="938" w:type="dxa"/>
            <w:tcBorders>
              <w:top w:val="nil"/>
              <w:left w:val="nil"/>
              <w:bottom w:val="double" w:sz="6" w:space="0" w:color="auto"/>
              <w:right w:val="nil"/>
            </w:tcBorders>
            <w:shd w:val="clear" w:color="auto" w:fill="auto"/>
            <w:noWrap/>
            <w:vAlign w:val="center"/>
            <w:hideMark/>
          </w:tcPr>
          <w:p w14:paraId="2223E6DA" w14:textId="77777777" w:rsidR="00D80B35" w:rsidRPr="00F85178" w:rsidRDefault="00D80B35" w:rsidP="00D80B35">
            <w:pPr>
              <w:spacing w:line="240" w:lineRule="auto"/>
              <w:jc w:val="center"/>
              <w:rPr>
                <w:rFonts w:eastAsia="Times New Roman"/>
                <w:sz w:val="20"/>
                <w:szCs w:val="20"/>
                <w:lang w:eastAsia="cs-CZ"/>
              </w:rPr>
            </w:pPr>
            <w:r w:rsidRPr="00F85178">
              <w:rPr>
                <w:rFonts w:eastAsia="Times New Roman"/>
                <w:sz w:val="20"/>
                <w:szCs w:val="20"/>
                <w:lang w:eastAsia="cs-CZ"/>
              </w:rPr>
              <w:t>-22 %</w:t>
            </w:r>
          </w:p>
        </w:tc>
      </w:tr>
      <w:tr w:rsidR="00D80B35" w:rsidRPr="00F85178" w14:paraId="5A022B0A" w14:textId="77777777" w:rsidTr="00D80B35">
        <w:trPr>
          <w:trHeight w:val="345"/>
        </w:trPr>
        <w:tc>
          <w:tcPr>
            <w:tcW w:w="2480" w:type="dxa"/>
            <w:tcBorders>
              <w:top w:val="nil"/>
              <w:left w:val="nil"/>
              <w:bottom w:val="double" w:sz="6" w:space="0" w:color="auto"/>
              <w:right w:val="nil"/>
            </w:tcBorders>
            <w:shd w:val="clear" w:color="auto" w:fill="auto"/>
            <w:noWrap/>
            <w:vAlign w:val="bottom"/>
            <w:hideMark/>
          </w:tcPr>
          <w:p w14:paraId="21E099A6" w14:textId="77777777" w:rsidR="00D80B35" w:rsidRPr="00F85178" w:rsidRDefault="00D80B35" w:rsidP="00D80B35">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98" w:type="dxa"/>
            <w:tcBorders>
              <w:top w:val="nil"/>
              <w:left w:val="nil"/>
              <w:bottom w:val="double" w:sz="6" w:space="0" w:color="auto"/>
              <w:right w:val="nil"/>
            </w:tcBorders>
            <w:shd w:val="clear" w:color="auto" w:fill="auto"/>
            <w:noWrap/>
            <w:vAlign w:val="bottom"/>
            <w:hideMark/>
          </w:tcPr>
          <w:p w14:paraId="40732782"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139</w:t>
            </w:r>
          </w:p>
        </w:tc>
        <w:tc>
          <w:tcPr>
            <w:tcW w:w="938" w:type="dxa"/>
            <w:tcBorders>
              <w:top w:val="nil"/>
              <w:left w:val="nil"/>
              <w:bottom w:val="double" w:sz="6" w:space="0" w:color="auto"/>
              <w:right w:val="nil"/>
            </w:tcBorders>
            <w:shd w:val="clear" w:color="auto" w:fill="auto"/>
            <w:noWrap/>
            <w:vAlign w:val="center"/>
            <w:hideMark/>
          </w:tcPr>
          <w:p w14:paraId="1CBF7487" w14:textId="77777777" w:rsidR="00D80B35" w:rsidRPr="00F85178" w:rsidRDefault="00D80B35" w:rsidP="00D80B35">
            <w:pPr>
              <w:spacing w:line="240" w:lineRule="auto"/>
              <w:jc w:val="center"/>
              <w:rPr>
                <w:rFonts w:eastAsia="Times New Roman"/>
                <w:b/>
                <w:bCs/>
                <w:sz w:val="20"/>
                <w:szCs w:val="20"/>
                <w:lang w:eastAsia="cs-CZ"/>
              </w:rPr>
            </w:pPr>
            <w:r w:rsidRPr="00F85178">
              <w:rPr>
                <w:rFonts w:eastAsia="Times New Roman"/>
                <w:b/>
                <w:bCs/>
                <w:sz w:val="20"/>
                <w:szCs w:val="20"/>
                <w:lang w:eastAsia="cs-CZ"/>
              </w:rPr>
              <w:t>-7 %</w:t>
            </w:r>
          </w:p>
        </w:tc>
        <w:tc>
          <w:tcPr>
            <w:tcW w:w="697" w:type="dxa"/>
            <w:tcBorders>
              <w:top w:val="nil"/>
              <w:left w:val="single" w:sz="4" w:space="0" w:color="auto"/>
              <w:bottom w:val="double" w:sz="6" w:space="0" w:color="auto"/>
              <w:right w:val="nil"/>
            </w:tcBorders>
            <w:shd w:val="clear" w:color="auto" w:fill="auto"/>
            <w:noWrap/>
            <w:vAlign w:val="bottom"/>
            <w:hideMark/>
          </w:tcPr>
          <w:p w14:paraId="77E631C3"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79</w:t>
            </w:r>
          </w:p>
        </w:tc>
        <w:tc>
          <w:tcPr>
            <w:tcW w:w="1072" w:type="dxa"/>
            <w:tcBorders>
              <w:top w:val="nil"/>
              <w:left w:val="nil"/>
              <w:bottom w:val="double" w:sz="6" w:space="0" w:color="auto"/>
              <w:right w:val="single" w:sz="4" w:space="0" w:color="auto"/>
            </w:tcBorders>
            <w:shd w:val="clear" w:color="auto" w:fill="auto"/>
            <w:noWrap/>
            <w:vAlign w:val="center"/>
            <w:hideMark/>
          </w:tcPr>
          <w:p w14:paraId="550FF40F" w14:textId="77777777" w:rsidR="00D80B35" w:rsidRPr="00F85178" w:rsidRDefault="00D80B35" w:rsidP="00D80B35">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697" w:type="dxa"/>
            <w:tcBorders>
              <w:top w:val="nil"/>
              <w:left w:val="nil"/>
              <w:bottom w:val="double" w:sz="6" w:space="0" w:color="auto"/>
              <w:right w:val="nil"/>
            </w:tcBorders>
            <w:shd w:val="clear" w:color="auto" w:fill="auto"/>
            <w:noWrap/>
            <w:vAlign w:val="bottom"/>
            <w:hideMark/>
          </w:tcPr>
          <w:p w14:paraId="6012C4C8" w14:textId="77777777" w:rsidR="00D80B35" w:rsidRPr="00F85178" w:rsidRDefault="00D80B35" w:rsidP="00D80B35">
            <w:pPr>
              <w:spacing w:line="240" w:lineRule="auto"/>
              <w:jc w:val="center"/>
              <w:rPr>
                <w:rFonts w:eastAsia="Times New Roman"/>
                <w:b/>
                <w:bCs/>
                <w:szCs w:val="24"/>
                <w:lang w:eastAsia="cs-CZ"/>
              </w:rPr>
            </w:pPr>
            <w:r w:rsidRPr="00F85178">
              <w:rPr>
                <w:rFonts w:eastAsia="Times New Roman"/>
                <w:b/>
                <w:bCs/>
                <w:szCs w:val="24"/>
                <w:lang w:eastAsia="cs-CZ"/>
              </w:rPr>
              <w:t>305</w:t>
            </w:r>
          </w:p>
        </w:tc>
        <w:tc>
          <w:tcPr>
            <w:tcW w:w="938" w:type="dxa"/>
            <w:tcBorders>
              <w:top w:val="nil"/>
              <w:left w:val="nil"/>
              <w:bottom w:val="double" w:sz="6" w:space="0" w:color="auto"/>
              <w:right w:val="nil"/>
            </w:tcBorders>
            <w:shd w:val="clear" w:color="auto" w:fill="auto"/>
            <w:noWrap/>
            <w:vAlign w:val="center"/>
            <w:hideMark/>
          </w:tcPr>
          <w:p w14:paraId="4B14049F" w14:textId="77777777" w:rsidR="00D80B35" w:rsidRPr="00F85178" w:rsidRDefault="00D80B35" w:rsidP="00D80B35">
            <w:pPr>
              <w:spacing w:line="240" w:lineRule="auto"/>
              <w:jc w:val="center"/>
              <w:rPr>
                <w:rFonts w:eastAsia="Times New Roman"/>
                <w:b/>
                <w:bCs/>
                <w:sz w:val="20"/>
                <w:szCs w:val="20"/>
                <w:lang w:eastAsia="cs-CZ"/>
              </w:rPr>
            </w:pPr>
            <w:r w:rsidRPr="00F85178">
              <w:rPr>
                <w:rFonts w:eastAsia="Times New Roman"/>
                <w:b/>
                <w:bCs/>
                <w:sz w:val="20"/>
                <w:szCs w:val="20"/>
                <w:lang w:eastAsia="cs-CZ"/>
              </w:rPr>
              <w:t>-15 %</w:t>
            </w:r>
          </w:p>
        </w:tc>
      </w:tr>
    </w:tbl>
    <w:p w14:paraId="203A1253" w14:textId="77777777" w:rsidR="00D80B35" w:rsidRPr="00F85178" w:rsidRDefault="00D80B35" w:rsidP="00770E8A"/>
    <w:p w14:paraId="6EDDBF02" w14:textId="77777777" w:rsidR="00BE6FD7" w:rsidRPr="00F85178" w:rsidRDefault="00BE6FD7" w:rsidP="00BE6FD7">
      <w:pPr>
        <w:pStyle w:val="OdstavecASR"/>
      </w:pPr>
      <w:r w:rsidRPr="00F85178">
        <w:t>Z tabulky a kartogramu vyplývá, že situace v opatrovnické agendě je přibližně stejná jako v agendě občanskoprávní</w:t>
      </w:r>
      <w:r w:rsidR="00A45D47" w:rsidRPr="00F85178">
        <w:t xml:space="preserve"> (délky v opatrovnických </w:t>
      </w:r>
      <w:r w:rsidR="00043648" w:rsidRPr="00F85178">
        <w:t xml:space="preserve">řízeních </w:t>
      </w:r>
      <w:r w:rsidR="00A45D47" w:rsidRPr="00F85178">
        <w:t xml:space="preserve">jsou </w:t>
      </w:r>
      <w:r w:rsidR="003D65CF" w:rsidRPr="00F85178">
        <w:t>však přibližně</w:t>
      </w:r>
      <w:r w:rsidR="00A45D47" w:rsidRPr="00F85178">
        <w:t xml:space="preserve"> poloviční)</w:t>
      </w:r>
      <w:r w:rsidRPr="00F85178">
        <w:t xml:space="preserve">. Tedy, že nejvyšší délky řízení </w:t>
      </w:r>
      <w:r w:rsidR="00A45D47" w:rsidRPr="00F85178">
        <w:t xml:space="preserve">opětovně </w:t>
      </w:r>
      <w:r w:rsidRPr="00F85178">
        <w:t xml:space="preserve">vykazují soudy v Severočeském a Jihomoravském kraji. Naopak nejrychlejší jsou </w:t>
      </w:r>
      <w:r w:rsidR="00A45D47" w:rsidRPr="00F85178">
        <w:t xml:space="preserve">tradičně </w:t>
      </w:r>
      <w:r w:rsidRPr="00F85178">
        <w:t>soudy spadající pod KS České Budějovice a KS Praha.</w:t>
      </w:r>
    </w:p>
    <w:p w14:paraId="4BF5AD28" w14:textId="77777777" w:rsidR="00FF45A7" w:rsidRDefault="00BE6FD7" w:rsidP="00BE6FD7">
      <w:pPr>
        <w:pStyle w:val="OdstavecASR"/>
      </w:pPr>
      <w:r w:rsidRPr="00F85178">
        <w:t>Nejrychleji vyřizovaly opatrovnickou agendu v roce 201</w:t>
      </w:r>
      <w:r w:rsidR="00A45D47" w:rsidRPr="00F85178">
        <w:t>8</w:t>
      </w:r>
      <w:r w:rsidRPr="00F85178">
        <w:t xml:space="preserve"> následující soudy: OS Nymburk (mediánová délka řízení </w:t>
      </w:r>
      <w:r w:rsidR="006E135F" w:rsidRPr="00F85178">
        <w:t>33 </w:t>
      </w:r>
      <w:r w:rsidRPr="00F85178">
        <w:t xml:space="preserve">dnů), </w:t>
      </w:r>
      <w:r w:rsidR="006E135F" w:rsidRPr="00F85178">
        <w:t>OS Tábor (35 dnů) a OS Český Krumlov (</w:t>
      </w:r>
      <w:r w:rsidR="003415ED">
        <w:t>3</w:t>
      </w:r>
      <w:r w:rsidR="006E135F" w:rsidRPr="00F85178">
        <w:t>6 dnů)</w:t>
      </w:r>
      <w:r w:rsidRPr="00F85178">
        <w:t>. Naopak</w:t>
      </w:r>
      <w:r w:rsidR="006B05CA" w:rsidRPr="00F85178">
        <w:t>,</w:t>
      </w:r>
      <w:r w:rsidRPr="00F85178">
        <w:t xml:space="preserve"> nejpomalejší je opět soud v Chomutově, kde je mediánová délka řízení </w:t>
      </w:r>
      <w:r w:rsidR="006B05CA" w:rsidRPr="00F85178">
        <w:t>202 </w:t>
      </w:r>
      <w:r w:rsidRPr="00F85178">
        <w:t>dnů</w:t>
      </w:r>
      <w:r w:rsidR="006B05CA" w:rsidRPr="00F85178">
        <w:t xml:space="preserve"> (zde je obrovské zlepšení oproti roku 2017, kdy OS Chomutov vykázal medián 435 dnů).</w:t>
      </w:r>
      <w:r w:rsidRPr="00F85178">
        <w:t xml:space="preserve"> Následuje OS </w:t>
      </w:r>
      <w:r w:rsidR="006B05CA" w:rsidRPr="00F85178">
        <w:t>pro Prahu</w:t>
      </w:r>
      <w:r w:rsidR="00F46896" w:rsidRPr="00F85178">
        <w:t> </w:t>
      </w:r>
      <w:r w:rsidR="006B05CA" w:rsidRPr="00F85178">
        <w:t xml:space="preserve">1 </w:t>
      </w:r>
      <w:r w:rsidRPr="00F85178">
        <w:t>(</w:t>
      </w:r>
      <w:r w:rsidR="006B05CA" w:rsidRPr="00F85178">
        <w:t xml:space="preserve">188 </w:t>
      </w:r>
      <w:r w:rsidRPr="00F85178">
        <w:t>dnů) a </w:t>
      </w:r>
      <w:r w:rsidR="006B05CA" w:rsidRPr="00F85178">
        <w:t>OS pro Prahu 7</w:t>
      </w:r>
      <w:r w:rsidRPr="00F85178">
        <w:t>(</w:t>
      </w:r>
      <w:r w:rsidR="006B05CA" w:rsidRPr="00F85178">
        <w:t>171 </w:t>
      </w:r>
      <w:r w:rsidRPr="00F85178">
        <w:t>dnů</w:t>
      </w:r>
      <w:r w:rsidR="006B05CA" w:rsidRPr="00F85178">
        <w:t>).</w:t>
      </w:r>
    </w:p>
    <w:p w14:paraId="2B00B412" w14:textId="77777777" w:rsidR="003A3197" w:rsidRPr="00F85178" w:rsidRDefault="003A3197" w:rsidP="00BE6FD7">
      <w:pPr>
        <w:pStyle w:val="OdstavecASR"/>
      </w:pPr>
    </w:p>
    <w:p w14:paraId="5508D687" w14:textId="0D36CB00" w:rsidR="00FF45A7" w:rsidRPr="00F85178" w:rsidRDefault="00FF45A7" w:rsidP="00FF45A7">
      <w:pPr>
        <w:pStyle w:val="Podtitul"/>
        <w:rPr>
          <w:color w:val="auto"/>
        </w:rPr>
      </w:pPr>
      <w:bookmarkStart w:id="268" w:name="_Toc515871366"/>
      <w:bookmarkStart w:id="269" w:name="_Toc11135098"/>
      <w:bookmarkStart w:id="270" w:name="_Toc13837530"/>
      <w:bookmarkStart w:id="271" w:name="_Toc51587136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37</w:t>
      </w:r>
      <w:r w:rsidRPr="00F85178">
        <w:rPr>
          <w:noProof/>
          <w:color w:val="auto"/>
        </w:rPr>
        <w:fldChar w:fldCharType="end"/>
      </w:r>
      <w:r w:rsidRPr="00F85178">
        <w:rPr>
          <w:color w:val="auto"/>
        </w:rPr>
        <w:t>: OS – mediánové délky řízení v opatrov. agendě u jednotlivých soudů</w:t>
      </w:r>
      <w:bookmarkEnd w:id="268"/>
      <w:bookmarkEnd w:id="269"/>
      <w:bookmarkEnd w:id="270"/>
    </w:p>
    <w:p w14:paraId="46085A93" w14:textId="0A166511" w:rsidR="0032015B" w:rsidRDefault="00D6763E" w:rsidP="00FF45A7">
      <w:r>
        <w:rPr>
          <w:noProof/>
          <w:lang w:eastAsia="cs-CZ"/>
        </w:rPr>
        <w:drawing>
          <wp:anchor distT="0" distB="0" distL="114300" distR="114300" simplePos="0" relativeHeight="251661824" behindDoc="0" locked="0" layoutInCell="1" allowOverlap="1" wp14:anchorId="42A6117F" wp14:editId="27D5BC56">
            <wp:simplePos x="0" y="0"/>
            <wp:positionH relativeFrom="margin">
              <wp:posOffset>4481565</wp:posOffset>
            </wp:positionH>
            <wp:positionV relativeFrom="paragraph">
              <wp:posOffset>44115</wp:posOffset>
            </wp:positionV>
            <wp:extent cx="1234800" cy="903600"/>
            <wp:effectExtent l="0" t="0" r="3810" b="0"/>
            <wp:wrapNone/>
            <wp:docPr id="109" name="Obrázek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3"/>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1234800" cy="9036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90295">
        <w:rPr>
          <w:noProof/>
          <w:lang w:eastAsia="cs-CZ"/>
        </w:rPr>
        <w:drawing>
          <wp:inline distT="0" distB="0" distL="0" distR="0" wp14:anchorId="4E1AAA22" wp14:editId="6FFDA700">
            <wp:extent cx="5759450" cy="3329940"/>
            <wp:effectExtent l="0" t="0" r="0" b="0"/>
            <wp:docPr id="39" name="Obrázek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2"/>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53CB31C1" w14:textId="6545E8FF" w:rsidR="00FF45A7" w:rsidRPr="00F85178" w:rsidRDefault="00FF45A7" w:rsidP="00FF45A7"/>
    <w:p w14:paraId="35409F8B" w14:textId="77777777" w:rsidR="00FF45A7" w:rsidRPr="00F85178" w:rsidRDefault="00FF45A7" w:rsidP="00FF45A7">
      <w:pPr>
        <w:pStyle w:val="Podtitul"/>
        <w:rPr>
          <w:color w:val="auto"/>
        </w:rPr>
      </w:pPr>
      <w:bookmarkStart w:id="272" w:name="_Toc11135099"/>
      <w:bookmarkStart w:id="273" w:name="_Toc1383753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38</w:t>
      </w:r>
      <w:r w:rsidRPr="00F85178">
        <w:rPr>
          <w:noProof/>
          <w:color w:val="auto"/>
        </w:rPr>
        <w:fldChar w:fldCharType="end"/>
      </w:r>
      <w:r w:rsidRPr="00F85178">
        <w:rPr>
          <w:color w:val="auto"/>
        </w:rPr>
        <w:t>: OS – krabicové grafy, mediánové délky opatrovnického řízení</w:t>
      </w:r>
      <w:bookmarkEnd w:id="271"/>
      <w:bookmarkEnd w:id="272"/>
      <w:bookmarkEnd w:id="273"/>
    </w:p>
    <w:p w14:paraId="0B355697" w14:textId="77777777" w:rsidR="00721733" w:rsidRPr="00F85178" w:rsidRDefault="00890295" w:rsidP="00770E8A">
      <w:r>
        <w:rPr>
          <w:noProof/>
          <w:lang w:eastAsia="cs-CZ"/>
        </w:rPr>
        <w:drawing>
          <wp:inline distT="0" distB="0" distL="0" distR="0" wp14:anchorId="70FCA43B" wp14:editId="273567BE">
            <wp:extent cx="5118100" cy="3746500"/>
            <wp:effectExtent l="0" t="0" r="0" b="0"/>
            <wp:docPr id="40" name="Obrázek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1"/>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8479016" w14:textId="77777777" w:rsidR="00BE6FD7" w:rsidRPr="00F85178" w:rsidRDefault="00BE6FD7" w:rsidP="00BE6FD7">
      <w:pPr>
        <w:pStyle w:val="OdstavecASR"/>
      </w:pPr>
      <w:r w:rsidRPr="00F85178">
        <w:t>Z krabicových grafů vidíme, že v rozdílech mezi soudy nedocházelo k žádným větším změnám. OS Chomutov (vždy nejvíce odlehlá hodnota) se v letech 2009 až 2013 dařilo postupně snižovat délku řízení. OZ tento trend ale zvrátil a délka řízení v Chomutově v letech 2015 a 2016 opět rychle narůstala</w:t>
      </w:r>
      <w:r w:rsidR="003D65CF" w:rsidRPr="00F85178">
        <w:t>, až se v roce 2018 zařadil po bok ostatních OS</w:t>
      </w:r>
      <w:r w:rsidRPr="00F85178">
        <w:t>.</w:t>
      </w:r>
    </w:p>
    <w:p w14:paraId="0C6F5C6F" w14:textId="77777777" w:rsidR="00747FD4" w:rsidRPr="00F85178" w:rsidRDefault="00747FD4" w:rsidP="00BE6FD7">
      <w:pPr>
        <w:pStyle w:val="Nadpis3"/>
        <w:keepNext w:val="0"/>
        <w:keepLines w:val="0"/>
        <w:rPr>
          <w:color w:val="auto"/>
        </w:rPr>
      </w:pPr>
      <w:bookmarkStart w:id="274" w:name="_Ref515022661"/>
      <w:bookmarkStart w:id="275" w:name="_Toc515871238"/>
      <w:bookmarkStart w:id="276" w:name="_Toc14076890"/>
      <w:r w:rsidRPr="00F85178">
        <w:rPr>
          <w:color w:val="auto"/>
        </w:rPr>
        <w:t>Vyřizování věcí</w:t>
      </w:r>
      <w:bookmarkEnd w:id="274"/>
      <w:bookmarkEnd w:id="275"/>
      <w:bookmarkEnd w:id="276"/>
    </w:p>
    <w:p w14:paraId="2739C9E5" w14:textId="77777777" w:rsidR="00BE6FD7" w:rsidRPr="00F85178" w:rsidRDefault="00BE6FD7" w:rsidP="00BE6FD7">
      <w:pPr>
        <w:pStyle w:val="OdstavecASR"/>
      </w:pPr>
      <w:r w:rsidRPr="00F85178">
        <w:t>Z grafu níže je zřejmý výše zmíněný dopad OZ. V počtu napadlých věcí se samozřejmě projevil již v roce 2014. Vidíme, že nárůst počtu napadlých věcí byl opravdu velmi významný – více než 40 %. Soudy byly schopny částečně reagovat a značně se zvýšil počet vyřízených věcí. Nárůst v počtu napadlých věcí byl ale větší než počet vyřízených věcí a počet nevyřízených věcí tak začal růst. Počet napadlých věcí poklesl až v roce 2016</w:t>
      </w:r>
      <w:r w:rsidR="001A5FA1" w:rsidRPr="00F85178">
        <w:t xml:space="preserve"> a v roce 2017</w:t>
      </w:r>
      <w:r w:rsidRPr="00F85178">
        <w:t xml:space="preserve">. To je zřejmě způsobeno hlavně tím, že všechny přezkumy svéprávnosti byly zahájeny v letech 2014 a 2015. Soudům se podařilo </w:t>
      </w:r>
      <w:r w:rsidR="001A5FA1" w:rsidRPr="00F85178">
        <w:t xml:space="preserve">v roce 2016 </w:t>
      </w:r>
      <w:r w:rsidRPr="00F85178">
        <w:t xml:space="preserve">udržet počet vyřízených věcí na úrovni z roku 2015 </w:t>
      </w:r>
      <w:r w:rsidR="001A5FA1" w:rsidRPr="00F85178">
        <w:t>a také v roce 2017 udržet počet vyřízených věcí nad nápadem. Díky</w:t>
      </w:r>
      <w:r w:rsidRPr="00F85178">
        <w:t xml:space="preserve"> tomu počet nevyřízených věcí klesa</w:t>
      </w:r>
      <w:r w:rsidR="001A5FA1" w:rsidRPr="00F85178">
        <w:t>l</w:t>
      </w:r>
      <w:r w:rsidRPr="00F85178">
        <w:t>. Soudům by mělo do budoucna pomoci prodloužení lhůty na přezkum svéprávnost</w:t>
      </w:r>
      <w:r w:rsidR="00FC440E">
        <w:t>i</w:t>
      </w:r>
      <w:r w:rsidRPr="00F85178">
        <w:t xml:space="preserve"> pro určité případy ze tří na pět let vyplývající z novely OZ přijaté na konci 2016. Nicméně je třeba uvést, že počet nesvéprávných osob (tedy celkový rozsah agendy přezkumů svéprávnosti) je jen cca 36 tisíc, což znamená, že se na nárůstu nápadu podílí jen asi jednou čtvrtinou, zbytek jsou další nové agendy zavedené OZ.</w:t>
      </w:r>
      <w:r w:rsidR="001A5FA1" w:rsidRPr="00F85178">
        <w:t xml:space="preserve"> Tyto nové agendy také stojí za růstem nápadu v roce 2018, protože, jak již bylo konstatováno, všechny přezkumy svéprávnosti byly zahájeny již v letech 2014 a 2015.</w:t>
      </w:r>
    </w:p>
    <w:p w14:paraId="706DAB99" w14:textId="77777777" w:rsidR="0032015B" w:rsidRDefault="00BE6FD7" w:rsidP="00BE6FD7">
      <w:pPr>
        <w:pStyle w:val="OdstavecASR"/>
      </w:pPr>
      <w:r w:rsidRPr="00F85178">
        <w:t>V roce 201</w:t>
      </w:r>
      <w:r w:rsidR="001A5FA1" w:rsidRPr="00F85178">
        <w:t>8</w:t>
      </w:r>
      <w:r w:rsidRPr="00F85178">
        <w:t xml:space="preserve"> se soudům podařilo vyřídit </w:t>
      </w:r>
      <w:r w:rsidR="00043648" w:rsidRPr="00F85178">
        <w:t xml:space="preserve">přibližně stejné množství </w:t>
      </w:r>
      <w:r w:rsidRPr="00F85178">
        <w:t xml:space="preserve">věcí, </w:t>
      </w:r>
      <w:r w:rsidR="001A5FA1" w:rsidRPr="00F85178">
        <w:t xml:space="preserve">jako </w:t>
      </w:r>
      <w:r w:rsidRPr="00F85178">
        <w:t>jich přišlo.</w:t>
      </w:r>
    </w:p>
    <w:p w14:paraId="64E9BC05" w14:textId="49878E5F" w:rsidR="00BE6FD7" w:rsidRPr="00F85178" w:rsidRDefault="00BE6FD7" w:rsidP="00BE6FD7"/>
    <w:p w14:paraId="75DF0293" w14:textId="77777777" w:rsidR="00747FD4" w:rsidRPr="00F85178" w:rsidRDefault="00747FD4" w:rsidP="00747FD4">
      <w:pPr>
        <w:pStyle w:val="Podtitul"/>
        <w:rPr>
          <w:color w:val="auto"/>
        </w:rPr>
      </w:pPr>
      <w:bookmarkStart w:id="277" w:name="_Toc515871368"/>
      <w:bookmarkStart w:id="278" w:name="_Toc11135100"/>
      <w:bookmarkStart w:id="279" w:name="_Toc13837532"/>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39</w:t>
      </w:r>
      <w:r w:rsidRPr="00F85178">
        <w:rPr>
          <w:noProof/>
          <w:color w:val="auto"/>
        </w:rPr>
        <w:fldChar w:fldCharType="end"/>
      </w:r>
      <w:r w:rsidRPr="00F85178">
        <w:rPr>
          <w:color w:val="auto"/>
        </w:rPr>
        <w:t>: OS – vyřizování věcí v opatrovnické agendě v letech 2008–</w:t>
      </w:r>
      <w:bookmarkEnd w:id="277"/>
      <w:r w:rsidR="00F46896" w:rsidRPr="00F85178">
        <w:rPr>
          <w:color w:val="auto"/>
        </w:rPr>
        <w:t>2018</w:t>
      </w:r>
      <w:bookmarkEnd w:id="278"/>
      <w:bookmarkEnd w:id="279"/>
    </w:p>
    <w:p w14:paraId="0772BDC9" w14:textId="77777777" w:rsidR="00747FD4" w:rsidRPr="00F85178" w:rsidRDefault="00890295" w:rsidP="00721733">
      <w:pPr>
        <w:pStyle w:val="OdstavecASR"/>
      </w:pPr>
      <w:r>
        <w:rPr>
          <w:noProof/>
          <w:lang w:eastAsia="cs-CZ"/>
        </w:rPr>
        <w:drawing>
          <wp:inline distT="0" distB="0" distL="0" distR="0" wp14:anchorId="46D9A4B0" wp14:editId="268FC46A">
            <wp:extent cx="5118100" cy="3746500"/>
            <wp:effectExtent l="0" t="0" r="0" b="0"/>
            <wp:docPr id="41" name="Obrázek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94"/>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7E78F93" w14:textId="77777777" w:rsidR="00DE0D38" w:rsidRPr="00F85178" w:rsidRDefault="00DE0D38" w:rsidP="007C2863">
      <w:bookmarkStart w:id="280" w:name="_Toc515871461"/>
    </w:p>
    <w:p w14:paraId="697BE626" w14:textId="77777777" w:rsidR="00DE0D38" w:rsidRPr="00F85178" w:rsidRDefault="00DE0D38" w:rsidP="00DE0D38">
      <w:pPr>
        <w:pStyle w:val="Podtitul"/>
        <w:rPr>
          <w:color w:val="auto"/>
        </w:rPr>
      </w:pPr>
      <w:bookmarkStart w:id="281" w:name="_Toc11133229"/>
      <w:bookmarkStart w:id="282" w:name="_Toc13837450"/>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27</w:t>
      </w:r>
      <w:r w:rsidRPr="00F85178">
        <w:rPr>
          <w:noProof/>
          <w:color w:val="auto"/>
        </w:rPr>
        <w:fldChar w:fldCharType="end"/>
      </w:r>
      <w:r w:rsidRPr="00F85178">
        <w:rPr>
          <w:color w:val="auto"/>
        </w:rPr>
        <w:t>: OS – vyřizování opatrovnických věcí dle krajů</w:t>
      </w:r>
      <w:bookmarkEnd w:id="280"/>
      <w:bookmarkEnd w:id="281"/>
      <w:bookmarkEnd w:id="282"/>
    </w:p>
    <w:tbl>
      <w:tblPr>
        <w:tblW w:w="9140" w:type="dxa"/>
        <w:tblCellMar>
          <w:left w:w="70" w:type="dxa"/>
          <w:right w:w="70" w:type="dxa"/>
        </w:tblCellMar>
        <w:tblLook w:val="04A0" w:firstRow="1" w:lastRow="0" w:firstColumn="1" w:lastColumn="0" w:noHBand="0" w:noVBand="1"/>
      </w:tblPr>
      <w:tblGrid>
        <w:gridCol w:w="2020"/>
        <w:gridCol w:w="1057"/>
        <w:gridCol w:w="870"/>
        <w:gridCol w:w="1057"/>
        <w:gridCol w:w="870"/>
        <w:gridCol w:w="857"/>
        <w:gridCol w:w="870"/>
        <w:gridCol w:w="1539"/>
      </w:tblGrid>
      <w:tr w:rsidR="00F85178" w:rsidRPr="00F85178" w14:paraId="37BA9881" w14:textId="77777777" w:rsidTr="00DE0D38">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1392149"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1" w:type="dxa"/>
            <w:gridSpan w:val="6"/>
            <w:tcBorders>
              <w:top w:val="double" w:sz="6" w:space="0" w:color="auto"/>
              <w:left w:val="nil"/>
              <w:bottom w:val="nil"/>
              <w:right w:val="single" w:sz="4" w:space="0" w:color="000000"/>
            </w:tcBorders>
            <w:shd w:val="clear" w:color="auto" w:fill="auto"/>
            <w:noWrap/>
            <w:vAlign w:val="center"/>
            <w:hideMark/>
          </w:tcPr>
          <w:p w14:paraId="17BED36D"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0EC1B147"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1AA44ABD" w14:textId="77777777" w:rsidTr="00DE0D38">
        <w:trPr>
          <w:trHeight w:val="330"/>
        </w:trPr>
        <w:tc>
          <w:tcPr>
            <w:tcW w:w="2020" w:type="dxa"/>
            <w:vMerge/>
            <w:tcBorders>
              <w:top w:val="double" w:sz="6" w:space="0" w:color="auto"/>
              <w:left w:val="nil"/>
              <w:bottom w:val="double" w:sz="6" w:space="0" w:color="000000"/>
              <w:right w:val="nil"/>
            </w:tcBorders>
            <w:vAlign w:val="center"/>
            <w:hideMark/>
          </w:tcPr>
          <w:p w14:paraId="0C79710C" w14:textId="77777777" w:rsidR="00DE0D38" w:rsidRPr="00F85178" w:rsidRDefault="00DE0D38" w:rsidP="00DE0D38">
            <w:pPr>
              <w:spacing w:line="240" w:lineRule="auto"/>
              <w:jc w:val="left"/>
              <w:rPr>
                <w:rFonts w:eastAsia="Times New Roman"/>
                <w:b/>
                <w:bCs/>
                <w:szCs w:val="24"/>
                <w:lang w:eastAsia="cs-CZ"/>
              </w:rPr>
            </w:pPr>
          </w:p>
        </w:tc>
        <w:tc>
          <w:tcPr>
            <w:tcW w:w="1927" w:type="dxa"/>
            <w:gridSpan w:val="2"/>
            <w:tcBorders>
              <w:top w:val="nil"/>
              <w:left w:val="nil"/>
              <w:bottom w:val="double" w:sz="6" w:space="0" w:color="auto"/>
              <w:right w:val="nil"/>
            </w:tcBorders>
            <w:shd w:val="clear" w:color="auto" w:fill="auto"/>
            <w:noWrap/>
            <w:vAlign w:val="center"/>
            <w:hideMark/>
          </w:tcPr>
          <w:p w14:paraId="29F28738"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27"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583A291D"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27" w:type="dxa"/>
            <w:gridSpan w:val="2"/>
            <w:tcBorders>
              <w:top w:val="nil"/>
              <w:left w:val="nil"/>
              <w:bottom w:val="double" w:sz="6" w:space="0" w:color="auto"/>
              <w:right w:val="single" w:sz="4" w:space="0" w:color="000000"/>
            </w:tcBorders>
            <w:shd w:val="clear" w:color="auto" w:fill="auto"/>
            <w:noWrap/>
            <w:vAlign w:val="center"/>
            <w:hideMark/>
          </w:tcPr>
          <w:p w14:paraId="4A481919"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4AF7AC92" w14:textId="77777777" w:rsidR="00DE0D38" w:rsidRPr="00F85178" w:rsidRDefault="00DE0D38" w:rsidP="00DE0D38">
            <w:pPr>
              <w:spacing w:line="240" w:lineRule="auto"/>
              <w:jc w:val="left"/>
              <w:rPr>
                <w:rFonts w:eastAsia="Times New Roman"/>
                <w:b/>
                <w:bCs/>
                <w:szCs w:val="24"/>
                <w:lang w:eastAsia="cs-CZ"/>
              </w:rPr>
            </w:pPr>
          </w:p>
        </w:tc>
      </w:tr>
      <w:tr w:rsidR="00F85178" w:rsidRPr="00F85178" w14:paraId="23810F52" w14:textId="77777777" w:rsidTr="00DE0D38">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2BD3E524"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MS Praha</w:t>
            </w:r>
          </w:p>
        </w:tc>
        <w:tc>
          <w:tcPr>
            <w:tcW w:w="1057" w:type="dxa"/>
            <w:tcBorders>
              <w:top w:val="single" w:sz="4" w:space="0" w:color="auto"/>
              <w:left w:val="nil"/>
              <w:bottom w:val="single" w:sz="4" w:space="0" w:color="auto"/>
              <w:right w:val="nil"/>
            </w:tcBorders>
            <w:shd w:val="clear" w:color="auto" w:fill="auto"/>
            <w:noWrap/>
            <w:vAlign w:val="bottom"/>
            <w:hideMark/>
          </w:tcPr>
          <w:p w14:paraId="7B0A5D8E"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15 480</w:t>
            </w:r>
          </w:p>
        </w:tc>
        <w:tc>
          <w:tcPr>
            <w:tcW w:w="870" w:type="dxa"/>
            <w:tcBorders>
              <w:top w:val="single" w:sz="4" w:space="0" w:color="auto"/>
              <w:left w:val="nil"/>
              <w:bottom w:val="single" w:sz="4" w:space="0" w:color="auto"/>
              <w:right w:val="nil"/>
            </w:tcBorders>
            <w:shd w:val="clear" w:color="auto" w:fill="auto"/>
            <w:noWrap/>
            <w:vAlign w:val="center"/>
            <w:hideMark/>
          </w:tcPr>
          <w:p w14:paraId="57B41BBA" w14:textId="68D2ACC9"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057" w:type="dxa"/>
            <w:tcBorders>
              <w:top w:val="single" w:sz="4" w:space="0" w:color="auto"/>
              <w:left w:val="single" w:sz="4" w:space="0" w:color="auto"/>
              <w:bottom w:val="single" w:sz="4" w:space="0" w:color="auto"/>
              <w:right w:val="nil"/>
            </w:tcBorders>
            <w:shd w:val="clear" w:color="auto" w:fill="auto"/>
            <w:noWrap/>
            <w:vAlign w:val="bottom"/>
            <w:hideMark/>
          </w:tcPr>
          <w:p w14:paraId="33989440"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14 750</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7F7C2161" w14:textId="753B8557"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857" w:type="dxa"/>
            <w:tcBorders>
              <w:top w:val="single" w:sz="4" w:space="0" w:color="auto"/>
              <w:left w:val="nil"/>
              <w:bottom w:val="single" w:sz="4" w:space="0" w:color="auto"/>
              <w:right w:val="nil"/>
            </w:tcBorders>
            <w:shd w:val="clear" w:color="auto" w:fill="auto"/>
            <w:noWrap/>
            <w:vAlign w:val="bottom"/>
            <w:hideMark/>
          </w:tcPr>
          <w:p w14:paraId="5819870A"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5 205</w:t>
            </w:r>
          </w:p>
        </w:tc>
        <w:tc>
          <w:tcPr>
            <w:tcW w:w="870" w:type="dxa"/>
            <w:tcBorders>
              <w:top w:val="single" w:sz="4" w:space="0" w:color="auto"/>
              <w:left w:val="nil"/>
              <w:bottom w:val="single" w:sz="4" w:space="0" w:color="auto"/>
              <w:right w:val="single" w:sz="4" w:space="0" w:color="auto"/>
            </w:tcBorders>
            <w:shd w:val="clear" w:color="auto" w:fill="auto"/>
            <w:noWrap/>
            <w:vAlign w:val="center"/>
            <w:hideMark/>
          </w:tcPr>
          <w:p w14:paraId="665E6DC3" w14:textId="07775125"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+17 %</w:t>
            </w:r>
          </w:p>
        </w:tc>
        <w:tc>
          <w:tcPr>
            <w:tcW w:w="1539" w:type="dxa"/>
            <w:tcBorders>
              <w:top w:val="nil"/>
              <w:left w:val="nil"/>
              <w:bottom w:val="single" w:sz="4" w:space="0" w:color="auto"/>
              <w:right w:val="nil"/>
            </w:tcBorders>
            <w:shd w:val="clear" w:color="auto" w:fill="auto"/>
            <w:noWrap/>
            <w:vAlign w:val="center"/>
            <w:hideMark/>
          </w:tcPr>
          <w:p w14:paraId="4FA5B798"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95</w:t>
            </w:r>
            <w:r w:rsidR="00043648" w:rsidRPr="00F85178">
              <w:rPr>
                <w:rFonts w:eastAsia="Times New Roman"/>
                <w:szCs w:val="24"/>
                <w:lang w:eastAsia="cs-CZ"/>
              </w:rPr>
              <w:t>,</w:t>
            </w:r>
            <w:r w:rsidRPr="00F85178">
              <w:rPr>
                <w:rFonts w:eastAsia="Times New Roman"/>
                <w:szCs w:val="24"/>
                <w:lang w:eastAsia="cs-CZ"/>
              </w:rPr>
              <w:t>3 %</w:t>
            </w:r>
          </w:p>
        </w:tc>
      </w:tr>
      <w:tr w:rsidR="00F85178" w:rsidRPr="00F85178" w14:paraId="73C1272D"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2935931C"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Praha</w:t>
            </w:r>
          </w:p>
        </w:tc>
        <w:tc>
          <w:tcPr>
            <w:tcW w:w="1057" w:type="dxa"/>
            <w:tcBorders>
              <w:top w:val="nil"/>
              <w:left w:val="nil"/>
              <w:bottom w:val="single" w:sz="4" w:space="0" w:color="auto"/>
              <w:right w:val="nil"/>
            </w:tcBorders>
            <w:shd w:val="clear" w:color="auto" w:fill="auto"/>
            <w:noWrap/>
            <w:vAlign w:val="bottom"/>
            <w:hideMark/>
          </w:tcPr>
          <w:p w14:paraId="0759563E"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20</w:t>
            </w:r>
            <w:r w:rsidR="00043648" w:rsidRPr="00F85178">
              <w:rPr>
                <w:rFonts w:eastAsia="Times New Roman"/>
                <w:szCs w:val="24"/>
                <w:lang w:eastAsia="cs-CZ"/>
              </w:rPr>
              <w:t xml:space="preserve"> </w:t>
            </w:r>
            <w:r w:rsidRPr="00F85178">
              <w:rPr>
                <w:rFonts w:eastAsia="Times New Roman"/>
                <w:szCs w:val="24"/>
                <w:lang w:eastAsia="cs-CZ"/>
              </w:rPr>
              <w:t>464</w:t>
            </w:r>
          </w:p>
        </w:tc>
        <w:tc>
          <w:tcPr>
            <w:tcW w:w="870" w:type="dxa"/>
            <w:tcBorders>
              <w:top w:val="nil"/>
              <w:left w:val="nil"/>
              <w:bottom w:val="single" w:sz="4" w:space="0" w:color="auto"/>
              <w:right w:val="nil"/>
            </w:tcBorders>
            <w:shd w:val="clear" w:color="auto" w:fill="auto"/>
            <w:noWrap/>
            <w:vAlign w:val="center"/>
            <w:hideMark/>
          </w:tcPr>
          <w:p w14:paraId="094E3D6D" w14:textId="0770B9B5"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1057" w:type="dxa"/>
            <w:tcBorders>
              <w:top w:val="nil"/>
              <w:left w:val="single" w:sz="4" w:space="0" w:color="auto"/>
              <w:bottom w:val="single" w:sz="4" w:space="0" w:color="auto"/>
              <w:right w:val="nil"/>
            </w:tcBorders>
            <w:shd w:val="clear" w:color="auto" w:fill="auto"/>
            <w:noWrap/>
            <w:vAlign w:val="bottom"/>
            <w:hideMark/>
          </w:tcPr>
          <w:p w14:paraId="19973B38"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19</w:t>
            </w:r>
            <w:r w:rsidR="00043648" w:rsidRPr="00F85178">
              <w:rPr>
                <w:rFonts w:eastAsia="Times New Roman"/>
                <w:szCs w:val="24"/>
                <w:lang w:eastAsia="cs-CZ"/>
              </w:rPr>
              <w:t xml:space="preserve"> </w:t>
            </w:r>
            <w:r w:rsidRPr="00F85178">
              <w:rPr>
                <w:rFonts w:eastAsia="Times New Roman"/>
                <w:szCs w:val="24"/>
                <w:lang w:eastAsia="cs-CZ"/>
              </w:rPr>
              <w:t>484</w:t>
            </w:r>
          </w:p>
        </w:tc>
        <w:tc>
          <w:tcPr>
            <w:tcW w:w="870" w:type="dxa"/>
            <w:tcBorders>
              <w:top w:val="nil"/>
              <w:left w:val="nil"/>
              <w:bottom w:val="single" w:sz="4" w:space="0" w:color="auto"/>
              <w:right w:val="single" w:sz="4" w:space="0" w:color="auto"/>
            </w:tcBorders>
            <w:shd w:val="clear" w:color="auto" w:fill="auto"/>
            <w:noWrap/>
            <w:vAlign w:val="center"/>
            <w:hideMark/>
          </w:tcPr>
          <w:p w14:paraId="59C784CC" w14:textId="0A911040"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57" w:type="dxa"/>
            <w:tcBorders>
              <w:top w:val="nil"/>
              <w:left w:val="nil"/>
              <w:bottom w:val="single" w:sz="4" w:space="0" w:color="auto"/>
              <w:right w:val="nil"/>
            </w:tcBorders>
            <w:shd w:val="clear" w:color="auto" w:fill="auto"/>
            <w:noWrap/>
            <w:vAlign w:val="bottom"/>
            <w:hideMark/>
          </w:tcPr>
          <w:p w14:paraId="563E5B74"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4</w:t>
            </w:r>
            <w:r w:rsidR="00043648" w:rsidRPr="00F85178">
              <w:rPr>
                <w:rFonts w:eastAsia="Times New Roman"/>
                <w:szCs w:val="24"/>
                <w:lang w:eastAsia="cs-CZ"/>
              </w:rPr>
              <w:t xml:space="preserve"> </w:t>
            </w:r>
            <w:r w:rsidRPr="00F85178">
              <w:rPr>
                <w:rFonts w:eastAsia="Times New Roman"/>
                <w:szCs w:val="24"/>
                <w:lang w:eastAsia="cs-CZ"/>
              </w:rPr>
              <w:t>915</w:t>
            </w:r>
          </w:p>
        </w:tc>
        <w:tc>
          <w:tcPr>
            <w:tcW w:w="870" w:type="dxa"/>
            <w:tcBorders>
              <w:top w:val="nil"/>
              <w:left w:val="nil"/>
              <w:bottom w:val="single" w:sz="4" w:space="0" w:color="auto"/>
              <w:right w:val="single" w:sz="4" w:space="0" w:color="auto"/>
            </w:tcBorders>
            <w:shd w:val="clear" w:color="auto" w:fill="auto"/>
            <w:noWrap/>
            <w:vAlign w:val="center"/>
            <w:hideMark/>
          </w:tcPr>
          <w:p w14:paraId="314746B6" w14:textId="7A292344"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+25 %</w:t>
            </w:r>
          </w:p>
        </w:tc>
        <w:tc>
          <w:tcPr>
            <w:tcW w:w="1539" w:type="dxa"/>
            <w:tcBorders>
              <w:top w:val="nil"/>
              <w:left w:val="nil"/>
              <w:bottom w:val="single" w:sz="4" w:space="0" w:color="auto"/>
              <w:right w:val="nil"/>
            </w:tcBorders>
            <w:shd w:val="clear" w:color="auto" w:fill="auto"/>
            <w:noWrap/>
            <w:vAlign w:val="center"/>
            <w:hideMark/>
          </w:tcPr>
          <w:p w14:paraId="1670783B"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95</w:t>
            </w:r>
            <w:r w:rsidR="00043648" w:rsidRPr="00F85178">
              <w:rPr>
                <w:rFonts w:eastAsia="Times New Roman"/>
                <w:szCs w:val="24"/>
                <w:lang w:eastAsia="cs-CZ"/>
              </w:rPr>
              <w:t>,</w:t>
            </w:r>
            <w:r w:rsidRPr="00F85178">
              <w:rPr>
                <w:rFonts w:eastAsia="Times New Roman"/>
                <w:szCs w:val="24"/>
                <w:lang w:eastAsia="cs-CZ"/>
              </w:rPr>
              <w:t>2 %</w:t>
            </w:r>
          </w:p>
        </w:tc>
      </w:tr>
      <w:tr w:rsidR="00F85178" w:rsidRPr="00F85178" w14:paraId="47B67248"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5408EEF2"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Č. Budějovice</w:t>
            </w:r>
          </w:p>
        </w:tc>
        <w:tc>
          <w:tcPr>
            <w:tcW w:w="1057" w:type="dxa"/>
            <w:tcBorders>
              <w:top w:val="nil"/>
              <w:left w:val="nil"/>
              <w:bottom w:val="single" w:sz="4" w:space="0" w:color="auto"/>
              <w:right w:val="nil"/>
            </w:tcBorders>
            <w:shd w:val="clear" w:color="auto" w:fill="auto"/>
            <w:noWrap/>
            <w:vAlign w:val="bottom"/>
            <w:hideMark/>
          </w:tcPr>
          <w:p w14:paraId="75C38EA8"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9</w:t>
            </w:r>
            <w:r w:rsidR="00043648" w:rsidRPr="00F85178">
              <w:rPr>
                <w:rFonts w:eastAsia="Times New Roman"/>
                <w:szCs w:val="24"/>
                <w:lang w:eastAsia="cs-CZ"/>
              </w:rPr>
              <w:t xml:space="preserve"> </w:t>
            </w:r>
            <w:r w:rsidRPr="00F85178">
              <w:rPr>
                <w:rFonts w:eastAsia="Times New Roman"/>
                <w:szCs w:val="24"/>
                <w:lang w:eastAsia="cs-CZ"/>
              </w:rPr>
              <w:t>796</w:t>
            </w:r>
          </w:p>
        </w:tc>
        <w:tc>
          <w:tcPr>
            <w:tcW w:w="870" w:type="dxa"/>
            <w:tcBorders>
              <w:top w:val="nil"/>
              <w:left w:val="nil"/>
              <w:bottom w:val="single" w:sz="4" w:space="0" w:color="auto"/>
              <w:right w:val="nil"/>
            </w:tcBorders>
            <w:shd w:val="clear" w:color="auto" w:fill="auto"/>
            <w:noWrap/>
            <w:vAlign w:val="center"/>
            <w:hideMark/>
          </w:tcPr>
          <w:p w14:paraId="6A44AD94" w14:textId="173AD480"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1057" w:type="dxa"/>
            <w:tcBorders>
              <w:top w:val="nil"/>
              <w:left w:val="single" w:sz="4" w:space="0" w:color="auto"/>
              <w:bottom w:val="single" w:sz="4" w:space="0" w:color="auto"/>
              <w:right w:val="nil"/>
            </w:tcBorders>
            <w:shd w:val="clear" w:color="auto" w:fill="auto"/>
            <w:noWrap/>
            <w:vAlign w:val="bottom"/>
            <w:hideMark/>
          </w:tcPr>
          <w:p w14:paraId="67C3EBFE"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9</w:t>
            </w:r>
            <w:r w:rsidR="00043648" w:rsidRPr="00F85178">
              <w:rPr>
                <w:rFonts w:eastAsia="Times New Roman"/>
                <w:szCs w:val="24"/>
                <w:lang w:eastAsia="cs-CZ"/>
              </w:rPr>
              <w:t xml:space="preserve"> </w:t>
            </w:r>
            <w:r w:rsidRPr="00F85178">
              <w:rPr>
                <w:rFonts w:eastAsia="Times New Roman"/>
                <w:szCs w:val="24"/>
                <w:lang w:eastAsia="cs-CZ"/>
              </w:rPr>
              <w:t>662</w:t>
            </w:r>
          </w:p>
        </w:tc>
        <w:tc>
          <w:tcPr>
            <w:tcW w:w="870" w:type="dxa"/>
            <w:tcBorders>
              <w:top w:val="nil"/>
              <w:left w:val="nil"/>
              <w:bottom w:val="single" w:sz="4" w:space="0" w:color="auto"/>
              <w:right w:val="single" w:sz="4" w:space="0" w:color="auto"/>
            </w:tcBorders>
            <w:shd w:val="clear" w:color="auto" w:fill="auto"/>
            <w:noWrap/>
            <w:vAlign w:val="center"/>
            <w:hideMark/>
          </w:tcPr>
          <w:p w14:paraId="62415852" w14:textId="46F70273"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857" w:type="dxa"/>
            <w:tcBorders>
              <w:top w:val="nil"/>
              <w:left w:val="nil"/>
              <w:bottom w:val="single" w:sz="4" w:space="0" w:color="auto"/>
              <w:right w:val="nil"/>
            </w:tcBorders>
            <w:shd w:val="clear" w:color="auto" w:fill="auto"/>
            <w:noWrap/>
            <w:vAlign w:val="bottom"/>
            <w:hideMark/>
          </w:tcPr>
          <w:p w14:paraId="7FE634F3"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w:t>
            </w:r>
            <w:r w:rsidR="00043648" w:rsidRPr="00F85178">
              <w:rPr>
                <w:rFonts w:eastAsia="Times New Roman"/>
                <w:szCs w:val="24"/>
                <w:lang w:eastAsia="cs-CZ"/>
              </w:rPr>
              <w:t xml:space="preserve"> </w:t>
            </w:r>
            <w:r w:rsidRPr="00F85178">
              <w:rPr>
                <w:rFonts w:eastAsia="Times New Roman"/>
                <w:szCs w:val="24"/>
                <w:lang w:eastAsia="cs-CZ"/>
              </w:rPr>
              <w:t>679</w:t>
            </w:r>
          </w:p>
        </w:tc>
        <w:tc>
          <w:tcPr>
            <w:tcW w:w="870" w:type="dxa"/>
            <w:tcBorders>
              <w:top w:val="nil"/>
              <w:left w:val="nil"/>
              <w:bottom w:val="single" w:sz="4" w:space="0" w:color="auto"/>
              <w:right w:val="single" w:sz="4" w:space="0" w:color="auto"/>
            </w:tcBorders>
            <w:shd w:val="clear" w:color="auto" w:fill="auto"/>
            <w:noWrap/>
            <w:vAlign w:val="center"/>
            <w:hideMark/>
          </w:tcPr>
          <w:p w14:paraId="3D8A5573" w14:textId="0D25C85A"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539" w:type="dxa"/>
            <w:tcBorders>
              <w:top w:val="nil"/>
              <w:left w:val="nil"/>
              <w:bottom w:val="single" w:sz="4" w:space="0" w:color="auto"/>
              <w:right w:val="nil"/>
            </w:tcBorders>
            <w:shd w:val="clear" w:color="auto" w:fill="auto"/>
            <w:noWrap/>
            <w:vAlign w:val="center"/>
            <w:hideMark/>
          </w:tcPr>
          <w:p w14:paraId="7EFCEA53"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98</w:t>
            </w:r>
            <w:r w:rsidR="00043648" w:rsidRPr="00F85178">
              <w:rPr>
                <w:rFonts w:eastAsia="Times New Roman"/>
                <w:szCs w:val="24"/>
                <w:lang w:eastAsia="cs-CZ"/>
              </w:rPr>
              <w:t>,</w:t>
            </w:r>
            <w:r w:rsidRPr="00F85178">
              <w:rPr>
                <w:rFonts w:eastAsia="Times New Roman"/>
                <w:szCs w:val="24"/>
                <w:lang w:eastAsia="cs-CZ"/>
              </w:rPr>
              <w:t>6 %</w:t>
            </w:r>
          </w:p>
        </w:tc>
      </w:tr>
      <w:tr w:rsidR="00F85178" w:rsidRPr="00F85178" w14:paraId="4674E02B"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3D4AFF03"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Plzeň</w:t>
            </w:r>
          </w:p>
        </w:tc>
        <w:tc>
          <w:tcPr>
            <w:tcW w:w="1057" w:type="dxa"/>
            <w:tcBorders>
              <w:top w:val="nil"/>
              <w:left w:val="nil"/>
              <w:bottom w:val="single" w:sz="4" w:space="0" w:color="auto"/>
              <w:right w:val="nil"/>
            </w:tcBorders>
            <w:shd w:val="clear" w:color="auto" w:fill="auto"/>
            <w:noWrap/>
            <w:vAlign w:val="bottom"/>
            <w:hideMark/>
          </w:tcPr>
          <w:p w14:paraId="0125DB2E"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14</w:t>
            </w:r>
            <w:r w:rsidR="00043648" w:rsidRPr="00F85178">
              <w:rPr>
                <w:rFonts w:eastAsia="Times New Roman"/>
                <w:szCs w:val="24"/>
                <w:lang w:eastAsia="cs-CZ"/>
              </w:rPr>
              <w:t xml:space="preserve"> </w:t>
            </w:r>
            <w:r w:rsidRPr="00F85178">
              <w:rPr>
                <w:rFonts w:eastAsia="Times New Roman"/>
                <w:szCs w:val="24"/>
                <w:lang w:eastAsia="cs-CZ"/>
              </w:rPr>
              <w:t>243</w:t>
            </w:r>
          </w:p>
        </w:tc>
        <w:tc>
          <w:tcPr>
            <w:tcW w:w="870" w:type="dxa"/>
            <w:tcBorders>
              <w:top w:val="nil"/>
              <w:left w:val="nil"/>
              <w:bottom w:val="single" w:sz="4" w:space="0" w:color="auto"/>
              <w:right w:val="nil"/>
            </w:tcBorders>
            <w:shd w:val="clear" w:color="auto" w:fill="auto"/>
            <w:noWrap/>
            <w:vAlign w:val="center"/>
            <w:hideMark/>
          </w:tcPr>
          <w:p w14:paraId="245612F5" w14:textId="7D83DE9D"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057" w:type="dxa"/>
            <w:tcBorders>
              <w:top w:val="nil"/>
              <w:left w:val="single" w:sz="4" w:space="0" w:color="auto"/>
              <w:bottom w:val="single" w:sz="4" w:space="0" w:color="auto"/>
              <w:right w:val="nil"/>
            </w:tcBorders>
            <w:shd w:val="clear" w:color="auto" w:fill="auto"/>
            <w:noWrap/>
            <w:vAlign w:val="bottom"/>
            <w:hideMark/>
          </w:tcPr>
          <w:p w14:paraId="15221108"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14</w:t>
            </w:r>
            <w:r w:rsidR="00043648" w:rsidRPr="00F85178">
              <w:rPr>
                <w:rFonts w:eastAsia="Times New Roman"/>
                <w:szCs w:val="24"/>
                <w:lang w:eastAsia="cs-CZ"/>
              </w:rPr>
              <w:t xml:space="preserve"> </w:t>
            </w:r>
            <w:r w:rsidRPr="00F85178">
              <w:rPr>
                <w:rFonts w:eastAsia="Times New Roman"/>
                <w:szCs w:val="24"/>
                <w:lang w:eastAsia="cs-CZ"/>
              </w:rPr>
              <w:t>529</w:t>
            </w:r>
          </w:p>
        </w:tc>
        <w:tc>
          <w:tcPr>
            <w:tcW w:w="870" w:type="dxa"/>
            <w:tcBorders>
              <w:top w:val="nil"/>
              <w:left w:val="nil"/>
              <w:bottom w:val="single" w:sz="4" w:space="0" w:color="auto"/>
              <w:right w:val="single" w:sz="4" w:space="0" w:color="auto"/>
            </w:tcBorders>
            <w:shd w:val="clear" w:color="auto" w:fill="auto"/>
            <w:noWrap/>
            <w:vAlign w:val="center"/>
            <w:hideMark/>
          </w:tcPr>
          <w:p w14:paraId="56F41E95" w14:textId="47001689"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857" w:type="dxa"/>
            <w:tcBorders>
              <w:top w:val="nil"/>
              <w:left w:val="nil"/>
              <w:bottom w:val="single" w:sz="4" w:space="0" w:color="auto"/>
              <w:right w:val="nil"/>
            </w:tcBorders>
            <w:shd w:val="clear" w:color="auto" w:fill="auto"/>
            <w:noWrap/>
            <w:vAlign w:val="bottom"/>
            <w:hideMark/>
          </w:tcPr>
          <w:p w14:paraId="6E4624F0"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3</w:t>
            </w:r>
            <w:r w:rsidR="00043648" w:rsidRPr="00F85178">
              <w:rPr>
                <w:rFonts w:eastAsia="Times New Roman"/>
                <w:szCs w:val="24"/>
                <w:lang w:eastAsia="cs-CZ"/>
              </w:rPr>
              <w:t xml:space="preserve"> </w:t>
            </w:r>
            <w:r w:rsidRPr="00F85178">
              <w:rPr>
                <w:rFonts w:eastAsia="Times New Roman"/>
                <w:szCs w:val="24"/>
                <w:lang w:eastAsia="cs-CZ"/>
              </w:rPr>
              <w:t>276</w:t>
            </w:r>
          </w:p>
        </w:tc>
        <w:tc>
          <w:tcPr>
            <w:tcW w:w="870" w:type="dxa"/>
            <w:tcBorders>
              <w:top w:val="nil"/>
              <w:left w:val="nil"/>
              <w:bottom w:val="single" w:sz="4" w:space="0" w:color="auto"/>
              <w:right w:val="single" w:sz="4" w:space="0" w:color="auto"/>
            </w:tcBorders>
            <w:shd w:val="clear" w:color="auto" w:fill="auto"/>
            <w:noWrap/>
            <w:vAlign w:val="center"/>
            <w:hideMark/>
          </w:tcPr>
          <w:p w14:paraId="1403F570" w14:textId="696D5604"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539" w:type="dxa"/>
            <w:tcBorders>
              <w:top w:val="nil"/>
              <w:left w:val="nil"/>
              <w:bottom w:val="single" w:sz="4" w:space="0" w:color="auto"/>
              <w:right w:val="nil"/>
            </w:tcBorders>
            <w:shd w:val="clear" w:color="auto" w:fill="auto"/>
            <w:noWrap/>
            <w:vAlign w:val="center"/>
            <w:hideMark/>
          </w:tcPr>
          <w:p w14:paraId="76EB930A"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102</w:t>
            </w:r>
            <w:r w:rsidR="00043648" w:rsidRPr="00F85178">
              <w:rPr>
                <w:rFonts w:eastAsia="Times New Roman"/>
                <w:szCs w:val="24"/>
                <w:lang w:eastAsia="cs-CZ"/>
              </w:rPr>
              <w:t>,</w:t>
            </w:r>
            <w:r w:rsidRPr="00F85178">
              <w:rPr>
                <w:rFonts w:eastAsia="Times New Roman"/>
                <w:szCs w:val="24"/>
                <w:lang w:eastAsia="cs-CZ"/>
              </w:rPr>
              <w:t>0 %</w:t>
            </w:r>
          </w:p>
        </w:tc>
      </w:tr>
      <w:tr w:rsidR="00F85178" w:rsidRPr="00F85178" w14:paraId="6943D073"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0CC89D14"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Ústí n. Labem</w:t>
            </w:r>
          </w:p>
        </w:tc>
        <w:tc>
          <w:tcPr>
            <w:tcW w:w="1057" w:type="dxa"/>
            <w:tcBorders>
              <w:top w:val="nil"/>
              <w:left w:val="nil"/>
              <w:bottom w:val="single" w:sz="4" w:space="0" w:color="auto"/>
              <w:right w:val="nil"/>
            </w:tcBorders>
            <w:shd w:val="clear" w:color="auto" w:fill="auto"/>
            <w:noWrap/>
            <w:vAlign w:val="bottom"/>
            <w:hideMark/>
          </w:tcPr>
          <w:p w14:paraId="073EB860"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18</w:t>
            </w:r>
            <w:r w:rsidR="00043648" w:rsidRPr="00F85178">
              <w:rPr>
                <w:rFonts w:eastAsia="Times New Roman"/>
                <w:szCs w:val="24"/>
                <w:lang w:eastAsia="cs-CZ"/>
              </w:rPr>
              <w:t xml:space="preserve"> </w:t>
            </w:r>
            <w:r w:rsidRPr="00F85178">
              <w:rPr>
                <w:rFonts w:eastAsia="Times New Roman"/>
                <w:szCs w:val="24"/>
                <w:lang w:eastAsia="cs-CZ"/>
              </w:rPr>
              <w:t>735</w:t>
            </w:r>
          </w:p>
        </w:tc>
        <w:tc>
          <w:tcPr>
            <w:tcW w:w="870" w:type="dxa"/>
            <w:tcBorders>
              <w:top w:val="nil"/>
              <w:left w:val="nil"/>
              <w:bottom w:val="single" w:sz="4" w:space="0" w:color="auto"/>
              <w:right w:val="nil"/>
            </w:tcBorders>
            <w:shd w:val="clear" w:color="auto" w:fill="auto"/>
            <w:noWrap/>
            <w:vAlign w:val="center"/>
            <w:hideMark/>
          </w:tcPr>
          <w:p w14:paraId="0C33DF85" w14:textId="2289C5E6"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057" w:type="dxa"/>
            <w:tcBorders>
              <w:top w:val="nil"/>
              <w:left w:val="single" w:sz="4" w:space="0" w:color="auto"/>
              <w:bottom w:val="single" w:sz="4" w:space="0" w:color="auto"/>
              <w:right w:val="nil"/>
            </w:tcBorders>
            <w:shd w:val="clear" w:color="auto" w:fill="auto"/>
            <w:noWrap/>
            <w:vAlign w:val="bottom"/>
            <w:hideMark/>
          </w:tcPr>
          <w:p w14:paraId="3D129DF9"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20</w:t>
            </w:r>
            <w:r w:rsidR="00043648" w:rsidRPr="00F85178">
              <w:rPr>
                <w:rFonts w:eastAsia="Times New Roman"/>
                <w:szCs w:val="24"/>
                <w:lang w:eastAsia="cs-CZ"/>
              </w:rPr>
              <w:t xml:space="preserve"> </w:t>
            </w:r>
            <w:r w:rsidRPr="00F85178">
              <w:rPr>
                <w:rFonts w:eastAsia="Times New Roman"/>
                <w:szCs w:val="24"/>
                <w:lang w:eastAsia="cs-CZ"/>
              </w:rPr>
              <w:t>165</w:t>
            </w:r>
          </w:p>
        </w:tc>
        <w:tc>
          <w:tcPr>
            <w:tcW w:w="870" w:type="dxa"/>
            <w:tcBorders>
              <w:top w:val="nil"/>
              <w:left w:val="nil"/>
              <w:bottom w:val="single" w:sz="4" w:space="0" w:color="auto"/>
              <w:right w:val="single" w:sz="4" w:space="0" w:color="auto"/>
            </w:tcBorders>
            <w:shd w:val="clear" w:color="auto" w:fill="auto"/>
            <w:noWrap/>
            <w:vAlign w:val="center"/>
            <w:hideMark/>
          </w:tcPr>
          <w:p w14:paraId="0E433D31" w14:textId="1A79D85B"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857" w:type="dxa"/>
            <w:tcBorders>
              <w:top w:val="nil"/>
              <w:left w:val="nil"/>
              <w:bottom w:val="single" w:sz="4" w:space="0" w:color="auto"/>
              <w:right w:val="nil"/>
            </w:tcBorders>
            <w:shd w:val="clear" w:color="auto" w:fill="auto"/>
            <w:noWrap/>
            <w:vAlign w:val="bottom"/>
            <w:hideMark/>
          </w:tcPr>
          <w:p w14:paraId="448F2B36"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6</w:t>
            </w:r>
            <w:r w:rsidR="00043648" w:rsidRPr="00F85178">
              <w:rPr>
                <w:rFonts w:eastAsia="Times New Roman"/>
                <w:szCs w:val="24"/>
                <w:lang w:eastAsia="cs-CZ"/>
              </w:rPr>
              <w:t xml:space="preserve"> </w:t>
            </w:r>
            <w:r w:rsidRPr="00F85178">
              <w:rPr>
                <w:rFonts w:eastAsia="Times New Roman"/>
                <w:szCs w:val="24"/>
                <w:lang w:eastAsia="cs-CZ"/>
              </w:rPr>
              <w:t>534</w:t>
            </w:r>
          </w:p>
        </w:tc>
        <w:tc>
          <w:tcPr>
            <w:tcW w:w="870" w:type="dxa"/>
            <w:tcBorders>
              <w:top w:val="nil"/>
              <w:left w:val="nil"/>
              <w:bottom w:val="single" w:sz="4" w:space="0" w:color="auto"/>
              <w:right w:val="single" w:sz="4" w:space="0" w:color="auto"/>
            </w:tcBorders>
            <w:shd w:val="clear" w:color="auto" w:fill="auto"/>
            <w:noWrap/>
            <w:vAlign w:val="center"/>
            <w:hideMark/>
          </w:tcPr>
          <w:p w14:paraId="4379891D" w14:textId="4F6DDFB1"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-18 %</w:t>
            </w:r>
          </w:p>
        </w:tc>
        <w:tc>
          <w:tcPr>
            <w:tcW w:w="1539" w:type="dxa"/>
            <w:tcBorders>
              <w:top w:val="nil"/>
              <w:left w:val="nil"/>
              <w:bottom w:val="single" w:sz="4" w:space="0" w:color="auto"/>
              <w:right w:val="nil"/>
            </w:tcBorders>
            <w:shd w:val="clear" w:color="auto" w:fill="auto"/>
            <w:noWrap/>
            <w:vAlign w:val="center"/>
            <w:hideMark/>
          </w:tcPr>
          <w:p w14:paraId="288DF6DA"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107</w:t>
            </w:r>
            <w:r w:rsidR="00043648" w:rsidRPr="00F85178">
              <w:rPr>
                <w:rFonts w:eastAsia="Times New Roman"/>
                <w:szCs w:val="24"/>
                <w:lang w:eastAsia="cs-CZ"/>
              </w:rPr>
              <w:t>,</w:t>
            </w:r>
            <w:r w:rsidRPr="00F85178">
              <w:rPr>
                <w:rFonts w:eastAsia="Times New Roman"/>
                <w:szCs w:val="24"/>
                <w:lang w:eastAsia="cs-CZ"/>
              </w:rPr>
              <w:t>6 %</w:t>
            </w:r>
          </w:p>
        </w:tc>
      </w:tr>
      <w:tr w:rsidR="00F85178" w:rsidRPr="00F85178" w14:paraId="2F46722B"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69A0C203"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Hr. Králové</w:t>
            </w:r>
          </w:p>
        </w:tc>
        <w:tc>
          <w:tcPr>
            <w:tcW w:w="1057" w:type="dxa"/>
            <w:tcBorders>
              <w:top w:val="nil"/>
              <w:left w:val="nil"/>
              <w:bottom w:val="single" w:sz="4" w:space="0" w:color="auto"/>
              <w:right w:val="nil"/>
            </w:tcBorders>
            <w:shd w:val="clear" w:color="auto" w:fill="auto"/>
            <w:noWrap/>
            <w:vAlign w:val="bottom"/>
            <w:hideMark/>
          </w:tcPr>
          <w:p w14:paraId="573FDF0E"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16</w:t>
            </w:r>
            <w:r w:rsidR="00043648" w:rsidRPr="00F85178">
              <w:rPr>
                <w:rFonts w:eastAsia="Times New Roman"/>
                <w:szCs w:val="24"/>
                <w:lang w:eastAsia="cs-CZ"/>
              </w:rPr>
              <w:t xml:space="preserve"> </w:t>
            </w:r>
            <w:r w:rsidRPr="00F85178">
              <w:rPr>
                <w:rFonts w:eastAsia="Times New Roman"/>
                <w:szCs w:val="24"/>
                <w:lang w:eastAsia="cs-CZ"/>
              </w:rPr>
              <w:t>537</w:t>
            </w:r>
          </w:p>
        </w:tc>
        <w:tc>
          <w:tcPr>
            <w:tcW w:w="870" w:type="dxa"/>
            <w:tcBorders>
              <w:top w:val="nil"/>
              <w:left w:val="nil"/>
              <w:bottom w:val="single" w:sz="4" w:space="0" w:color="auto"/>
              <w:right w:val="nil"/>
            </w:tcBorders>
            <w:shd w:val="clear" w:color="auto" w:fill="auto"/>
            <w:noWrap/>
            <w:vAlign w:val="center"/>
            <w:hideMark/>
          </w:tcPr>
          <w:p w14:paraId="485D007D" w14:textId="452B71D3"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1057" w:type="dxa"/>
            <w:tcBorders>
              <w:top w:val="nil"/>
              <w:left w:val="single" w:sz="4" w:space="0" w:color="auto"/>
              <w:bottom w:val="single" w:sz="4" w:space="0" w:color="auto"/>
              <w:right w:val="nil"/>
            </w:tcBorders>
            <w:shd w:val="clear" w:color="auto" w:fill="auto"/>
            <w:noWrap/>
            <w:vAlign w:val="bottom"/>
            <w:hideMark/>
          </w:tcPr>
          <w:p w14:paraId="32E8A489"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16</w:t>
            </w:r>
            <w:r w:rsidR="00043648" w:rsidRPr="00F85178">
              <w:rPr>
                <w:rFonts w:eastAsia="Times New Roman"/>
                <w:szCs w:val="24"/>
                <w:lang w:eastAsia="cs-CZ"/>
              </w:rPr>
              <w:t xml:space="preserve"> </w:t>
            </w:r>
            <w:r w:rsidRPr="00F85178">
              <w:rPr>
                <w:rFonts w:eastAsia="Times New Roman"/>
                <w:szCs w:val="24"/>
                <w:lang w:eastAsia="cs-CZ"/>
              </w:rPr>
              <w:t>105</w:t>
            </w:r>
          </w:p>
        </w:tc>
        <w:tc>
          <w:tcPr>
            <w:tcW w:w="870" w:type="dxa"/>
            <w:tcBorders>
              <w:top w:val="nil"/>
              <w:left w:val="nil"/>
              <w:bottom w:val="single" w:sz="4" w:space="0" w:color="auto"/>
              <w:right w:val="single" w:sz="4" w:space="0" w:color="auto"/>
            </w:tcBorders>
            <w:shd w:val="clear" w:color="auto" w:fill="auto"/>
            <w:noWrap/>
            <w:vAlign w:val="center"/>
            <w:hideMark/>
          </w:tcPr>
          <w:p w14:paraId="21FCEF8B" w14:textId="2EBA9467"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857" w:type="dxa"/>
            <w:tcBorders>
              <w:top w:val="nil"/>
              <w:left w:val="nil"/>
              <w:bottom w:val="single" w:sz="4" w:space="0" w:color="auto"/>
              <w:right w:val="nil"/>
            </w:tcBorders>
            <w:shd w:val="clear" w:color="auto" w:fill="auto"/>
            <w:noWrap/>
            <w:vAlign w:val="bottom"/>
            <w:hideMark/>
          </w:tcPr>
          <w:p w14:paraId="7F7E5DD1"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4</w:t>
            </w:r>
            <w:r w:rsidR="00043648" w:rsidRPr="00F85178">
              <w:rPr>
                <w:rFonts w:eastAsia="Times New Roman"/>
                <w:szCs w:val="24"/>
                <w:lang w:eastAsia="cs-CZ"/>
              </w:rPr>
              <w:t xml:space="preserve"> </w:t>
            </w:r>
            <w:r w:rsidRPr="00F85178">
              <w:rPr>
                <w:rFonts w:eastAsia="Times New Roman"/>
                <w:szCs w:val="24"/>
                <w:lang w:eastAsia="cs-CZ"/>
              </w:rPr>
              <w:t>540</w:t>
            </w:r>
          </w:p>
        </w:tc>
        <w:tc>
          <w:tcPr>
            <w:tcW w:w="870" w:type="dxa"/>
            <w:tcBorders>
              <w:top w:val="nil"/>
              <w:left w:val="nil"/>
              <w:bottom w:val="single" w:sz="4" w:space="0" w:color="auto"/>
              <w:right w:val="single" w:sz="4" w:space="0" w:color="auto"/>
            </w:tcBorders>
            <w:shd w:val="clear" w:color="auto" w:fill="auto"/>
            <w:noWrap/>
            <w:vAlign w:val="center"/>
            <w:hideMark/>
          </w:tcPr>
          <w:p w14:paraId="2DE20F37" w14:textId="46DC0AB6"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539" w:type="dxa"/>
            <w:tcBorders>
              <w:top w:val="nil"/>
              <w:left w:val="nil"/>
              <w:bottom w:val="single" w:sz="4" w:space="0" w:color="auto"/>
              <w:right w:val="nil"/>
            </w:tcBorders>
            <w:shd w:val="clear" w:color="auto" w:fill="auto"/>
            <w:noWrap/>
            <w:vAlign w:val="center"/>
            <w:hideMark/>
          </w:tcPr>
          <w:p w14:paraId="546E8739"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97</w:t>
            </w:r>
            <w:r w:rsidR="00043648" w:rsidRPr="00F85178">
              <w:rPr>
                <w:rFonts w:eastAsia="Times New Roman"/>
                <w:szCs w:val="24"/>
                <w:lang w:eastAsia="cs-CZ"/>
              </w:rPr>
              <w:t>,</w:t>
            </w:r>
            <w:r w:rsidRPr="00F85178">
              <w:rPr>
                <w:rFonts w:eastAsia="Times New Roman"/>
                <w:szCs w:val="24"/>
                <w:lang w:eastAsia="cs-CZ"/>
              </w:rPr>
              <w:t>4 %</w:t>
            </w:r>
          </w:p>
        </w:tc>
      </w:tr>
      <w:tr w:rsidR="00F85178" w:rsidRPr="00F85178" w14:paraId="653523A7" w14:textId="77777777" w:rsidTr="00DE0D38">
        <w:trPr>
          <w:trHeight w:val="315"/>
        </w:trPr>
        <w:tc>
          <w:tcPr>
            <w:tcW w:w="2020" w:type="dxa"/>
            <w:tcBorders>
              <w:top w:val="nil"/>
              <w:left w:val="nil"/>
              <w:bottom w:val="single" w:sz="4" w:space="0" w:color="auto"/>
              <w:right w:val="nil"/>
            </w:tcBorders>
            <w:shd w:val="clear" w:color="auto" w:fill="auto"/>
            <w:noWrap/>
            <w:vAlign w:val="bottom"/>
            <w:hideMark/>
          </w:tcPr>
          <w:p w14:paraId="3C96BB01"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Brno</w:t>
            </w:r>
          </w:p>
        </w:tc>
        <w:tc>
          <w:tcPr>
            <w:tcW w:w="1057" w:type="dxa"/>
            <w:tcBorders>
              <w:top w:val="nil"/>
              <w:left w:val="nil"/>
              <w:bottom w:val="single" w:sz="4" w:space="0" w:color="auto"/>
              <w:right w:val="nil"/>
            </w:tcBorders>
            <w:shd w:val="clear" w:color="auto" w:fill="auto"/>
            <w:noWrap/>
            <w:vAlign w:val="bottom"/>
            <w:hideMark/>
          </w:tcPr>
          <w:p w14:paraId="7D90F7F7"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22</w:t>
            </w:r>
            <w:r w:rsidR="00043648" w:rsidRPr="00F85178">
              <w:rPr>
                <w:rFonts w:eastAsia="Times New Roman"/>
                <w:szCs w:val="24"/>
                <w:lang w:eastAsia="cs-CZ"/>
              </w:rPr>
              <w:t xml:space="preserve"> </w:t>
            </w:r>
            <w:r w:rsidRPr="00F85178">
              <w:rPr>
                <w:rFonts w:eastAsia="Times New Roman"/>
                <w:szCs w:val="24"/>
                <w:lang w:eastAsia="cs-CZ"/>
              </w:rPr>
              <w:t>527</w:t>
            </w:r>
          </w:p>
        </w:tc>
        <w:tc>
          <w:tcPr>
            <w:tcW w:w="870" w:type="dxa"/>
            <w:tcBorders>
              <w:top w:val="nil"/>
              <w:left w:val="nil"/>
              <w:bottom w:val="single" w:sz="4" w:space="0" w:color="auto"/>
              <w:right w:val="nil"/>
            </w:tcBorders>
            <w:shd w:val="clear" w:color="auto" w:fill="auto"/>
            <w:noWrap/>
            <w:vAlign w:val="center"/>
            <w:hideMark/>
          </w:tcPr>
          <w:p w14:paraId="3D85C06F" w14:textId="0293B30D"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057" w:type="dxa"/>
            <w:tcBorders>
              <w:top w:val="nil"/>
              <w:left w:val="single" w:sz="4" w:space="0" w:color="auto"/>
              <w:bottom w:val="single" w:sz="4" w:space="0" w:color="auto"/>
              <w:right w:val="nil"/>
            </w:tcBorders>
            <w:shd w:val="clear" w:color="auto" w:fill="auto"/>
            <w:noWrap/>
            <w:vAlign w:val="bottom"/>
            <w:hideMark/>
          </w:tcPr>
          <w:p w14:paraId="4F3425FC"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23</w:t>
            </w:r>
            <w:r w:rsidR="00043648" w:rsidRPr="00F85178">
              <w:rPr>
                <w:rFonts w:eastAsia="Times New Roman"/>
                <w:szCs w:val="24"/>
                <w:lang w:eastAsia="cs-CZ"/>
              </w:rPr>
              <w:t xml:space="preserve"> </w:t>
            </w:r>
            <w:r w:rsidRPr="00F85178">
              <w:rPr>
                <w:rFonts w:eastAsia="Times New Roman"/>
                <w:szCs w:val="24"/>
                <w:lang w:eastAsia="cs-CZ"/>
              </w:rPr>
              <w:t>350</w:t>
            </w:r>
          </w:p>
        </w:tc>
        <w:tc>
          <w:tcPr>
            <w:tcW w:w="870" w:type="dxa"/>
            <w:tcBorders>
              <w:top w:val="nil"/>
              <w:left w:val="nil"/>
              <w:bottom w:val="single" w:sz="4" w:space="0" w:color="auto"/>
              <w:right w:val="single" w:sz="4" w:space="0" w:color="auto"/>
            </w:tcBorders>
            <w:shd w:val="clear" w:color="auto" w:fill="auto"/>
            <w:noWrap/>
            <w:vAlign w:val="center"/>
            <w:hideMark/>
          </w:tcPr>
          <w:p w14:paraId="1EA20F36" w14:textId="77489F69"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857" w:type="dxa"/>
            <w:tcBorders>
              <w:top w:val="nil"/>
              <w:left w:val="nil"/>
              <w:bottom w:val="single" w:sz="4" w:space="0" w:color="auto"/>
              <w:right w:val="nil"/>
            </w:tcBorders>
            <w:shd w:val="clear" w:color="auto" w:fill="auto"/>
            <w:noWrap/>
            <w:vAlign w:val="bottom"/>
            <w:hideMark/>
          </w:tcPr>
          <w:p w14:paraId="4A2E5C37"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7</w:t>
            </w:r>
            <w:r w:rsidR="00043648" w:rsidRPr="00F85178">
              <w:rPr>
                <w:rFonts w:eastAsia="Times New Roman"/>
                <w:szCs w:val="24"/>
                <w:lang w:eastAsia="cs-CZ"/>
              </w:rPr>
              <w:t xml:space="preserve"> </w:t>
            </w:r>
            <w:r w:rsidRPr="00F85178">
              <w:rPr>
                <w:rFonts w:eastAsia="Times New Roman"/>
                <w:szCs w:val="24"/>
                <w:lang w:eastAsia="cs-CZ"/>
              </w:rPr>
              <w:t>703</w:t>
            </w:r>
          </w:p>
        </w:tc>
        <w:tc>
          <w:tcPr>
            <w:tcW w:w="870" w:type="dxa"/>
            <w:tcBorders>
              <w:top w:val="nil"/>
              <w:left w:val="nil"/>
              <w:bottom w:val="single" w:sz="4" w:space="0" w:color="auto"/>
              <w:right w:val="single" w:sz="4" w:space="0" w:color="auto"/>
            </w:tcBorders>
            <w:shd w:val="clear" w:color="auto" w:fill="auto"/>
            <w:noWrap/>
            <w:vAlign w:val="center"/>
            <w:hideMark/>
          </w:tcPr>
          <w:p w14:paraId="6F947C66" w14:textId="38186700"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539" w:type="dxa"/>
            <w:tcBorders>
              <w:top w:val="nil"/>
              <w:left w:val="nil"/>
              <w:bottom w:val="single" w:sz="4" w:space="0" w:color="auto"/>
              <w:right w:val="nil"/>
            </w:tcBorders>
            <w:shd w:val="clear" w:color="auto" w:fill="auto"/>
            <w:noWrap/>
            <w:vAlign w:val="center"/>
            <w:hideMark/>
          </w:tcPr>
          <w:p w14:paraId="2E754DC4"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103</w:t>
            </w:r>
            <w:r w:rsidR="00043648" w:rsidRPr="00F85178">
              <w:rPr>
                <w:rFonts w:eastAsia="Times New Roman"/>
                <w:szCs w:val="24"/>
                <w:lang w:eastAsia="cs-CZ"/>
              </w:rPr>
              <w:t>,</w:t>
            </w:r>
            <w:r w:rsidRPr="00F85178">
              <w:rPr>
                <w:rFonts w:eastAsia="Times New Roman"/>
                <w:szCs w:val="24"/>
                <w:lang w:eastAsia="cs-CZ"/>
              </w:rPr>
              <w:t>7 %</w:t>
            </w:r>
          </w:p>
        </w:tc>
      </w:tr>
      <w:tr w:rsidR="00F85178" w:rsidRPr="00F85178" w14:paraId="7246912C" w14:textId="77777777" w:rsidTr="00DE0D38">
        <w:trPr>
          <w:trHeight w:val="330"/>
        </w:trPr>
        <w:tc>
          <w:tcPr>
            <w:tcW w:w="2020" w:type="dxa"/>
            <w:tcBorders>
              <w:top w:val="nil"/>
              <w:left w:val="nil"/>
              <w:bottom w:val="double" w:sz="6" w:space="0" w:color="auto"/>
              <w:right w:val="nil"/>
            </w:tcBorders>
            <w:shd w:val="clear" w:color="auto" w:fill="auto"/>
            <w:noWrap/>
            <w:vAlign w:val="bottom"/>
            <w:hideMark/>
          </w:tcPr>
          <w:p w14:paraId="42A5BA80"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Ostrava</w:t>
            </w:r>
          </w:p>
        </w:tc>
        <w:tc>
          <w:tcPr>
            <w:tcW w:w="1057" w:type="dxa"/>
            <w:tcBorders>
              <w:top w:val="nil"/>
              <w:left w:val="nil"/>
              <w:bottom w:val="double" w:sz="6" w:space="0" w:color="auto"/>
              <w:right w:val="nil"/>
            </w:tcBorders>
            <w:shd w:val="clear" w:color="auto" w:fill="auto"/>
            <w:noWrap/>
            <w:vAlign w:val="bottom"/>
            <w:hideMark/>
          </w:tcPr>
          <w:p w14:paraId="6AF08B80"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26</w:t>
            </w:r>
            <w:r w:rsidR="00043648" w:rsidRPr="00F85178">
              <w:rPr>
                <w:rFonts w:eastAsia="Times New Roman"/>
                <w:szCs w:val="24"/>
                <w:lang w:eastAsia="cs-CZ"/>
              </w:rPr>
              <w:t xml:space="preserve"> </w:t>
            </w:r>
            <w:r w:rsidRPr="00F85178">
              <w:rPr>
                <w:rFonts w:eastAsia="Times New Roman"/>
                <w:szCs w:val="24"/>
                <w:lang w:eastAsia="cs-CZ"/>
              </w:rPr>
              <w:t>678</w:t>
            </w:r>
          </w:p>
        </w:tc>
        <w:tc>
          <w:tcPr>
            <w:tcW w:w="870" w:type="dxa"/>
            <w:tcBorders>
              <w:top w:val="nil"/>
              <w:left w:val="nil"/>
              <w:bottom w:val="double" w:sz="6" w:space="0" w:color="auto"/>
              <w:right w:val="nil"/>
            </w:tcBorders>
            <w:shd w:val="clear" w:color="auto" w:fill="auto"/>
            <w:noWrap/>
            <w:vAlign w:val="center"/>
            <w:hideMark/>
          </w:tcPr>
          <w:p w14:paraId="2924A6E3" w14:textId="1B342C1E"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057" w:type="dxa"/>
            <w:tcBorders>
              <w:top w:val="nil"/>
              <w:left w:val="single" w:sz="4" w:space="0" w:color="auto"/>
              <w:bottom w:val="double" w:sz="6" w:space="0" w:color="auto"/>
              <w:right w:val="nil"/>
            </w:tcBorders>
            <w:shd w:val="clear" w:color="auto" w:fill="auto"/>
            <w:noWrap/>
            <w:vAlign w:val="bottom"/>
            <w:hideMark/>
          </w:tcPr>
          <w:p w14:paraId="7E230FD4"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27</w:t>
            </w:r>
            <w:r w:rsidR="00043648" w:rsidRPr="00F85178">
              <w:rPr>
                <w:rFonts w:eastAsia="Times New Roman"/>
                <w:szCs w:val="24"/>
                <w:lang w:eastAsia="cs-CZ"/>
              </w:rPr>
              <w:t xml:space="preserve"> </w:t>
            </w:r>
            <w:r w:rsidRPr="00F85178">
              <w:rPr>
                <w:rFonts w:eastAsia="Times New Roman"/>
                <w:szCs w:val="24"/>
                <w:lang w:eastAsia="cs-CZ"/>
              </w:rPr>
              <w:t>195</w:t>
            </w:r>
          </w:p>
        </w:tc>
        <w:tc>
          <w:tcPr>
            <w:tcW w:w="870" w:type="dxa"/>
            <w:tcBorders>
              <w:top w:val="nil"/>
              <w:left w:val="nil"/>
              <w:bottom w:val="double" w:sz="6" w:space="0" w:color="auto"/>
              <w:right w:val="single" w:sz="4" w:space="0" w:color="auto"/>
            </w:tcBorders>
            <w:shd w:val="clear" w:color="auto" w:fill="auto"/>
            <w:noWrap/>
            <w:vAlign w:val="center"/>
            <w:hideMark/>
          </w:tcPr>
          <w:p w14:paraId="22232F27" w14:textId="3B8D2875"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857" w:type="dxa"/>
            <w:tcBorders>
              <w:top w:val="nil"/>
              <w:left w:val="nil"/>
              <w:bottom w:val="double" w:sz="6" w:space="0" w:color="auto"/>
              <w:right w:val="nil"/>
            </w:tcBorders>
            <w:shd w:val="clear" w:color="auto" w:fill="auto"/>
            <w:noWrap/>
            <w:vAlign w:val="bottom"/>
            <w:hideMark/>
          </w:tcPr>
          <w:p w14:paraId="3AD4BDD1"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7</w:t>
            </w:r>
            <w:r w:rsidR="00043648" w:rsidRPr="00F85178">
              <w:rPr>
                <w:rFonts w:eastAsia="Times New Roman"/>
                <w:szCs w:val="24"/>
                <w:lang w:eastAsia="cs-CZ"/>
              </w:rPr>
              <w:t xml:space="preserve"> </w:t>
            </w:r>
            <w:r w:rsidRPr="00F85178">
              <w:rPr>
                <w:rFonts w:eastAsia="Times New Roman"/>
                <w:szCs w:val="24"/>
                <w:lang w:eastAsia="cs-CZ"/>
              </w:rPr>
              <w:t>549</w:t>
            </w:r>
          </w:p>
        </w:tc>
        <w:tc>
          <w:tcPr>
            <w:tcW w:w="870" w:type="dxa"/>
            <w:tcBorders>
              <w:top w:val="nil"/>
              <w:left w:val="nil"/>
              <w:bottom w:val="double" w:sz="6" w:space="0" w:color="auto"/>
              <w:right w:val="single" w:sz="4" w:space="0" w:color="auto"/>
            </w:tcBorders>
            <w:shd w:val="clear" w:color="auto" w:fill="auto"/>
            <w:noWrap/>
            <w:vAlign w:val="center"/>
            <w:hideMark/>
          </w:tcPr>
          <w:p w14:paraId="0E82BBD1" w14:textId="3155D4C4"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539" w:type="dxa"/>
            <w:tcBorders>
              <w:top w:val="nil"/>
              <w:left w:val="nil"/>
              <w:bottom w:val="nil"/>
              <w:right w:val="nil"/>
            </w:tcBorders>
            <w:shd w:val="clear" w:color="auto" w:fill="auto"/>
            <w:noWrap/>
            <w:vAlign w:val="center"/>
            <w:hideMark/>
          </w:tcPr>
          <w:p w14:paraId="486BFFF1" w14:textId="77777777" w:rsidR="00DE0D38" w:rsidRPr="00F85178" w:rsidRDefault="00DE0D38" w:rsidP="00043648">
            <w:pPr>
              <w:spacing w:line="240" w:lineRule="auto"/>
              <w:jc w:val="center"/>
              <w:rPr>
                <w:rFonts w:eastAsia="Times New Roman"/>
                <w:szCs w:val="24"/>
                <w:lang w:eastAsia="cs-CZ"/>
              </w:rPr>
            </w:pPr>
            <w:r w:rsidRPr="00F85178">
              <w:rPr>
                <w:rFonts w:eastAsia="Times New Roman"/>
                <w:szCs w:val="24"/>
                <w:lang w:eastAsia="cs-CZ"/>
              </w:rPr>
              <w:t>101</w:t>
            </w:r>
            <w:r w:rsidR="00043648" w:rsidRPr="00F85178">
              <w:rPr>
                <w:rFonts w:eastAsia="Times New Roman"/>
                <w:szCs w:val="24"/>
                <w:lang w:eastAsia="cs-CZ"/>
              </w:rPr>
              <w:t>,</w:t>
            </w:r>
            <w:r w:rsidRPr="00F85178">
              <w:rPr>
                <w:rFonts w:eastAsia="Times New Roman"/>
                <w:szCs w:val="24"/>
                <w:lang w:eastAsia="cs-CZ"/>
              </w:rPr>
              <w:t>9 %</w:t>
            </w:r>
          </w:p>
        </w:tc>
      </w:tr>
      <w:tr w:rsidR="00F85178" w:rsidRPr="00F85178" w14:paraId="280945C5" w14:textId="77777777" w:rsidTr="00DE0D38">
        <w:trPr>
          <w:trHeight w:val="345"/>
        </w:trPr>
        <w:tc>
          <w:tcPr>
            <w:tcW w:w="2020" w:type="dxa"/>
            <w:tcBorders>
              <w:top w:val="nil"/>
              <w:left w:val="nil"/>
              <w:bottom w:val="double" w:sz="6" w:space="0" w:color="auto"/>
              <w:right w:val="nil"/>
            </w:tcBorders>
            <w:shd w:val="clear" w:color="auto" w:fill="auto"/>
            <w:noWrap/>
            <w:vAlign w:val="bottom"/>
            <w:hideMark/>
          </w:tcPr>
          <w:p w14:paraId="183C2FE9" w14:textId="77777777" w:rsidR="00DE0D38" w:rsidRPr="00F85178" w:rsidRDefault="00DE0D38" w:rsidP="00DE0D38">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57" w:type="dxa"/>
            <w:tcBorders>
              <w:top w:val="nil"/>
              <w:left w:val="nil"/>
              <w:bottom w:val="double" w:sz="6" w:space="0" w:color="auto"/>
              <w:right w:val="nil"/>
            </w:tcBorders>
            <w:shd w:val="clear" w:color="auto" w:fill="auto"/>
            <w:noWrap/>
            <w:vAlign w:val="bottom"/>
            <w:hideMark/>
          </w:tcPr>
          <w:p w14:paraId="5806B8E9"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144</w:t>
            </w:r>
            <w:r w:rsidR="00043648" w:rsidRPr="00F85178">
              <w:rPr>
                <w:rFonts w:eastAsia="Times New Roman"/>
                <w:b/>
                <w:bCs/>
                <w:szCs w:val="24"/>
                <w:lang w:eastAsia="cs-CZ"/>
              </w:rPr>
              <w:t xml:space="preserve"> </w:t>
            </w:r>
            <w:r w:rsidRPr="00F85178">
              <w:rPr>
                <w:rFonts w:eastAsia="Times New Roman"/>
                <w:b/>
                <w:bCs/>
                <w:szCs w:val="24"/>
                <w:lang w:eastAsia="cs-CZ"/>
              </w:rPr>
              <w:t>460</w:t>
            </w:r>
          </w:p>
        </w:tc>
        <w:tc>
          <w:tcPr>
            <w:tcW w:w="870" w:type="dxa"/>
            <w:tcBorders>
              <w:top w:val="nil"/>
              <w:left w:val="nil"/>
              <w:bottom w:val="double" w:sz="6" w:space="0" w:color="auto"/>
              <w:right w:val="nil"/>
            </w:tcBorders>
            <w:shd w:val="clear" w:color="auto" w:fill="auto"/>
            <w:noWrap/>
            <w:vAlign w:val="center"/>
            <w:hideMark/>
          </w:tcPr>
          <w:p w14:paraId="14F0B67D" w14:textId="44D028E3" w:rsidR="00DE0D38" w:rsidRPr="00F85178" w:rsidRDefault="00DE0D38" w:rsidP="00DE0D38">
            <w:pPr>
              <w:spacing w:line="240" w:lineRule="auto"/>
              <w:jc w:val="center"/>
              <w:rPr>
                <w:rFonts w:eastAsia="Times New Roman"/>
                <w:b/>
                <w:bCs/>
                <w:sz w:val="20"/>
                <w:szCs w:val="20"/>
                <w:lang w:eastAsia="cs-CZ"/>
              </w:rPr>
            </w:pPr>
            <w:r w:rsidRPr="00F85178">
              <w:rPr>
                <w:rFonts w:eastAsia="Times New Roman"/>
                <w:b/>
                <w:bCs/>
                <w:sz w:val="20"/>
                <w:szCs w:val="20"/>
                <w:lang w:eastAsia="cs-CZ"/>
              </w:rPr>
              <w:t>+9 %</w:t>
            </w:r>
          </w:p>
        </w:tc>
        <w:tc>
          <w:tcPr>
            <w:tcW w:w="1057" w:type="dxa"/>
            <w:tcBorders>
              <w:top w:val="nil"/>
              <w:left w:val="single" w:sz="4" w:space="0" w:color="auto"/>
              <w:bottom w:val="double" w:sz="6" w:space="0" w:color="auto"/>
              <w:right w:val="nil"/>
            </w:tcBorders>
            <w:shd w:val="clear" w:color="auto" w:fill="auto"/>
            <w:noWrap/>
            <w:vAlign w:val="bottom"/>
            <w:hideMark/>
          </w:tcPr>
          <w:p w14:paraId="719585D7"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145</w:t>
            </w:r>
            <w:r w:rsidR="00043648" w:rsidRPr="00F85178">
              <w:rPr>
                <w:rFonts w:eastAsia="Times New Roman"/>
                <w:b/>
                <w:bCs/>
                <w:szCs w:val="24"/>
                <w:lang w:eastAsia="cs-CZ"/>
              </w:rPr>
              <w:t xml:space="preserve"> </w:t>
            </w:r>
            <w:r w:rsidRPr="00F85178">
              <w:rPr>
                <w:rFonts w:eastAsia="Times New Roman"/>
                <w:b/>
                <w:bCs/>
                <w:szCs w:val="24"/>
                <w:lang w:eastAsia="cs-CZ"/>
              </w:rPr>
              <w:t>240</w:t>
            </w:r>
          </w:p>
        </w:tc>
        <w:tc>
          <w:tcPr>
            <w:tcW w:w="870" w:type="dxa"/>
            <w:tcBorders>
              <w:top w:val="nil"/>
              <w:left w:val="nil"/>
              <w:bottom w:val="double" w:sz="6" w:space="0" w:color="auto"/>
              <w:right w:val="single" w:sz="4" w:space="0" w:color="auto"/>
            </w:tcBorders>
            <w:shd w:val="clear" w:color="auto" w:fill="auto"/>
            <w:noWrap/>
            <w:vAlign w:val="center"/>
            <w:hideMark/>
          </w:tcPr>
          <w:p w14:paraId="103C7E4C" w14:textId="00BD6376" w:rsidR="00DE0D38" w:rsidRPr="00F85178" w:rsidRDefault="00DE0D38" w:rsidP="00DE0D38">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857" w:type="dxa"/>
            <w:tcBorders>
              <w:top w:val="nil"/>
              <w:left w:val="nil"/>
              <w:bottom w:val="double" w:sz="6" w:space="0" w:color="auto"/>
              <w:right w:val="nil"/>
            </w:tcBorders>
            <w:shd w:val="clear" w:color="auto" w:fill="auto"/>
            <w:noWrap/>
            <w:vAlign w:val="bottom"/>
            <w:hideMark/>
          </w:tcPr>
          <w:p w14:paraId="7BC5E061"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41</w:t>
            </w:r>
            <w:r w:rsidR="00043648" w:rsidRPr="00F85178">
              <w:rPr>
                <w:rFonts w:eastAsia="Times New Roman"/>
                <w:b/>
                <w:bCs/>
                <w:szCs w:val="24"/>
                <w:lang w:eastAsia="cs-CZ"/>
              </w:rPr>
              <w:t xml:space="preserve"> </w:t>
            </w:r>
            <w:r w:rsidRPr="00F85178">
              <w:rPr>
                <w:rFonts w:eastAsia="Times New Roman"/>
                <w:b/>
                <w:bCs/>
                <w:szCs w:val="24"/>
                <w:lang w:eastAsia="cs-CZ"/>
              </w:rPr>
              <w:t>401</w:t>
            </w:r>
          </w:p>
        </w:tc>
        <w:tc>
          <w:tcPr>
            <w:tcW w:w="870" w:type="dxa"/>
            <w:tcBorders>
              <w:top w:val="nil"/>
              <w:left w:val="nil"/>
              <w:bottom w:val="double" w:sz="6" w:space="0" w:color="auto"/>
              <w:right w:val="single" w:sz="4" w:space="0" w:color="auto"/>
            </w:tcBorders>
            <w:shd w:val="clear" w:color="auto" w:fill="auto"/>
            <w:noWrap/>
            <w:vAlign w:val="center"/>
            <w:hideMark/>
          </w:tcPr>
          <w:p w14:paraId="713DE0F9" w14:textId="7C9D54EB" w:rsidR="00DE0D38" w:rsidRPr="00F85178" w:rsidRDefault="00DE0D38" w:rsidP="00DE0D38">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1539" w:type="dxa"/>
            <w:tcBorders>
              <w:top w:val="double" w:sz="6" w:space="0" w:color="auto"/>
              <w:left w:val="nil"/>
              <w:bottom w:val="double" w:sz="6" w:space="0" w:color="auto"/>
              <w:right w:val="nil"/>
            </w:tcBorders>
            <w:shd w:val="clear" w:color="auto" w:fill="auto"/>
            <w:noWrap/>
            <w:vAlign w:val="center"/>
            <w:hideMark/>
          </w:tcPr>
          <w:p w14:paraId="6DEC947C" w14:textId="77777777" w:rsidR="00DE0D38" w:rsidRPr="00F85178" w:rsidRDefault="00DE0D38" w:rsidP="00043648">
            <w:pPr>
              <w:spacing w:line="240" w:lineRule="auto"/>
              <w:jc w:val="center"/>
              <w:rPr>
                <w:rFonts w:eastAsia="Times New Roman"/>
                <w:b/>
                <w:bCs/>
                <w:szCs w:val="24"/>
                <w:lang w:eastAsia="cs-CZ"/>
              </w:rPr>
            </w:pPr>
            <w:r w:rsidRPr="00F85178">
              <w:rPr>
                <w:rFonts w:eastAsia="Times New Roman"/>
                <w:b/>
                <w:bCs/>
                <w:szCs w:val="24"/>
                <w:lang w:eastAsia="cs-CZ"/>
              </w:rPr>
              <w:t>100</w:t>
            </w:r>
            <w:r w:rsidR="00043648" w:rsidRPr="00F85178">
              <w:rPr>
                <w:rFonts w:eastAsia="Times New Roman"/>
                <w:b/>
                <w:bCs/>
                <w:szCs w:val="24"/>
                <w:lang w:eastAsia="cs-CZ"/>
              </w:rPr>
              <w:t>,</w:t>
            </w:r>
            <w:r w:rsidRPr="00F85178">
              <w:rPr>
                <w:rFonts w:eastAsia="Times New Roman"/>
                <w:b/>
                <w:bCs/>
                <w:szCs w:val="24"/>
                <w:lang w:eastAsia="cs-CZ"/>
              </w:rPr>
              <w:t>5 %</w:t>
            </w:r>
          </w:p>
        </w:tc>
      </w:tr>
    </w:tbl>
    <w:p w14:paraId="1E952EA2" w14:textId="77777777" w:rsidR="0032015B" w:rsidRDefault="009A43E8" w:rsidP="009A43E8">
      <w:pPr>
        <w:pStyle w:val="OdstavecASR"/>
      </w:pPr>
      <w:r w:rsidRPr="00F85178">
        <w:t xml:space="preserve">V tabulce vidíme, že v roce </w:t>
      </w:r>
      <w:r w:rsidR="007E41A5" w:rsidRPr="00F85178">
        <w:t xml:space="preserve">2018 došlo k dalšímu poklesu míry vyřizování a že již pouze OS ve čtyřech soudních krajích vyřídily více </w:t>
      </w:r>
      <w:r w:rsidR="00856786" w:rsidRPr="00F85178">
        <w:t>věcí, než</w:t>
      </w:r>
      <w:r w:rsidR="007E41A5" w:rsidRPr="00F85178">
        <w:t xml:space="preserve"> byl nápad (v roce </w:t>
      </w:r>
      <w:r w:rsidRPr="00F85178">
        <w:t xml:space="preserve">2017 se </w:t>
      </w:r>
      <w:r w:rsidR="007E41A5" w:rsidRPr="00F85178">
        <w:t>to podařilo</w:t>
      </w:r>
      <w:r w:rsidR="00F46896" w:rsidRPr="00F85178">
        <w:t xml:space="preserve"> </w:t>
      </w:r>
      <w:r w:rsidRPr="00F85178">
        <w:t>v šesti z osmi krajů</w:t>
      </w:r>
      <w:r w:rsidR="007E41A5" w:rsidRPr="00F85178">
        <w:t>).</w:t>
      </w:r>
      <w:r w:rsidRPr="00F85178">
        <w:t xml:space="preserve"> </w:t>
      </w:r>
      <w:r w:rsidR="007E41A5" w:rsidRPr="00F85178">
        <w:t xml:space="preserve">Po poklesu míry vyřizování </w:t>
      </w:r>
      <w:r w:rsidRPr="00F85178">
        <w:t xml:space="preserve">v roce 2017 </w:t>
      </w:r>
      <w:r w:rsidR="007E41A5" w:rsidRPr="00F85178">
        <w:t xml:space="preserve">došlo k dalšímu poklesu u OS ve všech soudních krajích s výjimkou </w:t>
      </w:r>
      <w:r w:rsidR="00856786" w:rsidRPr="00F85178">
        <w:t>OS spadajících pod KS </w:t>
      </w:r>
      <w:r w:rsidR="007E41A5" w:rsidRPr="00F85178">
        <w:t>Plzeň</w:t>
      </w:r>
      <w:r w:rsidR="00167DAF" w:rsidRPr="00F85178">
        <w:t xml:space="preserve"> (zvýšení z 97,33</w:t>
      </w:r>
      <w:r w:rsidR="00F46896" w:rsidRPr="00F85178">
        <w:t xml:space="preserve"> </w:t>
      </w:r>
      <w:r w:rsidR="00167DAF" w:rsidRPr="00F85178">
        <w:t>% v roce 2017 na 102,0</w:t>
      </w:r>
      <w:r w:rsidR="00F46896" w:rsidRPr="00F85178">
        <w:t xml:space="preserve"> </w:t>
      </w:r>
      <w:r w:rsidR="00167DAF" w:rsidRPr="00F85178">
        <w:t>% v roce 2018)</w:t>
      </w:r>
      <w:r w:rsidR="007E41A5" w:rsidRPr="00F85178">
        <w:t>.</w:t>
      </w:r>
      <w:r w:rsidR="00167DAF" w:rsidRPr="00F85178">
        <w:t xml:space="preserve"> V roce </w:t>
      </w:r>
      <w:r w:rsidR="00856786" w:rsidRPr="00F85178">
        <w:t xml:space="preserve">2017 </w:t>
      </w:r>
      <w:r w:rsidR="00F46896" w:rsidRPr="00F85178">
        <w:t xml:space="preserve">byly </w:t>
      </w:r>
      <w:r w:rsidR="0007273B" w:rsidRPr="00F85178">
        <w:t>takovou</w:t>
      </w:r>
      <w:r w:rsidR="00167DAF" w:rsidRPr="00F85178">
        <w:t xml:space="preserve"> výjimkou OS soudního kraje KS Ústí nad Labem, které však i</w:t>
      </w:r>
      <w:r w:rsidR="00043648" w:rsidRPr="00F85178">
        <w:t> </w:t>
      </w:r>
      <w:r w:rsidR="00167DAF" w:rsidRPr="00F85178">
        <w:t xml:space="preserve">přes </w:t>
      </w:r>
      <w:r w:rsidR="0007273B" w:rsidRPr="00F85178">
        <w:t xml:space="preserve">loňský </w:t>
      </w:r>
      <w:r w:rsidR="00167DAF" w:rsidRPr="00F85178">
        <w:t xml:space="preserve">pokles míry vyřizování vykazují </w:t>
      </w:r>
      <w:r w:rsidR="00856786" w:rsidRPr="00F85178">
        <w:t xml:space="preserve">i </w:t>
      </w:r>
      <w:r w:rsidR="00167DAF" w:rsidRPr="00F85178">
        <w:t xml:space="preserve">v roce 2018 </w:t>
      </w:r>
      <w:r w:rsidR="0007273B" w:rsidRPr="00F85178">
        <w:t xml:space="preserve">stále </w:t>
      </w:r>
      <w:r w:rsidR="00167DAF" w:rsidRPr="00F85178">
        <w:t>nejvyšší hodnotu ze všech.</w:t>
      </w:r>
    </w:p>
    <w:p w14:paraId="034F346D" w14:textId="3A5D0BA9" w:rsidR="00AB1BF9" w:rsidRPr="00F85178" w:rsidRDefault="00AB1BF9" w:rsidP="00747FD4">
      <w:pPr>
        <w:pStyle w:val="Nadpis3"/>
        <w:rPr>
          <w:color w:val="auto"/>
        </w:rPr>
      </w:pPr>
      <w:bookmarkStart w:id="283" w:name="_Toc14076891"/>
      <w:bookmarkStart w:id="284" w:name="_Toc515871369"/>
      <w:r w:rsidRPr="00F85178">
        <w:rPr>
          <w:color w:val="auto"/>
        </w:rPr>
        <w:t>Disposition time</w:t>
      </w:r>
      <w:bookmarkEnd w:id="283"/>
    </w:p>
    <w:p w14:paraId="109AEF06" w14:textId="77777777" w:rsidR="009A43E8" w:rsidRPr="00F85178" w:rsidRDefault="009A43E8" w:rsidP="009A43E8">
      <w:pPr>
        <w:pStyle w:val="OdstavecASR"/>
      </w:pPr>
      <w:r w:rsidRPr="00F85178">
        <w:t>Vzhledem k absenci údajů o počtu soudců je disposition time jediný způsob, jak normalizovat počet nevyřízených věcí, tedy jak zohlednit velikost soudů a mít možnost porovnat jejich výkon.</w:t>
      </w:r>
    </w:p>
    <w:p w14:paraId="22D08037" w14:textId="77777777" w:rsidR="00747FD4" w:rsidRPr="00F85178" w:rsidRDefault="00747FD4" w:rsidP="00747FD4">
      <w:pPr>
        <w:pStyle w:val="Podtitul"/>
        <w:rPr>
          <w:color w:val="auto"/>
        </w:rPr>
      </w:pPr>
      <w:bookmarkStart w:id="285" w:name="_Toc11135101"/>
      <w:bookmarkStart w:id="286" w:name="_Toc1383753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40</w:t>
      </w:r>
      <w:r w:rsidRPr="00F85178">
        <w:rPr>
          <w:noProof/>
          <w:color w:val="auto"/>
        </w:rPr>
        <w:fldChar w:fldCharType="end"/>
      </w:r>
      <w:r w:rsidRPr="00F85178">
        <w:rPr>
          <w:color w:val="auto"/>
        </w:rPr>
        <w:t>: OS – disposition time v opatrovnické agendě v letech 2008–201</w:t>
      </w:r>
      <w:bookmarkEnd w:id="284"/>
      <w:r w:rsidRPr="00F85178">
        <w:rPr>
          <w:color w:val="auto"/>
        </w:rPr>
        <w:t>8</w:t>
      </w:r>
      <w:bookmarkEnd w:id="285"/>
      <w:bookmarkEnd w:id="286"/>
    </w:p>
    <w:p w14:paraId="33D38FF4" w14:textId="77777777" w:rsidR="00DE0D38" w:rsidRPr="00F85178" w:rsidRDefault="00890295" w:rsidP="00721733">
      <w:pPr>
        <w:pStyle w:val="OdstavecASR"/>
      </w:pPr>
      <w:r>
        <w:rPr>
          <w:noProof/>
          <w:lang w:eastAsia="cs-CZ"/>
        </w:rPr>
        <w:drawing>
          <wp:inline distT="0" distB="0" distL="0" distR="0" wp14:anchorId="746ECD21" wp14:editId="59C054C9">
            <wp:extent cx="5118100" cy="3746500"/>
            <wp:effectExtent l="0" t="0" r="0" b="0"/>
            <wp:docPr id="42" name="Obrázek 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8"/>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646528A" w14:textId="77777777" w:rsidR="009A43E8" w:rsidRPr="00F85178" w:rsidRDefault="009A43E8" w:rsidP="009A43E8">
      <w:pPr>
        <w:pStyle w:val="OdstavecASR"/>
      </w:pPr>
      <w:r w:rsidRPr="00F85178">
        <w:t xml:space="preserve">V roce 2014 je patrný obrovský nárůst DT. Ten je způsoben výše popsaným velkým nárůstem v počtu nevyřízených věcí. Počet vyřízených věcí vzrostl méně, což vedlo k nárůstu DT. V roce 2015 vzrostl výrazněji počet vyřízených věcí, takže DT klesl. V roce 2016 pak klesl nápad a tím i nevyřízené věci. Došlo tedy k poklesu DT na úroveň </w:t>
      </w:r>
      <w:r w:rsidR="00110FB2" w:rsidRPr="00F85178">
        <w:t>roku</w:t>
      </w:r>
      <w:r w:rsidRPr="00F85178">
        <w:t xml:space="preserve"> 2014. V roce 2017 poklesl počet vyřízených i nevyřízených věcí asi o 12 %. DT tím pádem zůstal stejný jako v roce 2016</w:t>
      </w:r>
      <w:r w:rsidR="00110FB2" w:rsidRPr="00F85178">
        <w:t>. V roce 2018 se vyřídilo více věcí než v roce 2017, přičemž počet nevyřízených věcí příliš neklesal – výsledkem je nejlepší hodnota DT za posledních 10 let</w:t>
      </w:r>
      <w:r w:rsidR="00FE27C0" w:rsidRPr="00F85178">
        <w:t xml:space="preserve">, </w:t>
      </w:r>
      <w:r w:rsidR="00476026" w:rsidRPr="00F85178">
        <w:t>tzn., že</w:t>
      </w:r>
      <w:r w:rsidR="00FE27C0" w:rsidRPr="00F85178">
        <w:t xml:space="preserve"> ve srovnání posledních 10 let pracovaly </w:t>
      </w:r>
      <w:r w:rsidR="00914293" w:rsidRPr="00F85178">
        <w:t>opatrovnické soudy</w:t>
      </w:r>
      <w:r w:rsidR="00FE27C0" w:rsidRPr="00F85178">
        <w:t xml:space="preserve"> v roce 2018 </w:t>
      </w:r>
      <w:r w:rsidR="00914293" w:rsidRPr="00F85178">
        <w:t>nejefektivněji (</w:t>
      </w:r>
      <w:r w:rsidR="005F6C60" w:rsidRPr="00F85178">
        <w:t>DT nevyjadřuje délku řízení, ale za kolik dní by soud vyřídil věci bez nového nápadu</w:t>
      </w:r>
      <w:r w:rsidR="00FE27C0" w:rsidRPr="00F85178">
        <w:t>)</w:t>
      </w:r>
      <w:r w:rsidRPr="00F85178">
        <w:t>.</w:t>
      </w:r>
    </w:p>
    <w:p w14:paraId="62D95C3C" w14:textId="77777777" w:rsidR="00043648" w:rsidRDefault="00043648" w:rsidP="009A43E8">
      <w:pPr>
        <w:pStyle w:val="OdstavecASR"/>
      </w:pPr>
    </w:p>
    <w:p w14:paraId="47B45D69" w14:textId="77777777" w:rsidR="003A3197" w:rsidRDefault="003A3197" w:rsidP="009A43E8">
      <w:pPr>
        <w:pStyle w:val="OdstavecASR"/>
      </w:pPr>
    </w:p>
    <w:p w14:paraId="6D706965" w14:textId="77777777" w:rsidR="003A3197" w:rsidRDefault="003A3197" w:rsidP="009A43E8">
      <w:pPr>
        <w:pStyle w:val="OdstavecASR"/>
      </w:pPr>
    </w:p>
    <w:p w14:paraId="0C88493F" w14:textId="77777777" w:rsidR="003A3197" w:rsidRDefault="003A3197" w:rsidP="009A43E8">
      <w:pPr>
        <w:pStyle w:val="OdstavecASR"/>
      </w:pPr>
    </w:p>
    <w:p w14:paraId="636EAB9C" w14:textId="77777777" w:rsidR="003A3197" w:rsidRDefault="003A3197" w:rsidP="009A43E8">
      <w:pPr>
        <w:pStyle w:val="OdstavecASR"/>
      </w:pPr>
    </w:p>
    <w:p w14:paraId="27BA6294" w14:textId="77777777" w:rsidR="003A3197" w:rsidRDefault="003A3197" w:rsidP="009A43E8">
      <w:pPr>
        <w:pStyle w:val="OdstavecASR"/>
      </w:pPr>
    </w:p>
    <w:p w14:paraId="3464989D" w14:textId="77777777" w:rsidR="003A3197" w:rsidRPr="00F85178" w:rsidRDefault="003A3197" w:rsidP="009A43E8">
      <w:pPr>
        <w:pStyle w:val="OdstavecASR"/>
      </w:pPr>
    </w:p>
    <w:p w14:paraId="123F9881" w14:textId="77777777" w:rsidR="00DE0D38" w:rsidRPr="00F85178" w:rsidRDefault="00DE0D38" w:rsidP="00DE0D38">
      <w:pPr>
        <w:pStyle w:val="Podtitul"/>
        <w:rPr>
          <w:color w:val="auto"/>
        </w:rPr>
      </w:pPr>
      <w:bookmarkStart w:id="287" w:name="_Toc515871462"/>
      <w:bookmarkStart w:id="288" w:name="_Toc11133230"/>
      <w:bookmarkStart w:id="289" w:name="_Toc13837451"/>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28</w:t>
      </w:r>
      <w:r w:rsidRPr="00F85178">
        <w:rPr>
          <w:noProof/>
          <w:color w:val="auto"/>
        </w:rPr>
        <w:fldChar w:fldCharType="end"/>
      </w:r>
      <w:r w:rsidRPr="00F85178">
        <w:rPr>
          <w:color w:val="auto"/>
        </w:rPr>
        <w:t>: OS – disposition time v opatrovnické agendě dle krajů</w:t>
      </w:r>
      <w:bookmarkEnd w:id="287"/>
      <w:bookmarkEnd w:id="288"/>
      <w:bookmarkEnd w:id="289"/>
    </w:p>
    <w:tbl>
      <w:tblPr>
        <w:tblW w:w="5960" w:type="dxa"/>
        <w:tblCellMar>
          <w:left w:w="70" w:type="dxa"/>
          <w:right w:w="70" w:type="dxa"/>
        </w:tblCellMar>
        <w:tblLook w:val="04A0" w:firstRow="1" w:lastRow="0" w:firstColumn="1" w:lastColumn="0" w:noHBand="0" w:noVBand="1"/>
      </w:tblPr>
      <w:tblGrid>
        <w:gridCol w:w="2780"/>
        <w:gridCol w:w="1253"/>
        <w:gridCol w:w="1927"/>
      </w:tblGrid>
      <w:tr w:rsidR="00F85178" w:rsidRPr="00F85178" w14:paraId="50FCA6F6" w14:textId="77777777" w:rsidTr="00DE0D38">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2CCA3BB2"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560E34B"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5206772A" w14:textId="77777777" w:rsidTr="00DE0D38">
        <w:trPr>
          <w:trHeight w:val="330"/>
        </w:trPr>
        <w:tc>
          <w:tcPr>
            <w:tcW w:w="2780" w:type="dxa"/>
            <w:tcBorders>
              <w:top w:val="nil"/>
              <w:left w:val="nil"/>
              <w:bottom w:val="single" w:sz="4" w:space="0" w:color="auto"/>
              <w:right w:val="nil"/>
            </w:tcBorders>
            <w:shd w:val="clear" w:color="auto" w:fill="auto"/>
            <w:noWrap/>
            <w:vAlign w:val="bottom"/>
            <w:hideMark/>
          </w:tcPr>
          <w:p w14:paraId="079E08BB"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4C1ADD9"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129</w:t>
            </w:r>
          </w:p>
        </w:tc>
        <w:tc>
          <w:tcPr>
            <w:tcW w:w="1927" w:type="dxa"/>
            <w:tcBorders>
              <w:top w:val="nil"/>
              <w:left w:val="nil"/>
              <w:bottom w:val="single" w:sz="4" w:space="0" w:color="auto"/>
              <w:right w:val="nil"/>
            </w:tcBorders>
            <w:shd w:val="clear" w:color="auto" w:fill="auto"/>
            <w:noWrap/>
            <w:vAlign w:val="center"/>
            <w:hideMark/>
          </w:tcPr>
          <w:p w14:paraId="2537355A" w14:textId="3ACFBE46"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+13 %</w:t>
            </w:r>
          </w:p>
        </w:tc>
      </w:tr>
      <w:tr w:rsidR="00F85178" w:rsidRPr="00F85178" w14:paraId="1CE2B524"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5D166C4F"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4045FBAD"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92</w:t>
            </w:r>
          </w:p>
        </w:tc>
        <w:tc>
          <w:tcPr>
            <w:tcW w:w="1927" w:type="dxa"/>
            <w:tcBorders>
              <w:top w:val="nil"/>
              <w:left w:val="nil"/>
              <w:bottom w:val="single" w:sz="4" w:space="0" w:color="auto"/>
              <w:right w:val="nil"/>
            </w:tcBorders>
            <w:shd w:val="clear" w:color="auto" w:fill="auto"/>
            <w:noWrap/>
            <w:vAlign w:val="center"/>
            <w:hideMark/>
          </w:tcPr>
          <w:p w14:paraId="57D4E1AE" w14:textId="4EC34F08"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+23 %</w:t>
            </w:r>
          </w:p>
        </w:tc>
      </w:tr>
      <w:tr w:rsidR="00F85178" w:rsidRPr="00F85178" w14:paraId="3CE8E0EC"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404BF341"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3CBFE1E6"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63</w:t>
            </w:r>
          </w:p>
        </w:tc>
        <w:tc>
          <w:tcPr>
            <w:tcW w:w="1927" w:type="dxa"/>
            <w:tcBorders>
              <w:top w:val="nil"/>
              <w:left w:val="nil"/>
              <w:bottom w:val="single" w:sz="4" w:space="0" w:color="auto"/>
              <w:right w:val="nil"/>
            </w:tcBorders>
            <w:shd w:val="clear" w:color="auto" w:fill="auto"/>
            <w:noWrap/>
            <w:vAlign w:val="center"/>
            <w:hideMark/>
          </w:tcPr>
          <w:p w14:paraId="284A13DE" w14:textId="35BBCA50"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1F4C88AE"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4D099D31"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04E04A61"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82</w:t>
            </w:r>
          </w:p>
        </w:tc>
        <w:tc>
          <w:tcPr>
            <w:tcW w:w="1927" w:type="dxa"/>
            <w:tcBorders>
              <w:top w:val="nil"/>
              <w:left w:val="nil"/>
              <w:bottom w:val="single" w:sz="4" w:space="0" w:color="auto"/>
              <w:right w:val="nil"/>
            </w:tcBorders>
            <w:shd w:val="clear" w:color="auto" w:fill="auto"/>
            <w:noWrap/>
            <w:vAlign w:val="center"/>
            <w:hideMark/>
          </w:tcPr>
          <w:p w14:paraId="2B921C18" w14:textId="004D21D4"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-19 %</w:t>
            </w:r>
          </w:p>
        </w:tc>
      </w:tr>
      <w:tr w:rsidR="00F85178" w:rsidRPr="00F85178" w14:paraId="7397A2B2"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56244B62"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496CD614"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118</w:t>
            </w:r>
          </w:p>
        </w:tc>
        <w:tc>
          <w:tcPr>
            <w:tcW w:w="1927" w:type="dxa"/>
            <w:tcBorders>
              <w:top w:val="nil"/>
              <w:left w:val="nil"/>
              <w:bottom w:val="single" w:sz="4" w:space="0" w:color="auto"/>
              <w:right w:val="nil"/>
            </w:tcBorders>
            <w:shd w:val="clear" w:color="auto" w:fill="auto"/>
            <w:noWrap/>
            <w:vAlign w:val="center"/>
            <w:hideMark/>
          </w:tcPr>
          <w:p w14:paraId="6F5D912F" w14:textId="2A176F6D"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-21 %</w:t>
            </w:r>
          </w:p>
        </w:tc>
      </w:tr>
      <w:tr w:rsidR="00F85178" w:rsidRPr="00F85178" w14:paraId="5B56C1A2"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1B4972CA"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6BC5670D"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103</w:t>
            </w:r>
          </w:p>
        </w:tc>
        <w:tc>
          <w:tcPr>
            <w:tcW w:w="1927" w:type="dxa"/>
            <w:tcBorders>
              <w:top w:val="nil"/>
              <w:left w:val="nil"/>
              <w:bottom w:val="single" w:sz="4" w:space="0" w:color="auto"/>
              <w:right w:val="nil"/>
            </w:tcBorders>
            <w:shd w:val="clear" w:color="auto" w:fill="auto"/>
            <w:noWrap/>
            <w:vAlign w:val="center"/>
            <w:hideMark/>
          </w:tcPr>
          <w:p w14:paraId="0F0F5C5B" w14:textId="601A5EEC"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3884271E" w14:textId="77777777" w:rsidTr="00DE0D38">
        <w:trPr>
          <w:trHeight w:val="315"/>
        </w:trPr>
        <w:tc>
          <w:tcPr>
            <w:tcW w:w="2780" w:type="dxa"/>
            <w:tcBorders>
              <w:top w:val="nil"/>
              <w:left w:val="nil"/>
              <w:bottom w:val="single" w:sz="4" w:space="0" w:color="auto"/>
              <w:right w:val="nil"/>
            </w:tcBorders>
            <w:shd w:val="clear" w:color="auto" w:fill="auto"/>
            <w:noWrap/>
            <w:vAlign w:val="bottom"/>
            <w:hideMark/>
          </w:tcPr>
          <w:p w14:paraId="2A4F54FF"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407C78C1"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120</w:t>
            </w:r>
          </w:p>
        </w:tc>
        <w:tc>
          <w:tcPr>
            <w:tcW w:w="1927" w:type="dxa"/>
            <w:tcBorders>
              <w:top w:val="nil"/>
              <w:left w:val="nil"/>
              <w:bottom w:val="single" w:sz="4" w:space="0" w:color="auto"/>
              <w:right w:val="nil"/>
            </w:tcBorders>
            <w:shd w:val="clear" w:color="auto" w:fill="auto"/>
            <w:noWrap/>
            <w:vAlign w:val="center"/>
            <w:hideMark/>
          </w:tcPr>
          <w:p w14:paraId="02314DD9" w14:textId="6EB8600B"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6675EB71" w14:textId="77777777" w:rsidTr="00DE0D38">
        <w:trPr>
          <w:trHeight w:val="330"/>
        </w:trPr>
        <w:tc>
          <w:tcPr>
            <w:tcW w:w="2780" w:type="dxa"/>
            <w:tcBorders>
              <w:top w:val="nil"/>
              <w:left w:val="nil"/>
              <w:bottom w:val="double" w:sz="6" w:space="0" w:color="auto"/>
              <w:right w:val="nil"/>
            </w:tcBorders>
            <w:shd w:val="clear" w:color="auto" w:fill="auto"/>
            <w:noWrap/>
            <w:vAlign w:val="bottom"/>
            <w:hideMark/>
          </w:tcPr>
          <w:p w14:paraId="40DD86F6" w14:textId="77777777" w:rsidR="00DE0D38" w:rsidRPr="00F85178" w:rsidRDefault="00DE0D38" w:rsidP="00DE0D38">
            <w:pPr>
              <w:spacing w:line="240" w:lineRule="auto"/>
              <w:jc w:val="left"/>
              <w:rPr>
                <w:rFonts w:eastAsia="Times New Roman"/>
                <w:szCs w:val="24"/>
                <w:lang w:eastAsia="cs-CZ"/>
              </w:rPr>
            </w:pPr>
            <w:r w:rsidRPr="00F85178">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0D8F6CC7" w14:textId="77777777" w:rsidR="00DE0D38" w:rsidRPr="00F85178" w:rsidRDefault="00DE0D38" w:rsidP="00DE0D38">
            <w:pPr>
              <w:spacing w:line="240" w:lineRule="auto"/>
              <w:jc w:val="center"/>
              <w:rPr>
                <w:rFonts w:eastAsia="Times New Roman"/>
                <w:szCs w:val="24"/>
                <w:lang w:eastAsia="cs-CZ"/>
              </w:rPr>
            </w:pPr>
            <w:r w:rsidRPr="00F85178">
              <w:rPr>
                <w:rFonts w:eastAsia="Times New Roman"/>
                <w:szCs w:val="24"/>
                <w:lang w:eastAsia="cs-CZ"/>
              </w:rPr>
              <w:t>101</w:t>
            </w:r>
          </w:p>
        </w:tc>
        <w:tc>
          <w:tcPr>
            <w:tcW w:w="1927" w:type="dxa"/>
            <w:tcBorders>
              <w:top w:val="nil"/>
              <w:left w:val="nil"/>
              <w:bottom w:val="double" w:sz="6" w:space="0" w:color="auto"/>
              <w:right w:val="nil"/>
            </w:tcBorders>
            <w:shd w:val="clear" w:color="auto" w:fill="auto"/>
            <w:noWrap/>
            <w:vAlign w:val="center"/>
            <w:hideMark/>
          </w:tcPr>
          <w:p w14:paraId="524CC6DD" w14:textId="32497DCF" w:rsidR="00DE0D38" w:rsidRPr="00F85178" w:rsidRDefault="00DE0D38" w:rsidP="00DE0D38">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DE0D38" w:rsidRPr="00F85178" w14:paraId="60C7CA05" w14:textId="77777777" w:rsidTr="00DE0D38">
        <w:trPr>
          <w:trHeight w:val="345"/>
        </w:trPr>
        <w:tc>
          <w:tcPr>
            <w:tcW w:w="2780" w:type="dxa"/>
            <w:tcBorders>
              <w:top w:val="nil"/>
              <w:left w:val="nil"/>
              <w:bottom w:val="double" w:sz="6" w:space="0" w:color="auto"/>
              <w:right w:val="nil"/>
            </w:tcBorders>
            <w:shd w:val="clear" w:color="auto" w:fill="auto"/>
            <w:noWrap/>
            <w:vAlign w:val="bottom"/>
            <w:hideMark/>
          </w:tcPr>
          <w:p w14:paraId="54D6421D" w14:textId="77777777" w:rsidR="00DE0D38" w:rsidRPr="00F85178" w:rsidRDefault="00DE0D38" w:rsidP="00DE0D38">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3AB33A3D" w14:textId="77777777" w:rsidR="00DE0D38" w:rsidRPr="00F85178" w:rsidRDefault="00DE0D38" w:rsidP="00DE0D38">
            <w:pPr>
              <w:spacing w:line="240" w:lineRule="auto"/>
              <w:jc w:val="center"/>
              <w:rPr>
                <w:rFonts w:eastAsia="Times New Roman"/>
                <w:b/>
                <w:bCs/>
                <w:szCs w:val="24"/>
                <w:lang w:eastAsia="cs-CZ"/>
              </w:rPr>
            </w:pPr>
            <w:r w:rsidRPr="00F85178">
              <w:rPr>
                <w:rFonts w:eastAsia="Times New Roman"/>
                <w:b/>
                <w:bCs/>
                <w:szCs w:val="24"/>
                <w:lang w:eastAsia="cs-CZ"/>
              </w:rPr>
              <w:t>104</w:t>
            </w:r>
          </w:p>
        </w:tc>
        <w:tc>
          <w:tcPr>
            <w:tcW w:w="1927" w:type="dxa"/>
            <w:tcBorders>
              <w:top w:val="nil"/>
              <w:left w:val="nil"/>
              <w:bottom w:val="double" w:sz="6" w:space="0" w:color="auto"/>
              <w:right w:val="nil"/>
            </w:tcBorders>
            <w:shd w:val="clear" w:color="auto" w:fill="auto"/>
            <w:noWrap/>
            <w:vAlign w:val="center"/>
            <w:hideMark/>
          </w:tcPr>
          <w:p w14:paraId="08CDF8A0" w14:textId="486C32C2" w:rsidR="00DE0D38" w:rsidRPr="00F85178" w:rsidRDefault="00DE0D38" w:rsidP="00DE0D38">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r>
    </w:tbl>
    <w:p w14:paraId="6B9E0EFC" w14:textId="77777777" w:rsidR="00477533" w:rsidRPr="00F85178" w:rsidRDefault="00477533" w:rsidP="00043648">
      <w:pPr>
        <w:pStyle w:val="OdstavecASR"/>
      </w:pPr>
    </w:p>
    <w:p w14:paraId="29B1CC57" w14:textId="77777777" w:rsidR="00D63C34" w:rsidRPr="00F85178" w:rsidRDefault="00BF377A" w:rsidP="00477533">
      <w:pPr>
        <w:pStyle w:val="Podtitul"/>
        <w:rPr>
          <w:color w:val="auto"/>
        </w:rPr>
      </w:pPr>
      <w:bookmarkStart w:id="290" w:name="_Toc515871370"/>
      <w:bookmarkStart w:id="291" w:name="_Toc11135102"/>
      <w:bookmarkStart w:id="292" w:name="_Toc13837534"/>
      <w:r w:rsidRPr="00F85178">
        <w:rPr>
          <w:color w:val="auto"/>
        </w:rPr>
        <w:t>G</w:t>
      </w:r>
      <w:r w:rsidR="00D63C34" w:rsidRPr="00F85178">
        <w:rPr>
          <w:color w:val="auto"/>
        </w:rPr>
        <w:t xml:space="preserve">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41</w:t>
      </w:r>
      <w:r w:rsidR="00D842DE" w:rsidRPr="00F85178">
        <w:rPr>
          <w:noProof/>
          <w:color w:val="auto"/>
        </w:rPr>
        <w:fldChar w:fldCharType="end"/>
      </w:r>
      <w:r w:rsidR="00D63C34" w:rsidRPr="00F85178">
        <w:rPr>
          <w:color w:val="auto"/>
        </w:rPr>
        <w:t>: OS – disposition time v opatrovnické agendě u jednotlivých soudů</w:t>
      </w:r>
      <w:bookmarkEnd w:id="290"/>
      <w:bookmarkEnd w:id="291"/>
      <w:bookmarkEnd w:id="292"/>
    </w:p>
    <w:p w14:paraId="24F8E393" w14:textId="77777777" w:rsidR="00D63C34" w:rsidRPr="00F85178" w:rsidRDefault="00890295">
      <w:pPr>
        <w:spacing w:line="240" w:lineRule="auto"/>
        <w:jc w:val="left"/>
      </w:pPr>
      <w:r>
        <w:rPr>
          <w:noProof/>
          <w:lang w:eastAsia="cs-CZ"/>
        </w:rPr>
        <w:drawing>
          <wp:anchor distT="0" distB="0" distL="114300" distR="114300" simplePos="0" relativeHeight="251662848" behindDoc="0" locked="0" layoutInCell="1" allowOverlap="1" wp14:anchorId="42818F24" wp14:editId="6DFDCABA">
            <wp:simplePos x="0" y="0"/>
            <wp:positionH relativeFrom="margin">
              <wp:posOffset>4524541</wp:posOffset>
            </wp:positionH>
            <wp:positionV relativeFrom="paragraph">
              <wp:posOffset>45085</wp:posOffset>
            </wp:positionV>
            <wp:extent cx="1184275" cy="866775"/>
            <wp:effectExtent l="0" t="0" r="0" b="9525"/>
            <wp:wrapNone/>
            <wp:docPr id="108" name="Obrázek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1"/>
                    <pic:cNvPicPr>
                      <a:picLocks noChangeAspect="1" noChangeArrowheads="1"/>
                    </pic:cNvPicPr>
                  </pic:nvPicPr>
                  <pic:blipFill>
                    <a:blip r:embed="rId67" cstate="print">
                      <a:extLst>
                        <a:ext uri="{28A0092B-C50C-407E-A947-70E740481C1C}">
                          <a14:useLocalDpi xmlns:a14="http://schemas.microsoft.com/office/drawing/2010/main" val="0"/>
                        </a:ext>
                      </a:extLst>
                    </a:blip>
                    <a:srcRect/>
                    <a:stretch>
                      <a:fillRect/>
                    </a:stretch>
                  </pic:blipFill>
                  <pic:spPr bwMode="auto">
                    <a:xfrm>
                      <a:off x="0" y="0"/>
                      <a:ext cx="1184275" cy="866775"/>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eastAsia="cs-CZ"/>
        </w:rPr>
        <w:drawing>
          <wp:inline distT="0" distB="0" distL="0" distR="0" wp14:anchorId="35EEEEEE" wp14:editId="2A50FD73">
            <wp:extent cx="5759450" cy="3329940"/>
            <wp:effectExtent l="0" t="0" r="0" b="0"/>
            <wp:docPr id="43" name="Obrázek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0"/>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5759450" cy="3329940"/>
                    </a:xfrm>
                    <a:prstGeom prst="rect">
                      <a:avLst/>
                    </a:prstGeom>
                    <a:noFill/>
                    <a:ln>
                      <a:noFill/>
                    </a:ln>
                  </pic:spPr>
                </pic:pic>
              </a:graphicData>
            </a:graphic>
          </wp:inline>
        </w:drawing>
      </w:r>
    </w:p>
    <w:p w14:paraId="7B3F3A31" w14:textId="121F59AE" w:rsidR="00C14F20" w:rsidRPr="00F85178" w:rsidRDefault="00D9663A" w:rsidP="00D9663A">
      <w:pPr>
        <w:pStyle w:val="OdstavecASR"/>
      </w:pPr>
      <w:r w:rsidRPr="00F85178">
        <w:t xml:space="preserve">Rozložení disposition time u jednotlivých okresních soudů </w:t>
      </w:r>
      <w:r w:rsidR="00892D63" w:rsidRPr="00F85178">
        <w:t>odráží data v tabulce 28 s tím, že celá mapa „zesvětlala“ (kromě tří pražských OS), takže z mapy zmizela tmavá barva označující OS s nejvyššími hodnotami DT v roce 2018. Stále platí, že mapa</w:t>
      </w:r>
      <w:r w:rsidR="005F6C60" w:rsidRPr="00F85178">
        <w:t xml:space="preserve"> DT v opatrovnické agendě</w:t>
      </w:r>
      <w:r w:rsidR="00892D63" w:rsidRPr="00F85178">
        <w:t xml:space="preserve"> </w:t>
      </w:r>
      <w:r w:rsidRPr="00F85178">
        <w:t>do určité míry kopíruje rozložení</w:t>
      </w:r>
      <w:r w:rsidR="005F6C60" w:rsidRPr="00F85178">
        <w:t xml:space="preserve"> DT</w:t>
      </w:r>
      <w:r w:rsidRPr="00F85178">
        <w:t xml:space="preserve"> u civilní agendy, tj. nejvyšší hodnoty se soustřeďují do příhraničních oblastí na severu Čech a jihu Moravy. Je však mezi nimi velký rozdíl v trendu. Okresní soudy v působnosti KS Ústí nad Labem </w:t>
      </w:r>
      <w:r w:rsidR="002D07DE" w:rsidRPr="00F85178">
        <w:t>již ne</w:t>
      </w:r>
      <w:r w:rsidRPr="00F85178">
        <w:t>vykazují nejvyšší disposition time</w:t>
      </w:r>
      <w:r w:rsidR="002D07DE" w:rsidRPr="00F85178">
        <w:t xml:space="preserve"> tak jako v předchozích letech, ale „předbě</w:t>
      </w:r>
      <w:r w:rsidR="004E79AE" w:rsidRPr="00F85178">
        <w:t>h</w:t>
      </w:r>
      <w:r w:rsidR="002D07DE" w:rsidRPr="00F85178">
        <w:t>ly“ je OS spadající pod MS Praha, u kterých DT roste již několik let</w:t>
      </w:r>
      <w:r w:rsidR="00C14F20" w:rsidRPr="00F85178">
        <w:t xml:space="preserve"> (+5</w:t>
      </w:r>
      <w:r w:rsidR="007958E1" w:rsidRPr="00F85178">
        <w:t xml:space="preserve"> </w:t>
      </w:r>
      <w:r w:rsidR="00C14F20" w:rsidRPr="00F85178">
        <w:t>% v roce 201</w:t>
      </w:r>
      <w:r w:rsidR="00AC34C0">
        <w:t>7</w:t>
      </w:r>
      <w:r w:rsidR="00C14F20" w:rsidRPr="00F85178">
        <w:t xml:space="preserve"> a +13</w:t>
      </w:r>
      <w:r w:rsidR="007958E1" w:rsidRPr="00F85178">
        <w:t xml:space="preserve"> </w:t>
      </w:r>
      <w:r w:rsidR="00C14F20" w:rsidRPr="00F85178">
        <w:t>% v roce 2018)</w:t>
      </w:r>
      <w:r w:rsidR="002D07DE" w:rsidRPr="00F85178">
        <w:t xml:space="preserve">. </w:t>
      </w:r>
      <w:r w:rsidR="00C14F20" w:rsidRPr="00F85178">
        <w:t>Rostoucí trendy lze pozorovat i u OS spadající pod KS Praha (+14</w:t>
      </w:r>
      <w:r w:rsidR="007A0307" w:rsidRPr="00F85178">
        <w:t xml:space="preserve"> </w:t>
      </w:r>
      <w:r w:rsidR="00C14F20" w:rsidRPr="00F85178">
        <w:t>% v roce 201</w:t>
      </w:r>
      <w:r w:rsidR="00AC34C0">
        <w:t>7</w:t>
      </w:r>
      <w:r w:rsidR="00C14F20" w:rsidRPr="00F85178">
        <w:t xml:space="preserve"> a +23</w:t>
      </w:r>
      <w:r w:rsidR="007A0307" w:rsidRPr="00F85178">
        <w:t xml:space="preserve"> </w:t>
      </w:r>
      <w:r w:rsidR="00C14F20" w:rsidRPr="00F85178">
        <w:t>% v roce 2018). Naopak soustavné zkracování DT je patrné u OS spadajících pod KS Ostrava (-11% v roce 201</w:t>
      </w:r>
      <w:r w:rsidR="00AC34C0">
        <w:t>7</w:t>
      </w:r>
      <w:r w:rsidR="00C14F20" w:rsidRPr="00F85178">
        <w:t xml:space="preserve"> a </w:t>
      </w:r>
      <w:r w:rsidR="007958E1" w:rsidRPr="00F85178">
        <w:t>-</w:t>
      </w:r>
      <w:r w:rsidR="00C14F20" w:rsidRPr="00F85178">
        <w:t>8</w:t>
      </w:r>
      <w:r w:rsidR="007958E1" w:rsidRPr="00F85178">
        <w:t xml:space="preserve"> </w:t>
      </w:r>
      <w:r w:rsidR="00C14F20" w:rsidRPr="00F85178">
        <w:t>% v roce 2018). Za budoucí pozornost v dalších letech stojí vývoj u OS pod KS Plzeň (+29</w:t>
      </w:r>
      <w:r w:rsidR="007958E1" w:rsidRPr="00F85178">
        <w:t xml:space="preserve"> </w:t>
      </w:r>
      <w:r w:rsidR="00C14F20" w:rsidRPr="00F85178">
        <w:t>% v roce 201</w:t>
      </w:r>
      <w:r w:rsidR="00AC34C0">
        <w:t>7</w:t>
      </w:r>
      <w:r w:rsidR="00C14F20" w:rsidRPr="00F85178">
        <w:t xml:space="preserve"> a </w:t>
      </w:r>
      <w:r w:rsidR="007958E1" w:rsidRPr="00F85178">
        <w:t>-</w:t>
      </w:r>
      <w:r w:rsidR="00C14F20" w:rsidRPr="00F85178">
        <w:t>19</w:t>
      </w:r>
      <w:r w:rsidR="007958E1" w:rsidRPr="00F85178">
        <w:t xml:space="preserve"> </w:t>
      </w:r>
      <w:r w:rsidR="00C14F20" w:rsidRPr="00F85178">
        <w:t>% v roce 2018)</w:t>
      </w:r>
      <w:r w:rsidR="004E79AE" w:rsidRPr="00F85178">
        <w:t>.</w:t>
      </w:r>
    </w:p>
    <w:p w14:paraId="43A8680E" w14:textId="77777777" w:rsidR="00D9663A" w:rsidRPr="00F85178" w:rsidRDefault="00D9663A" w:rsidP="00D9663A">
      <w:pPr>
        <w:pStyle w:val="OdstavecASR"/>
      </w:pPr>
      <w:r w:rsidRPr="00F85178">
        <w:t>Jak jsme řekli již dříve, ukazatel disposition time slouží zejména k porovnání mezi jednotlivými soudy a nesmí se zaměňovat s délkou řízení.</w:t>
      </w:r>
    </w:p>
    <w:p w14:paraId="2EACBD79" w14:textId="77777777" w:rsidR="00D63C34" w:rsidRPr="00F85178" w:rsidRDefault="00D63C34" w:rsidP="00D63C34">
      <w:pPr>
        <w:pStyle w:val="Podtitul"/>
        <w:rPr>
          <w:rStyle w:val="PodtitulChar"/>
          <w:color w:val="auto"/>
        </w:rPr>
      </w:pPr>
      <w:r w:rsidRPr="00F85178">
        <w:rPr>
          <w:color w:val="auto"/>
        </w:rPr>
        <w:t>Graf 46: OS – krabicové grafy, DT opatrovnické agendy</w:t>
      </w:r>
    </w:p>
    <w:p w14:paraId="33EDA360" w14:textId="77777777" w:rsidR="00D9663A" w:rsidRPr="00F85178" w:rsidRDefault="00890295">
      <w:pPr>
        <w:spacing w:line="240" w:lineRule="auto"/>
        <w:jc w:val="left"/>
      </w:pPr>
      <w:r>
        <w:rPr>
          <w:noProof/>
          <w:lang w:eastAsia="cs-CZ"/>
        </w:rPr>
        <w:drawing>
          <wp:inline distT="0" distB="0" distL="0" distR="0" wp14:anchorId="0017E838" wp14:editId="30344BBD">
            <wp:extent cx="5118100" cy="3746500"/>
            <wp:effectExtent l="0" t="0" r="0" b="0"/>
            <wp:docPr id="44" name="Obrázek 2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89"/>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EA15A3D" w14:textId="77777777" w:rsidR="00D9663A" w:rsidRPr="00F85178" w:rsidRDefault="00D9663A" w:rsidP="00D9663A">
      <w:pPr>
        <w:pStyle w:val="OdstavecASR"/>
      </w:pPr>
      <w:r w:rsidRPr="00F85178">
        <w:t>Data v této kapitole můžeme shrnout tak, že před rokem 2014 byla situace v opatrovnické agendě velmi podobná situaci v agendě občanskoprávní, a pokud jde o rozdíly mezi soudy, problémy měly především okresní soudy spadající pod KS Brno a KS Ústí nad Labem. V letech 2014 a 2015 došlo k velkému nárůstu v počtu napadlých věcí. To negativně ovlivnilo rychlost vyřizování agendy v celé ČR. Na některé soudy byl dopad horší než na jiné. V letech 2015 a 2016 se soudům pozvolna dařilo vyrovnat se s nárůstem vyřizované agendy a tento trend pokračoval i v </w:t>
      </w:r>
      <w:r w:rsidR="005F6C60" w:rsidRPr="00F85178">
        <w:t xml:space="preserve">letech </w:t>
      </w:r>
      <w:r w:rsidRPr="00F85178">
        <w:t>2017</w:t>
      </w:r>
      <w:r w:rsidR="005F6C60" w:rsidRPr="00F85178">
        <w:t xml:space="preserve"> a 2018</w:t>
      </w:r>
      <w:r w:rsidRPr="00F85178">
        <w:t>, kdy se rozdíly mezi jednotlivými okresními soudy dále zmenšovaly</w:t>
      </w:r>
      <w:r w:rsidR="005F6C60" w:rsidRPr="00F85178">
        <w:t xml:space="preserve"> (šedé boxy jsou kompaktnější, „vousy“ kratší a odlehlé OS / body jsou blíže k hornímu „vousu“</w:t>
      </w:r>
      <w:r w:rsidR="002D07DE" w:rsidRPr="00F85178">
        <w:t xml:space="preserve">, tedy přibližují se </w:t>
      </w:r>
      <w:r w:rsidR="000E6B42" w:rsidRPr="00F85178">
        <w:t xml:space="preserve">k </w:t>
      </w:r>
      <w:r w:rsidR="002D07DE" w:rsidRPr="00F85178">
        <w:t xml:space="preserve">ostatním </w:t>
      </w:r>
      <w:r w:rsidR="000E6B42" w:rsidRPr="00F85178">
        <w:t>okresním soudům</w:t>
      </w:r>
      <w:r w:rsidR="005F6C60" w:rsidRPr="00F85178">
        <w:t>)</w:t>
      </w:r>
      <w:r w:rsidR="00F81965" w:rsidRPr="00F85178">
        <w:t>.</w:t>
      </w:r>
    </w:p>
    <w:p w14:paraId="4F0FB11F" w14:textId="77777777" w:rsidR="00D9663A" w:rsidRPr="00F85178" w:rsidRDefault="00D9663A">
      <w:pPr>
        <w:spacing w:line="240" w:lineRule="auto"/>
        <w:jc w:val="left"/>
      </w:pPr>
    </w:p>
    <w:p w14:paraId="280ADFBC" w14:textId="77777777" w:rsidR="00DE0D38" w:rsidRPr="00F85178" w:rsidRDefault="00DE0D38">
      <w:pPr>
        <w:spacing w:line="240" w:lineRule="auto"/>
        <w:jc w:val="left"/>
      </w:pPr>
      <w:r w:rsidRPr="00F85178">
        <w:br w:type="page"/>
      </w:r>
    </w:p>
    <w:p w14:paraId="4435F13C" w14:textId="77777777" w:rsidR="00BF377A" w:rsidRPr="00F85178" w:rsidRDefault="00BF377A" w:rsidP="00BF377A">
      <w:pPr>
        <w:pStyle w:val="Nadpis3"/>
        <w:rPr>
          <w:color w:val="auto"/>
        </w:rPr>
      </w:pPr>
      <w:bookmarkStart w:id="293" w:name="_Toc515871240"/>
      <w:bookmarkStart w:id="294" w:name="_Toc14076892"/>
      <w:r w:rsidRPr="00F85178">
        <w:rPr>
          <w:color w:val="auto"/>
        </w:rPr>
        <w:t>Další statistiky</w:t>
      </w:r>
      <w:bookmarkEnd w:id="293"/>
      <w:bookmarkEnd w:id="294"/>
    </w:p>
    <w:p w14:paraId="64745EA4" w14:textId="77777777" w:rsidR="00D9663A" w:rsidRPr="00F85178" w:rsidRDefault="00D9663A" w:rsidP="00D9663A">
      <w:pPr>
        <w:pStyle w:val="OdstavecASR"/>
      </w:pPr>
      <w:r w:rsidRPr="00F85178">
        <w:t>Jednou z největších a nejvýznamnějších agend, které jsou na opatrovnickém úseku soudů vyřizovány, je rozhodování o výživném (nyní § 910 a násl. OZ), tedy rozhodování o tom, který z rodičů a kolik má platit na výživu svého nezletilého potomka (případně zletilého dítěte, bylo-li řízení zahájeno před nabytím jeho zletilosti). Zde uvedené statistiky se týkají prvního rozhodnutí o vyživovací povinnosti a údaje (v Kč event. v %) se vztahují k jednomu dítěti.</w:t>
      </w:r>
    </w:p>
    <w:p w14:paraId="5F5F9D3B" w14:textId="77777777" w:rsidR="00D9663A" w:rsidRPr="00F85178" w:rsidRDefault="00D9663A" w:rsidP="00D9663A">
      <w:pPr>
        <w:pStyle w:val="OdstavecASR"/>
      </w:pPr>
      <w:r w:rsidRPr="00F85178">
        <w:t xml:space="preserve">Musíme uvést, že </w:t>
      </w:r>
      <w:r w:rsidR="00F85178" w:rsidRPr="00F85178">
        <w:t xml:space="preserve">v roce 2017 došlo </w:t>
      </w:r>
      <w:r w:rsidRPr="00F85178">
        <w:t>oproti statistické zprávě za rok 2016 ke změně metodiky. Data byla především očištěna o extrémní hodnoty. Hodnoty výše výživného a podílu na příjmu tak vychází mírně jinak než v loňské verzi zprávy.</w:t>
      </w:r>
      <w:r w:rsidR="00F85178" w:rsidRPr="00F85178">
        <w:t xml:space="preserve"> V roce 2018 byla pozměněná metodika zachována.</w:t>
      </w:r>
    </w:p>
    <w:p w14:paraId="721FD099" w14:textId="77777777" w:rsidR="00721733" w:rsidRPr="00F85178" w:rsidRDefault="005C4008" w:rsidP="005C4008">
      <w:pPr>
        <w:pStyle w:val="Podtitul"/>
        <w:rPr>
          <w:color w:val="auto"/>
        </w:rPr>
      </w:pPr>
      <w:bookmarkStart w:id="295" w:name="_Ref510766269"/>
      <w:bookmarkStart w:id="296" w:name="_Toc515871372"/>
      <w:bookmarkStart w:id="297" w:name="_Toc11135103"/>
      <w:bookmarkStart w:id="298" w:name="_Toc1383753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42</w:t>
      </w:r>
      <w:r w:rsidRPr="00F85178">
        <w:rPr>
          <w:noProof/>
          <w:color w:val="auto"/>
        </w:rPr>
        <w:fldChar w:fldCharType="end"/>
      </w:r>
      <w:bookmarkEnd w:id="295"/>
      <w:r w:rsidRPr="00F85178">
        <w:rPr>
          <w:color w:val="auto"/>
        </w:rPr>
        <w:t>: OS – průměrná výše výživného dle povinné osoby v letech 2012–201</w:t>
      </w:r>
      <w:bookmarkEnd w:id="296"/>
      <w:r w:rsidRPr="00F85178">
        <w:rPr>
          <w:color w:val="auto"/>
        </w:rPr>
        <w:t>8</w:t>
      </w:r>
      <w:bookmarkEnd w:id="297"/>
      <w:bookmarkEnd w:id="298"/>
    </w:p>
    <w:p w14:paraId="49927A90" w14:textId="77777777" w:rsidR="005C4008" w:rsidRPr="00F85178" w:rsidRDefault="00890295" w:rsidP="00721733">
      <w:pPr>
        <w:pStyle w:val="OdstavecASR"/>
      </w:pPr>
      <w:r>
        <w:rPr>
          <w:noProof/>
          <w:lang w:eastAsia="cs-CZ"/>
        </w:rPr>
        <w:drawing>
          <wp:inline distT="0" distB="0" distL="0" distR="0" wp14:anchorId="614A6F9F" wp14:editId="7FA905B1">
            <wp:extent cx="5118100" cy="3746500"/>
            <wp:effectExtent l="0" t="0" r="0" b="0"/>
            <wp:docPr id="45" name="Obrázek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2"/>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374BF41" w14:textId="77777777" w:rsidR="00D9663A" w:rsidRPr="00F85178" w:rsidRDefault="00D9663A" w:rsidP="00D9663A">
      <w:pPr>
        <w:pStyle w:val="OdstavecASR"/>
      </w:pPr>
      <w:r w:rsidRPr="00F85178">
        <w:t xml:space="preserve">V grafu </w:t>
      </w:r>
      <w:r w:rsidR="007958E1" w:rsidRPr="00F85178">
        <w:t xml:space="preserve">42 </w:t>
      </w:r>
      <w:r w:rsidRPr="00F85178">
        <w:t xml:space="preserve">vidíme, že průměrné výživné stanovené otci je </w:t>
      </w:r>
      <w:r w:rsidR="00416269" w:rsidRPr="00F85178">
        <w:t xml:space="preserve">již více než </w:t>
      </w:r>
      <w:r w:rsidRPr="00F85178">
        <w:t>dvakrát vyšší než průměrné výživné stanované matce</w:t>
      </w:r>
      <w:r w:rsidR="00416269" w:rsidRPr="00F85178">
        <w:t xml:space="preserve"> a je potřebné dále tento vývoj sledovat</w:t>
      </w:r>
      <w:r w:rsidR="00F81965" w:rsidRPr="00F85178">
        <w:t>.</w:t>
      </w:r>
      <w:r w:rsidRPr="00F85178">
        <w:t xml:space="preserve"> Rozdíl je způsoben několika faktory:</w:t>
      </w:r>
    </w:p>
    <w:p w14:paraId="00D9EB65" w14:textId="142F91BB" w:rsidR="00D9663A" w:rsidRPr="00F85178" w:rsidRDefault="00D9663A" w:rsidP="00D9663A">
      <w:pPr>
        <w:pStyle w:val="Odstavecseseznamem"/>
        <w:numPr>
          <w:ilvl w:val="0"/>
          <w:numId w:val="16"/>
        </w:numPr>
      </w:pPr>
      <w:r w:rsidRPr="00F85178">
        <w:t>Při určování výživného soud přihlíží k majetkovým poměrům povinného. Průměrná mzda žen v ČR je menší než průměrná mzda mužů a logicky je tedy mužům stanovena povinnost platit vyšší výživné. To ovšem vysvětluje pouze část rozdílu, protože mzda mužů není ani zdaleka dvakrát vyšší než mzda žen</w:t>
      </w:r>
      <w:r w:rsidR="002622FD" w:rsidRPr="00F85178">
        <w:t xml:space="preserve"> a při růstu </w:t>
      </w:r>
      <w:r w:rsidR="00E821ED" w:rsidRPr="00F85178">
        <w:t xml:space="preserve">hrubých </w:t>
      </w:r>
      <w:r w:rsidR="002622FD" w:rsidRPr="00F85178">
        <w:t xml:space="preserve">mezd žen </w:t>
      </w:r>
      <w:r w:rsidR="00960EC7" w:rsidRPr="00F85178">
        <w:t>(</w:t>
      </w:r>
      <w:r w:rsidR="007A0307" w:rsidRPr="00F85178">
        <w:t>+</w:t>
      </w:r>
      <w:r w:rsidR="00960EC7" w:rsidRPr="00F85178">
        <w:t>5,0</w:t>
      </w:r>
      <w:r w:rsidR="007958E1" w:rsidRPr="00F85178">
        <w:t xml:space="preserve"> </w:t>
      </w:r>
      <w:r w:rsidR="00960EC7" w:rsidRPr="00F85178">
        <w:t>% v roce 2016, +7,5</w:t>
      </w:r>
      <w:r w:rsidR="007958E1" w:rsidRPr="00F85178">
        <w:t xml:space="preserve"> </w:t>
      </w:r>
      <w:r w:rsidR="00960EC7" w:rsidRPr="00F85178">
        <w:t xml:space="preserve">% v roce 2017) </w:t>
      </w:r>
      <w:r w:rsidR="002622FD" w:rsidRPr="00F85178">
        <w:t>dochází ke</w:t>
      </w:r>
      <w:r w:rsidR="00BB29EB" w:rsidRPr="00F85178">
        <w:t xml:space="preserve"> </w:t>
      </w:r>
      <w:r w:rsidR="002622FD" w:rsidRPr="00F85178">
        <w:t>snižování</w:t>
      </w:r>
      <w:r w:rsidR="00BB29EB" w:rsidRPr="00F85178">
        <w:t xml:space="preserve"> podílu</w:t>
      </w:r>
      <w:r w:rsidR="002622FD" w:rsidRPr="00F85178">
        <w:t xml:space="preserve"> </w:t>
      </w:r>
      <w:r w:rsidR="00960EC7" w:rsidRPr="00F85178">
        <w:t>jim určeného výživného</w:t>
      </w:r>
      <w:r w:rsidR="00BB29EB" w:rsidRPr="00F85178">
        <w:t xml:space="preserve"> na jejich příjmu</w:t>
      </w:r>
      <w:r w:rsidRPr="00F85178">
        <w:t xml:space="preserve">. Například </w:t>
      </w:r>
      <w:r w:rsidR="002622FD" w:rsidRPr="00F85178">
        <w:t>v roce 2017 byla podle Českého statistického úřadu průměrná hrubá měsíční mzda žen 27 187 Kč, u mužů 34 293 Kč</w:t>
      </w:r>
      <w:r w:rsidR="00960EC7" w:rsidRPr="00F85178">
        <w:t xml:space="preserve"> (</w:t>
      </w:r>
      <w:r w:rsidRPr="00F85178">
        <w:t xml:space="preserve">v roce 2016 </w:t>
      </w:r>
      <w:r w:rsidR="00960EC7" w:rsidRPr="00F85178">
        <w:t xml:space="preserve">to bylo u </w:t>
      </w:r>
      <w:r w:rsidRPr="00F85178">
        <w:t>žen 25 283 Kč, u mužů pak 32 134 Kč</w:t>
      </w:r>
      <w:r w:rsidR="00960EC7" w:rsidRPr="00F85178">
        <w:t>; data ČSÚ za rok 2018 nejsou v době vydání Výroční statistické zprávy ještě k</w:t>
      </w:r>
      <w:r w:rsidR="00444BFB">
        <w:t> </w:t>
      </w:r>
      <w:r w:rsidR="00960EC7" w:rsidRPr="00F85178">
        <w:t>dispozici)</w:t>
      </w:r>
      <w:r w:rsidRPr="00F85178">
        <w:t>.</w:t>
      </w:r>
      <w:r w:rsidR="00E821ED" w:rsidRPr="00F85178">
        <w:t xml:space="preserve"> Hrubé mzdy vykazované ČSÚ navíc nezahrnují přídavky na děti a jiné eventuální přiznané dávky.</w:t>
      </w:r>
    </w:p>
    <w:p w14:paraId="43283FCF" w14:textId="5F3BA38C" w:rsidR="00D9663A" w:rsidRPr="00F85178" w:rsidRDefault="00D9663A" w:rsidP="00D9663A">
      <w:pPr>
        <w:pStyle w:val="Odstavecseseznamem"/>
        <w:numPr>
          <w:ilvl w:val="0"/>
          <w:numId w:val="16"/>
        </w:numPr>
        <w:rPr>
          <w:b/>
          <w:spacing w:val="15"/>
        </w:rPr>
      </w:pPr>
      <w:r w:rsidRPr="00F85178">
        <w:t>V dalším grafu (</w:t>
      </w:r>
      <w:r w:rsidRPr="00F85178">
        <w:fldChar w:fldCharType="begin"/>
      </w:r>
      <w:r w:rsidRPr="00F85178">
        <w:instrText xml:space="preserve"> REF  _Ref510766313 \* Lower \h </w:instrText>
      </w:r>
      <w:r w:rsidRPr="00F85178">
        <w:fldChar w:fldCharType="separate"/>
      </w:r>
      <w:r w:rsidR="00306940" w:rsidRPr="00F85178">
        <w:t xml:space="preserve">graf </w:t>
      </w:r>
      <w:r w:rsidR="00306940">
        <w:rPr>
          <w:noProof/>
        </w:rPr>
        <w:t>43</w:t>
      </w:r>
      <w:r w:rsidRPr="00F85178">
        <w:fldChar w:fldCharType="end"/>
      </w:r>
      <w:r w:rsidRPr="00F85178">
        <w:t>) vidíme, že u matek je podíl výživného na čistém měsíčním příjmu nižší než u otců. To souvisí právě s výší příjmů. Snížení disponibilního příjmu má větší dopad na lidi s nižšími mzdami.</w:t>
      </w:r>
    </w:p>
    <w:p w14:paraId="7A24B1ED" w14:textId="77777777" w:rsidR="00D9663A" w:rsidRPr="00F85178" w:rsidRDefault="00D9663A" w:rsidP="00D9663A">
      <w:pPr>
        <w:pStyle w:val="Odstavecseseznamem"/>
        <w:numPr>
          <w:ilvl w:val="0"/>
          <w:numId w:val="16"/>
        </w:numPr>
        <w:rPr>
          <w:b/>
          <w:spacing w:val="15"/>
        </w:rPr>
      </w:pPr>
      <w:r w:rsidRPr="00F85178">
        <w:t>Rozdíl mezi příjmy otce a matky, kteří vedou spor o výživné, je větší než rozdíl mezi příjmy mužů a žen v celé populaci ČR. To je zřejmě dáno tím, že matky se musí starat o dítě v nižším věku, což se negativně projevuje v jejich příjmech.</w:t>
      </w:r>
    </w:p>
    <w:p w14:paraId="6CCAD292" w14:textId="77777777" w:rsidR="009C7E46" w:rsidRPr="00F85178" w:rsidRDefault="009C7E46" w:rsidP="009C7E46">
      <w:pPr>
        <w:pStyle w:val="Podtitul"/>
        <w:rPr>
          <w:color w:val="auto"/>
        </w:rPr>
      </w:pPr>
      <w:bookmarkStart w:id="299" w:name="_Ref510766313"/>
      <w:bookmarkStart w:id="300" w:name="_Toc515871373"/>
      <w:bookmarkStart w:id="301" w:name="_Toc11135104"/>
      <w:bookmarkStart w:id="302" w:name="_Toc1383753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43</w:t>
      </w:r>
      <w:r w:rsidRPr="00F85178">
        <w:rPr>
          <w:noProof/>
          <w:color w:val="auto"/>
        </w:rPr>
        <w:fldChar w:fldCharType="end"/>
      </w:r>
      <w:bookmarkEnd w:id="299"/>
      <w:r w:rsidRPr="00F85178">
        <w:rPr>
          <w:color w:val="auto"/>
        </w:rPr>
        <w:t>: OS – podíl na příjmu povinné osoby v letech 2012–201</w:t>
      </w:r>
      <w:bookmarkEnd w:id="300"/>
      <w:r w:rsidRPr="00F85178">
        <w:rPr>
          <w:color w:val="auto"/>
        </w:rPr>
        <w:t>8</w:t>
      </w:r>
      <w:bookmarkEnd w:id="301"/>
      <w:bookmarkEnd w:id="302"/>
    </w:p>
    <w:p w14:paraId="3BFD2672" w14:textId="77777777" w:rsidR="00750BFD" w:rsidRPr="00F85178" w:rsidRDefault="00890295" w:rsidP="00770E8A">
      <w:r>
        <w:rPr>
          <w:noProof/>
          <w:lang w:eastAsia="cs-CZ"/>
        </w:rPr>
        <w:drawing>
          <wp:inline distT="0" distB="0" distL="0" distR="0" wp14:anchorId="124C5CD3" wp14:editId="1691D881">
            <wp:extent cx="5118100" cy="3746500"/>
            <wp:effectExtent l="0" t="0" r="0" b="0"/>
            <wp:docPr id="46" name="Obrázek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9B8C38B" w14:textId="77777777" w:rsidR="00D9663A" w:rsidRPr="00F85178" w:rsidRDefault="00D9663A" w:rsidP="00D9663A">
      <w:pPr>
        <w:pStyle w:val="OdstavecASR"/>
      </w:pPr>
      <w:r w:rsidRPr="00F85178">
        <w:t>V případě, že je povinnost platit výživné stanovena oběma rodičům, zachycují statistiky pouze vyšší z obou částek. Vzhledem k výši příjmů se obvykle jedná o částku stanovenou otci. Částky jsou v průměru nižší než částky stanovené pouze otcům, protože dítě má v tomto případě zajištěn příjem od obou rodičů.</w:t>
      </w:r>
    </w:p>
    <w:p w14:paraId="4032AD6C" w14:textId="77777777" w:rsidR="00D9663A" w:rsidRPr="00F85178" w:rsidRDefault="00D9663A" w:rsidP="00D9663A">
      <w:pPr>
        <w:pStyle w:val="OdstavecASR"/>
      </w:pPr>
      <w:r w:rsidRPr="00F85178">
        <w:t>V grafech 4</w:t>
      </w:r>
      <w:r w:rsidR="00FC500E" w:rsidRPr="00F85178">
        <w:t>2</w:t>
      </w:r>
      <w:r w:rsidRPr="00F85178">
        <w:t xml:space="preserve"> a 4</w:t>
      </w:r>
      <w:r w:rsidR="00FC500E" w:rsidRPr="00F85178">
        <w:t>3</w:t>
      </w:r>
      <w:r w:rsidRPr="00F85178">
        <w:t xml:space="preserve"> vidíme, že průměrná stanovená částka výživného na jedno dítě roste, podíl stanoveného výživného na čistém měsíčním příjmu povinné osoby přitom klesá. To lze vysvětlit zlepšují se ekonomickou situací v ČR a zvyšováním příjmů nejen povinných osob.</w:t>
      </w:r>
    </w:p>
    <w:p w14:paraId="7333E0DF" w14:textId="77777777" w:rsidR="00D9663A" w:rsidRPr="00F85178" w:rsidRDefault="00D9663A" w:rsidP="00D9663A">
      <w:pPr>
        <w:pStyle w:val="OdstavecASR"/>
      </w:pPr>
      <w:r w:rsidRPr="00F85178">
        <w:t>Plošný graf (viz seznam pojmů) dále zachycuje statistiku, která úzce souvisí s rozhodováním o výživném, totiž to, jak často je dítě svěřeno do péče matce, otci, jiné fyzické osobě či oběma rodičům do společné nebo střídavé péče. Ve více než 80 % případů svěřil soud dítě do péče matce. Vidíme ovšem, že podíl tohoto tradičního modelu postupně pozvolna klesá ve prospěch alternativních řešení. K tomuto trendu přispívá zřejmě nejen judikatura českého Ústavního soudu, ale můžeme se domnívat, že faktorem, který rozhodovací praxi mění, může být i celospolečenské klima, vliv odborných diskuzí o rozhodování o dětech na mezinárodní úrovni a další.</w:t>
      </w:r>
    </w:p>
    <w:p w14:paraId="2846C6A5" w14:textId="77777777" w:rsidR="00D9663A" w:rsidRPr="00F85178" w:rsidRDefault="00D9663A" w:rsidP="00D9663A">
      <w:pPr>
        <w:pStyle w:val="OdstavecASR"/>
      </w:pPr>
      <w:r w:rsidRPr="00F85178">
        <w:t>V řeči konkrétních čísel, podíl</w:t>
      </w:r>
      <w:r w:rsidR="00217903" w:rsidRPr="00F85178">
        <w:t>,</w:t>
      </w:r>
      <w:r w:rsidRPr="00F85178">
        <w:t xml:space="preserve"> kdy soud svěřil dítě do péče matce, klesl z 86,6 % v roce 2012 na </w:t>
      </w:r>
      <w:r w:rsidR="00BB29EB" w:rsidRPr="00F85178">
        <w:t>78</w:t>
      </w:r>
      <w:r w:rsidRPr="00F85178">
        <w:t>,</w:t>
      </w:r>
      <w:r w:rsidR="00BB29EB" w:rsidRPr="00F85178">
        <w:t>8</w:t>
      </w:r>
      <w:r w:rsidRPr="00F85178">
        <w:t xml:space="preserve"> % v roce </w:t>
      </w:r>
      <w:r w:rsidR="00BB29EB" w:rsidRPr="00F85178">
        <w:t>2018</w:t>
      </w:r>
      <w:r w:rsidRPr="00F85178">
        <w:t>. Podíl případů, kdy bylo dítě do péče svěřeno oběma rodičům, se výrazně zvýšil z 5,2 % v roce 2012 na 1</w:t>
      </w:r>
      <w:r w:rsidR="00BB29EB" w:rsidRPr="00F85178">
        <w:t>2</w:t>
      </w:r>
      <w:r w:rsidRPr="00F85178">
        <w:t>,</w:t>
      </w:r>
      <w:r w:rsidR="00BB29EB" w:rsidRPr="00F85178">
        <w:t>8</w:t>
      </w:r>
      <w:r w:rsidRPr="00F85178">
        <w:t> % v roce 201</w:t>
      </w:r>
      <w:r w:rsidR="00BB29EB" w:rsidRPr="00F85178">
        <w:t>8</w:t>
      </w:r>
      <w:r w:rsidRPr="00F85178">
        <w:t>. To je nárůst o </w:t>
      </w:r>
      <w:r w:rsidR="00BB29EB" w:rsidRPr="00F85178">
        <w:t xml:space="preserve">7,6 </w:t>
      </w:r>
      <w:r w:rsidRPr="00F85178">
        <w:t xml:space="preserve">procentního bodu nebo také o </w:t>
      </w:r>
      <w:r w:rsidR="00BB29EB" w:rsidRPr="00F85178">
        <w:t>128</w:t>
      </w:r>
      <w:r w:rsidRPr="00F85178">
        <w:t>,</w:t>
      </w:r>
      <w:r w:rsidR="00BB29EB" w:rsidRPr="00F85178">
        <w:t>5</w:t>
      </w:r>
      <w:r w:rsidRPr="00F85178">
        <w:t xml:space="preserve"> procenta.</w:t>
      </w:r>
    </w:p>
    <w:p w14:paraId="702DD07B" w14:textId="77777777" w:rsidR="0032015B" w:rsidRDefault="00D9663A" w:rsidP="00D9663A">
      <w:pPr>
        <w:pStyle w:val="OdstavecASR"/>
      </w:pPr>
      <w:r w:rsidRPr="00F85178">
        <w:t>Od roku 2014 jsou k dispozici také o něco podrobnější data. U svěření dítěte do péče obou rodičů se rozlišuje, jestli se jednalo o péči střídavou nebo o péči společnou. Data ukazují, že svěření do střídavé péče je častější a že frekvence využití roste jak u střídavé péče, tak i u péče společné.</w:t>
      </w:r>
    </w:p>
    <w:p w14:paraId="23B93A78" w14:textId="5C2AC754" w:rsidR="00750BFD" w:rsidRPr="00F85178" w:rsidRDefault="00750BFD" w:rsidP="00750BFD">
      <w:pPr>
        <w:pStyle w:val="Podtitul"/>
        <w:rPr>
          <w:color w:val="auto"/>
        </w:rPr>
      </w:pPr>
      <w:bookmarkStart w:id="303" w:name="_Toc515871374"/>
      <w:bookmarkStart w:id="304" w:name="_Toc11135105"/>
      <w:bookmarkStart w:id="305" w:name="_Toc1383753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44</w:t>
      </w:r>
      <w:r w:rsidRPr="00F85178">
        <w:rPr>
          <w:noProof/>
          <w:color w:val="auto"/>
        </w:rPr>
        <w:fldChar w:fldCharType="end"/>
      </w:r>
      <w:r w:rsidRPr="00F85178">
        <w:rPr>
          <w:color w:val="auto"/>
        </w:rPr>
        <w:t>: OS – svěřování dítěte do péče</w:t>
      </w:r>
      <w:bookmarkEnd w:id="303"/>
      <w:bookmarkEnd w:id="304"/>
      <w:bookmarkEnd w:id="305"/>
    </w:p>
    <w:p w14:paraId="1404E317" w14:textId="77777777" w:rsidR="00750BFD" w:rsidRPr="00F85178" w:rsidRDefault="00890295" w:rsidP="00750BFD">
      <w:r>
        <w:rPr>
          <w:noProof/>
          <w:lang w:eastAsia="cs-CZ"/>
        </w:rPr>
        <w:drawing>
          <wp:inline distT="0" distB="0" distL="0" distR="0" wp14:anchorId="742B9C22" wp14:editId="4811CB4C">
            <wp:extent cx="5118100" cy="3746500"/>
            <wp:effectExtent l="0" t="0" r="0" b="0"/>
            <wp:docPr id="47" name="Obrázek 2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6"/>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A88A680" w14:textId="77777777" w:rsidR="00750BFD" w:rsidRPr="00F85178" w:rsidRDefault="00750BFD" w:rsidP="00750BFD"/>
    <w:p w14:paraId="0768385F" w14:textId="77777777" w:rsidR="00D9663A" w:rsidRPr="00F85178" w:rsidRDefault="00D9663A" w:rsidP="00D9663A">
      <w:pPr>
        <w:pStyle w:val="OdstavecASR"/>
      </w:pPr>
      <w:r w:rsidRPr="00F85178">
        <w:t>Poslední graf v této podkapitole se zabývá věkovou strukturou dětí, u nichž proběhlo řízení o péči o nezletilé. Průhledné sloupce zobrazují věkovou strukturu dětí, u kterých došlo k prvnímu rozhodnutí o svěření do péče. Jedná se o data vztahující se ke stejné skupině věcí jako graf výše. Zelené sloupce ukazují věkovou strukturu dětí, u nichž bylo rozhodnuto o péči o dítě pouze v případě, kdy dojde k rozvodu rodičů.</w:t>
      </w:r>
    </w:p>
    <w:p w14:paraId="44474D02" w14:textId="77777777" w:rsidR="00750BFD" w:rsidRPr="00F85178" w:rsidRDefault="00D9663A" w:rsidP="00D9663A">
      <w:pPr>
        <w:pStyle w:val="OdstavecASR"/>
      </w:pPr>
      <w:r w:rsidRPr="00F85178">
        <w:t>Na histogramu je vidět zcela jasný rozdíl mezi oběma skupinami. Věk dítěte při rozhodování o péči v případě rozvodu je celkem logicky výrazně vyšší. U prvního rozhodnutí obecně jsou děti nejčastěji ve věku od 1 do 5 let. U rozhodnutí v případě rozvodu je nejvíce dětí ve věku 7 až 10 let.</w:t>
      </w:r>
      <w:r w:rsidR="00F227A0" w:rsidRPr="00F85178">
        <w:t xml:space="preserve"> Toto rozložení je </w:t>
      </w:r>
      <w:r w:rsidR="00FC440E">
        <w:t>v</w:t>
      </w:r>
      <w:r w:rsidR="00F227A0" w:rsidRPr="00F85178">
        <w:t xml:space="preserve"> roce 2018 </w:t>
      </w:r>
      <w:r w:rsidR="003863CF" w:rsidRPr="00F85178">
        <w:t xml:space="preserve">(s drobnými odlišnostmi) </w:t>
      </w:r>
      <w:r w:rsidR="00F227A0" w:rsidRPr="00F85178">
        <w:t>v zásadě stejné jako v roce 2017.</w:t>
      </w:r>
    </w:p>
    <w:p w14:paraId="7E621DEA" w14:textId="77777777" w:rsidR="00750BFD" w:rsidRPr="00F85178" w:rsidRDefault="00750BFD" w:rsidP="00750BFD">
      <w:pPr>
        <w:pStyle w:val="Podtitul"/>
        <w:rPr>
          <w:color w:val="auto"/>
        </w:rPr>
      </w:pPr>
      <w:bookmarkStart w:id="306" w:name="_Toc515871375"/>
      <w:bookmarkStart w:id="307" w:name="_Toc11135106"/>
      <w:bookmarkStart w:id="308" w:name="_Toc1383753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45</w:t>
      </w:r>
      <w:r w:rsidRPr="00F85178">
        <w:rPr>
          <w:noProof/>
          <w:color w:val="auto"/>
        </w:rPr>
        <w:fldChar w:fldCharType="end"/>
      </w:r>
      <w:r w:rsidRPr="00F85178">
        <w:rPr>
          <w:color w:val="auto"/>
        </w:rPr>
        <w:t>: OS – věkové složení dětí v řízení o péči o nezletilé</w:t>
      </w:r>
      <w:bookmarkEnd w:id="306"/>
      <w:bookmarkEnd w:id="307"/>
      <w:bookmarkEnd w:id="308"/>
    </w:p>
    <w:p w14:paraId="15229232" w14:textId="77777777" w:rsidR="00750BFD" w:rsidRPr="00F85178" w:rsidRDefault="00890295">
      <w:pPr>
        <w:spacing w:line="240" w:lineRule="auto"/>
        <w:jc w:val="left"/>
      </w:pPr>
      <w:r>
        <w:rPr>
          <w:noProof/>
          <w:lang w:eastAsia="cs-CZ"/>
        </w:rPr>
        <w:drawing>
          <wp:inline distT="0" distB="0" distL="0" distR="0" wp14:anchorId="6DB101B1" wp14:editId="3A9AD066">
            <wp:extent cx="5118100" cy="3746500"/>
            <wp:effectExtent l="0" t="0" r="0" b="0"/>
            <wp:docPr id="48" name="Obrázek 2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5"/>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A4F4920" w14:textId="77777777" w:rsidR="00C61F0A" w:rsidRPr="00F85178" w:rsidRDefault="00C61F0A">
      <w:pPr>
        <w:spacing w:line="240" w:lineRule="auto"/>
        <w:jc w:val="left"/>
      </w:pPr>
      <w:r w:rsidRPr="00F85178">
        <w:br w:type="page"/>
      </w:r>
    </w:p>
    <w:p w14:paraId="7EB53CF8" w14:textId="77777777" w:rsidR="00C61F0A" w:rsidRPr="00F85178" w:rsidRDefault="00C61F0A" w:rsidP="00C61F0A">
      <w:pPr>
        <w:pStyle w:val="Nadpis1"/>
      </w:pPr>
      <w:bookmarkStart w:id="309" w:name="_Toc515871244"/>
      <w:bookmarkStart w:id="310" w:name="_Toc14076893"/>
      <w:r w:rsidRPr="00F85178">
        <w:t>Krajské soudy</w:t>
      </w:r>
      <w:bookmarkEnd w:id="309"/>
      <w:bookmarkEnd w:id="310"/>
    </w:p>
    <w:p w14:paraId="09F0E8F6" w14:textId="77777777" w:rsidR="00710023" w:rsidRPr="00F85178" w:rsidRDefault="00710023" w:rsidP="00710023">
      <w:pPr>
        <w:pStyle w:val="OdstavecASR"/>
      </w:pPr>
      <w:r w:rsidRPr="00F85178">
        <w:t>Tato část výroční zprávy obsahuje data, která se týkají všech krajských soudů (KS) v ČR, tedy sedmi krajských soudů a Městského soudu v Praze.</w:t>
      </w:r>
    </w:p>
    <w:p w14:paraId="7A25EA5F" w14:textId="77777777" w:rsidR="00710023" w:rsidRPr="00F85178" w:rsidRDefault="00710023" w:rsidP="00710023">
      <w:pPr>
        <w:pStyle w:val="OdstavecASR"/>
      </w:pPr>
      <w:r w:rsidRPr="00F85178">
        <w:t>Struktura je velmi podobná struktuře části 2. V první podkapitole jsou uvedeny statistiky, které se týkají počtu soudců a počtu zaměstnanců ve výkonu. Další kapitoly se věnují jednotlivým soudním agendám. Krajské soudy jsou soudy prvoinstančními a odvolacími. Vyřizují tři hlavní typy agend – civilní včetně obchodní, trestní a správní. V této zprávě jsou civilní (občanskoprávní) a obchodní agenda vykázány dohromady, z obchodní agendy jsou ale zvlášť vykázány insolvence. Civilní a trestní agendy se dále dělí na prvostupňové a odvolací. Tato část má tedy celkem sedm částí věnovaných personálu, civilní a obchodní prvostupňové agendě, civilní odvolací agendě, trestní prvostupňové agendě, trestní odvolací agendě, správní agendě a insolvencím.</w:t>
      </w:r>
    </w:p>
    <w:p w14:paraId="1B9D49E2" w14:textId="77777777" w:rsidR="00710023" w:rsidRPr="00F85178" w:rsidRDefault="00710023" w:rsidP="00710023">
      <w:pPr>
        <w:pStyle w:val="OdstavecASR"/>
      </w:pPr>
      <w:r w:rsidRPr="00F85178">
        <w:t>Ve struktuře agendy krajských soudů proběhly v nedávné době výrazné změny. Na jednu stranu došlo od roku 2014 k přesunu většiny prvostupňových obchodněprávních sporů na okresní soudy, na druhou stranu od roku 2008 postupně narůstala agenda insolvencí fyzických osob – nepodnikatelů (tzv. spotřebitelské insolvence), která do té doby prakticky neexistovala.</w:t>
      </w:r>
    </w:p>
    <w:p w14:paraId="7C2810E1" w14:textId="77777777" w:rsidR="00710023" w:rsidRPr="00F85178" w:rsidRDefault="00710023" w:rsidP="00710023">
      <w:pPr>
        <w:pStyle w:val="OdstavecASR"/>
      </w:pPr>
      <w:r w:rsidRPr="00F85178">
        <w:t xml:space="preserve">Pro většinu agend (tedy ve většině podkapitol) uvádíme délky řízení v kalendářních dnech (průměr, medián a percentil 90). Dále pak prezentujeme data týkající se vyřizování věci – nápad + obživlé věci, vyřízené věci a nevyřízené věci. Nakonec uvádíme další zajímavé statistiky, jako je např. míra odvolání. Údaje jsou většinou graficky zobrazeny v časových řadách pro celou ČR a dále pak v tabulkách pro jednotlivé soudy v roce </w:t>
      </w:r>
      <w:r w:rsidR="00FC440E">
        <w:t>2018</w:t>
      </w:r>
      <w:r w:rsidRPr="00F85178">
        <w:t>. Pro krajské soudy většinou nevyužíváme přepočet na soudce. V datech totiž není možné odlišit soudce vyřizující prvostupňovou a odvolací agendu.</w:t>
      </w:r>
    </w:p>
    <w:p w14:paraId="281C8745" w14:textId="77777777" w:rsidR="00C61F0A" w:rsidRPr="00F85178" w:rsidRDefault="00C61F0A" w:rsidP="00710023">
      <w:pPr>
        <w:pStyle w:val="Nadpis2"/>
        <w:keepNext w:val="0"/>
      </w:pPr>
      <w:bookmarkStart w:id="311" w:name="_Toc515871245"/>
      <w:bookmarkStart w:id="312" w:name="_Toc14076894"/>
      <w:r w:rsidRPr="00F85178">
        <w:t>Personál</w:t>
      </w:r>
      <w:bookmarkEnd w:id="311"/>
      <w:bookmarkEnd w:id="312"/>
    </w:p>
    <w:p w14:paraId="697E1B89" w14:textId="77777777" w:rsidR="00710023" w:rsidRPr="00F85178" w:rsidRDefault="00710023" w:rsidP="00710023">
      <w:pPr>
        <w:pStyle w:val="OdstavecASR"/>
      </w:pPr>
      <w:r w:rsidRPr="00F85178">
        <w:t>Struktura kapitoly je stejná jako u okresních soudů – jedna část se věnuje soudcům a druhá se pak zaměřuje na ostatní personál ve výkonu.</w:t>
      </w:r>
    </w:p>
    <w:p w14:paraId="25F33CD3" w14:textId="77777777" w:rsidR="00C61F0A" w:rsidRPr="00F85178" w:rsidRDefault="00C61F0A" w:rsidP="00710023">
      <w:pPr>
        <w:pStyle w:val="Nadpis3"/>
        <w:keepNext w:val="0"/>
        <w:rPr>
          <w:color w:val="auto"/>
        </w:rPr>
      </w:pPr>
      <w:bookmarkStart w:id="313" w:name="_Toc515871246"/>
      <w:bookmarkStart w:id="314" w:name="_Toc14076895"/>
      <w:r w:rsidRPr="00F85178">
        <w:rPr>
          <w:color w:val="auto"/>
        </w:rPr>
        <w:t>Soudci</w:t>
      </w:r>
      <w:bookmarkEnd w:id="313"/>
      <w:bookmarkEnd w:id="314"/>
    </w:p>
    <w:p w14:paraId="7F712D43" w14:textId="77777777" w:rsidR="00710023" w:rsidRPr="00F85178" w:rsidRDefault="00710023" w:rsidP="00710023">
      <w:pPr>
        <w:pStyle w:val="OdstavecASR"/>
      </w:pPr>
      <w:r w:rsidRPr="00F85178">
        <w:t xml:space="preserve">Z grafu je patrný vývoj v evidenčním a plánovaném počtu soudců. </w:t>
      </w:r>
      <w:r w:rsidR="00F325EE" w:rsidRPr="00F85178">
        <w:t>Jak jsme uvedli již v kapitole 2.1.1</w:t>
      </w:r>
      <w:r w:rsidR="008F4FAA" w:rsidRPr="00F85178">
        <w:t>,</w:t>
      </w:r>
      <w:r w:rsidR="00F325EE" w:rsidRPr="00F85178">
        <w:t xml:space="preserve"> je celkový plánovaný počet soudců v ČR prakticky neměnný (3 062 nebo 3 063) a soudci jsou „pouze“ přerozdělováni mezi jednotlivé články soudní soustavy. V tomto přerozdělení si můžeme v delší časové řadě povšimnout stabilního trendu </w:t>
      </w:r>
      <w:r w:rsidR="001E7FA0" w:rsidRPr="00F85178">
        <w:t>od roku</w:t>
      </w:r>
      <w:r w:rsidR="00F325EE" w:rsidRPr="00F85178">
        <w:t xml:space="preserve"> 2013 –</w:t>
      </w:r>
      <w:r w:rsidR="001E7FA0" w:rsidRPr="00F85178">
        <w:t xml:space="preserve"> u OS d</w:t>
      </w:r>
      <w:r w:rsidR="00F325EE" w:rsidRPr="00F85178">
        <w:t>ochází k</w:t>
      </w:r>
      <w:r w:rsidR="001E7FA0" w:rsidRPr="00F85178">
        <w:t xml:space="preserve"> mírnému </w:t>
      </w:r>
      <w:r w:rsidR="00F325EE" w:rsidRPr="00F85178">
        <w:t>postupnému snižování počtu plánovaných soudců</w:t>
      </w:r>
      <w:r w:rsidR="005A3844" w:rsidRPr="00F85178">
        <w:t xml:space="preserve"> (1</w:t>
      </w:r>
      <w:r w:rsidR="007365A5" w:rsidRPr="00F85178">
        <w:t xml:space="preserve"> </w:t>
      </w:r>
      <w:r w:rsidR="005A3844" w:rsidRPr="00F85178">
        <w:t>817 vs. 1</w:t>
      </w:r>
      <w:r w:rsidR="007365A5" w:rsidRPr="00F85178">
        <w:t xml:space="preserve"> </w:t>
      </w:r>
      <w:r w:rsidR="005A3844" w:rsidRPr="00F85178">
        <w:t>761</w:t>
      </w:r>
      <w:r w:rsidR="001E7FA0" w:rsidRPr="00F85178">
        <w:t>)</w:t>
      </w:r>
      <w:r w:rsidR="00F325EE" w:rsidRPr="00F85178">
        <w:t>, u KS naopak k postupnému posilování</w:t>
      </w:r>
      <w:r w:rsidR="001E7FA0" w:rsidRPr="00F85178">
        <w:t xml:space="preserve"> (1</w:t>
      </w:r>
      <w:r w:rsidR="007365A5" w:rsidRPr="00F85178">
        <w:t xml:space="preserve"> </w:t>
      </w:r>
      <w:r w:rsidR="001E7FA0" w:rsidRPr="00F85178">
        <w:t>001 vs. 1</w:t>
      </w:r>
      <w:r w:rsidR="007365A5" w:rsidRPr="00F85178">
        <w:t xml:space="preserve"> </w:t>
      </w:r>
      <w:r w:rsidR="001E7FA0" w:rsidRPr="00F85178">
        <w:t>057)</w:t>
      </w:r>
      <w:r w:rsidR="00F325EE" w:rsidRPr="00F85178">
        <w:t>.</w:t>
      </w:r>
    </w:p>
    <w:p w14:paraId="33E24F8A" w14:textId="061BA328" w:rsidR="00710023" w:rsidRPr="00F85178" w:rsidRDefault="00710023" w:rsidP="00710023">
      <w:pPr>
        <w:pStyle w:val="OdstavecASR"/>
      </w:pPr>
      <w:r w:rsidRPr="00F85178">
        <w:t xml:space="preserve">Evidenční počet soudců KS </w:t>
      </w:r>
      <w:r w:rsidR="005A3844" w:rsidRPr="00F85178">
        <w:t>však na rozdíl od OS nekopíruje vývoj plánovaného počtu soudců a zůstává stabilní s odchylkou – 1</w:t>
      </w:r>
      <w:r w:rsidR="007365A5" w:rsidRPr="00F85178">
        <w:t xml:space="preserve"> </w:t>
      </w:r>
      <w:r w:rsidR="005A3844" w:rsidRPr="00F85178">
        <w:t xml:space="preserve">% v roce 2018 </w:t>
      </w:r>
      <w:r w:rsidR="00D76572" w:rsidRPr="00F85178">
        <w:t xml:space="preserve">oproti roku </w:t>
      </w:r>
      <w:r w:rsidR="005A3844" w:rsidRPr="00F85178">
        <w:t>2013</w:t>
      </w:r>
      <w:r w:rsidRPr="00F85178">
        <w:t>. Především je ale dlouhodobě nižší než plánovaný počet soudců</w:t>
      </w:r>
      <w:r w:rsidR="005A3844" w:rsidRPr="00F85178">
        <w:t xml:space="preserve"> (-10</w:t>
      </w:r>
      <w:r w:rsidR="007365A5" w:rsidRPr="00F85178">
        <w:t xml:space="preserve"> </w:t>
      </w:r>
      <w:r w:rsidR="005A3844" w:rsidRPr="00F85178">
        <w:t>% v roce 2018)</w:t>
      </w:r>
      <w:r w:rsidRPr="00F85178">
        <w:t xml:space="preserve">. U OS </w:t>
      </w:r>
      <w:r w:rsidR="005A3844" w:rsidRPr="00F85178">
        <w:t xml:space="preserve">je evidenční počet soudců </w:t>
      </w:r>
      <w:r w:rsidR="00D76572" w:rsidRPr="00F85178">
        <w:t xml:space="preserve">oproti </w:t>
      </w:r>
      <w:r w:rsidR="005A3844" w:rsidRPr="00F85178">
        <w:t>plánovan</w:t>
      </w:r>
      <w:r w:rsidR="00D76572" w:rsidRPr="00F85178">
        <w:t>ému</w:t>
      </w:r>
      <w:r w:rsidR="005A3844" w:rsidRPr="00F85178">
        <w:t xml:space="preserve"> v roce 2018 </w:t>
      </w:r>
      <w:r w:rsidR="00487F9F" w:rsidRPr="00F85178">
        <w:t>vyšší</w:t>
      </w:r>
      <w:r w:rsidR="005A3844" w:rsidRPr="00F85178">
        <w:t xml:space="preserve"> o </w:t>
      </w:r>
      <w:r w:rsidR="00161A11" w:rsidRPr="00F85178">
        <w:t>3,6</w:t>
      </w:r>
      <w:r w:rsidR="007365A5" w:rsidRPr="00F85178">
        <w:t xml:space="preserve"> </w:t>
      </w:r>
      <w:r w:rsidR="00161A11" w:rsidRPr="00F85178">
        <w:t>%</w:t>
      </w:r>
      <w:r w:rsidR="008F7D74" w:rsidRPr="00F85178">
        <w:t xml:space="preserve"> a zdá </w:t>
      </w:r>
      <w:r w:rsidRPr="00F85178">
        <w:t xml:space="preserve">se tedy, že předsedové krajských soudů </w:t>
      </w:r>
      <w:r w:rsidR="008F7D74" w:rsidRPr="00F85178">
        <w:t xml:space="preserve">dlouhodobě </w:t>
      </w:r>
      <w:r w:rsidRPr="00F85178">
        <w:t>„dotují“ okresní soudy na úkor svých soudů. Počet soudkyň a soudců na MD/RD zde neuvádíme. U KS obvykle působí starší soudkyně a soudci než u soudů okresních a počet soudkyň a soudců na MD/RD je tedy velmi nízký.</w:t>
      </w:r>
    </w:p>
    <w:p w14:paraId="0C121FB4" w14:textId="77777777" w:rsidR="009C7E46" w:rsidRPr="00F85178" w:rsidRDefault="00D4037C" w:rsidP="00D4037C">
      <w:pPr>
        <w:pStyle w:val="Podtitul"/>
        <w:rPr>
          <w:color w:val="auto"/>
        </w:rPr>
      </w:pPr>
      <w:bookmarkStart w:id="315" w:name="_Ref512499826"/>
      <w:bookmarkStart w:id="316" w:name="_Toc515871376"/>
      <w:bookmarkStart w:id="317" w:name="_Toc11135107"/>
      <w:bookmarkStart w:id="318" w:name="_Toc1383753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46</w:t>
      </w:r>
      <w:r w:rsidRPr="00F85178">
        <w:rPr>
          <w:noProof/>
          <w:color w:val="auto"/>
        </w:rPr>
        <w:fldChar w:fldCharType="end"/>
      </w:r>
      <w:bookmarkEnd w:id="315"/>
      <w:r w:rsidRPr="00F85178">
        <w:rPr>
          <w:color w:val="auto"/>
        </w:rPr>
        <w:t>: KS – počet soudců v letech 2008–201</w:t>
      </w:r>
      <w:bookmarkEnd w:id="316"/>
      <w:r w:rsidRPr="00F85178">
        <w:rPr>
          <w:color w:val="auto"/>
        </w:rPr>
        <w:t>8</w:t>
      </w:r>
      <w:bookmarkEnd w:id="317"/>
      <w:bookmarkEnd w:id="318"/>
    </w:p>
    <w:p w14:paraId="2E56E334" w14:textId="77777777" w:rsidR="00D4037C" w:rsidRPr="00F85178" w:rsidRDefault="00890295" w:rsidP="00770E8A">
      <w:r>
        <w:rPr>
          <w:noProof/>
          <w:lang w:eastAsia="cs-CZ"/>
        </w:rPr>
        <w:drawing>
          <wp:inline distT="0" distB="0" distL="0" distR="0" wp14:anchorId="60399E83" wp14:editId="1D82F00B">
            <wp:extent cx="5118100" cy="3746500"/>
            <wp:effectExtent l="0" t="0" r="0" b="0"/>
            <wp:docPr id="49" name="Obrázek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6571F2D" w14:textId="5D3C3C66" w:rsidR="00710023" w:rsidRPr="00F85178" w:rsidRDefault="00710023" w:rsidP="00710023">
      <w:pPr>
        <w:pStyle w:val="OdstavecASR"/>
      </w:pPr>
      <w:r w:rsidRPr="00F85178">
        <w:fldChar w:fldCharType="begin"/>
      </w:r>
      <w:r w:rsidRPr="00F85178">
        <w:instrText xml:space="preserve"> REF _Ref513289709 \h </w:instrText>
      </w:r>
      <w:r w:rsidRPr="00F85178">
        <w:fldChar w:fldCharType="separate"/>
      </w:r>
      <w:r w:rsidR="00306940" w:rsidRPr="00F85178">
        <w:t xml:space="preserve">Graf </w:t>
      </w:r>
      <w:r w:rsidR="00306940">
        <w:rPr>
          <w:noProof/>
        </w:rPr>
        <w:t>47</w:t>
      </w:r>
      <w:r w:rsidRPr="00F85178">
        <w:fldChar w:fldCharType="end"/>
      </w:r>
      <w:r w:rsidRPr="00F85178">
        <w:t xml:space="preserve"> zachycuje evidenční počet soudců KS dle jednotlivých úseků. Podobně jako u okresních soudů je v roce 201</w:t>
      </w:r>
      <w:r w:rsidR="00D76572" w:rsidRPr="00F85178">
        <w:t>8</w:t>
      </w:r>
      <w:r w:rsidRPr="00F85178">
        <w:t xml:space="preserve"> civilní a obchodní úsek asi třikrát větší než trestní úsek. Správní úsek je navíc přibližně dvaapůlkrát menší než úsek trestní. Poměr velikostí úseků je také velmi stabilní.</w:t>
      </w:r>
    </w:p>
    <w:p w14:paraId="6753E0A8" w14:textId="77777777" w:rsidR="0044511D" w:rsidRPr="00F85178" w:rsidRDefault="0044511D" w:rsidP="0044511D">
      <w:pPr>
        <w:pStyle w:val="Podtitul"/>
        <w:rPr>
          <w:color w:val="auto"/>
        </w:rPr>
      </w:pPr>
      <w:bookmarkStart w:id="319" w:name="_Ref513289709"/>
      <w:bookmarkStart w:id="320" w:name="_Toc515871377"/>
      <w:bookmarkStart w:id="321" w:name="_Toc11135108"/>
      <w:bookmarkStart w:id="322" w:name="_Toc1383754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47</w:t>
      </w:r>
      <w:r w:rsidRPr="00F85178">
        <w:rPr>
          <w:noProof/>
          <w:color w:val="auto"/>
        </w:rPr>
        <w:fldChar w:fldCharType="end"/>
      </w:r>
      <w:bookmarkEnd w:id="319"/>
      <w:r w:rsidRPr="00F85178">
        <w:rPr>
          <w:color w:val="auto"/>
        </w:rPr>
        <w:t>: KS – evidenční počet soudců dle soudních úseků v letech 2008–201</w:t>
      </w:r>
      <w:r w:rsidR="00D76572" w:rsidRPr="00F85178">
        <w:rPr>
          <w:color w:val="auto"/>
        </w:rPr>
        <w:t>8</w:t>
      </w:r>
      <w:bookmarkEnd w:id="320"/>
      <w:bookmarkEnd w:id="321"/>
      <w:bookmarkEnd w:id="322"/>
    </w:p>
    <w:p w14:paraId="17DE68AC" w14:textId="77777777" w:rsidR="0044511D" w:rsidRPr="00F85178" w:rsidRDefault="00890295" w:rsidP="00770E8A">
      <w:r>
        <w:rPr>
          <w:noProof/>
          <w:lang w:eastAsia="cs-CZ"/>
        </w:rPr>
        <w:drawing>
          <wp:inline distT="0" distB="0" distL="0" distR="0" wp14:anchorId="433F916A" wp14:editId="78BA6AEB">
            <wp:extent cx="5118100" cy="3746500"/>
            <wp:effectExtent l="0" t="0" r="0" b="0"/>
            <wp:docPr id="50" name="Obrázek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A624794" w14:textId="77777777" w:rsidR="0044511D" w:rsidRPr="00F85178" w:rsidRDefault="0044511D" w:rsidP="00770E8A"/>
    <w:p w14:paraId="3760E257" w14:textId="77777777" w:rsidR="0044511D" w:rsidRPr="00F85178" w:rsidRDefault="0044511D" w:rsidP="0044511D">
      <w:pPr>
        <w:pStyle w:val="Podtitul"/>
        <w:rPr>
          <w:color w:val="auto"/>
        </w:rPr>
      </w:pPr>
      <w:bookmarkStart w:id="323" w:name="_Ref10547086"/>
      <w:bookmarkStart w:id="324" w:name="_Toc515871464"/>
      <w:bookmarkStart w:id="325" w:name="_Ref10547080"/>
      <w:bookmarkStart w:id="326" w:name="_Toc11133231"/>
      <w:bookmarkStart w:id="327" w:name="_Toc13837452"/>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29</w:t>
      </w:r>
      <w:r w:rsidRPr="00F85178">
        <w:rPr>
          <w:noProof/>
          <w:color w:val="auto"/>
        </w:rPr>
        <w:fldChar w:fldCharType="end"/>
      </w:r>
      <w:bookmarkEnd w:id="323"/>
      <w:r w:rsidRPr="00F85178">
        <w:rPr>
          <w:color w:val="auto"/>
        </w:rPr>
        <w:t>: KS – počet soudců dle soudů</w:t>
      </w:r>
      <w:bookmarkEnd w:id="324"/>
      <w:bookmarkEnd w:id="325"/>
      <w:bookmarkEnd w:id="326"/>
      <w:bookmarkEnd w:id="327"/>
    </w:p>
    <w:tbl>
      <w:tblPr>
        <w:tblW w:w="8880" w:type="dxa"/>
        <w:tblCellMar>
          <w:left w:w="70" w:type="dxa"/>
          <w:right w:w="70" w:type="dxa"/>
        </w:tblCellMar>
        <w:tblLook w:val="04A0" w:firstRow="1" w:lastRow="0" w:firstColumn="1" w:lastColumn="0" w:noHBand="0" w:noVBand="1"/>
      </w:tblPr>
      <w:tblGrid>
        <w:gridCol w:w="2000"/>
        <w:gridCol w:w="1264"/>
        <w:gridCol w:w="1330"/>
        <w:gridCol w:w="1620"/>
        <w:gridCol w:w="1655"/>
        <w:gridCol w:w="1011"/>
      </w:tblGrid>
      <w:tr w:rsidR="00F85178" w:rsidRPr="00F85178" w14:paraId="63ED47BA" w14:textId="77777777" w:rsidTr="0044511D">
        <w:trPr>
          <w:trHeight w:val="330"/>
        </w:trPr>
        <w:tc>
          <w:tcPr>
            <w:tcW w:w="2000" w:type="dxa"/>
            <w:vMerge w:val="restart"/>
            <w:tcBorders>
              <w:top w:val="double" w:sz="6" w:space="0" w:color="auto"/>
              <w:left w:val="nil"/>
              <w:bottom w:val="double" w:sz="6" w:space="0" w:color="000000"/>
              <w:right w:val="nil"/>
            </w:tcBorders>
            <w:shd w:val="clear" w:color="auto" w:fill="auto"/>
            <w:noWrap/>
            <w:vAlign w:val="center"/>
            <w:hideMark/>
          </w:tcPr>
          <w:p w14:paraId="1AD7FAD3"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1264" w:type="dxa"/>
            <w:vMerge w:val="restart"/>
            <w:tcBorders>
              <w:top w:val="double" w:sz="6" w:space="0" w:color="auto"/>
              <w:left w:val="nil"/>
              <w:bottom w:val="double" w:sz="6" w:space="0" w:color="000000"/>
              <w:right w:val="nil"/>
            </w:tcBorders>
            <w:shd w:val="clear" w:color="auto" w:fill="auto"/>
            <w:vAlign w:val="center"/>
            <w:hideMark/>
          </w:tcPr>
          <w:p w14:paraId="6ABE349C"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Plánovaný počet soudců</w:t>
            </w:r>
          </w:p>
        </w:tc>
        <w:tc>
          <w:tcPr>
            <w:tcW w:w="5616" w:type="dxa"/>
            <w:gridSpan w:val="4"/>
            <w:tcBorders>
              <w:top w:val="double" w:sz="6" w:space="0" w:color="auto"/>
              <w:left w:val="nil"/>
              <w:bottom w:val="nil"/>
              <w:right w:val="nil"/>
            </w:tcBorders>
            <w:shd w:val="clear" w:color="auto" w:fill="auto"/>
            <w:noWrap/>
            <w:vAlign w:val="center"/>
            <w:hideMark/>
          </w:tcPr>
          <w:p w14:paraId="1DF53B36"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Evidenční počet soudců</w:t>
            </w:r>
          </w:p>
        </w:tc>
      </w:tr>
      <w:tr w:rsidR="00F85178" w:rsidRPr="00F85178" w14:paraId="70C19323" w14:textId="77777777" w:rsidTr="0044511D">
        <w:trPr>
          <w:trHeight w:val="645"/>
        </w:trPr>
        <w:tc>
          <w:tcPr>
            <w:tcW w:w="2000" w:type="dxa"/>
            <w:vMerge/>
            <w:tcBorders>
              <w:top w:val="double" w:sz="6" w:space="0" w:color="auto"/>
              <w:left w:val="nil"/>
              <w:bottom w:val="double" w:sz="6" w:space="0" w:color="000000"/>
              <w:right w:val="nil"/>
            </w:tcBorders>
            <w:vAlign w:val="center"/>
            <w:hideMark/>
          </w:tcPr>
          <w:p w14:paraId="20E5A4DB" w14:textId="77777777" w:rsidR="0044511D" w:rsidRPr="00F85178" w:rsidRDefault="0044511D" w:rsidP="0044511D">
            <w:pPr>
              <w:spacing w:line="240" w:lineRule="auto"/>
              <w:jc w:val="left"/>
              <w:rPr>
                <w:rFonts w:eastAsia="Times New Roman"/>
                <w:b/>
                <w:bCs/>
                <w:szCs w:val="24"/>
                <w:lang w:eastAsia="cs-CZ"/>
              </w:rPr>
            </w:pPr>
          </w:p>
        </w:tc>
        <w:tc>
          <w:tcPr>
            <w:tcW w:w="1264" w:type="dxa"/>
            <w:vMerge/>
            <w:tcBorders>
              <w:top w:val="double" w:sz="6" w:space="0" w:color="auto"/>
              <w:left w:val="nil"/>
              <w:bottom w:val="double" w:sz="6" w:space="0" w:color="000000"/>
              <w:right w:val="nil"/>
            </w:tcBorders>
            <w:vAlign w:val="center"/>
            <w:hideMark/>
          </w:tcPr>
          <w:p w14:paraId="24F229D2" w14:textId="77777777" w:rsidR="0044511D" w:rsidRPr="00F85178" w:rsidRDefault="0044511D" w:rsidP="0044511D">
            <w:pPr>
              <w:spacing w:line="240" w:lineRule="auto"/>
              <w:jc w:val="left"/>
              <w:rPr>
                <w:rFonts w:eastAsia="Times New Roman"/>
                <w:b/>
                <w:bCs/>
                <w:szCs w:val="24"/>
                <w:lang w:eastAsia="cs-CZ"/>
              </w:rPr>
            </w:pPr>
          </w:p>
        </w:tc>
        <w:tc>
          <w:tcPr>
            <w:tcW w:w="1330" w:type="dxa"/>
            <w:tcBorders>
              <w:top w:val="nil"/>
              <w:left w:val="nil"/>
              <w:bottom w:val="double" w:sz="6" w:space="0" w:color="auto"/>
              <w:right w:val="nil"/>
            </w:tcBorders>
            <w:shd w:val="clear" w:color="auto" w:fill="auto"/>
            <w:vAlign w:val="center"/>
            <w:hideMark/>
          </w:tcPr>
          <w:p w14:paraId="793B22F8"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 xml:space="preserve">Civ. + obch. </w:t>
            </w:r>
            <w:proofErr w:type="gramStart"/>
            <w:r w:rsidRPr="00F85178">
              <w:rPr>
                <w:rFonts w:eastAsia="Times New Roman"/>
                <w:b/>
                <w:bCs/>
                <w:szCs w:val="24"/>
                <w:lang w:eastAsia="cs-CZ"/>
              </w:rPr>
              <w:t>úsek</w:t>
            </w:r>
            <w:proofErr w:type="gramEnd"/>
          </w:p>
        </w:tc>
        <w:tc>
          <w:tcPr>
            <w:tcW w:w="1620" w:type="dxa"/>
            <w:tcBorders>
              <w:top w:val="nil"/>
              <w:left w:val="nil"/>
              <w:bottom w:val="double" w:sz="6" w:space="0" w:color="auto"/>
              <w:right w:val="nil"/>
            </w:tcBorders>
            <w:shd w:val="clear" w:color="auto" w:fill="auto"/>
            <w:noWrap/>
            <w:vAlign w:val="center"/>
            <w:hideMark/>
          </w:tcPr>
          <w:p w14:paraId="6CB98172"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Trestní úsek</w:t>
            </w:r>
          </w:p>
        </w:tc>
        <w:tc>
          <w:tcPr>
            <w:tcW w:w="1655" w:type="dxa"/>
            <w:tcBorders>
              <w:top w:val="nil"/>
              <w:left w:val="nil"/>
              <w:bottom w:val="double" w:sz="6" w:space="0" w:color="auto"/>
              <w:right w:val="nil"/>
            </w:tcBorders>
            <w:shd w:val="clear" w:color="auto" w:fill="auto"/>
            <w:noWrap/>
            <w:vAlign w:val="center"/>
            <w:hideMark/>
          </w:tcPr>
          <w:p w14:paraId="23A7EE46"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Správní úsek</w:t>
            </w:r>
          </w:p>
        </w:tc>
        <w:tc>
          <w:tcPr>
            <w:tcW w:w="1011" w:type="dxa"/>
            <w:tcBorders>
              <w:top w:val="nil"/>
              <w:left w:val="nil"/>
              <w:bottom w:val="double" w:sz="6" w:space="0" w:color="auto"/>
              <w:right w:val="nil"/>
            </w:tcBorders>
            <w:shd w:val="clear" w:color="auto" w:fill="auto"/>
            <w:noWrap/>
            <w:vAlign w:val="center"/>
            <w:hideMark/>
          </w:tcPr>
          <w:p w14:paraId="7C6CB0A5"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Celkem</w:t>
            </w:r>
          </w:p>
        </w:tc>
      </w:tr>
      <w:tr w:rsidR="00F85178" w:rsidRPr="00F85178" w14:paraId="216E70F5" w14:textId="77777777" w:rsidTr="0044511D">
        <w:trPr>
          <w:trHeight w:val="330"/>
        </w:trPr>
        <w:tc>
          <w:tcPr>
            <w:tcW w:w="2000" w:type="dxa"/>
            <w:tcBorders>
              <w:top w:val="single" w:sz="4" w:space="0" w:color="auto"/>
              <w:left w:val="nil"/>
              <w:bottom w:val="single" w:sz="4" w:space="0" w:color="auto"/>
              <w:right w:val="nil"/>
            </w:tcBorders>
            <w:shd w:val="clear" w:color="auto" w:fill="auto"/>
            <w:noWrap/>
            <w:vAlign w:val="bottom"/>
            <w:hideMark/>
          </w:tcPr>
          <w:p w14:paraId="4D36A6D1"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MS Praha</w:t>
            </w:r>
          </w:p>
        </w:tc>
        <w:tc>
          <w:tcPr>
            <w:tcW w:w="1264" w:type="dxa"/>
            <w:tcBorders>
              <w:top w:val="single" w:sz="4" w:space="0" w:color="auto"/>
              <w:left w:val="nil"/>
              <w:bottom w:val="single" w:sz="4" w:space="0" w:color="auto"/>
              <w:right w:val="nil"/>
            </w:tcBorders>
            <w:shd w:val="clear" w:color="auto" w:fill="auto"/>
            <w:noWrap/>
            <w:vAlign w:val="bottom"/>
            <w:hideMark/>
          </w:tcPr>
          <w:p w14:paraId="44AA7891"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253</w:t>
            </w:r>
          </w:p>
        </w:tc>
        <w:tc>
          <w:tcPr>
            <w:tcW w:w="1330" w:type="dxa"/>
            <w:tcBorders>
              <w:top w:val="single" w:sz="4" w:space="0" w:color="auto"/>
              <w:left w:val="nil"/>
              <w:bottom w:val="single" w:sz="4" w:space="0" w:color="auto"/>
              <w:right w:val="nil"/>
            </w:tcBorders>
            <w:shd w:val="clear" w:color="auto" w:fill="auto"/>
            <w:noWrap/>
            <w:vAlign w:val="bottom"/>
            <w:hideMark/>
          </w:tcPr>
          <w:p w14:paraId="5AE027F1"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151</w:t>
            </w:r>
          </w:p>
        </w:tc>
        <w:tc>
          <w:tcPr>
            <w:tcW w:w="1620" w:type="dxa"/>
            <w:tcBorders>
              <w:top w:val="single" w:sz="4" w:space="0" w:color="auto"/>
              <w:left w:val="nil"/>
              <w:bottom w:val="single" w:sz="4" w:space="0" w:color="auto"/>
              <w:right w:val="nil"/>
            </w:tcBorders>
            <w:shd w:val="clear" w:color="auto" w:fill="auto"/>
            <w:noWrap/>
            <w:vAlign w:val="bottom"/>
            <w:hideMark/>
          </w:tcPr>
          <w:p w14:paraId="64693D83"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41</w:t>
            </w:r>
          </w:p>
        </w:tc>
        <w:tc>
          <w:tcPr>
            <w:tcW w:w="1655" w:type="dxa"/>
            <w:tcBorders>
              <w:top w:val="single" w:sz="4" w:space="0" w:color="auto"/>
              <w:left w:val="nil"/>
              <w:bottom w:val="single" w:sz="4" w:space="0" w:color="auto"/>
              <w:right w:val="nil"/>
            </w:tcBorders>
            <w:shd w:val="clear" w:color="auto" w:fill="auto"/>
            <w:noWrap/>
            <w:vAlign w:val="bottom"/>
            <w:hideMark/>
          </w:tcPr>
          <w:p w14:paraId="3469B92F"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27</w:t>
            </w:r>
          </w:p>
        </w:tc>
        <w:tc>
          <w:tcPr>
            <w:tcW w:w="1011" w:type="dxa"/>
            <w:tcBorders>
              <w:top w:val="single" w:sz="4" w:space="0" w:color="auto"/>
              <w:left w:val="nil"/>
              <w:bottom w:val="single" w:sz="4" w:space="0" w:color="auto"/>
              <w:right w:val="nil"/>
            </w:tcBorders>
            <w:shd w:val="clear" w:color="auto" w:fill="auto"/>
            <w:noWrap/>
            <w:vAlign w:val="bottom"/>
            <w:hideMark/>
          </w:tcPr>
          <w:p w14:paraId="56F21DCF"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219</w:t>
            </w:r>
          </w:p>
        </w:tc>
      </w:tr>
      <w:tr w:rsidR="00F85178" w:rsidRPr="00F85178" w14:paraId="09F001DC"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24F029EB"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Praha</w:t>
            </w:r>
          </w:p>
        </w:tc>
        <w:tc>
          <w:tcPr>
            <w:tcW w:w="1264" w:type="dxa"/>
            <w:tcBorders>
              <w:top w:val="nil"/>
              <w:left w:val="nil"/>
              <w:bottom w:val="single" w:sz="4" w:space="0" w:color="auto"/>
              <w:right w:val="nil"/>
            </w:tcBorders>
            <w:shd w:val="clear" w:color="auto" w:fill="auto"/>
            <w:noWrap/>
            <w:vAlign w:val="bottom"/>
            <w:hideMark/>
          </w:tcPr>
          <w:p w14:paraId="2C84D7B7"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116</w:t>
            </w:r>
          </w:p>
        </w:tc>
        <w:tc>
          <w:tcPr>
            <w:tcW w:w="1330" w:type="dxa"/>
            <w:tcBorders>
              <w:top w:val="nil"/>
              <w:left w:val="nil"/>
              <w:bottom w:val="single" w:sz="4" w:space="0" w:color="auto"/>
              <w:right w:val="nil"/>
            </w:tcBorders>
            <w:shd w:val="clear" w:color="auto" w:fill="auto"/>
            <w:noWrap/>
            <w:vAlign w:val="bottom"/>
            <w:hideMark/>
          </w:tcPr>
          <w:p w14:paraId="7F545BEC"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64</w:t>
            </w:r>
          </w:p>
        </w:tc>
        <w:tc>
          <w:tcPr>
            <w:tcW w:w="1620" w:type="dxa"/>
            <w:tcBorders>
              <w:top w:val="nil"/>
              <w:left w:val="nil"/>
              <w:bottom w:val="single" w:sz="4" w:space="0" w:color="auto"/>
              <w:right w:val="nil"/>
            </w:tcBorders>
            <w:shd w:val="clear" w:color="auto" w:fill="auto"/>
            <w:noWrap/>
            <w:vAlign w:val="bottom"/>
            <w:hideMark/>
          </w:tcPr>
          <w:p w14:paraId="625761C5"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27</w:t>
            </w:r>
          </w:p>
        </w:tc>
        <w:tc>
          <w:tcPr>
            <w:tcW w:w="1655" w:type="dxa"/>
            <w:tcBorders>
              <w:top w:val="nil"/>
              <w:left w:val="nil"/>
              <w:bottom w:val="single" w:sz="4" w:space="0" w:color="auto"/>
              <w:right w:val="nil"/>
            </w:tcBorders>
            <w:shd w:val="clear" w:color="auto" w:fill="auto"/>
            <w:noWrap/>
            <w:vAlign w:val="bottom"/>
            <w:hideMark/>
          </w:tcPr>
          <w:p w14:paraId="4D4EB847"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7</w:t>
            </w:r>
          </w:p>
        </w:tc>
        <w:tc>
          <w:tcPr>
            <w:tcW w:w="1011" w:type="dxa"/>
            <w:tcBorders>
              <w:top w:val="nil"/>
              <w:left w:val="nil"/>
              <w:bottom w:val="single" w:sz="4" w:space="0" w:color="auto"/>
              <w:right w:val="nil"/>
            </w:tcBorders>
            <w:shd w:val="clear" w:color="auto" w:fill="auto"/>
            <w:noWrap/>
            <w:vAlign w:val="bottom"/>
            <w:hideMark/>
          </w:tcPr>
          <w:p w14:paraId="60006358"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98</w:t>
            </w:r>
          </w:p>
        </w:tc>
      </w:tr>
      <w:tr w:rsidR="00F85178" w:rsidRPr="00F85178" w14:paraId="03741291"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5784150F"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Č. Budějovice</w:t>
            </w:r>
          </w:p>
        </w:tc>
        <w:tc>
          <w:tcPr>
            <w:tcW w:w="1264" w:type="dxa"/>
            <w:tcBorders>
              <w:top w:val="nil"/>
              <w:left w:val="nil"/>
              <w:bottom w:val="single" w:sz="4" w:space="0" w:color="auto"/>
              <w:right w:val="nil"/>
            </w:tcBorders>
            <w:shd w:val="clear" w:color="auto" w:fill="auto"/>
            <w:noWrap/>
            <w:vAlign w:val="bottom"/>
            <w:hideMark/>
          </w:tcPr>
          <w:p w14:paraId="0128CCE0"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56</w:t>
            </w:r>
          </w:p>
        </w:tc>
        <w:tc>
          <w:tcPr>
            <w:tcW w:w="1330" w:type="dxa"/>
            <w:tcBorders>
              <w:top w:val="nil"/>
              <w:left w:val="nil"/>
              <w:bottom w:val="single" w:sz="4" w:space="0" w:color="auto"/>
              <w:right w:val="nil"/>
            </w:tcBorders>
            <w:shd w:val="clear" w:color="auto" w:fill="auto"/>
            <w:noWrap/>
            <w:vAlign w:val="bottom"/>
            <w:hideMark/>
          </w:tcPr>
          <w:p w14:paraId="15485A7C"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37</w:t>
            </w:r>
          </w:p>
        </w:tc>
        <w:tc>
          <w:tcPr>
            <w:tcW w:w="1620" w:type="dxa"/>
            <w:tcBorders>
              <w:top w:val="nil"/>
              <w:left w:val="nil"/>
              <w:bottom w:val="single" w:sz="4" w:space="0" w:color="auto"/>
              <w:right w:val="nil"/>
            </w:tcBorders>
            <w:shd w:val="clear" w:color="auto" w:fill="auto"/>
            <w:noWrap/>
            <w:vAlign w:val="bottom"/>
            <w:hideMark/>
          </w:tcPr>
          <w:p w14:paraId="13C407DD"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14</w:t>
            </w:r>
          </w:p>
        </w:tc>
        <w:tc>
          <w:tcPr>
            <w:tcW w:w="1655" w:type="dxa"/>
            <w:tcBorders>
              <w:top w:val="nil"/>
              <w:left w:val="nil"/>
              <w:bottom w:val="single" w:sz="4" w:space="0" w:color="auto"/>
              <w:right w:val="nil"/>
            </w:tcBorders>
            <w:shd w:val="clear" w:color="auto" w:fill="auto"/>
            <w:noWrap/>
            <w:vAlign w:val="bottom"/>
            <w:hideMark/>
          </w:tcPr>
          <w:p w14:paraId="626E6CD5"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5</w:t>
            </w:r>
          </w:p>
        </w:tc>
        <w:tc>
          <w:tcPr>
            <w:tcW w:w="1011" w:type="dxa"/>
            <w:tcBorders>
              <w:top w:val="nil"/>
              <w:left w:val="nil"/>
              <w:bottom w:val="single" w:sz="4" w:space="0" w:color="auto"/>
              <w:right w:val="nil"/>
            </w:tcBorders>
            <w:shd w:val="clear" w:color="auto" w:fill="auto"/>
            <w:noWrap/>
            <w:vAlign w:val="bottom"/>
            <w:hideMark/>
          </w:tcPr>
          <w:p w14:paraId="41520AC6"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56</w:t>
            </w:r>
          </w:p>
        </w:tc>
      </w:tr>
      <w:tr w:rsidR="00F85178" w:rsidRPr="00F85178" w14:paraId="6FE91253"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16F906D7"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Plzeň</w:t>
            </w:r>
          </w:p>
        </w:tc>
        <w:tc>
          <w:tcPr>
            <w:tcW w:w="1264" w:type="dxa"/>
            <w:tcBorders>
              <w:top w:val="nil"/>
              <w:left w:val="nil"/>
              <w:bottom w:val="single" w:sz="4" w:space="0" w:color="auto"/>
              <w:right w:val="nil"/>
            </w:tcBorders>
            <w:shd w:val="clear" w:color="auto" w:fill="auto"/>
            <w:noWrap/>
            <w:vAlign w:val="bottom"/>
            <w:hideMark/>
          </w:tcPr>
          <w:p w14:paraId="6A88287D"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86</w:t>
            </w:r>
          </w:p>
        </w:tc>
        <w:tc>
          <w:tcPr>
            <w:tcW w:w="1330" w:type="dxa"/>
            <w:tcBorders>
              <w:top w:val="nil"/>
              <w:left w:val="nil"/>
              <w:bottom w:val="single" w:sz="4" w:space="0" w:color="auto"/>
              <w:right w:val="nil"/>
            </w:tcBorders>
            <w:shd w:val="clear" w:color="auto" w:fill="auto"/>
            <w:noWrap/>
            <w:vAlign w:val="bottom"/>
            <w:hideMark/>
          </w:tcPr>
          <w:p w14:paraId="04864112"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44</w:t>
            </w:r>
          </w:p>
        </w:tc>
        <w:tc>
          <w:tcPr>
            <w:tcW w:w="1620" w:type="dxa"/>
            <w:tcBorders>
              <w:top w:val="nil"/>
              <w:left w:val="nil"/>
              <w:bottom w:val="single" w:sz="4" w:space="0" w:color="auto"/>
              <w:right w:val="nil"/>
            </w:tcBorders>
            <w:shd w:val="clear" w:color="auto" w:fill="auto"/>
            <w:noWrap/>
            <w:vAlign w:val="bottom"/>
            <w:hideMark/>
          </w:tcPr>
          <w:p w14:paraId="2D7AF41B"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22</w:t>
            </w:r>
          </w:p>
        </w:tc>
        <w:tc>
          <w:tcPr>
            <w:tcW w:w="1655" w:type="dxa"/>
            <w:tcBorders>
              <w:top w:val="nil"/>
              <w:left w:val="nil"/>
              <w:bottom w:val="single" w:sz="4" w:space="0" w:color="auto"/>
              <w:right w:val="nil"/>
            </w:tcBorders>
            <w:shd w:val="clear" w:color="auto" w:fill="auto"/>
            <w:noWrap/>
            <w:vAlign w:val="bottom"/>
            <w:hideMark/>
          </w:tcPr>
          <w:p w14:paraId="60F37BDC"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7</w:t>
            </w:r>
          </w:p>
        </w:tc>
        <w:tc>
          <w:tcPr>
            <w:tcW w:w="1011" w:type="dxa"/>
            <w:tcBorders>
              <w:top w:val="nil"/>
              <w:left w:val="nil"/>
              <w:bottom w:val="single" w:sz="4" w:space="0" w:color="auto"/>
              <w:right w:val="nil"/>
            </w:tcBorders>
            <w:shd w:val="clear" w:color="auto" w:fill="auto"/>
            <w:noWrap/>
            <w:vAlign w:val="bottom"/>
            <w:hideMark/>
          </w:tcPr>
          <w:p w14:paraId="77E38EC5"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73</w:t>
            </w:r>
          </w:p>
        </w:tc>
      </w:tr>
      <w:tr w:rsidR="00F85178" w:rsidRPr="00F85178" w14:paraId="38E52664"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5B70F69B"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Ústí n. Labem</w:t>
            </w:r>
          </w:p>
        </w:tc>
        <w:tc>
          <w:tcPr>
            <w:tcW w:w="1264" w:type="dxa"/>
            <w:tcBorders>
              <w:top w:val="nil"/>
              <w:left w:val="nil"/>
              <w:bottom w:val="single" w:sz="4" w:space="0" w:color="auto"/>
              <w:right w:val="nil"/>
            </w:tcBorders>
            <w:shd w:val="clear" w:color="auto" w:fill="auto"/>
            <w:noWrap/>
            <w:vAlign w:val="bottom"/>
            <w:hideMark/>
          </w:tcPr>
          <w:p w14:paraId="17B18D46"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130</w:t>
            </w:r>
          </w:p>
        </w:tc>
        <w:tc>
          <w:tcPr>
            <w:tcW w:w="1330" w:type="dxa"/>
            <w:tcBorders>
              <w:top w:val="nil"/>
              <w:left w:val="nil"/>
              <w:bottom w:val="single" w:sz="4" w:space="0" w:color="auto"/>
              <w:right w:val="nil"/>
            </w:tcBorders>
            <w:shd w:val="clear" w:color="auto" w:fill="auto"/>
            <w:noWrap/>
            <w:vAlign w:val="bottom"/>
            <w:hideMark/>
          </w:tcPr>
          <w:p w14:paraId="11857EAA"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82</w:t>
            </w:r>
          </w:p>
        </w:tc>
        <w:tc>
          <w:tcPr>
            <w:tcW w:w="1620" w:type="dxa"/>
            <w:tcBorders>
              <w:top w:val="nil"/>
              <w:left w:val="nil"/>
              <w:bottom w:val="single" w:sz="4" w:space="0" w:color="auto"/>
              <w:right w:val="nil"/>
            </w:tcBorders>
            <w:shd w:val="clear" w:color="auto" w:fill="auto"/>
            <w:noWrap/>
            <w:vAlign w:val="bottom"/>
            <w:hideMark/>
          </w:tcPr>
          <w:p w14:paraId="4958F721"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25</w:t>
            </w:r>
          </w:p>
        </w:tc>
        <w:tc>
          <w:tcPr>
            <w:tcW w:w="1655" w:type="dxa"/>
            <w:tcBorders>
              <w:top w:val="nil"/>
              <w:left w:val="nil"/>
              <w:bottom w:val="single" w:sz="4" w:space="0" w:color="auto"/>
              <w:right w:val="nil"/>
            </w:tcBorders>
            <w:shd w:val="clear" w:color="auto" w:fill="auto"/>
            <w:noWrap/>
            <w:vAlign w:val="bottom"/>
            <w:hideMark/>
          </w:tcPr>
          <w:p w14:paraId="750D8FBE"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5</w:t>
            </w:r>
          </w:p>
        </w:tc>
        <w:tc>
          <w:tcPr>
            <w:tcW w:w="1011" w:type="dxa"/>
            <w:tcBorders>
              <w:top w:val="nil"/>
              <w:left w:val="nil"/>
              <w:bottom w:val="single" w:sz="4" w:space="0" w:color="auto"/>
              <w:right w:val="nil"/>
            </w:tcBorders>
            <w:shd w:val="clear" w:color="auto" w:fill="auto"/>
            <w:noWrap/>
            <w:vAlign w:val="bottom"/>
            <w:hideMark/>
          </w:tcPr>
          <w:p w14:paraId="2450554D"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112</w:t>
            </w:r>
          </w:p>
        </w:tc>
      </w:tr>
      <w:tr w:rsidR="00F85178" w:rsidRPr="00F85178" w14:paraId="721EC3B0"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49FEA5BE"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Hr. Králové</w:t>
            </w:r>
          </w:p>
        </w:tc>
        <w:tc>
          <w:tcPr>
            <w:tcW w:w="1264" w:type="dxa"/>
            <w:tcBorders>
              <w:top w:val="nil"/>
              <w:left w:val="nil"/>
              <w:bottom w:val="single" w:sz="4" w:space="0" w:color="auto"/>
              <w:right w:val="nil"/>
            </w:tcBorders>
            <w:shd w:val="clear" w:color="auto" w:fill="auto"/>
            <w:noWrap/>
            <w:vAlign w:val="bottom"/>
            <w:hideMark/>
          </w:tcPr>
          <w:p w14:paraId="49293494"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91</w:t>
            </w:r>
          </w:p>
        </w:tc>
        <w:tc>
          <w:tcPr>
            <w:tcW w:w="1330" w:type="dxa"/>
            <w:tcBorders>
              <w:top w:val="nil"/>
              <w:left w:val="nil"/>
              <w:bottom w:val="single" w:sz="4" w:space="0" w:color="auto"/>
              <w:right w:val="nil"/>
            </w:tcBorders>
            <w:shd w:val="clear" w:color="auto" w:fill="auto"/>
            <w:noWrap/>
            <w:vAlign w:val="bottom"/>
            <w:hideMark/>
          </w:tcPr>
          <w:p w14:paraId="4CD2E157"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56</w:t>
            </w:r>
          </w:p>
        </w:tc>
        <w:tc>
          <w:tcPr>
            <w:tcW w:w="1620" w:type="dxa"/>
            <w:tcBorders>
              <w:top w:val="nil"/>
              <w:left w:val="nil"/>
              <w:bottom w:val="single" w:sz="4" w:space="0" w:color="auto"/>
              <w:right w:val="nil"/>
            </w:tcBorders>
            <w:shd w:val="clear" w:color="auto" w:fill="auto"/>
            <w:noWrap/>
            <w:vAlign w:val="bottom"/>
            <w:hideMark/>
          </w:tcPr>
          <w:p w14:paraId="511B9CB3"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19</w:t>
            </w:r>
          </w:p>
        </w:tc>
        <w:tc>
          <w:tcPr>
            <w:tcW w:w="1655" w:type="dxa"/>
            <w:tcBorders>
              <w:top w:val="nil"/>
              <w:left w:val="nil"/>
              <w:bottom w:val="single" w:sz="4" w:space="0" w:color="auto"/>
              <w:right w:val="nil"/>
            </w:tcBorders>
            <w:shd w:val="clear" w:color="auto" w:fill="auto"/>
            <w:noWrap/>
            <w:vAlign w:val="bottom"/>
            <w:hideMark/>
          </w:tcPr>
          <w:p w14:paraId="2B574D8E"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10</w:t>
            </w:r>
          </w:p>
        </w:tc>
        <w:tc>
          <w:tcPr>
            <w:tcW w:w="1011" w:type="dxa"/>
            <w:tcBorders>
              <w:top w:val="nil"/>
              <w:left w:val="nil"/>
              <w:bottom w:val="single" w:sz="4" w:space="0" w:color="auto"/>
              <w:right w:val="nil"/>
            </w:tcBorders>
            <w:shd w:val="clear" w:color="auto" w:fill="auto"/>
            <w:noWrap/>
            <w:vAlign w:val="bottom"/>
            <w:hideMark/>
          </w:tcPr>
          <w:p w14:paraId="4F4701D9"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85</w:t>
            </w:r>
          </w:p>
        </w:tc>
      </w:tr>
      <w:tr w:rsidR="00F85178" w:rsidRPr="00F85178" w14:paraId="3C533032" w14:textId="77777777" w:rsidTr="0044511D">
        <w:trPr>
          <w:trHeight w:val="315"/>
        </w:trPr>
        <w:tc>
          <w:tcPr>
            <w:tcW w:w="2000" w:type="dxa"/>
            <w:tcBorders>
              <w:top w:val="nil"/>
              <w:left w:val="nil"/>
              <w:bottom w:val="single" w:sz="4" w:space="0" w:color="auto"/>
              <w:right w:val="nil"/>
            </w:tcBorders>
            <w:shd w:val="clear" w:color="auto" w:fill="auto"/>
            <w:noWrap/>
            <w:vAlign w:val="bottom"/>
            <w:hideMark/>
          </w:tcPr>
          <w:p w14:paraId="21461952"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Brno</w:t>
            </w:r>
          </w:p>
        </w:tc>
        <w:tc>
          <w:tcPr>
            <w:tcW w:w="1264" w:type="dxa"/>
            <w:tcBorders>
              <w:top w:val="nil"/>
              <w:left w:val="nil"/>
              <w:bottom w:val="single" w:sz="4" w:space="0" w:color="auto"/>
              <w:right w:val="nil"/>
            </w:tcBorders>
            <w:shd w:val="clear" w:color="auto" w:fill="auto"/>
            <w:noWrap/>
            <w:vAlign w:val="bottom"/>
            <w:hideMark/>
          </w:tcPr>
          <w:p w14:paraId="1946254D"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165</w:t>
            </w:r>
          </w:p>
        </w:tc>
        <w:tc>
          <w:tcPr>
            <w:tcW w:w="1330" w:type="dxa"/>
            <w:tcBorders>
              <w:top w:val="nil"/>
              <w:left w:val="nil"/>
              <w:bottom w:val="single" w:sz="4" w:space="0" w:color="auto"/>
              <w:right w:val="nil"/>
            </w:tcBorders>
            <w:shd w:val="clear" w:color="auto" w:fill="auto"/>
            <w:noWrap/>
            <w:vAlign w:val="bottom"/>
            <w:hideMark/>
          </w:tcPr>
          <w:p w14:paraId="3311AB87"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115</w:t>
            </w:r>
          </w:p>
        </w:tc>
        <w:tc>
          <w:tcPr>
            <w:tcW w:w="1620" w:type="dxa"/>
            <w:tcBorders>
              <w:top w:val="nil"/>
              <w:left w:val="nil"/>
              <w:bottom w:val="single" w:sz="4" w:space="0" w:color="auto"/>
              <w:right w:val="nil"/>
            </w:tcBorders>
            <w:shd w:val="clear" w:color="auto" w:fill="auto"/>
            <w:noWrap/>
            <w:vAlign w:val="bottom"/>
            <w:hideMark/>
          </w:tcPr>
          <w:p w14:paraId="47EE287E"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35</w:t>
            </w:r>
          </w:p>
        </w:tc>
        <w:tc>
          <w:tcPr>
            <w:tcW w:w="1655" w:type="dxa"/>
            <w:tcBorders>
              <w:top w:val="nil"/>
              <w:left w:val="nil"/>
              <w:bottom w:val="single" w:sz="4" w:space="0" w:color="auto"/>
              <w:right w:val="nil"/>
            </w:tcBorders>
            <w:shd w:val="clear" w:color="auto" w:fill="auto"/>
            <w:noWrap/>
            <w:vAlign w:val="bottom"/>
            <w:hideMark/>
          </w:tcPr>
          <w:p w14:paraId="16944A6F"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17</w:t>
            </w:r>
          </w:p>
        </w:tc>
        <w:tc>
          <w:tcPr>
            <w:tcW w:w="1011" w:type="dxa"/>
            <w:tcBorders>
              <w:top w:val="nil"/>
              <w:left w:val="nil"/>
              <w:bottom w:val="single" w:sz="4" w:space="0" w:color="auto"/>
              <w:right w:val="nil"/>
            </w:tcBorders>
            <w:shd w:val="clear" w:color="auto" w:fill="auto"/>
            <w:noWrap/>
            <w:vAlign w:val="bottom"/>
            <w:hideMark/>
          </w:tcPr>
          <w:p w14:paraId="51F843F0"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167</w:t>
            </w:r>
          </w:p>
        </w:tc>
      </w:tr>
      <w:tr w:rsidR="00F85178" w:rsidRPr="00F85178" w14:paraId="0E493F9A" w14:textId="77777777" w:rsidTr="0044511D">
        <w:trPr>
          <w:trHeight w:val="330"/>
        </w:trPr>
        <w:tc>
          <w:tcPr>
            <w:tcW w:w="2000" w:type="dxa"/>
            <w:tcBorders>
              <w:top w:val="nil"/>
              <w:left w:val="nil"/>
              <w:bottom w:val="double" w:sz="6" w:space="0" w:color="auto"/>
              <w:right w:val="nil"/>
            </w:tcBorders>
            <w:shd w:val="clear" w:color="auto" w:fill="auto"/>
            <w:noWrap/>
            <w:vAlign w:val="bottom"/>
            <w:hideMark/>
          </w:tcPr>
          <w:p w14:paraId="5E6CB81E" w14:textId="77777777" w:rsidR="0044511D" w:rsidRPr="00F85178" w:rsidRDefault="0044511D" w:rsidP="0044511D">
            <w:pPr>
              <w:spacing w:line="240" w:lineRule="auto"/>
              <w:jc w:val="left"/>
              <w:rPr>
                <w:rFonts w:eastAsia="Times New Roman"/>
                <w:szCs w:val="24"/>
                <w:lang w:eastAsia="cs-CZ"/>
              </w:rPr>
            </w:pPr>
            <w:r w:rsidRPr="00F85178">
              <w:rPr>
                <w:rFonts w:eastAsia="Times New Roman"/>
                <w:szCs w:val="24"/>
                <w:lang w:eastAsia="cs-CZ"/>
              </w:rPr>
              <w:t>KS Ostrava</w:t>
            </w:r>
          </w:p>
        </w:tc>
        <w:tc>
          <w:tcPr>
            <w:tcW w:w="1264" w:type="dxa"/>
            <w:tcBorders>
              <w:top w:val="nil"/>
              <w:left w:val="nil"/>
              <w:bottom w:val="double" w:sz="6" w:space="0" w:color="auto"/>
              <w:right w:val="nil"/>
            </w:tcBorders>
            <w:shd w:val="clear" w:color="auto" w:fill="auto"/>
            <w:noWrap/>
            <w:vAlign w:val="bottom"/>
            <w:hideMark/>
          </w:tcPr>
          <w:p w14:paraId="0BE03B75"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160</w:t>
            </w:r>
          </w:p>
        </w:tc>
        <w:tc>
          <w:tcPr>
            <w:tcW w:w="1330" w:type="dxa"/>
            <w:tcBorders>
              <w:top w:val="nil"/>
              <w:left w:val="nil"/>
              <w:bottom w:val="double" w:sz="6" w:space="0" w:color="auto"/>
              <w:right w:val="nil"/>
            </w:tcBorders>
            <w:shd w:val="clear" w:color="auto" w:fill="auto"/>
            <w:noWrap/>
            <w:vAlign w:val="bottom"/>
            <w:hideMark/>
          </w:tcPr>
          <w:p w14:paraId="3455A1D7"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88</w:t>
            </w:r>
          </w:p>
        </w:tc>
        <w:tc>
          <w:tcPr>
            <w:tcW w:w="1620" w:type="dxa"/>
            <w:tcBorders>
              <w:top w:val="nil"/>
              <w:left w:val="nil"/>
              <w:bottom w:val="double" w:sz="6" w:space="0" w:color="auto"/>
              <w:right w:val="nil"/>
            </w:tcBorders>
            <w:shd w:val="clear" w:color="auto" w:fill="auto"/>
            <w:noWrap/>
            <w:vAlign w:val="bottom"/>
            <w:hideMark/>
          </w:tcPr>
          <w:p w14:paraId="542E80A2"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46</w:t>
            </w:r>
          </w:p>
        </w:tc>
        <w:tc>
          <w:tcPr>
            <w:tcW w:w="1655" w:type="dxa"/>
            <w:tcBorders>
              <w:top w:val="nil"/>
              <w:left w:val="nil"/>
              <w:bottom w:val="double" w:sz="6" w:space="0" w:color="auto"/>
              <w:right w:val="nil"/>
            </w:tcBorders>
            <w:shd w:val="clear" w:color="auto" w:fill="auto"/>
            <w:noWrap/>
            <w:vAlign w:val="bottom"/>
            <w:hideMark/>
          </w:tcPr>
          <w:p w14:paraId="1709A44A"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10</w:t>
            </w:r>
          </w:p>
        </w:tc>
        <w:tc>
          <w:tcPr>
            <w:tcW w:w="1011" w:type="dxa"/>
            <w:tcBorders>
              <w:top w:val="nil"/>
              <w:left w:val="nil"/>
              <w:bottom w:val="double" w:sz="6" w:space="0" w:color="auto"/>
              <w:right w:val="nil"/>
            </w:tcBorders>
            <w:shd w:val="clear" w:color="auto" w:fill="auto"/>
            <w:noWrap/>
            <w:vAlign w:val="bottom"/>
            <w:hideMark/>
          </w:tcPr>
          <w:p w14:paraId="67F071C3" w14:textId="77777777" w:rsidR="0044511D" w:rsidRPr="00F85178" w:rsidRDefault="0044511D" w:rsidP="0044511D">
            <w:pPr>
              <w:spacing w:line="240" w:lineRule="auto"/>
              <w:jc w:val="center"/>
              <w:rPr>
                <w:rFonts w:eastAsia="Times New Roman"/>
                <w:szCs w:val="24"/>
                <w:lang w:eastAsia="cs-CZ"/>
              </w:rPr>
            </w:pPr>
            <w:r w:rsidRPr="00F85178">
              <w:rPr>
                <w:rFonts w:eastAsia="Times New Roman"/>
                <w:szCs w:val="24"/>
                <w:lang w:eastAsia="cs-CZ"/>
              </w:rPr>
              <w:t>144</w:t>
            </w:r>
          </w:p>
        </w:tc>
      </w:tr>
      <w:tr w:rsidR="0044511D" w:rsidRPr="00F85178" w14:paraId="2212A3D0" w14:textId="77777777" w:rsidTr="0044511D">
        <w:trPr>
          <w:trHeight w:val="345"/>
        </w:trPr>
        <w:tc>
          <w:tcPr>
            <w:tcW w:w="2000" w:type="dxa"/>
            <w:tcBorders>
              <w:top w:val="nil"/>
              <w:left w:val="nil"/>
              <w:bottom w:val="double" w:sz="6" w:space="0" w:color="auto"/>
              <w:right w:val="nil"/>
            </w:tcBorders>
            <w:shd w:val="clear" w:color="auto" w:fill="auto"/>
            <w:noWrap/>
            <w:vAlign w:val="bottom"/>
            <w:hideMark/>
          </w:tcPr>
          <w:p w14:paraId="2B19B0CB" w14:textId="77777777" w:rsidR="0044511D" w:rsidRPr="00F85178" w:rsidRDefault="0044511D" w:rsidP="0044511D">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64" w:type="dxa"/>
            <w:tcBorders>
              <w:top w:val="nil"/>
              <w:left w:val="nil"/>
              <w:bottom w:val="double" w:sz="6" w:space="0" w:color="auto"/>
              <w:right w:val="nil"/>
            </w:tcBorders>
            <w:shd w:val="clear" w:color="auto" w:fill="auto"/>
            <w:noWrap/>
            <w:vAlign w:val="bottom"/>
            <w:hideMark/>
          </w:tcPr>
          <w:p w14:paraId="13A017EB"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1057</w:t>
            </w:r>
          </w:p>
        </w:tc>
        <w:tc>
          <w:tcPr>
            <w:tcW w:w="1330" w:type="dxa"/>
            <w:tcBorders>
              <w:top w:val="nil"/>
              <w:left w:val="nil"/>
              <w:bottom w:val="double" w:sz="6" w:space="0" w:color="auto"/>
              <w:right w:val="nil"/>
            </w:tcBorders>
            <w:shd w:val="clear" w:color="auto" w:fill="auto"/>
            <w:noWrap/>
            <w:vAlign w:val="bottom"/>
            <w:hideMark/>
          </w:tcPr>
          <w:p w14:paraId="7FC24060"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637</w:t>
            </w:r>
          </w:p>
        </w:tc>
        <w:tc>
          <w:tcPr>
            <w:tcW w:w="1620" w:type="dxa"/>
            <w:tcBorders>
              <w:top w:val="nil"/>
              <w:left w:val="nil"/>
              <w:bottom w:val="double" w:sz="6" w:space="0" w:color="auto"/>
              <w:right w:val="nil"/>
            </w:tcBorders>
            <w:shd w:val="clear" w:color="auto" w:fill="auto"/>
            <w:noWrap/>
            <w:vAlign w:val="bottom"/>
            <w:hideMark/>
          </w:tcPr>
          <w:p w14:paraId="5A2C90F2"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229</w:t>
            </w:r>
          </w:p>
        </w:tc>
        <w:tc>
          <w:tcPr>
            <w:tcW w:w="1655" w:type="dxa"/>
            <w:tcBorders>
              <w:top w:val="nil"/>
              <w:left w:val="nil"/>
              <w:bottom w:val="double" w:sz="6" w:space="0" w:color="auto"/>
              <w:right w:val="nil"/>
            </w:tcBorders>
            <w:shd w:val="clear" w:color="auto" w:fill="auto"/>
            <w:noWrap/>
            <w:vAlign w:val="bottom"/>
            <w:hideMark/>
          </w:tcPr>
          <w:p w14:paraId="7AC1674E"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88</w:t>
            </w:r>
          </w:p>
        </w:tc>
        <w:tc>
          <w:tcPr>
            <w:tcW w:w="1011" w:type="dxa"/>
            <w:tcBorders>
              <w:top w:val="nil"/>
              <w:left w:val="nil"/>
              <w:bottom w:val="double" w:sz="6" w:space="0" w:color="auto"/>
              <w:right w:val="nil"/>
            </w:tcBorders>
            <w:shd w:val="clear" w:color="auto" w:fill="auto"/>
            <w:noWrap/>
            <w:vAlign w:val="bottom"/>
            <w:hideMark/>
          </w:tcPr>
          <w:p w14:paraId="68A521E8" w14:textId="77777777" w:rsidR="0044511D" w:rsidRPr="00F85178" w:rsidRDefault="0044511D" w:rsidP="0044511D">
            <w:pPr>
              <w:spacing w:line="240" w:lineRule="auto"/>
              <w:jc w:val="center"/>
              <w:rPr>
                <w:rFonts w:eastAsia="Times New Roman"/>
                <w:b/>
                <w:bCs/>
                <w:szCs w:val="24"/>
                <w:lang w:eastAsia="cs-CZ"/>
              </w:rPr>
            </w:pPr>
            <w:r w:rsidRPr="00F85178">
              <w:rPr>
                <w:rFonts w:eastAsia="Times New Roman"/>
                <w:b/>
                <w:bCs/>
                <w:szCs w:val="24"/>
                <w:lang w:eastAsia="cs-CZ"/>
              </w:rPr>
              <w:t>954</w:t>
            </w:r>
          </w:p>
        </w:tc>
      </w:tr>
    </w:tbl>
    <w:p w14:paraId="402336EF" w14:textId="77777777" w:rsidR="0044511D" w:rsidRPr="00F85178" w:rsidRDefault="0044511D" w:rsidP="00770E8A"/>
    <w:p w14:paraId="21FF3688" w14:textId="77777777" w:rsidR="00C220E9" w:rsidRPr="00F85178" w:rsidRDefault="004835EE" w:rsidP="00710023">
      <w:pPr>
        <w:pStyle w:val="OdstavecASR"/>
      </w:pPr>
      <w:r w:rsidRPr="00F85178">
        <w:t xml:space="preserve">Jak již bylo konstatováno, evidenční počet soudců u KS za celou ČR v posledních dvou letech mírně stoupal a </w:t>
      </w:r>
      <w:r w:rsidR="00D76572" w:rsidRPr="00F85178">
        <w:t xml:space="preserve">velmi </w:t>
      </w:r>
      <w:r w:rsidRPr="00F85178">
        <w:t>mírné pohyby jsou mezi jednotlivými KS.</w:t>
      </w:r>
      <w:r w:rsidR="000B2E99" w:rsidRPr="00F85178">
        <w:t xml:space="preserve"> </w:t>
      </w:r>
      <w:r w:rsidR="00710023" w:rsidRPr="00F85178">
        <w:t>Poměry mezi velikostmi úseků jsou u všech krajských soudů podobné. Existují zde ale určité odchylky, například MS v Praze má relativně menší trestní úsek. Jak je z tabulky patrné, největší je MS Praha a nejmenší je KS České Budějovice. MS Praha je asi čtyřikrát větší než KS České Budějovice.</w:t>
      </w:r>
    </w:p>
    <w:p w14:paraId="56DBD2BA" w14:textId="77777777" w:rsidR="00710023" w:rsidRPr="00F85178" w:rsidRDefault="00710023" w:rsidP="00710023">
      <w:pPr>
        <w:pStyle w:val="OdstavecASR"/>
      </w:pPr>
      <w:r w:rsidRPr="00F85178">
        <w:t>Velikost soudů (počet soudců) je stejně jako u OS určena dle systemizace, zohledňuje tedy počet napadlých věcí. Ten pak vyplývá z ukazatelů, jako je počet obyvatel, nezaměstnanost apod.</w:t>
      </w:r>
    </w:p>
    <w:p w14:paraId="4A3002CF" w14:textId="77777777" w:rsidR="00710023" w:rsidRPr="00F85178" w:rsidRDefault="00710023" w:rsidP="00710023">
      <w:pPr>
        <w:pStyle w:val="OdstavecASR"/>
      </w:pPr>
      <w:r w:rsidRPr="00F85178">
        <w:t>Další graf a tabulka zobrazují podíl žen v soudnictví v časových řadách a podle soudů.</w:t>
      </w:r>
    </w:p>
    <w:p w14:paraId="2EE8A5DA" w14:textId="77777777" w:rsidR="0044511D" w:rsidRPr="00F85178" w:rsidRDefault="00711402" w:rsidP="00711402">
      <w:pPr>
        <w:pStyle w:val="Podtitul"/>
        <w:rPr>
          <w:color w:val="auto"/>
        </w:rPr>
      </w:pPr>
      <w:bookmarkStart w:id="328" w:name="_Toc515871378"/>
      <w:bookmarkStart w:id="329" w:name="_Toc11135109"/>
      <w:bookmarkStart w:id="330" w:name="_Toc1383754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48</w:t>
      </w:r>
      <w:r w:rsidRPr="00F85178">
        <w:rPr>
          <w:noProof/>
          <w:color w:val="auto"/>
        </w:rPr>
        <w:fldChar w:fldCharType="end"/>
      </w:r>
      <w:r w:rsidRPr="00F85178">
        <w:rPr>
          <w:color w:val="auto"/>
        </w:rPr>
        <w:t>: KS – evidenční počet soudců dle pohlaví v letech 2008–201</w:t>
      </w:r>
      <w:bookmarkEnd w:id="328"/>
      <w:r w:rsidRPr="00F85178">
        <w:rPr>
          <w:color w:val="auto"/>
        </w:rPr>
        <w:t>8</w:t>
      </w:r>
      <w:bookmarkEnd w:id="329"/>
      <w:bookmarkEnd w:id="330"/>
    </w:p>
    <w:p w14:paraId="2E2F7031" w14:textId="77777777" w:rsidR="00711402" w:rsidRPr="00F85178" w:rsidRDefault="00890295" w:rsidP="00770E8A">
      <w:r>
        <w:rPr>
          <w:noProof/>
          <w:lang w:eastAsia="cs-CZ"/>
        </w:rPr>
        <w:drawing>
          <wp:inline distT="0" distB="0" distL="0" distR="0" wp14:anchorId="22A4AA4A" wp14:editId="2225A889">
            <wp:extent cx="5118100" cy="3746500"/>
            <wp:effectExtent l="0" t="0" r="0" b="0"/>
            <wp:docPr id="51" name="Obrázek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1"/>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CEFD307" w14:textId="77777777" w:rsidR="00711402" w:rsidRPr="00F85178" w:rsidRDefault="00711402" w:rsidP="00711402">
      <w:pPr>
        <w:pStyle w:val="Podtitul"/>
        <w:rPr>
          <w:color w:val="auto"/>
        </w:rPr>
      </w:pPr>
      <w:bookmarkStart w:id="331" w:name="_Toc515871465"/>
      <w:bookmarkStart w:id="332" w:name="_Toc11133232"/>
      <w:bookmarkStart w:id="333" w:name="_Toc13837453"/>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30</w:t>
      </w:r>
      <w:r w:rsidRPr="00F85178">
        <w:rPr>
          <w:noProof/>
          <w:color w:val="auto"/>
        </w:rPr>
        <w:fldChar w:fldCharType="end"/>
      </w:r>
      <w:r w:rsidRPr="00F85178">
        <w:rPr>
          <w:color w:val="auto"/>
        </w:rPr>
        <w:t>: KS – evidenční počet soudců dle pohlaví a soudů</w:t>
      </w:r>
      <w:bookmarkEnd w:id="331"/>
      <w:bookmarkEnd w:id="332"/>
      <w:bookmarkEnd w:id="333"/>
    </w:p>
    <w:tbl>
      <w:tblPr>
        <w:tblW w:w="6800" w:type="dxa"/>
        <w:tblCellMar>
          <w:left w:w="70" w:type="dxa"/>
          <w:right w:w="70" w:type="dxa"/>
        </w:tblCellMar>
        <w:tblLook w:val="04A0" w:firstRow="1" w:lastRow="0" w:firstColumn="1" w:lastColumn="0" w:noHBand="0" w:noVBand="1"/>
      </w:tblPr>
      <w:tblGrid>
        <w:gridCol w:w="2480"/>
        <w:gridCol w:w="1113"/>
        <w:gridCol w:w="1607"/>
        <w:gridCol w:w="1600"/>
      </w:tblGrid>
      <w:tr w:rsidR="00F85178" w:rsidRPr="00F85178" w14:paraId="5C36DE86" w14:textId="77777777" w:rsidTr="00711402">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477F9B78"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2720" w:type="dxa"/>
            <w:gridSpan w:val="2"/>
            <w:tcBorders>
              <w:top w:val="double" w:sz="6" w:space="0" w:color="auto"/>
              <w:left w:val="nil"/>
              <w:bottom w:val="nil"/>
              <w:right w:val="nil"/>
            </w:tcBorders>
            <w:shd w:val="clear" w:color="auto" w:fill="auto"/>
            <w:noWrap/>
            <w:vAlign w:val="center"/>
            <w:hideMark/>
          </w:tcPr>
          <w:p w14:paraId="057C220A"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Evidenční počet</w:t>
            </w:r>
          </w:p>
        </w:tc>
        <w:tc>
          <w:tcPr>
            <w:tcW w:w="1600" w:type="dxa"/>
            <w:vMerge w:val="restart"/>
            <w:tcBorders>
              <w:top w:val="double" w:sz="6" w:space="0" w:color="auto"/>
              <w:left w:val="nil"/>
              <w:bottom w:val="double" w:sz="6" w:space="0" w:color="000000"/>
              <w:right w:val="nil"/>
            </w:tcBorders>
            <w:shd w:val="clear" w:color="auto" w:fill="auto"/>
            <w:vAlign w:val="center"/>
            <w:hideMark/>
          </w:tcPr>
          <w:p w14:paraId="06328C23"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Podíl žen v %</w:t>
            </w:r>
          </w:p>
        </w:tc>
      </w:tr>
      <w:tr w:rsidR="00F85178" w:rsidRPr="00F85178" w14:paraId="38E7CDFA" w14:textId="77777777" w:rsidTr="00711402">
        <w:trPr>
          <w:trHeight w:val="330"/>
        </w:trPr>
        <w:tc>
          <w:tcPr>
            <w:tcW w:w="2480" w:type="dxa"/>
            <w:vMerge/>
            <w:tcBorders>
              <w:top w:val="double" w:sz="6" w:space="0" w:color="auto"/>
              <w:left w:val="nil"/>
              <w:bottom w:val="double" w:sz="6" w:space="0" w:color="000000"/>
              <w:right w:val="nil"/>
            </w:tcBorders>
            <w:vAlign w:val="center"/>
            <w:hideMark/>
          </w:tcPr>
          <w:p w14:paraId="4003A348" w14:textId="77777777" w:rsidR="00711402" w:rsidRPr="00F85178" w:rsidRDefault="00711402" w:rsidP="00711402">
            <w:pPr>
              <w:spacing w:line="240" w:lineRule="auto"/>
              <w:jc w:val="left"/>
              <w:rPr>
                <w:rFonts w:eastAsia="Times New Roman"/>
                <w:b/>
                <w:bCs/>
                <w:szCs w:val="24"/>
                <w:lang w:eastAsia="cs-CZ"/>
              </w:rPr>
            </w:pPr>
          </w:p>
        </w:tc>
        <w:tc>
          <w:tcPr>
            <w:tcW w:w="1113" w:type="dxa"/>
            <w:tcBorders>
              <w:top w:val="nil"/>
              <w:left w:val="nil"/>
              <w:bottom w:val="double" w:sz="6" w:space="0" w:color="auto"/>
              <w:right w:val="nil"/>
            </w:tcBorders>
            <w:shd w:val="clear" w:color="auto" w:fill="auto"/>
            <w:noWrap/>
            <w:vAlign w:val="center"/>
            <w:hideMark/>
          </w:tcPr>
          <w:p w14:paraId="669BCA82"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Žen</w:t>
            </w:r>
          </w:p>
        </w:tc>
        <w:tc>
          <w:tcPr>
            <w:tcW w:w="1607" w:type="dxa"/>
            <w:tcBorders>
              <w:top w:val="nil"/>
              <w:left w:val="nil"/>
              <w:bottom w:val="double" w:sz="6" w:space="0" w:color="auto"/>
              <w:right w:val="nil"/>
            </w:tcBorders>
            <w:shd w:val="clear" w:color="auto" w:fill="auto"/>
            <w:noWrap/>
            <w:vAlign w:val="center"/>
            <w:hideMark/>
          </w:tcPr>
          <w:p w14:paraId="01B4D6C4"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Mužů</w:t>
            </w:r>
          </w:p>
        </w:tc>
        <w:tc>
          <w:tcPr>
            <w:tcW w:w="1600" w:type="dxa"/>
            <w:vMerge/>
            <w:tcBorders>
              <w:top w:val="double" w:sz="6" w:space="0" w:color="auto"/>
              <w:left w:val="nil"/>
              <w:bottom w:val="double" w:sz="6" w:space="0" w:color="000000"/>
              <w:right w:val="nil"/>
            </w:tcBorders>
            <w:vAlign w:val="center"/>
            <w:hideMark/>
          </w:tcPr>
          <w:p w14:paraId="119FC225" w14:textId="77777777" w:rsidR="00711402" w:rsidRPr="00F85178" w:rsidRDefault="00711402" w:rsidP="00711402">
            <w:pPr>
              <w:spacing w:line="240" w:lineRule="auto"/>
              <w:jc w:val="left"/>
              <w:rPr>
                <w:rFonts w:eastAsia="Times New Roman"/>
                <w:b/>
                <w:bCs/>
                <w:szCs w:val="24"/>
                <w:lang w:eastAsia="cs-CZ"/>
              </w:rPr>
            </w:pPr>
          </w:p>
        </w:tc>
      </w:tr>
      <w:tr w:rsidR="00F85178" w:rsidRPr="00F85178" w14:paraId="7D8A718D" w14:textId="77777777" w:rsidTr="00711402">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FD5B3B5"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MS Praha</w:t>
            </w:r>
          </w:p>
        </w:tc>
        <w:tc>
          <w:tcPr>
            <w:tcW w:w="1113" w:type="dxa"/>
            <w:tcBorders>
              <w:top w:val="single" w:sz="4" w:space="0" w:color="auto"/>
              <w:left w:val="nil"/>
              <w:bottom w:val="single" w:sz="4" w:space="0" w:color="auto"/>
              <w:right w:val="nil"/>
            </w:tcBorders>
            <w:shd w:val="clear" w:color="auto" w:fill="auto"/>
            <w:noWrap/>
            <w:vAlign w:val="bottom"/>
            <w:hideMark/>
          </w:tcPr>
          <w:p w14:paraId="345BEFF6"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138</w:t>
            </w:r>
          </w:p>
        </w:tc>
        <w:tc>
          <w:tcPr>
            <w:tcW w:w="1607" w:type="dxa"/>
            <w:tcBorders>
              <w:top w:val="single" w:sz="4" w:space="0" w:color="auto"/>
              <w:left w:val="nil"/>
              <w:bottom w:val="single" w:sz="4" w:space="0" w:color="auto"/>
              <w:right w:val="nil"/>
            </w:tcBorders>
            <w:shd w:val="clear" w:color="auto" w:fill="auto"/>
            <w:noWrap/>
            <w:vAlign w:val="bottom"/>
            <w:hideMark/>
          </w:tcPr>
          <w:p w14:paraId="4611759A"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81</w:t>
            </w:r>
          </w:p>
        </w:tc>
        <w:tc>
          <w:tcPr>
            <w:tcW w:w="1600" w:type="dxa"/>
            <w:tcBorders>
              <w:top w:val="single" w:sz="4" w:space="0" w:color="auto"/>
              <w:left w:val="nil"/>
              <w:bottom w:val="single" w:sz="4" w:space="0" w:color="auto"/>
              <w:right w:val="nil"/>
            </w:tcBorders>
            <w:shd w:val="clear" w:color="auto" w:fill="auto"/>
            <w:noWrap/>
            <w:vAlign w:val="bottom"/>
            <w:hideMark/>
          </w:tcPr>
          <w:p w14:paraId="26D9687E"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63,01</w:t>
            </w:r>
          </w:p>
        </w:tc>
      </w:tr>
      <w:tr w:rsidR="00F85178" w:rsidRPr="00F85178" w14:paraId="7BFC6D19"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43332EE0"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Praha</w:t>
            </w:r>
          </w:p>
        </w:tc>
        <w:tc>
          <w:tcPr>
            <w:tcW w:w="1113" w:type="dxa"/>
            <w:tcBorders>
              <w:top w:val="nil"/>
              <w:left w:val="nil"/>
              <w:bottom w:val="single" w:sz="4" w:space="0" w:color="auto"/>
              <w:right w:val="nil"/>
            </w:tcBorders>
            <w:shd w:val="clear" w:color="auto" w:fill="auto"/>
            <w:noWrap/>
            <w:vAlign w:val="bottom"/>
            <w:hideMark/>
          </w:tcPr>
          <w:p w14:paraId="1D9A1C92"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65</w:t>
            </w:r>
          </w:p>
        </w:tc>
        <w:tc>
          <w:tcPr>
            <w:tcW w:w="1607" w:type="dxa"/>
            <w:tcBorders>
              <w:top w:val="nil"/>
              <w:left w:val="nil"/>
              <w:bottom w:val="single" w:sz="4" w:space="0" w:color="auto"/>
              <w:right w:val="nil"/>
            </w:tcBorders>
            <w:shd w:val="clear" w:color="auto" w:fill="auto"/>
            <w:noWrap/>
            <w:vAlign w:val="bottom"/>
            <w:hideMark/>
          </w:tcPr>
          <w:p w14:paraId="3C46D4AC"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33</w:t>
            </w:r>
          </w:p>
        </w:tc>
        <w:tc>
          <w:tcPr>
            <w:tcW w:w="1600" w:type="dxa"/>
            <w:tcBorders>
              <w:top w:val="nil"/>
              <w:left w:val="nil"/>
              <w:bottom w:val="single" w:sz="4" w:space="0" w:color="auto"/>
              <w:right w:val="nil"/>
            </w:tcBorders>
            <w:shd w:val="clear" w:color="auto" w:fill="auto"/>
            <w:noWrap/>
            <w:vAlign w:val="bottom"/>
            <w:hideMark/>
          </w:tcPr>
          <w:p w14:paraId="045996D7"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66,33</w:t>
            </w:r>
          </w:p>
        </w:tc>
      </w:tr>
      <w:tr w:rsidR="00F85178" w:rsidRPr="00F85178" w14:paraId="69EBB8C0"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1DF264BA"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Č. Budějovice</w:t>
            </w:r>
          </w:p>
        </w:tc>
        <w:tc>
          <w:tcPr>
            <w:tcW w:w="1113" w:type="dxa"/>
            <w:tcBorders>
              <w:top w:val="nil"/>
              <w:left w:val="nil"/>
              <w:bottom w:val="single" w:sz="4" w:space="0" w:color="auto"/>
              <w:right w:val="nil"/>
            </w:tcBorders>
            <w:shd w:val="clear" w:color="auto" w:fill="auto"/>
            <w:noWrap/>
            <w:vAlign w:val="bottom"/>
            <w:hideMark/>
          </w:tcPr>
          <w:p w14:paraId="770EE4CC"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26</w:t>
            </w:r>
          </w:p>
        </w:tc>
        <w:tc>
          <w:tcPr>
            <w:tcW w:w="1607" w:type="dxa"/>
            <w:tcBorders>
              <w:top w:val="nil"/>
              <w:left w:val="nil"/>
              <w:bottom w:val="single" w:sz="4" w:space="0" w:color="auto"/>
              <w:right w:val="nil"/>
            </w:tcBorders>
            <w:shd w:val="clear" w:color="auto" w:fill="auto"/>
            <w:noWrap/>
            <w:vAlign w:val="bottom"/>
            <w:hideMark/>
          </w:tcPr>
          <w:p w14:paraId="116C4CEA"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30</w:t>
            </w:r>
          </w:p>
        </w:tc>
        <w:tc>
          <w:tcPr>
            <w:tcW w:w="1600" w:type="dxa"/>
            <w:tcBorders>
              <w:top w:val="nil"/>
              <w:left w:val="nil"/>
              <w:bottom w:val="single" w:sz="4" w:space="0" w:color="auto"/>
              <w:right w:val="nil"/>
            </w:tcBorders>
            <w:shd w:val="clear" w:color="auto" w:fill="auto"/>
            <w:noWrap/>
            <w:vAlign w:val="bottom"/>
            <w:hideMark/>
          </w:tcPr>
          <w:p w14:paraId="02CF6894"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46,43</w:t>
            </w:r>
          </w:p>
        </w:tc>
      </w:tr>
      <w:tr w:rsidR="00F85178" w:rsidRPr="00F85178" w14:paraId="42297349"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131B866E"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Plzeň</w:t>
            </w:r>
          </w:p>
        </w:tc>
        <w:tc>
          <w:tcPr>
            <w:tcW w:w="1113" w:type="dxa"/>
            <w:tcBorders>
              <w:top w:val="nil"/>
              <w:left w:val="nil"/>
              <w:bottom w:val="single" w:sz="4" w:space="0" w:color="auto"/>
              <w:right w:val="nil"/>
            </w:tcBorders>
            <w:shd w:val="clear" w:color="auto" w:fill="auto"/>
            <w:noWrap/>
            <w:vAlign w:val="bottom"/>
            <w:hideMark/>
          </w:tcPr>
          <w:p w14:paraId="2200EAED"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42</w:t>
            </w:r>
          </w:p>
        </w:tc>
        <w:tc>
          <w:tcPr>
            <w:tcW w:w="1607" w:type="dxa"/>
            <w:tcBorders>
              <w:top w:val="nil"/>
              <w:left w:val="nil"/>
              <w:bottom w:val="single" w:sz="4" w:space="0" w:color="auto"/>
              <w:right w:val="nil"/>
            </w:tcBorders>
            <w:shd w:val="clear" w:color="auto" w:fill="auto"/>
            <w:noWrap/>
            <w:vAlign w:val="bottom"/>
            <w:hideMark/>
          </w:tcPr>
          <w:p w14:paraId="18414C15"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31</w:t>
            </w:r>
          </w:p>
        </w:tc>
        <w:tc>
          <w:tcPr>
            <w:tcW w:w="1600" w:type="dxa"/>
            <w:tcBorders>
              <w:top w:val="nil"/>
              <w:left w:val="nil"/>
              <w:bottom w:val="single" w:sz="4" w:space="0" w:color="auto"/>
              <w:right w:val="nil"/>
            </w:tcBorders>
            <w:shd w:val="clear" w:color="auto" w:fill="auto"/>
            <w:noWrap/>
            <w:vAlign w:val="bottom"/>
            <w:hideMark/>
          </w:tcPr>
          <w:p w14:paraId="1C108E22"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57,53</w:t>
            </w:r>
          </w:p>
        </w:tc>
      </w:tr>
      <w:tr w:rsidR="00F85178" w:rsidRPr="00F85178" w14:paraId="38AE1B79"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4B38958E"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Ústí n. Labem</w:t>
            </w:r>
          </w:p>
        </w:tc>
        <w:tc>
          <w:tcPr>
            <w:tcW w:w="1113" w:type="dxa"/>
            <w:tcBorders>
              <w:top w:val="nil"/>
              <w:left w:val="nil"/>
              <w:bottom w:val="single" w:sz="4" w:space="0" w:color="auto"/>
              <w:right w:val="nil"/>
            </w:tcBorders>
            <w:shd w:val="clear" w:color="auto" w:fill="auto"/>
            <w:noWrap/>
            <w:vAlign w:val="bottom"/>
            <w:hideMark/>
          </w:tcPr>
          <w:p w14:paraId="54CE40DA"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61</w:t>
            </w:r>
          </w:p>
        </w:tc>
        <w:tc>
          <w:tcPr>
            <w:tcW w:w="1607" w:type="dxa"/>
            <w:tcBorders>
              <w:top w:val="nil"/>
              <w:left w:val="nil"/>
              <w:bottom w:val="single" w:sz="4" w:space="0" w:color="auto"/>
              <w:right w:val="nil"/>
            </w:tcBorders>
            <w:shd w:val="clear" w:color="auto" w:fill="auto"/>
            <w:noWrap/>
            <w:vAlign w:val="bottom"/>
            <w:hideMark/>
          </w:tcPr>
          <w:p w14:paraId="079AC3FD"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51</w:t>
            </w:r>
          </w:p>
        </w:tc>
        <w:tc>
          <w:tcPr>
            <w:tcW w:w="1600" w:type="dxa"/>
            <w:tcBorders>
              <w:top w:val="nil"/>
              <w:left w:val="nil"/>
              <w:bottom w:val="single" w:sz="4" w:space="0" w:color="auto"/>
              <w:right w:val="nil"/>
            </w:tcBorders>
            <w:shd w:val="clear" w:color="auto" w:fill="auto"/>
            <w:noWrap/>
            <w:vAlign w:val="bottom"/>
            <w:hideMark/>
          </w:tcPr>
          <w:p w14:paraId="575D7DC0"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54,46</w:t>
            </w:r>
          </w:p>
        </w:tc>
      </w:tr>
      <w:tr w:rsidR="00F85178" w:rsidRPr="00F85178" w14:paraId="1714A939"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0A60B9F1"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Hr. Králové</w:t>
            </w:r>
          </w:p>
        </w:tc>
        <w:tc>
          <w:tcPr>
            <w:tcW w:w="1113" w:type="dxa"/>
            <w:tcBorders>
              <w:top w:val="nil"/>
              <w:left w:val="nil"/>
              <w:bottom w:val="single" w:sz="4" w:space="0" w:color="auto"/>
              <w:right w:val="nil"/>
            </w:tcBorders>
            <w:shd w:val="clear" w:color="auto" w:fill="auto"/>
            <w:noWrap/>
            <w:vAlign w:val="bottom"/>
            <w:hideMark/>
          </w:tcPr>
          <w:p w14:paraId="3BCA02E1" w14:textId="77777777" w:rsidR="002B0A21" w:rsidRPr="00F85178" w:rsidRDefault="00711402" w:rsidP="002B0A21">
            <w:pPr>
              <w:spacing w:line="240" w:lineRule="auto"/>
              <w:jc w:val="center"/>
              <w:rPr>
                <w:rFonts w:eastAsia="Times New Roman"/>
                <w:szCs w:val="24"/>
                <w:lang w:eastAsia="cs-CZ"/>
              </w:rPr>
            </w:pPr>
            <w:r w:rsidRPr="00F85178">
              <w:rPr>
                <w:rFonts w:eastAsia="Times New Roman"/>
                <w:szCs w:val="24"/>
                <w:lang w:eastAsia="cs-CZ"/>
              </w:rPr>
              <w:t>37</w:t>
            </w:r>
          </w:p>
        </w:tc>
        <w:tc>
          <w:tcPr>
            <w:tcW w:w="1607" w:type="dxa"/>
            <w:tcBorders>
              <w:top w:val="nil"/>
              <w:left w:val="nil"/>
              <w:bottom w:val="single" w:sz="4" w:space="0" w:color="auto"/>
              <w:right w:val="nil"/>
            </w:tcBorders>
            <w:shd w:val="clear" w:color="auto" w:fill="auto"/>
            <w:noWrap/>
            <w:vAlign w:val="bottom"/>
            <w:hideMark/>
          </w:tcPr>
          <w:p w14:paraId="4FDD51A5"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48</w:t>
            </w:r>
          </w:p>
        </w:tc>
        <w:tc>
          <w:tcPr>
            <w:tcW w:w="1600" w:type="dxa"/>
            <w:tcBorders>
              <w:top w:val="nil"/>
              <w:left w:val="nil"/>
              <w:bottom w:val="single" w:sz="4" w:space="0" w:color="auto"/>
              <w:right w:val="nil"/>
            </w:tcBorders>
            <w:shd w:val="clear" w:color="auto" w:fill="auto"/>
            <w:noWrap/>
            <w:vAlign w:val="bottom"/>
            <w:hideMark/>
          </w:tcPr>
          <w:p w14:paraId="789213F5"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43,53</w:t>
            </w:r>
          </w:p>
        </w:tc>
      </w:tr>
      <w:tr w:rsidR="00F85178" w:rsidRPr="00F85178" w14:paraId="7CA1720D" w14:textId="77777777" w:rsidTr="00711402">
        <w:trPr>
          <w:trHeight w:val="315"/>
        </w:trPr>
        <w:tc>
          <w:tcPr>
            <w:tcW w:w="2480" w:type="dxa"/>
            <w:tcBorders>
              <w:top w:val="nil"/>
              <w:left w:val="nil"/>
              <w:bottom w:val="single" w:sz="4" w:space="0" w:color="auto"/>
              <w:right w:val="nil"/>
            </w:tcBorders>
            <w:shd w:val="clear" w:color="auto" w:fill="auto"/>
            <w:noWrap/>
            <w:vAlign w:val="bottom"/>
            <w:hideMark/>
          </w:tcPr>
          <w:p w14:paraId="0EACB611"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Brno</w:t>
            </w:r>
          </w:p>
        </w:tc>
        <w:tc>
          <w:tcPr>
            <w:tcW w:w="1113" w:type="dxa"/>
            <w:tcBorders>
              <w:top w:val="nil"/>
              <w:left w:val="nil"/>
              <w:bottom w:val="single" w:sz="4" w:space="0" w:color="auto"/>
              <w:right w:val="nil"/>
            </w:tcBorders>
            <w:shd w:val="clear" w:color="auto" w:fill="auto"/>
            <w:noWrap/>
            <w:vAlign w:val="bottom"/>
            <w:hideMark/>
          </w:tcPr>
          <w:p w14:paraId="12D17329"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82</w:t>
            </w:r>
          </w:p>
        </w:tc>
        <w:tc>
          <w:tcPr>
            <w:tcW w:w="1607" w:type="dxa"/>
            <w:tcBorders>
              <w:top w:val="nil"/>
              <w:left w:val="nil"/>
              <w:bottom w:val="single" w:sz="4" w:space="0" w:color="auto"/>
              <w:right w:val="nil"/>
            </w:tcBorders>
            <w:shd w:val="clear" w:color="auto" w:fill="auto"/>
            <w:noWrap/>
            <w:vAlign w:val="bottom"/>
            <w:hideMark/>
          </w:tcPr>
          <w:p w14:paraId="083B9C3A"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85</w:t>
            </w:r>
          </w:p>
        </w:tc>
        <w:tc>
          <w:tcPr>
            <w:tcW w:w="1600" w:type="dxa"/>
            <w:tcBorders>
              <w:top w:val="nil"/>
              <w:left w:val="nil"/>
              <w:bottom w:val="single" w:sz="4" w:space="0" w:color="auto"/>
              <w:right w:val="nil"/>
            </w:tcBorders>
            <w:shd w:val="clear" w:color="auto" w:fill="auto"/>
            <w:noWrap/>
            <w:vAlign w:val="bottom"/>
            <w:hideMark/>
          </w:tcPr>
          <w:p w14:paraId="71E5169D"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49,10</w:t>
            </w:r>
          </w:p>
        </w:tc>
      </w:tr>
      <w:tr w:rsidR="00F85178" w:rsidRPr="00F85178" w14:paraId="0CDD5A01" w14:textId="77777777" w:rsidTr="00711402">
        <w:trPr>
          <w:trHeight w:val="330"/>
        </w:trPr>
        <w:tc>
          <w:tcPr>
            <w:tcW w:w="2480" w:type="dxa"/>
            <w:tcBorders>
              <w:top w:val="nil"/>
              <w:left w:val="nil"/>
              <w:bottom w:val="double" w:sz="6" w:space="0" w:color="auto"/>
              <w:right w:val="nil"/>
            </w:tcBorders>
            <w:shd w:val="clear" w:color="auto" w:fill="auto"/>
            <w:noWrap/>
            <w:vAlign w:val="bottom"/>
            <w:hideMark/>
          </w:tcPr>
          <w:p w14:paraId="58A16803" w14:textId="77777777" w:rsidR="00711402" w:rsidRPr="00F85178" w:rsidRDefault="00711402" w:rsidP="00711402">
            <w:pPr>
              <w:spacing w:line="240" w:lineRule="auto"/>
              <w:jc w:val="left"/>
              <w:rPr>
                <w:rFonts w:eastAsia="Times New Roman"/>
                <w:szCs w:val="24"/>
                <w:lang w:eastAsia="cs-CZ"/>
              </w:rPr>
            </w:pPr>
            <w:r w:rsidRPr="00F85178">
              <w:rPr>
                <w:rFonts w:eastAsia="Times New Roman"/>
                <w:szCs w:val="24"/>
                <w:lang w:eastAsia="cs-CZ"/>
              </w:rPr>
              <w:t>KS Ostrava</w:t>
            </w:r>
          </w:p>
        </w:tc>
        <w:tc>
          <w:tcPr>
            <w:tcW w:w="1113" w:type="dxa"/>
            <w:tcBorders>
              <w:top w:val="nil"/>
              <w:left w:val="nil"/>
              <w:bottom w:val="double" w:sz="6" w:space="0" w:color="auto"/>
              <w:right w:val="nil"/>
            </w:tcBorders>
            <w:shd w:val="clear" w:color="auto" w:fill="auto"/>
            <w:noWrap/>
            <w:vAlign w:val="bottom"/>
            <w:hideMark/>
          </w:tcPr>
          <w:p w14:paraId="43202EB4"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75</w:t>
            </w:r>
          </w:p>
        </w:tc>
        <w:tc>
          <w:tcPr>
            <w:tcW w:w="1607" w:type="dxa"/>
            <w:tcBorders>
              <w:top w:val="nil"/>
              <w:left w:val="nil"/>
              <w:bottom w:val="double" w:sz="6" w:space="0" w:color="auto"/>
              <w:right w:val="nil"/>
            </w:tcBorders>
            <w:shd w:val="clear" w:color="auto" w:fill="auto"/>
            <w:noWrap/>
            <w:vAlign w:val="bottom"/>
            <w:hideMark/>
          </w:tcPr>
          <w:p w14:paraId="44AC93A5"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69</w:t>
            </w:r>
          </w:p>
        </w:tc>
        <w:tc>
          <w:tcPr>
            <w:tcW w:w="1600" w:type="dxa"/>
            <w:tcBorders>
              <w:top w:val="nil"/>
              <w:left w:val="nil"/>
              <w:bottom w:val="double" w:sz="6" w:space="0" w:color="auto"/>
              <w:right w:val="nil"/>
            </w:tcBorders>
            <w:shd w:val="clear" w:color="auto" w:fill="auto"/>
            <w:noWrap/>
            <w:vAlign w:val="bottom"/>
            <w:hideMark/>
          </w:tcPr>
          <w:p w14:paraId="2BA8FC21" w14:textId="77777777" w:rsidR="00711402" w:rsidRPr="00F85178" w:rsidRDefault="00711402" w:rsidP="00711402">
            <w:pPr>
              <w:spacing w:line="240" w:lineRule="auto"/>
              <w:jc w:val="center"/>
              <w:rPr>
                <w:rFonts w:eastAsia="Times New Roman"/>
                <w:szCs w:val="24"/>
                <w:lang w:eastAsia="cs-CZ"/>
              </w:rPr>
            </w:pPr>
            <w:r w:rsidRPr="00F85178">
              <w:rPr>
                <w:rFonts w:eastAsia="Times New Roman"/>
                <w:szCs w:val="24"/>
                <w:lang w:eastAsia="cs-CZ"/>
              </w:rPr>
              <w:t>52,08</w:t>
            </w:r>
          </w:p>
        </w:tc>
      </w:tr>
      <w:tr w:rsidR="00711402" w:rsidRPr="00F85178" w14:paraId="0C739F90" w14:textId="77777777" w:rsidTr="00711402">
        <w:trPr>
          <w:trHeight w:val="345"/>
        </w:trPr>
        <w:tc>
          <w:tcPr>
            <w:tcW w:w="2480" w:type="dxa"/>
            <w:tcBorders>
              <w:top w:val="nil"/>
              <w:left w:val="nil"/>
              <w:bottom w:val="double" w:sz="6" w:space="0" w:color="auto"/>
              <w:right w:val="nil"/>
            </w:tcBorders>
            <w:shd w:val="clear" w:color="auto" w:fill="auto"/>
            <w:noWrap/>
            <w:vAlign w:val="bottom"/>
            <w:hideMark/>
          </w:tcPr>
          <w:p w14:paraId="22D28DF0" w14:textId="77777777" w:rsidR="00711402" w:rsidRPr="00F85178" w:rsidRDefault="00711402" w:rsidP="00711402">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113" w:type="dxa"/>
            <w:tcBorders>
              <w:top w:val="nil"/>
              <w:left w:val="nil"/>
              <w:bottom w:val="double" w:sz="6" w:space="0" w:color="auto"/>
              <w:right w:val="nil"/>
            </w:tcBorders>
            <w:shd w:val="clear" w:color="auto" w:fill="auto"/>
            <w:noWrap/>
            <w:vAlign w:val="bottom"/>
            <w:hideMark/>
          </w:tcPr>
          <w:p w14:paraId="029C0529"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526</w:t>
            </w:r>
          </w:p>
        </w:tc>
        <w:tc>
          <w:tcPr>
            <w:tcW w:w="1607" w:type="dxa"/>
            <w:tcBorders>
              <w:top w:val="nil"/>
              <w:left w:val="nil"/>
              <w:bottom w:val="double" w:sz="6" w:space="0" w:color="auto"/>
              <w:right w:val="nil"/>
            </w:tcBorders>
            <w:shd w:val="clear" w:color="auto" w:fill="auto"/>
            <w:noWrap/>
            <w:vAlign w:val="bottom"/>
            <w:hideMark/>
          </w:tcPr>
          <w:p w14:paraId="367EA89F"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428</w:t>
            </w:r>
          </w:p>
        </w:tc>
        <w:tc>
          <w:tcPr>
            <w:tcW w:w="1600" w:type="dxa"/>
            <w:tcBorders>
              <w:top w:val="nil"/>
              <w:left w:val="nil"/>
              <w:bottom w:val="double" w:sz="6" w:space="0" w:color="auto"/>
              <w:right w:val="nil"/>
            </w:tcBorders>
            <w:shd w:val="clear" w:color="auto" w:fill="auto"/>
            <w:noWrap/>
            <w:vAlign w:val="bottom"/>
            <w:hideMark/>
          </w:tcPr>
          <w:p w14:paraId="3417B47B" w14:textId="77777777" w:rsidR="00711402" w:rsidRPr="00F85178" w:rsidRDefault="00711402" w:rsidP="00711402">
            <w:pPr>
              <w:spacing w:line="240" w:lineRule="auto"/>
              <w:jc w:val="center"/>
              <w:rPr>
                <w:rFonts w:eastAsia="Times New Roman"/>
                <w:b/>
                <w:bCs/>
                <w:szCs w:val="24"/>
                <w:lang w:eastAsia="cs-CZ"/>
              </w:rPr>
            </w:pPr>
            <w:r w:rsidRPr="00F85178">
              <w:rPr>
                <w:rFonts w:eastAsia="Times New Roman"/>
                <w:b/>
                <w:bCs/>
                <w:szCs w:val="24"/>
                <w:lang w:eastAsia="cs-CZ"/>
              </w:rPr>
              <w:t>55,14</w:t>
            </w:r>
          </w:p>
        </w:tc>
      </w:tr>
    </w:tbl>
    <w:p w14:paraId="4ABD18B9" w14:textId="77777777" w:rsidR="00377E12" w:rsidRPr="00F85178" w:rsidRDefault="00377E12" w:rsidP="00770E8A"/>
    <w:p w14:paraId="536A6100" w14:textId="77777777" w:rsidR="003577A9" w:rsidRPr="00F85178" w:rsidRDefault="003577A9" w:rsidP="00D76572">
      <w:pPr>
        <w:pStyle w:val="OdstavecASR"/>
      </w:pPr>
      <w:bookmarkStart w:id="334" w:name="_Toc515871379"/>
      <w:r w:rsidRPr="00F85178">
        <w:t>Z dat můžeme vyvodit několik zajímavých závěrů:</w:t>
      </w:r>
    </w:p>
    <w:p w14:paraId="33181724" w14:textId="77777777" w:rsidR="003577A9" w:rsidRPr="00F85178" w:rsidRDefault="003577A9" w:rsidP="003577A9">
      <w:pPr>
        <w:pStyle w:val="OdstavecASR"/>
        <w:numPr>
          <w:ilvl w:val="0"/>
          <w:numId w:val="18"/>
        </w:numPr>
      </w:pPr>
      <w:r w:rsidRPr="00F85178">
        <w:t>Stejně jako u OS působí i u krajských soudů více soudkyň než soudců. Podíl žen je ale nižší než u okresních soudů</w:t>
      </w:r>
      <w:r w:rsidR="00B159B2" w:rsidRPr="00F85178">
        <w:t xml:space="preserve"> (67,25</w:t>
      </w:r>
      <w:r w:rsidR="007365A5" w:rsidRPr="00F85178">
        <w:t xml:space="preserve"> </w:t>
      </w:r>
      <w:r w:rsidR="00B159B2" w:rsidRPr="00F85178">
        <w:t xml:space="preserve">% </w:t>
      </w:r>
      <w:r w:rsidR="00E64C37" w:rsidRPr="00F85178">
        <w:t>a stále stoupá</w:t>
      </w:r>
      <w:r w:rsidR="00D76572" w:rsidRPr="00F85178">
        <w:t>,</w:t>
      </w:r>
      <w:r w:rsidR="00E64C37" w:rsidRPr="00F85178">
        <w:t xml:space="preserve"> </w:t>
      </w:r>
      <w:r w:rsidR="00B159B2" w:rsidRPr="00F85178">
        <w:t>viz tabulka č.</w:t>
      </w:r>
      <w:r w:rsidR="00D76572" w:rsidRPr="00F85178">
        <w:t> </w:t>
      </w:r>
      <w:r w:rsidR="00B159B2" w:rsidRPr="00F85178">
        <w:t xml:space="preserve">2) a </w:t>
      </w:r>
      <w:r w:rsidR="0011043D" w:rsidRPr="00F85178">
        <w:t xml:space="preserve">v </w:t>
      </w:r>
      <w:r w:rsidR="00B159B2" w:rsidRPr="00F85178">
        <w:t xml:space="preserve">roce 2018 </w:t>
      </w:r>
      <w:r w:rsidR="00E64C37" w:rsidRPr="00F85178">
        <w:t xml:space="preserve">u KS </w:t>
      </w:r>
      <w:r w:rsidR="00B159B2" w:rsidRPr="00F85178">
        <w:t>opět mírně klesal</w:t>
      </w:r>
      <w:r w:rsidRPr="00F85178">
        <w:t>. Jak uvidíme níže, tento jev se dále prohlubuje</w:t>
      </w:r>
      <w:r w:rsidR="00E64C37" w:rsidRPr="00F85178">
        <w:t xml:space="preserve"> nejen s každým dalším rokem, ale také</w:t>
      </w:r>
      <w:r w:rsidRPr="00F85178">
        <w:t xml:space="preserve"> s každým dalším stupněm soudní soustavy, což ukazuje, že soudnictví v současné době zřejmě stále nenabízí stejné příležitosti mužům a ženám.</w:t>
      </w:r>
    </w:p>
    <w:p w14:paraId="3E3C8743" w14:textId="77777777" w:rsidR="003577A9" w:rsidRPr="00F85178" w:rsidRDefault="003577A9" w:rsidP="003577A9">
      <w:pPr>
        <w:pStyle w:val="OdstavecASR"/>
        <w:numPr>
          <w:ilvl w:val="0"/>
          <w:numId w:val="18"/>
        </w:numPr>
      </w:pPr>
      <w:r w:rsidRPr="00F85178">
        <w:t>Rozdíly mezi soudy jsou výrazně větší než u okresních soudů. Nejvyšší podíl žen mezi soudci má KS Praha (</w:t>
      </w:r>
      <w:r w:rsidR="007C1BF5">
        <w:t>66</w:t>
      </w:r>
      <w:r w:rsidR="007C1BF5" w:rsidRPr="00F85178">
        <w:t> </w:t>
      </w:r>
      <w:r w:rsidRPr="00F85178">
        <w:t>%) a nejnižší KS Hradec Králové (</w:t>
      </w:r>
      <w:r w:rsidR="007C1BF5">
        <w:t>44</w:t>
      </w:r>
      <w:r w:rsidR="007C1BF5" w:rsidRPr="00F85178">
        <w:t> </w:t>
      </w:r>
      <w:r w:rsidRPr="00F85178">
        <w:t xml:space="preserve">%), což je </w:t>
      </w:r>
      <w:r w:rsidR="007C1BF5">
        <w:t>asi</w:t>
      </w:r>
      <w:r w:rsidR="007C1BF5" w:rsidRPr="00F85178">
        <w:t xml:space="preserve"> </w:t>
      </w:r>
      <w:r w:rsidRPr="00F85178">
        <w:t>o </w:t>
      </w:r>
      <w:r w:rsidR="007C1BF5">
        <w:t>22</w:t>
      </w:r>
      <w:r w:rsidRPr="00F85178">
        <w:t> procentních bodů méně.</w:t>
      </w:r>
      <w:r w:rsidR="00AF28A7" w:rsidRPr="00F85178">
        <w:t xml:space="preserve"> KS Brno představuje výjimku ze všeobecného trendu roku 2018, protože počet soudkyň zde v roce 2018 stoupnul o dvě. Přesto však je podíl soudkyň u KS Brno třetí nejnižší v ČR.</w:t>
      </w:r>
    </w:p>
    <w:p w14:paraId="331DDE3F" w14:textId="77777777" w:rsidR="003577A9" w:rsidRPr="00F85178" w:rsidRDefault="003577A9" w:rsidP="003577A9">
      <w:pPr>
        <w:pStyle w:val="OdstavecASR"/>
        <w:numPr>
          <w:ilvl w:val="0"/>
          <w:numId w:val="18"/>
        </w:numPr>
      </w:pPr>
      <w:r w:rsidRPr="00F85178">
        <w:t>Podíl žen v krajském soudnictví velmi zvolna klesá. V roce 2008 byl podíl žen kolem 60 %, v roce 201</w:t>
      </w:r>
      <w:r w:rsidR="00AF28A7" w:rsidRPr="00F85178">
        <w:t>8</w:t>
      </w:r>
      <w:r w:rsidRPr="00F85178">
        <w:t xml:space="preserve"> je </w:t>
      </w:r>
      <w:r w:rsidR="00AF28A7" w:rsidRPr="00F85178">
        <w:t xml:space="preserve">již </w:t>
      </w:r>
      <w:r w:rsidRPr="00F85178">
        <w:t>o </w:t>
      </w:r>
      <w:r w:rsidR="00AF28A7" w:rsidRPr="00F85178">
        <w:t xml:space="preserve">pět </w:t>
      </w:r>
      <w:r w:rsidRPr="00F85178">
        <w:t>procentní</w:t>
      </w:r>
      <w:r w:rsidR="00E81F26" w:rsidRPr="00F85178">
        <w:t>ch</w:t>
      </w:r>
      <w:r w:rsidRPr="00F85178">
        <w:t xml:space="preserve"> bod</w:t>
      </w:r>
      <w:r w:rsidR="00E81F26" w:rsidRPr="00F85178">
        <w:t>ů</w:t>
      </w:r>
      <w:r w:rsidRPr="00F85178">
        <w:t xml:space="preserve"> </w:t>
      </w:r>
      <w:r w:rsidR="00AF28A7" w:rsidRPr="00F85178">
        <w:t xml:space="preserve">nižší </w:t>
      </w:r>
      <w:r w:rsidRPr="00F85178">
        <w:t>(v průběhu rok</w:t>
      </w:r>
      <w:r w:rsidR="00AF28A7" w:rsidRPr="00F85178">
        <w:t>u</w:t>
      </w:r>
      <w:r w:rsidRPr="00F85178">
        <w:t xml:space="preserve"> </w:t>
      </w:r>
      <w:r w:rsidR="00E81F26" w:rsidRPr="00F85178">
        <w:t xml:space="preserve">2017 </w:t>
      </w:r>
      <w:r w:rsidRPr="00F85178">
        <w:t>odešlo 10 soudkyň a přišlo 12 soudců krajských soudů</w:t>
      </w:r>
      <w:r w:rsidR="00E81F26" w:rsidRPr="00F85178">
        <w:t xml:space="preserve">, v roce 2018 </w:t>
      </w:r>
      <w:r w:rsidR="005C314A" w:rsidRPr="00F85178">
        <w:t>odešly další 4 </w:t>
      </w:r>
      <w:r w:rsidR="005E1C17" w:rsidRPr="00F85178">
        <w:t xml:space="preserve">soudkyně a </w:t>
      </w:r>
      <w:r w:rsidR="005C314A" w:rsidRPr="00F85178">
        <w:t>přibylo</w:t>
      </w:r>
      <w:r w:rsidR="005E1C17" w:rsidRPr="00F85178">
        <w:t xml:space="preserve"> 10 nových soudců</w:t>
      </w:r>
      <w:r w:rsidR="005C314A" w:rsidRPr="00F85178">
        <w:t xml:space="preserve"> krajských soudů</w:t>
      </w:r>
      <w:r w:rsidRPr="00F85178">
        <w:t>).</w:t>
      </w:r>
      <w:r w:rsidR="0011043D" w:rsidRPr="00F85178">
        <w:t xml:space="preserve"> </w:t>
      </w:r>
      <w:r w:rsidRPr="00F85178">
        <w:t>Analýza příčin této skutečnosti jde za rámec této zprávy.</w:t>
      </w:r>
    </w:p>
    <w:p w14:paraId="1BE3E69D" w14:textId="77777777" w:rsidR="00D85962" w:rsidRPr="00F85178" w:rsidRDefault="003577A9" w:rsidP="00852AE4">
      <w:pPr>
        <w:pStyle w:val="OdstavecASR"/>
      </w:pPr>
      <w:r w:rsidRPr="00F85178">
        <w:t>Dále uvádíme data ohledně věku soudců.</w:t>
      </w:r>
    </w:p>
    <w:p w14:paraId="1112D2B4" w14:textId="77777777" w:rsidR="00377E12" w:rsidRPr="00F85178" w:rsidRDefault="0011043D" w:rsidP="0011043D">
      <w:pPr>
        <w:pStyle w:val="Podtitul"/>
        <w:rPr>
          <w:color w:val="auto"/>
        </w:rPr>
      </w:pPr>
      <w:bookmarkStart w:id="335" w:name="_Toc11135110"/>
      <w:bookmarkStart w:id="336" w:name="_Toc13837542"/>
      <w:r w:rsidRPr="00F85178">
        <w:rPr>
          <w:color w:val="auto"/>
        </w:rPr>
        <w:t>G</w:t>
      </w:r>
      <w:r w:rsidR="00D85962" w:rsidRPr="00F85178">
        <w:rPr>
          <w:color w:val="auto"/>
        </w:rPr>
        <w:t xml:space="preserve">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49</w:t>
      </w:r>
      <w:r w:rsidR="00D842DE" w:rsidRPr="00F85178">
        <w:rPr>
          <w:noProof/>
          <w:color w:val="auto"/>
        </w:rPr>
        <w:fldChar w:fldCharType="end"/>
      </w:r>
      <w:r w:rsidR="00D85962" w:rsidRPr="00F85178">
        <w:rPr>
          <w:color w:val="auto"/>
        </w:rPr>
        <w:t>: KS – věkové složení soudců v letech 2008–201</w:t>
      </w:r>
      <w:bookmarkEnd w:id="334"/>
      <w:r w:rsidR="00D85962" w:rsidRPr="00F85178">
        <w:rPr>
          <w:color w:val="auto"/>
        </w:rPr>
        <w:t>8</w:t>
      </w:r>
      <w:bookmarkEnd w:id="335"/>
      <w:bookmarkEnd w:id="336"/>
    </w:p>
    <w:p w14:paraId="1A2A09AD" w14:textId="77777777" w:rsidR="00711402" w:rsidRPr="00F85178" w:rsidRDefault="00890295" w:rsidP="00770E8A">
      <w:r>
        <w:rPr>
          <w:noProof/>
          <w:lang w:eastAsia="cs-CZ"/>
        </w:rPr>
        <w:drawing>
          <wp:inline distT="0" distB="0" distL="0" distR="0" wp14:anchorId="19BF4678" wp14:editId="59FF33FF">
            <wp:extent cx="5118100" cy="3746500"/>
            <wp:effectExtent l="0" t="0" r="0" b="0"/>
            <wp:docPr id="52" name="Obrázek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2"/>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9C1F3DC" w14:textId="77777777" w:rsidR="0044511D" w:rsidRPr="00F85178" w:rsidRDefault="0044511D" w:rsidP="00770E8A"/>
    <w:p w14:paraId="00B519BD" w14:textId="77777777" w:rsidR="0020046C" w:rsidRPr="00F85178" w:rsidRDefault="0020046C" w:rsidP="0020046C">
      <w:pPr>
        <w:pStyle w:val="Podtitul"/>
        <w:rPr>
          <w:color w:val="auto"/>
        </w:rPr>
      </w:pPr>
      <w:bookmarkStart w:id="337" w:name="_Toc515871466"/>
      <w:bookmarkStart w:id="338" w:name="_Toc11133233"/>
      <w:bookmarkStart w:id="339" w:name="_Toc1383745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31</w:t>
      </w:r>
      <w:r w:rsidRPr="00F85178">
        <w:rPr>
          <w:noProof/>
          <w:color w:val="auto"/>
        </w:rPr>
        <w:fldChar w:fldCharType="end"/>
      </w:r>
      <w:r w:rsidRPr="00F85178">
        <w:rPr>
          <w:color w:val="auto"/>
        </w:rPr>
        <w:t>: KS – věková struktura soudců dle krajů</w:t>
      </w:r>
      <w:bookmarkEnd w:id="337"/>
      <w:bookmarkEnd w:id="338"/>
      <w:bookmarkEnd w:id="339"/>
    </w:p>
    <w:tbl>
      <w:tblPr>
        <w:tblW w:w="8434" w:type="dxa"/>
        <w:tblCellMar>
          <w:left w:w="70" w:type="dxa"/>
          <w:right w:w="70" w:type="dxa"/>
        </w:tblCellMar>
        <w:tblLook w:val="04A0" w:firstRow="1" w:lastRow="0" w:firstColumn="1" w:lastColumn="0" w:noHBand="0" w:noVBand="1"/>
      </w:tblPr>
      <w:tblGrid>
        <w:gridCol w:w="2480"/>
        <w:gridCol w:w="1376"/>
        <w:gridCol w:w="1459"/>
        <w:gridCol w:w="1559"/>
        <w:gridCol w:w="1560"/>
      </w:tblGrid>
      <w:tr w:rsidR="00F85178" w:rsidRPr="00F85178" w14:paraId="0CA82D83" w14:textId="77777777" w:rsidTr="00852AE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EA920D5" w14:textId="534D6C9D" w:rsidR="0020046C" w:rsidRPr="00F85178" w:rsidRDefault="00F2120F" w:rsidP="00F2120F">
            <w:pPr>
              <w:spacing w:line="240" w:lineRule="auto"/>
              <w:jc w:val="center"/>
              <w:rPr>
                <w:rFonts w:eastAsia="Times New Roman"/>
                <w:b/>
                <w:bCs/>
                <w:szCs w:val="24"/>
                <w:lang w:eastAsia="cs-CZ"/>
              </w:rPr>
            </w:pPr>
            <w:r>
              <w:rPr>
                <w:rFonts w:eastAsia="Times New Roman"/>
                <w:b/>
                <w:bCs/>
                <w:szCs w:val="24"/>
                <w:lang w:eastAsia="cs-CZ"/>
              </w:rPr>
              <w:t>S</w:t>
            </w:r>
            <w:r w:rsidR="0020046C" w:rsidRPr="00F85178">
              <w:rPr>
                <w:rFonts w:eastAsia="Times New Roman"/>
                <w:b/>
                <w:bCs/>
                <w:szCs w:val="24"/>
                <w:lang w:eastAsia="cs-CZ"/>
              </w:rPr>
              <w:t>oud</w:t>
            </w:r>
          </w:p>
        </w:tc>
        <w:tc>
          <w:tcPr>
            <w:tcW w:w="5954" w:type="dxa"/>
            <w:gridSpan w:val="4"/>
            <w:tcBorders>
              <w:top w:val="double" w:sz="6" w:space="0" w:color="auto"/>
              <w:left w:val="nil"/>
              <w:bottom w:val="nil"/>
              <w:right w:val="nil"/>
            </w:tcBorders>
            <w:shd w:val="clear" w:color="auto" w:fill="auto"/>
            <w:noWrap/>
            <w:vAlign w:val="center"/>
            <w:hideMark/>
          </w:tcPr>
          <w:p w14:paraId="795D558E"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Podíl na celkovém počtu soudců dle věku</w:t>
            </w:r>
            <w:r w:rsidR="00852AE4" w:rsidRPr="00F85178">
              <w:rPr>
                <w:rFonts w:eastAsia="Times New Roman"/>
                <w:b/>
                <w:bCs/>
                <w:szCs w:val="24"/>
                <w:lang w:eastAsia="cs-CZ"/>
              </w:rPr>
              <w:t xml:space="preserve"> v %</w:t>
            </w:r>
          </w:p>
        </w:tc>
      </w:tr>
      <w:tr w:rsidR="00F85178" w:rsidRPr="00F85178" w14:paraId="7B835D67" w14:textId="77777777" w:rsidTr="00852AE4">
        <w:trPr>
          <w:trHeight w:val="330"/>
        </w:trPr>
        <w:tc>
          <w:tcPr>
            <w:tcW w:w="2480" w:type="dxa"/>
            <w:vMerge/>
            <w:tcBorders>
              <w:top w:val="double" w:sz="6" w:space="0" w:color="auto"/>
              <w:left w:val="nil"/>
              <w:bottom w:val="double" w:sz="6" w:space="0" w:color="000000"/>
              <w:right w:val="nil"/>
            </w:tcBorders>
            <w:vAlign w:val="center"/>
            <w:hideMark/>
          </w:tcPr>
          <w:p w14:paraId="2AE6B70F" w14:textId="77777777" w:rsidR="0020046C" w:rsidRPr="00F85178" w:rsidRDefault="0020046C" w:rsidP="0020046C">
            <w:pPr>
              <w:spacing w:line="240" w:lineRule="auto"/>
              <w:jc w:val="left"/>
              <w:rPr>
                <w:rFonts w:eastAsia="Times New Roman"/>
                <w:b/>
                <w:bCs/>
                <w:szCs w:val="24"/>
                <w:lang w:eastAsia="cs-CZ"/>
              </w:rPr>
            </w:pPr>
          </w:p>
        </w:tc>
        <w:tc>
          <w:tcPr>
            <w:tcW w:w="1376" w:type="dxa"/>
            <w:tcBorders>
              <w:top w:val="nil"/>
              <w:left w:val="nil"/>
              <w:bottom w:val="double" w:sz="6" w:space="0" w:color="auto"/>
              <w:right w:val="nil"/>
            </w:tcBorders>
            <w:shd w:val="clear" w:color="auto" w:fill="auto"/>
            <w:noWrap/>
            <w:vAlign w:val="center"/>
            <w:hideMark/>
          </w:tcPr>
          <w:p w14:paraId="70098453"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30 až 40 let</w:t>
            </w:r>
          </w:p>
        </w:tc>
        <w:tc>
          <w:tcPr>
            <w:tcW w:w="1459" w:type="dxa"/>
            <w:tcBorders>
              <w:top w:val="nil"/>
              <w:left w:val="nil"/>
              <w:bottom w:val="double" w:sz="6" w:space="0" w:color="auto"/>
              <w:right w:val="nil"/>
            </w:tcBorders>
            <w:shd w:val="clear" w:color="auto" w:fill="auto"/>
            <w:noWrap/>
            <w:vAlign w:val="center"/>
            <w:hideMark/>
          </w:tcPr>
          <w:p w14:paraId="3826681A"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41 až 50 let</w:t>
            </w:r>
          </w:p>
        </w:tc>
        <w:tc>
          <w:tcPr>
            <w:tcW w:w="1559" w:type="dxa"/>
            <w:tcBorders>
              <w:top w:val="nil"/>
              <w:left w:val="nil"/>
              <w:bottom w:val="double" w:sz="6" w:space="0" w:color="auto"/>
              <w:right w:val="nil"/>
            </w:tcBorders>
            <w:shd w:val="clear" w:color="auto" w:fill="auto"/>
            <w:noWrap/>
            <w:vAlign w:val="center"/>
            <w:hideMark/>
          </w:tcPr>
          <w:p w14:paraId="34748257"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51 až 60 let</w:t>
            </w:r>
          </w:p>
        </w:tc>
        <w:tc>
          <w:tcPr>
            <w:tcW w:w="1560" w:type="dxa"/>
            <w:tcBorders>
              <w:top w:val="nil"/>
              <w:left w:val="nil"/>
              <w:bottom w:val="double" w:sz="6" w:space="0" w:color="auto"/>
              <w:right w:val="nil"/>
            </w:tcBorders>
            <w:shd w:val="clear" w:color="auto" w:fill="auto"/>
            <w:noWrap/>
            <w:vAlign w:val="center"/>
            <w:hideMark/>
          </w:tcPr>
          <w:p w14:paraId="74B915B9"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61 až 70 let</w:t>
            </w:r>
          </w:p>
        </w:tc>
      </w:tr>
      <w:tr w:rsidR="00F85178" w:rsidRPr="00F85178" w14:paraId="273A9D28" w14:textId="77777777" w:rsidTr="00852AE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9A33AB7"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MS Praha</w:t>
            </w:r>
          </w:p>
        </w:tc>
        <w:tc>
          <w:tcPr>
            <w:tcW w:w="1376" w:type="dxa"/>
            <w:tcBorders>
              <w:top w:val="single" w:sz="4" w:space="0" w:color="auto"/>
              <w:left w:val="nil"/>
              <w:bottom w:val="single" w:sz="4" w:space="0" w:color="auto"/>
              <w:right w:val="nil"/>
            </w:tcBorders>
            <w:shd w:val="clear" w:color="auto" w:fill="auto"/>
            <w:noWrap/>
            <w:vAlign w:val="bottom"/>
            <w:hideMark/>
          </w:tcPr>
          <w:p w14:paraId="061079E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1,83</w:t>
            </w:r>
          </w:p>
        </w:tc>
        <w:tc>
          <w:tcPr>
            <w:tcW w:w="1459" w:type="dxa"/>
            <w:tcBorders>
              <w:top w:val="single" w:sz="4" w:space="0" w:color="auto"/>
              <w:left w:val="nil"/>
              <w:bottom w:val="single" w:sz="4" w:space="0" w:color="auto"/>
              <w:right w:val="nil"/>
            </w:tcBorders>
            <w:shd w:val="clear" w:color="auto" w:fill="auto"/>
            <w:noWrap/>
            <w:vAlign w:val="bottom"/>
            <w:hideMark/>
          </w:tcPr>
          <w:p w14:paraId="4120D99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26,03</w:t>
            </w:r>
          </w:p>
        </w:tc>
        <w:tc>
          <w:tcPr>
            <w:tcW w:w="1559" w:type="dxa"/>
            <w:tcBorders>
              <w:top w:val="single" w:sz="4" w:space="0" w:color="auto"/>
              <w:left w:val="nil"/>
              <w:bottom w:val="single" w:sz="4" w:space="0" w:color="auto"/>
              <w:right w:val="nil"/>
            </w:tcBorders>
            <w:shd w:val="clear" w:color="auto" w:fill="auto"/>
            <w:noWrap/>
            <w:vAlign w:val="bottom"/>
            <w:hideMark/>
          </w:tcPr>
          <w:p w14:paraId="24489E25"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42,47</w:t>
            </w:r>
          </w:p>
        </w:tc>
        <w:tc>
          <w:tcPr>
            <w:tcW w:w="1560" w:type="dxa"/>
            <w:tcBorders>
              <w:top w:val="single" w:sz="4" w:space="0" w:color="auto"/>
              <w:left w:val="nil"/>
              <w:bottom w:val="single" w:sz="4" w:space="0" w:color="auto"/>
              <w:right w:val="nil"/>
            </w:tcBorders>
            <w:shd w:val="clear" w:color="auto" w:fill="auto"/>
            <w:noWrap/>
            <w:vAlign w:val="bottom"/>
            <w:hideMark/>
          </w:tcPr>
          <w:p w14:paraId="10E7C9EF"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29,68</w:t>
            </w:r>
          </w:p>
        </w:tc>
      </w:tr>
      <w:tr w:rsidR="00F85178" w:rsidRPr="00F85178" w14:paraId="17DB5397"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0EABDE60"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Praha</w:t>
            </w:r>
          </w:p>
        </w:tc>
        <w:tc>
          <w:tcPr>
            <w:tcW w:w="1376" w:type="dxa"/>
            <w:tcBorders>
              <w:top w:val="nil"/>
              <w:left w:val="nil"/>
              <w:bottom w:val="single" w:sz="4" w:space="0" w:color="auto"/>
              <w:right w:val="nil"/>
            </w:tcBorders>
            <w:shd w:val="clear" w:color="auto" w:fill="auto"/>
            <w:noWrap/>
            <w:vAlign w:val="bottom"/>
            <w:hideMark/>
          </w:tcPr>
          <w:p w14:paraId="727ED05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11,22</w:t>
            </w:r>
          </w:p>
        </w:tc>
        <w:tc>
          <w:tcPr>
            <w:tcW w:w="1459" w:type="dxa"/>
            <w:tcBorders>
              <w:top w:val="nil"/>
              <w:left w:val="nil"/>
              <w:bottom w:val="single" w:sz="4" w:space="0" w:color="auto"/>
              <w:right w:val="nil"/>
            </w:tcBorders>
            <w:shd w:val="clear" w:color="auto" w:fill="auto"/>
            <w:noWrap/>
            <w:vAlign w:val="bottom"/>
            <w:hideMark/>
          </w:tcPr>
          <w:p w14:paraId="060C17D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23,47</w:t>
            </w:r>
          </w:p>
        </w:tc>
        <w:tc>
          <w:tcPr>
            <w:tcW w:w="1559" w:type="dxa"/>
            <w:tcBorders>
              <w:top w:val="nil"/>
              <w:left w:val="nil"/>
              <w:bottom w:val="single" w:sz="4" w:space="0" w:color="auto"/>
              <w:right w:val="nil"/>
            </w:tcBorders>
            <w:shd w:val="clear" w:color="auto" w:fill="auto"/>
            <w:noWrap/>
            <w:vAlign w:val="bottom"/>
            <w:hideMark/>
          </w:tcPr>
          <w:p w14:paraId="18FB526C"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38,78</w:t>
            </w:r>
          </w:p>
        </w:tc>
        <w:tc>
          <w:tcPr>
            <w:tcW w:w="1560" w:type="dxa"/>
            <w:tcBorders>
              <w:top w:val="nil"/>
              <w:left w:val="nil"/>
              <w:bottom w:val="single" w:sz="4" w:space="0" w:color="auto"/>
              <w:right w:val="nil"/>
            </w:tcBorders>
            <w:shd w:val="clear" w:color="auto" w:fill="auto"/>
            <w:noWrap/>
            <w:vAlign w:val="bottom"/>
            <w:hideMark/>
          </w:tcPr>
          <w:p w14:paraId="7C95BF5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26,53</w:t>
            </w:r>
          </w:p>
        </w:tc>
      </w:tr>
      <w:tr w:rsidR="00F85178" w:rsidRPr="00F85178" w14:paraId="0E28F719"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5422849F"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Č. Budějovice</w:t>
            </w:r>
          </w:p>
        </w:tc>
        <w:tc>
          <w:tcPr>
            <w:tcW w:w="1376" w:type="dxa"/>
            <w:tcBorders>
              <w:top w:val="nil"/>
              <w:left w:val="nil"/>
              <w:bottom w:val="single" w:sz="4" w:space="0" w:color="auto"/>
              <w:right w:val="nil"/>
            </w:tcBorders>
            <w:shd w:val="clear" w:color="auto" w:fill="auto"/>
            <w:noWrap/>
            <w:vAlign w:val="bottom"/>
            <w:hideMark/>
          </w:tcPr>
          <w:p w14:paraId="4B46AD8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3,57</w:t>
            </w:r>
          </w:p>
        </w:tc>
        <w:tc>
          <w:tcPr>
            <w:tcW w:w="1459" w:type="dxa"/>
            <w:tcBorders>
              <w:top w:val="nil"/>
              <w:left w:val="nil"/>
              <w:bottom w:val="single" w:sz="4" w:space="0" w:color="auto"/>
              <w:right w:val="nil"/>
            </w:tcBorders>
            <w:shd w:val="clear" w:color="auto" w:fill="auto"/>
            <w:noWrap/>
            <w:vAlign w:val="bottom"/>
            <w:hideMark/>
          </w:tcPr>
          <w:p w14:paraId="717B6E0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32,14</w:t>
            </w:r>
          </w:p>
        </w:tc>
        <w:tc>
          <w:tcPr>
            <w:tcW w:w="1559" w:type="dxa"/>
            <w:tcBorders>
              <w:top w:val="nil"/>
              <w:left w:val="nil"/>
              <w:bottom w:val="single" w:sz="4" w:space="0" w:color="auto"/>
              <w:right w:val="nil"/>
            </w:tcBorders>
            <w:shd w:val="clear" w:color="auto" w:fill="auto"/>
            <w:noWrap/>
            <w:vAlign w:val="bottom"/>
            <w:hideMark/>
          </w:tcPr>
          <w:p w14:paraId="2739E56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41,07</w:t>
            </w:r>
          </w:p>
        </w:tc>
        <w:tc>
          <w:tcPr>
            <w:tcW w:w="1560" w:type="dxa"/>
            <w:tcBorders>
              <w:top w:val="nil"/>
              <w:left w:val="nil"/>
              <w:bottom w:val="single" w:sz="4" w:space="0" w:color="auto"/>
              <w:right w:val="nil"/>
            </w:tcBorders>
            <w:shd w:val="clear" w:color="auto" w:fill="auto"/>
            <w:noWrap/>
            <w:vAlign w:val="bottom"/>
            <w:hideMark/>
          </w:tcPr>
          <w:p w14:paraId="732283D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23,21</w:t>
            </w:r>
          </w:p>
        </w:tc>
      </w:tr>
      <w:tr w:rsidR="00F85178" w:rsidRPr="00F85178" w14:paraId="3B218ECA"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549C36D9"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Plzeň</w:t>
            </w:r>
          </w:p>
        </w:tc>
        <w:tc>
          <w:tcPr>
            <w:tcW w:w="1376" w:type="dxa"/>
            <w:tcBorders>
              <w:top w:val="nil"/>
              <w:left w:val="nil"/>
              <w:bottom w:val="single" w:sz="4" w:space="0" w:color="auto"/>
              <w:right w:val="nil"/>
            </w:tcBorders>
            <w:shd w:val="clear" w:color="auto" w:fill="auto"/>
            <w:noWrap/>
            <w:vAlign w:val="bottom"/>
            <w:hideMark/>
          </w:tcPr>
          <w:p w14:paraId="07F1089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4,11</w:t>
            </w:r>
          </w:p>
        </w:tc>
        <w:tc>
          <w:tcPr>
            <w:tcW w:w="1459" w:type="dxa"/>
            <w:tcBorders>
              <w:top w:val="nil"/>
              <w:left w:val="nil"/>
              <w:bottom w:val="single" w:sz="4" w:space="0" w:color="auto"/>
              <w:right w:val="nil"/>
            </w:tcBorders>
            <w:shd w:val="clear" w:color="auto" w:fill="auto"/>
            <w:noWrap/>
            <w:vAlign w:val="bottom"/>
            <w:hideMark/>
          </w:tcPr>
          <w:p w14:paraId="44E32F9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35,62</w:t>
            </w:r>
          </w:p>
        </w:tc>
        <w:tc>
          <w:tcPr>
            <w:tcW w:w="1559" w:type="dxa"/>
            <w:tcBorders>
              <w:top w:val="nil"/>
              <w:left w:val="nil"/>
              <w:bottom w:val="single" w:sz="4" w:space="0" w:color="auto"/>
              <w:right w:val="nil"/>
            </w:tcBorders>
            <w:shd w:val="clear" w:color="auto" w:fill="auto"/>
            <w:noWrap/>
            <w:vAlign w:val="bottom"/>
            <w:hideMark/>
          </w:tcPr>
          <w:p w14:paraId="5AA5B08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28,77</w:t>
            </w:r>
          </w:p>
        </w:tc>
        <w:tc>
          <w:tcPr>
            <w:tcW w:w="1560" w:type="dxa"/>
            <w:tcBorders>
              <w:top w:val="nil"/>
              <w:left w:val="nil"/>
              <w:bottom w:val="single" w:sz="4" w:space="0" w:color="auto"/>
              <w:right w:val="nil"/>
            </w:tcBorders>
            <w:shd w:val="clear" w:color="auto" w:fill="auto"/>
            <w:noWrap/>
            <w:vAlign w:val="bottom"/>
            <w:hideMark/>
          </w:tcPr>
          <w:p w14:paraId="21725B3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31,51</w:t>
            </w:r>
          </w:p>
        </w:tc>
      </w:tr>
      <w:tr w:rsidR="00F85178" w:rsidRPr="00F85178" w14:paraId="3156795C"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116FBE5E"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Ústí n. Labem</w:t>
            </w:r>
          </w:p>
        </w:tc>
        <w:tc>
          <w:tcPr>
            <w:tcW w:w="1376" w:type="dxa"/>
            <w:tcBorders>
              <w:top w:val="nil"/>
              <w:left w:val="nil"/>
              <w:bottom w:val="single" w:sz="4" w:space="0" w:color="auto"/>
              <w:right w:val="nil"/>
            </w:tcBorders>
            <w:shd w:val="clear" w:color="auto" w:fill="auto"/>
            <w:noWrap/>
            <w:vAlign w:val="bottom"/>
            <w:hideMark/>
          </w:tcPr>
          <w:p w14:paraId="06E6CD9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8,04</w:t>
            </w:r>
          </w:p>
        </w:tc>
        <w:tc>
          <w:tcPr>
            <w:tcW w:w="1459" w:type="dxa"/>
            <w:tcBorders>
              <w:top w:val="nil"/>
              <w:left w:val="nil"/>
              <w:bottom w:val="single" w:sz="4" w:space="0" w:color="auto"/>
              <w:right w:val="nil"/>
            </w:tcBorders>
            <w:shd w:val="clear" w:color="auto" w:fill="auto"/>
            <w:noWrap/>
            <w:vAlign w:val="bottom"/>
            <w:hideMark/>
          </w:tcPr>
          <w:p w14:paraId="5F6A624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49,11</w:t>
            </w:r>
          </w:p>
        </w:tc>
        <w:tc>
          <w:tcPr>
            <w:tcW w:w="1559" w:type="dxa"/>
            <w:tcBorders>
              <w:top w:val="nil"/>
              <w:left w:val="nil"/>
              <w:bottom w:val="single" w:sz="4" w:space="0" w:color="auto"/>
              <w:right w:val="nil"/>
            </w:tcBorders>
            <w:shd w:val="clear" w:color="auto" w:fill="auto"/>
            <w:noWrap/>
            <w:vAlign w:val="bottom"/>
            <w:hideMark/>
          </w:tcPr>
          <w:p w14:paraId="0F49867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29,46</w:t>
            </w:r>
          </w:p>
        </w:tc>
        <w:tc>
          <w:tcPr>
            <w:tcW w:w="1560" w:type="dxa"/>
            <w:tcBorders>
              <w:top w:val="nil"/>
              <w:left w:val="nil"/>
              <w:bottom w:val="single" w:sz="4" w:space="0" w:color="auto"/>
              <w:right w:val="nil"/>
            </w:tcBorders>
            <w:shd w:val="clear" w:color="auto" w:fill="auto"/>
            <w:noWrap/>
            <w:vAlign w:val="bottom"/>
            <w:hideMark/>
          </w:tcPr>
          <w:p w14:paraId="12B7D44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13,39</w:t>
            </w:r>
          </w:p>
        </w:tc>
      </w:tr>
      <w:tr w:rsidR="00F85178" w:rsidRPr="00F85178" w14:paraId="4CF8F04C"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5D7A9DA7"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Hr. Králové</w:t>
            </w:r>
          </w:p>
        </w:tc>
        <w:tc>
          <w:tcPr>
            <w:tcW w:w="1376" w:type="dxa"/>
            <w:tcBorders>
              <w:top w:val="nil"/>
              <w:left w:val="nil"/>
              <w:bottom w:val="single" w:sz="4" w:space="0" w:color="auto"/>
              <w:right w:val="nil"/>
            </w:tcBorders>
            <w:shd w:val="clear" w:color="auto" w:fill="auto"/>
            <w:noWrap/>
            <w:vAlign w:val="bottom"/>
            <w:hideMark/>
          </w:tcPr>
          <w:p w14:paraId="43FF0AB3"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3,53</w:t>
            </w:r>
          </w:p>
        </w:tc>
        <w:tc>
          <w:tcPr>
            <w:tcW w:w="1459" w:type="dxa"/>
            <w:tcBorders>
              <w:top w:val="nil"/>
              <w:left w:val="nil"/>
              <w:bottom w:val="single" w:sz="4" w:space="0" w:color="auto"/>
              <w:right w:val="nil"/>
            </w:tcBorders>
            <w:shd w:val="clear" w:color="auto" w:fill="auto"/>
            <w:noWrap/>
            <w:vAlign w:val="bottom"/>
            <w:hideMark/>
          </w:tcPr>
          <w:p w14:paraId="2A4A589C"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37,65</w:t>
            </w:r>
          </w:p>
        </w:tc>
        <w:tc>
          <w:tcPr>
            <w:tcW w:w="1559" w:type="dxa"/>
            <w:tcBorders>
              <w:top w:val="nil"/>
              <w:left w:val="nil"/>
              <w:bottom w:val="single" w:sz="4" w:space="0" w:color="auto"/>
              <w:right w:val="nil"/>
            </w:tcBorders>
            <w:shd w:val="clear" w:color="auto" w:fill="auto"/>
            <w:noWrap/>
            <w:vAlign w:val="bottom"/>
            <w:hideMark/>
          </w:tcPr>
          <w:p w14:paraId="01361B83"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36,47</w:t>
            </w:r>
          </w:p>
        </w:tc>
        <w:tc>
          <w:tcPr>
            <w:tcW w:w="1560" w:type="dxa"/>
            <w:tcBorders>
              <w:top w:val="nil"/>
              <w:left w:val="nil"/>
              <w:bottom w:val="single" w:sz="4" w:space="0" w:color="auto"/>
              <w:right w:val="nil"/>
            </w:tcBorders>
            <w:shd w:val="clear" w:color="auto" w:fill="auto"/>
            <w:noWrap/>
            <w:vAlign w:val="bottom"/>
            <w:hideMark/>
          </w:tcPr>
          <w:p w14:paraId="13CA24F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22,35</w:t>
            </w:r>
          </w:p>
        </w:tc>
      </w:tr>
      <w:tr w:rsidR="00F85178" w:rsidRPr="00F85178" w14:paraId="0D8406B4" w14:textId="77777777" w:rsidTr="00852AE4">
        <w:trPr>
          <w:trHeight w:val="315"/>
        </w:trPr>
        <w:tc>
          <w:tcPr>
            <w:tcW w:w="2480" w:type="dxa"/>
            <w:tcBorders>
              <w:top w:val="nil"/>
              <w:left w:val="nil"/>
              <w:bottom w:val="single" w:sz="4" w:space="0" w:color="auto"/>
              <w:right w:val="nil"/>
            </w:tcBorders>
            <w:shd w:val="clear" w:color="auto" w:fill="auto"/>
            <w:noWrap/>
            <w:vAlign w:val="bottom"/>
            <w:hideMark/>
          </w:tcPr>
          <w:p w14:paraId="05276D6A"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Brno</w:t>
            </w:r>
          </w:p>
        </w:tc>
        <w:tc>
          <w:tcPr>
            <w:tcW w:w="1376" w:type="dxa"/>
            <w:tcBorders>
              <w:top w:val="nil"/>
              <w:left w:val="nil"/>
              <w:bottom w:val="single" w:sz="4" w:space="0" w:color="auto"/>
              <w:right w:val="nil"/>
            </w:tcBorders>
            <w:shd w:val="clear" w:color="auto" w:fill="auto"/>
            <w:noWrap/>
            <w:vAlign w:val="bottom"/>
            <w:hideMark/>
          </w:tcPr>
          <w:p w14:paraId="549D368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5,99</w:t>
            </w:r>
          </w:p>
        </w:tc>
        <w:tc>
          <w:tcPr>
            <w:tcW w:w="1459" w:type="dxa"/>
            <w:tcBorders>
              <w:top w:val="nil"/>
              <w:left w:val="nil"/>
              <w:bottom w:val="single" w:sz="4" w:space="0" w:color="auto"/>
              <w:right w:val="nil"/>
            </w:tcBorders>
            <w:shd w:val="clear" w:color="auto" w:fill="auto"/>
            <w:noWrap/>
            <w:vAlign w:val="bottom"/>
            <w:hideMark/>
          </w:tcPr>
          <w:p w14:paraId="2E429E2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31,74</w:t>
            </w:r>
          </w:p>
        </w:tc>
        <w:tc>
          <w:tcPr>
            <w:tcW w:w="1559" w:type="dxa"/>
            <w:tcBorders>
              <w:top w:val="nil"/>
              <w:left w:val="nil"/>
              <w:bottom w:val="single" w:sz="4" w:space="0" w:color="auto"/>
              <w:right w:val="nil"/>
            </w:tcBorders>
            <w:shd w:val="clear" w:color="auto" w:fill="auto"/>
            <w:noWrap/>
            <w:vAlign w:val="bottom"/>
            <w:hideMark/>
          </w:tcPr>
          <w:p w14:paraId="4CBA43B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34,73</w:t>
            </w:r>
          </w:p>
        </w:tc>
        <w:tc>
          <w:tcPr>
            <w:tcW w:w="1560" w:type="dxa"/>
            <w:tcBorders>
              <w:top w:val="nil"/>
              <w:left w:val="nil"/>
              <w:bottom w:val="single" w:sz="4" w:space="0" w:color="auto"/>
              <w:right w:val="nil"/>
            </w:tcBorders>
            <w:shd w:val="clear" w:color="auto" w:fill="auto"/>
            <w:noWrap/>
            <w:vAlign w:val="bottom"/>
            <w:hideMark/>
          </w:tcPr>
          <w:p w14:paraId="20C3AB0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27,54</w:t>
            </w:r>
          </w:p>
        </w:tc>
      </w:tr>
      <w:tr w:rsidR="00F85178" w:rsidRPr="00F85178" w14:paraId="33DD4BB5" w14:textId="77777777" w:rsidTr="00852AE4">
        <w:trPr>
          <w:trHeight w:val="330"/>
        </w:trPr>
        <w:tc>
          <w:tcPr>
            <w:tcW w:w="2480" w:type="dxa"/>
            <w:tcBorders>
              <w:top w:val="nil"/>
              <w:left w:val="nil"/>
              <w:bottom w:val="double" w:sz="6" w:space="0" w:color="auto"/>
              <w:right w:val="nil"/>
            </w:tcBorders>
            <w:shd w:val="clear" w:color="auto" w:fill="auto"/>
            <w:noWrap/>
            <w:vAlign w:val="bottom"/>
            <w:hideMark/>
          </w:tcPr>
          <w:p w14:paraId="1D01E9DB"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Ostrava</w:t>
            </w:r>
          </w:p>
        </w:tc>
        <w:tc>
          <w:tcPr>
            <w:tcW w:w="1376" w:type="dxa"/>
            <w:tcBorders>
              <w:top w:val="nil"/>
              <w:left w:val="nil"/>
              <w:bottom w:val="double" w:sz="6" w:space="0" w:color="auto"/>
              <w:right w:val="nil"/>
            </w:tcBorders>
            <w:shd w:val="clear" w:color="auto" w:fill="auto"/>
            <w:noWrap/>
            <w:vAlign w:val="bottom"/>
            <w:hideMark/>
          </w:tcPr>
          <w:p w14:paraId="6D752E7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6,94</w:t>
            </w:r>
          </w:p>
        </w:tc>
        <w:tc>
          <w:tcPr>
            <w:tcW w:w="1459" w:type="dxa"/>
            <w:tcBorders>
              <w:top w:val="nil"/>
              <w:left w:val="nil"/>
              <w:bottom w:val="double" w:sz="6" w:space="0" w:color="auto"/>
              <w:right w:val="nil"/>
            </w:tcBorders>
            <w:shd w:val="clear" w:color="auto" w:fill="auto"/>
            <w:noWrap/>
            <w:vAlign w:val="bottom"/>
            <w:hideMark/>
          </w:tcPr>
          <w:p w14:paraId="43840550"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40,97</w:t>
            </w:r>
          </w:p>
        </w:tc>
        <w:tc>
          <w:tcPr>
            <w:tcW w:w="1559" w:type="dxa"/>
            <w:tcBorders>
              <w:top w:val="nil"/>
              <w:left w:val="nil"/>
              <w:bottom w:val="double" w:sz="6" w:space="0" w:color="auto"/>
              <w:right w:val="nil"/>
            </w:tcBorders>
            <w:shd w:val="clear" w:color="auto" w:fill="auto"/>
            <w:noWrap/>
            <w:vAlign w:val="bottom"/>
            <w:hideMark/>
          </w:tcPr>
          <w:p w14:paraId="3ACC9A9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31,25</w:t>
            </w:r>
          </w:p>
        </w:tc>
        <w:tc>
          <w:tcPr>
            <w:tcW w:w="1560" w:type="dxa"/>
            <w:tcBorders>
              <w:top w:val="nil"/>
              <w:left w:val="nil"/>
              <w:bottom w:val="double" w:sz="6" w:space="0" w:color="auto"/>
              <w:right w:val="nil"/>
            </w:tcBorders>
            <w:shd w:val="clear" w:color="auto" w:fill="auto"/>
            <w:noWrap/>
            <w:vAlign w:val="bottom"/>
            <w:hideMark/>
          </w:tcPr>
          <w:p w14:paraId="5652719C"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20,83</w:t>
            </w:r>
          </w:p>
        </w:tc>
      </w:tr>
      <w:tr w:rsidR="0020046C" w:rsidRPr="00F85178" w14:paraId="7E227CD6" w14:textId="77777777" w:rsidTr="00852AE4">
        <w:trPr>
          <w:trHeight w:val="345"/>
        </w:trPr>
        <w:tc>
          <w:tcPr>
            <w:tcW w:w="2480" w:type="dxa"/>
            <w:tcBorders>
              <w:top w:val="nil"/>
              <w:left w:val="nil"/>
              <w:bottom w:val="double" w:sz="6" w:space="0" w:color="auto"/>
              <w:right w:val="nil"/>
            </w:tcBorders>
            <w:shd w:val="clear" w:color="auto" w:fill="auto"/>
            <w:noWrap/>
            <w:vAlign w:val="bottom"/>
            <w:hideMark/>
          </w:tcPr>
          <w:p w14:paraId="4BAE3705" w14:textId="77777777" w:rsidR="0020046C" w:rsidRPr="00F85178" w:rsidRDefault="0020046C" w:rsidP="0020046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376" w:type="dxa"/>
            <w:tcBorders>
              <w:top w:val="nil"/>
              <w:left w:val="nil"/>
              <w:bottom w:val="double" w:sz="6" w:space="0" w:color="auto"/>
              <w:right w:val="nil"/>
            </w:tcBorders>
            <w:shd w:val="clear" w:color="auto" w:fill="auto"/>
            <w:noWrap/>
            <w:vAlign w:val="bottom"/>
            <w:hideMark/>
          </w:tcPr>
          <w:p w14:paraId="7581939A"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5,45</w:t>
            </w:r>
          </w:p>
        </w:tc>
        <w:tc>
          <w:tcPr>
            <w:tcW w:w="1459" w:type="dxa"/>
            <w:tcBorders>
              <w:top w:val="nil"/>
              <w:left w:val="nil"/>
              <w:bottom w:val="double" w:sz="6" w:space="0" w:color="auto"/>
              <w:right w:val="nil"/>
            </w:tcBorders>
            <w:shd w:val="clear" w:color="auto" w:fill="auto"/>
            <w:noWrap/>
            <w:vAlign w:val="bottom"/>
            <w:hideMark/>
          </w:tcPr>
          <w:p w14:paraId="07088484"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33,86</w:t>
            </w:r>
          </w:p>
        </w:tc>
        <w:tc>
          <w:tcPr>
            <w:tcW w:w="1559" w:type="dxa"/>
            <w:tcBorders>
              <w:top w:val="nil"/>
              <w:left w:val="nil"/>
              <w:bottom w:val="double" w:sz="6" w:space="0" w:color="auto"/>
              <w:right w:val="nil"/>
            </w:tcBorders>
            <w:shd w:val="clear" w:color="auto" w:fill="auto"/>
            <w:noWrap/>
            <w:vAlign w:val="bottom"/>
            <w:hideMark/>
          </w:tcPr>
          <w:p w14:paraId="6CD0824F"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35,85</w:t>
            </w:r>
          </w:p>
        </w:tc>
        <w:tc>
          <w:tcPr>
            <w:tcW w:w="1560" w:type="dxa"/>
            <w:tcBorders>
              <w:top w:val="nil"/>
              <w:left w:val="nil"/>
              <w:bottom w:val="double" w:sz="6" w:space="0" w:color="auto"/>
              <w:right w:val="nil"/>
            </w:tcBorders>
            <w:shd w:val="clear" w:color="auto" w:fill="auto"/>
            <w:noWrap/>
            <w:vAlign w:val="bottom"/>
            <w:hideMark/>
          </w:tcPr>
          <w:p w14:paraId="1624000C"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24,84</w:t>
            </w:r>
          </w:p>
        </w:tc>
      </w:tr>
    </w:tbl>
    <w:p w14:paraId="0C1C0B97" w14:textId="77777777" w:rsidR="0020046C" w:rsidRPr="00F85178" w:rsidRDefault="0020046C" w:rsidP="00770E8A"/>
    <w:p w14:paraId="2AF55E6C" w14:textId="77777777" w:rsidR="003577A9" w:rsidRPr="00F85178" w:rsidRDefault="003577A9" w:rsidP="003577A9">
      <w:pPr>
        <w:pStyle w:val="OdstavecASR"/>
      </w:pPr>
      <w:r w:rsidRPr="00F85178">
        <w:t>Z těchto dat můžeme vyvodit různé závěry:</w:t>
      </w:r>
    </w:p>
    <w:p w14:paraId="2234226A" w14:textId="77777777" w:rsidR="003577A9" w:rsidRPr="00F85178" w:rsidRDefault="003577A9" w:rsidP="003577A9">
      <w:pPr>
        <w:pStyle w:val="OdstavecASR"/>
        <w:numPr>
          <w:ilvl w:val="0"/>
          <w:numId w:val="19"/>
        </w:numPr>
      </w:pPr>
      <w:r w:rsidRPr="00F85178">
        <w:t>Soudci u krajských soudů jsou v průměru výrazně starší než soudci u soudů okresních. To je zcela logické, protože to plyne z kariérního postupu soudců. V naprosté většině jsou noví soudci jmenováni na okresní soudy. Někteří tam zůstanou, jiní jsou přeloženi ke krajským soudům (později případně i k VS, NS nebo NSS). Mezi jmenováním a přeložením samozřejmě většinou uplyne několik let.</w:t>
      </w:r>
    </w:p>
    <w:p w14:paraId="4518F36E" w14:textId="4F5FF680" w:rsidR="003577A9" w:rsidRPr="00F85178" w:rsidRDefault="00635C9F" w:rsidP="003577A9">
      <w:pPr>
        <w:pStyle w:val="OdstavecASR"/>
        <w:numPr>
          <w:ilvl w:val="0"/>
          <w:numId w:val="19"/>
        </w:numPr>
      </w:pPr>
      <w:r w:rsidRPr="00F85178">
        <w:t xml:space="preserve">V roce 2018 již neplatí, </w:t>
      </w:r>
      <w:r w:rsidR="007B2947" w:rsidRPr="00F85178">
        <w:t>že nejmladší</w:t>
      </w:r>
      <w:r w:rsidRPr="00F85178">
        <w:t xml:space="preserve"> soudci jsou u KS Ústí nad Labem, protože došlo k jejich přesunu do </w:t>
      </w:r>
      <w:r w:rsidR="007B2947" w:rsidRPr="00F85178">
        <w:t>vyšších věkových skupin</w:t>
      </w:r>
      <w:r w:rsidRPr="00F85178">
        <w:t xml:space="preserve"> a stavy nejmladších soudců nebyly </w:t>
      </w:r>
      <w:r w:rsidR="006E02E7" w:rsidRPr="00F85178">
        <w:t xml:space="preserve">u KS </w:t>
      </w:r>
      <w:r w:rsidR="00852AE4" w:rsidRPr="00F85178">
        <w:t>Ú</w:t>
      </w:r>
      <w:r w:rsidR="006E02E7" w:rsidRPr="00F85178">
        <w:t xml:space="preserve">stí nad Labem </w:t>
      </w:r>
      <w:r w:rsidR="00FB1272" w:rsidRPr="00F85178">
        <w:t xml:space="preserve">v roce 2018 </w:t>
      </w:r>
      <w:r w:rsidRPr="00F85178">
        <w:t>doplněny</w:t>
      </w:r>
      <w:r w:rsidR="00FB1272" w:rsidRPr="00F85178">
        <w:t>.</w:t>
      </w:r>
      <w:r w:rsidR="007B2947" w:rsidRPr="00F85178">
        <w:t xml:space="preserve"> </w:t>
      </w:r>
      <w:r w:rsidR="00FB1272" w:rsidRPr="00F85178">
        <w:t>J</w:t>
      </w:r>
      <w:r w:rsidR="007B2947" w:rsidRPr="00F85178">
        <w:t>ejich počet klesl z 16 soudců ve věkové kategorii</w:t>
      </w:r>
      <w:r w:rsidR="00241CBB">
        <w:t> </w:t>
      </w:r>
      <w:r w:rsidR="007B2947" w:rsidRPr="00F85178">
        <w:t>30–40 let v roce 2017 na 9 soudců v roce 2018. Přitom počet plánovaných soudců na KS Ústí nad Labem</w:t>
      </w:r>
      <w:r w:rsidR="006E02E7" w:rsidRPr="00F85178">
        <w:t xml:space="preserve"> se</w:t>
      </w:r>
      <w:r w:rsidR="007B2947" w:rsidRPr="00F85178">
        <w:t xml:space="preserve"> v roce 2018 zvýšil ze 125 na 130</w:t>
      </w:r>
      <w:r w:rsidR="00FB1272" w:rsidRPr="00F85178">
        <w:t>,</w:t>
      </w:r>
      <w:r w:rsidR="007B2947" w:rsidRPr="00F85178">
        <w:t xml:space="preserve"> </w:t>
      </w:r>
      <w:r w:rsidR="00FB1272" w:rsidRPr="00F85178">
        <w:t>když</w:t>
      </w:r>
      <w:r w:rsidR="007B2947" w:rsidRPr="00F85178">
        <w:t xml:space="preserve"> počet evidenčních soudců se zvýšil pouze o dva na 11</w:t>
      </w:r>
      <w:r w:rsidR="00FB1272" w:rsidRPr="00F85178">
        <w:t>2</w:t>
      </w:r>
      <w:r w:rsidR="007B2947" w:rsidRPr="00F85178">
        <w:t xml:space="preserve"> soudců.</w:t>
      </w:r>
    </w:p>
    <w:p w14:paraId="693FA244" w14:textId="77777777" w:rsidR="007B2947" w:rsidRPr="00F85178" w:rsidRDefault="007B2947" w:rsidP="003577A9">
      <w:pPr>
        <w:pStyle w:val="OdstavecASR"/>
        <w:numPr>
          <w:ilvl w:val="0"/>
          <w:numId w:val="19"/>
        </w:numPr>
      </w:pPr>
      <w:r w:rsidRPr="00F85178">
        <w:t xml:space="preserve">Nejvyšší </w:t>
      </w:r>
      <w:r w:rsidR="00FB1272" w:rsidRPr="00F85178">
        <w:t>podíl nejmladších</w:t>
      </w:r>
      <w:r w:rsidRPr="00F85178">
        <w:t xml:space="preserve"> soudců na celkovém počtu soudců krajských soudů byl v roce 2018 u KS Praha a stabilně se pohybuje mezi 11 a 12</w:t>
      </w:r>
      <w:r w:rsidR="007365A5" w:rsidRPr="00F85178">
        <w:t xml:space="preserve"> </w:t>
      </w:r>
      <w:r w:rsidRPr="00F85178">
        <w:t>%.</w:t>
      </w:r>
    </w:p>
    <w:p w14:paraId="49410CB4" w14:textId="77777777" w:rsidR="0020046C" w:rsidRPr="00F85178" w:rsidRDefault="00E9416A" w:rsidP="003577A9">
      <w:pPr>
        <w:pStyle w:val="OdstavecASR"/>
        <w:numPr>
          <w:ilvl w:val="0"/>
          <w:numId w:val="19"/>
        </w:numPr>
      </w:pPr>
      <w:r w:rsidRPr="00F85178">
        <w:t>Co ale platí i v roce 2018 je, že p</w:t>
      </w:r>
      <w:r w:rsidR="003577A9" w:rsidRPr="00F85178">
        <w:t>odobně jako u OS i u KS se věk soudců postupně zvyšuje</w:t>
      </w:r>
      <w:r w:rsidRPr="00F85178">
        <w:t>, přičemž počet soudců v nejvyšší věkové kategorii zůstává již několik let v podstatě stabilní</w:t>
      </w:r>
      <w:r w:rsidR="003577A9" w:rsidRPr="00F85178">
        <w:t>. Důvody jsou obdobné, plynou především ze zvyšování evidenčního počtu soudců před rokem 2006 a ze zvyšování průměrného věku jmenovaných soudů. Pokud jsou u okresních soudů v průměru starší soudci, budou logicky ke krajským soudům také překládáni starší soudci.</w:t>
      </w:r>
    </w:p>
    <w:p w14:paraId="5F9134D9" w14:textId="77777777" w:rsidR="0020046C" w:rsidRPr="00F85178" w:rsidRDefault="00852AE4" w:rsidP="0020046C">
      <w:pPr>
        <w:pStyle w:val="Nadpis3"/>
        <w:rPr>
          <w:color w:val="auto"/>
        </w:rPr>
      </w:pPr>
      <w:bookmarkStart w:id="340" w:name="_Toc515871247"/>
      <w:bookmarkStart w:id="341" w:name="_Toc14076896"/>
      <w:r w:rsidRPr="00F85178">
        <w:rPr>
          <w:color w:val="auto"/>
        </w:rPr>
        <w:t xml:space="preserve">Zaměstnanci </w:t>
      </w:r>
      <w:r w:rsidR="0020046C" w:rsidRPr="00F85178">
        <w:rPr>
          <w:color w:val="auto"/>
        </w:rPr>
        <w:t>ve výkonu</w:t>
      </w:r>
      <w:bookmarkEnd w:id="340"/>
      <w:bookmarkEnd w:id="341"/>
    </w:p>
    <w:p w14:paraId="60A55268" w14:textId="77777777" w:rsidR="003577A9" w:rsidRPr="00F85178" w:rsidRDefault="003577A9" w:rsidP="003577A9">
      <w:pPr>
        <w:pStyle w:val="OdstavecASR"/>
      </w:pPr>
      <w:r w:rsidRPr="00F85178">
        <w:t>Pracovní pozice zaměstnanců ve výkonu a jejich pracovní náplň se od okresních soudů mírně liší. Pro účely této zprávy ale postačuje uvést stejné kategorie zaměstnanců ve výkonu jako u soudů okresních. Popis pracovní náplně a význam použitých zkratek uvádíme v </w:t>
      </w:r>
      <w:proofErr w:type="gramStart"/>
      <w:r w:rsidRPr="00F85178">
        <w:t>podkapitole </w:t>
      </w:r>
      <w:r w:rsidR="007C2863" w:rsidRPr="00F85178">
        <w:fldChar w:fldCharType="begin"/>
      </w:r>
      <w:r w:rsidR="007C2863" w:rsidRPr="00F85178">
        <w:instrText xml:space="preserve"> REF _Ref10813793 \r \h </w:instrText>
      </w:r>
      <w:r w:rsidR="007C2863" w:rsidRPr="00F85178">
        <w:fldChar w:fldCharType="separate"/>
      </w:r>
      <w:r w:rsidR="00306940">
        <w:t>2.1.2</w:t>
      </w:r>
      <w:proofErr w:type="gramEnd"/>
      <w:r w:rsidR="007C2863" w:rsidRPr="00F85178">
        <w:fldChar w:fldCharType="end"/>
      </w:r>
      <w:r w:rsidRPr="00F85178">
        <w:t>. Znovu tedy pracujeme s nejfrekventovanějšími pracovními pozicemi.</w:t>
      </w:r>
    </w:p>
    <w:p w14:paraId="415736FF" w14:textId="77777777" w:rsidR="0020046C" w:rsidRPr="00F85178" w:rsidRDefault="0020046C" w:rsidP="0020046C">
      <w:pPr>
        <w:pStyle w:val="Podtitul"/>
        <w:rPr>
          <w:color w:val="auto"/>
        </w:rPr>
      </w:pPr>
      <w:bookmarkStart w:id="342" w:name="_Toc515871467"/>
      <w:bookmarkStart w:id="343" w:name="_Toc11133234"/>
      <w:bookmarkStart w:id="344" w:name="_Toc1383745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32</w:t>
      </w:r>
      <w:r w:rsidRPr="00F85178">
        <w:rPr>
          <w:noProof/>
          <w:color w:val="auto"/>
        </w:rPr>
        <w:fldChar w:fldCharType="end"/>
      </w:r>
      <w:r w:rsidRPr="00F85178">
        <w:rPr>
          <w:color w:val="auto"/>
        </w:rPr>
        <w:t>: KS – evidenční počet zaměstnanců ve výkonu dle soudů</w:t>
      </w:r>
      <w:bookmarkEnd w:id="342"/>
      <w:bookmarkEnd w:id="343"/>
      <w:bookmarkEnd w:id="344"/>
    </w:p>
    <w:tbl>
      <w:tblPr>
        <w:tblW w:w="8000" w:type="dxa"/>
        <w:tblCellMar>
          <w:left w:w="70" w:type="dxa"/>
          <w:right w:w="70" w:type="dxa"/>
        </w:tblCellMar>
        <w:tblLook w:val="04A0" w:firstRow="1" w:lastRow="0" w:firstColumn="1" w:lastColumn="0" w:noHBand="0" w:noVBand="1"/>
      </w:tblPr>
      <w:tblGrid>
        <w:gridCol w:w="2080"/>
        <w:gridCol w:w="844"/>
        <w:gridCol w:w="597"/>
        <w:gridCol w:w="626"/>
        <w:gridCol w:w="626"/>
        <w:gridCol w:w="613"/>
        <w:gridCol w:w="626"/>
        <w:gridCol w:w="609"/>
        <w:gridCol w:w="1379"/>
      </w:tblGrid>
      <w:tr w:rsidR="00F85178" w:rsidRPr="00F85178" w14:paraId="40839C9C" w14:textId="77777777" w:rsidTr="0020046C">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49E5BEF6"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920" w:type="dxa"/>
            <w:gridSpan w:val="8"/>
            <w:tcBorders>
              <w:top w:val="double" w:sz="6" w:space="0" w:color="auto"/>
              <w:left w:val="nil"/>
              <w:bottom w:val="nil"/>
              <w:right w:val="nil"/>
            </w:tcBorders>
            <w:shd w:val="clear" w:color="auto" w:fill="auto"/>
            <w:noWrap/>
            <w:vAlign w:val="bottom"/>
            <w:hideMark/>
          </w:tcPr>
          <w:p w14:paraId="0DDBB38B"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Počet osob</w:t>
            </w:r>
          </w:p>
        </w:tc>
      </w:tr>
      <w:tr w:rsidR="00F85178" w:rsidRPr="00F85178" w14:paraId="74AB70F3" w14:textId="77777777" w:rsidTr="0020046C">
        <w:trPr>
          <w:trHeight w:val="330"/>
        </w:trPr>
        <w:tc>
          <w:tcPr>
            <w:tcW w:w="2080" w:type="dxa"/>
            <w:vMerge/>
            <w:tcBorders>
              <w:top w:val="double" w:sz="6" w:space="0" w:color="auto"/>
              <w:left w:val="nil"/>
              <w:bottom w:val="double" w:sz="6" w:space="0" w:color="000000"/>
              <w:right w:val="nil"/>
            </w:tcBorders>
            <w:vAlign w:val="center"/>
            <w:hideMark/>
          </w:tcPr>
          <w:p w14:paraId="141BE098" w14:textId="77777777" w:rsidR="0020046C" w:rsidRPr="00F85178" w:rsidRDefault="0020046C" w:rsidP="0020046C">
            <w:pPr>
              <w:spacing w:line="240" w:lineRule="auto"/>
              <w:jc w:val="left"/>
              <w:rPr>
                <w:rFonts w:eastAsia="Times New Roman"/>
                <w:b/>
                <w:bCs/>
                <w:szCs w:val="24"/>
                <w:lang w:eastAsia="cs-CZ"/>
              </w:rPr>
            </w:pPr>
          </w:p>
        </w:tc>
        <w:tc>
          <w:tcPr>
            <w:tcW w:w="844" w:type="dxa"/>
            <w:tcBorders>
              <w:top w:val="nil"/>
              <w:left w:val="nil"/>
              <w:bottom w:val="double" w:sz="6" w:space="0" w:color="auto"/>
              <w:right w:val="nil"/>
            </w:tcBorders>
            <w:shd w:val="clear" w:color="auto" w:fill="auto"/>
            <w:noWrap/>
            <w:vAlign w:val="bottom"/>
            <w:hideMark/>
          </w:tcPr>
          <w:p w14:paraId="0C83EB7B"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VSÚ</w:t>
            </w:r>
          </w:p>
        </w:tc>
        <w:tc>
          <w:tcPr>
            <w:tcW w:w="597" w:type="dxa"/>
            <w:tcBorders>
              <w:top w:val="nil"/>
              <w:left w:val="nil"/>
              <w:bottom w:val="double" w:sz="6" w:space="0" w:color="auto"/>
              <w:right w:val="nil"/>
            </w:tcBorders>
            <w:shd w:val="clear" w:color="auto" w:fill="auto"/>
            <w:noWrap/>
            <w:vAlign w:val="bottom"/>
            <w:hideMark/>
          </w:tcPr>
          <w:p w14:paraId="3BED935E"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ST</w:t>
            </w:r>
          </w:p>
        </w:tc>
        <w:tc>
          <w:tcPr>
            <w:tcW w:w="626" w:type="dxa"/>
            <w:tcBorders>
              <w:top w:val="nil"/>
              <w:left w:val="nil"/>
              <w:bottom w:val="double" w:sz="6" w:space="0" w:color="auto"/>
              <w:right w:val="nil"/>
            </w:tcBorders>
            <w:shd w:val="clear" w:color="auto" w:fill="auto"/>
            <w:noWrap/>
            <w:vAlign w:val="bottom"/>
            <w:hideMark/>
          </w:tcPr>
          <w:p w14:paraId="243B5424"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A</w:t>
            </w:r>
          </w:p>
        </w:tc>
        <w:tc>
          <w:tcPr>
            <w:tcW w:w="626" w:type="dxa"/>
            <w:tcBorders>
              <w:top w:val="nil"/>
              <w:left w:val="nil"/>
              <w:bottom w:val="double" w:sz="6" w:space="0" w:color="auto"/>
              <w:right w:val="nil"/>
            </w:tcBorders>
            <w:shd w:val="clear" w:color="auto" w:fill="auto"/>
            <w:noWrap/>
            <w:vAlign w:val="bottom"/>
            <w:hideMark/>
          </w:tcPr>
          <w:p w14:paraId="1317BE80"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VK</w:t>
            </w:r>
          </w:p>
        </w:tc>
        <w:tc>
          <w:tcPr>
            <w:tcW w:w="613" w:type="dxa"/>
            <w:tcBorders>
              <w:top w:val="nil"/>
              <w:left w:val="nil"/>
              <w:bottom w:val="double" w:sz="6" w:space="0" w:color="auto"/>
              <w:right w:val="nil"/>
            </w:tcBorders>
            <w:shd w:val="clear" w:color="auto" w:fill="auto"/>
            <w:noWrap/>
            <w:vAlign w:val="bottom"/>
            <w:hideMark/>
          </w:tcPr>
          <w:p w14:paraId="10F3EAAD"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PÚ</w:t>
            </w:r>
          </w:p>
        </w:tc>
        <w:tc>
          <w:tcPr>
            <w:tcW w:w="626" w:type="dxa"/>
            <w:tcBorders>
              <w:top w:val="nil"/>
              <w:left w:val="nil"/>
              <w:bottom w:val="double" w:sz="6" w:space="0" w:color="auto"/>
              <w:right w:val="nil"/>
            </w:tcBorders>
            <w:shd w:val="clear" w:color="auto" w:fill="auto"/>
            <w:noWrap/>
            <w:vAlign w:val="bottom"/>
            <w:hideMark/>
          </w:tcPr>
          <w:p w14:paraId="787EAED5"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Z</w:t>
            </w:r>
          </w:p>
        </w:tc>
        <w:tc>
          <w:tcPr>
            <w:tcW w:w="609" w:type="dxa"/>
            <w:tcBorders>
              <w:top w:val="nil"/>
              <w:left w:val="nil"/>
              <w:bottom w:val="double" w:sz="6" w:space="0" w:color="auto"/>
              <w:right w:val="nil"/>
            </w:tcBorders>
            <w:shd w:val="clear" w:color="auto" w:fill="auto"/>
            <w:noWrap/>
            <w:vAlign w:val="bottom"/>
            <w:hideMark/>
          </w:tcPr>
          <w:p w14:paraId="2F06263A"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RV</w:t>
            </w:r>
          </w:p>
        </w:tc>
        <w:tc>
          <w:tcPr>
            <w:tcW w:w="1379" w:type="dxa"/>
            <w:tcBorders>
              <w:top w:val="nil"/>
              <w:left w:val="nil"/>
              <w:bottom w:val="double" w:sz="6" w:space="0" w:color="auto"/>
              <w:right w:val="nil"/>
            </w:tcBorders>
            <w:shd w:val="clear" w:color="auto" w:fill="auto"/>
            <w:noWrap/>
            <w:vAlign w:val="bottom"/>
            <w:hideMark/>
          </w:tcPr>
          <w:p w14:paraId="19F55ADC"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Celkem</w:t>
            </w:r>
          </w:p>
        </w:tc>
      </w:tr>
      <w:tr w:rsidR="00F85178" w:rsidRPr="00F85178" w14:paraId="208B945E" w14:textId="77777777" w:rsidTr="0020046C">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701921F8"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MS Praha</w:t>
            </w:r>
          </w:p>
        </w:tc>
        <w:tc>
          <w:tcPr>
            <w:tcW w:w="844" w:type="dxa"/>
            <w:tcBorders>
              <w:top w:val="single" w:sz="4" w:space="0" w:color="auto"/>
              <w:left w:val="nil"/>
              <w:bottom w:val="single" w:sz="4" w:space="0" w:color="auto"/>
              <w:right w:val="nil"/>
            </w:tcBorders>
            <w:shd w:val="clear" w:color="auto" w:fill="auto"/>
            <w:noWrap/>
            <w:vAlign w:val="bottom"/>
            <w:hideMark/>
          </w:tcPr>
          <w:p w14:paraId="0F392580"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56</w:t>
            </w:r>
          </w:p>
        </w:tc>
        <w:tc>
          <w:tcPr>
            <w:tcW w:w="597" w:type="dxa"/>
            <w:tcBorders>
              <w:top w:val="single" w:sz="4" w:space="0" w:color="auto"/>
              <w:left w:val="nil"/>
              <w:bottom w:val="single" w:sz="4" w:space="0" w:color="auto"/>
              <w:right w:val="nil"/>
            </w:tcBorders>
            <w:shd w:val="clear" w:color="auto" w:fill="auto"/>
            <w:noWrap/>
            <w:vAlign w:val="bottom"/>
            <w:hideMark/>
          </w:tcPr>
          <w:p w14:paraId="1E606376"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626" w:type="dxa"/>
            <w:tcBorders>
              <w:top w:val="single" w:sz="4" w:space="0" w:color="auto"/>
              <w:left w:val="nil"/>
              <w:bottom w:val="single" w:sz="4" w:space="0" w:color="auto"/>
              <w:right w:val="nil"/>
            </w:tcBorders>
            <w:shd w:val="clear" w:color="auto" w:fill="auto"/>
            <w:noWrap/>
            <w:vAlign w:val="bottom"/>
            <w:hideMark/>
          </w:tcPr>
          <w:p w14:paraId="72D4760A"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102</w:t>
            </w:r>
          </w:p>
        </w:tc>
        <w:tc>
          <w:tcPr>
            <w:tcW w:w="626" w:type="dxa"/>
            <w:tcBorders>
              <w:top w:val="single" w:sz="4" w:space="0" w:color="auto"/>
              <w:left w:val="nil"/>
              <w:bottom w:val="single" w:sz="4" w:space="0" w:color="auto"/>
              <w:right w:val="nil"/>
            </w:tcBorders>
            <w:shd w:val="clear" w:color="auto" w:fill="auto"/>
            <w:noWrap/>
            <w:vAlign w:val="bottom"/>
            <w:hideMark/>
          </w:tcPr>
          <w:p w14:paraId="5BC1451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112</w:t>
            </w:r>
          </w:p>
        </w:tc>
        <w:tc>
          <w:tcPr>
            <w:tcW w:w="613" w:type="dxa"/>
            <w:tcBorders>
              <w:top w:val="single" w:sz="4" w:space="0" w:color="auto"/>
              <w:left w:val="nil"/>
              <w:bottom w:val="single" w:sz="4" w:space="0" w:color="auto"/>
              <w:right w:val="nil"/>
            </w:tcBorders>
            <w:shd w:val="clear" w:color="auto" w:fill="auto"/>
            <w:noWrap/>
            <w:vAlign w:val="bottom"/>
            <w:hideMark/>
          </w:tcPr>
          <w:p w14:paraId="2085172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626" w:type="dxa"/>
            <w:tcBorders>
              <w:top w:val="single" w:sz="4" w:space="0" w:color="auto"/>
              <w:left w:val="nil"/>
              <w:bottom w:val="single" w:sz="4" w:space="0" w:color="auto"/>
              <w:right w:val="nil"/>
            </w:tcBorders>
            <w:shd w:val="clear" w:color="auto" w:fill="auto"/>
            <w:noWrap/>
            <w:vAlign w:val="bottom"/>
            <w:hideMark/>
          </w:tcPr>
          <w:p w14:paraId="2CD697DA"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81</w:t>
            </w:r>
          </w:p>
        </w:tc>
        <w:tc>
          <w:tcPr>
            <w:tcW w:w="609" w:type="dxa"/>
            <w:tcBorders>
              <w:top w:val="single" w:sz="4" w:space="0" w:color="auto"/>
              <w:left w:val="nil"/>
              <w:bottom w:val="single" w:sz="4" w:space="0" w:color="auto"/>
              <w:right w:val="nil"/>
            </w:tcBorders>
            <w:shd w:val="clear" w:color="auto" w:fill="auto"/>
            <w:noWrap/>
            <w:vAlign w:val="bottom"/>
            <w:hideMark/>
          </w:tcPr>
          <w:p w14:paraId="3F8C47C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0</w:t>
            </w:r>
          </w:p>
        </w:tc>
        <w:tc>
          <w:tcPr>
            <w:tcW w:w="1379" w:type="dxa"/>
            <w:tcBorders>
              <w:top w:val="single" w:sz="4" w:space="0" w:color="auto"/>
              <w:left w:val="nil"/>
              <w:bottom w:val="single" w:sz="4" w:space="0" w:color="auto"/>
              <w:right w:val="nil"/>
            </w:tcBorders>
            <w:shd w:val="clear" w:color="auto" w:fill="auto"/>
            <w:noWrap/>
            <w:vAlign w:val="bottom"/>
            <w:hideMark/>
          </w:tcPr>
          <w:p w14:paraId="03A9B4D9" w14:textId="593C4A2C" w:rsidR="0020046C" w:rsidRPr="00F85178" w:rsidRDefault="007467A5" w:rsidP="0020046C">
            <w:pPr>
              <w:spacing w:line="240" w:lineRule="auto"/>
              <w:jc w:val="center"/>
              <w:rPr>
                <w:rFonts w:eastAsia="Times New Roman"/>
                <w:b/>
                <w:bCs/>
                <w:szCs w:val="24"/>
                <w:lang w:eastAsia="cs-CZ"/>
              </w:rPr>
            </w:pPr>
            <w:r>
              <w:rPr>
                <w:rFonts w:eastAsia="Times New Roman"/>
                <w:b/>
                <w:bCs/>
                <w:szCs w:val="24"/>
                <w:lang w:eastAsia="cs-CZ"/>
              </w:rPr>
              <w:t>401</w:t>
            </w:r>
          </w:p>
        </w:tc>
      </w:tr>
      <w:tr w:rsidR="00F85178" w:rsidRPr="00F85178" w14:paraId="3E1409E6"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25C7A215"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Praha</w:t>
            </w:r>
          </w:p>
        </w:tc>
        <w:tc>
          <w:tcPr>
            <w:tcW w:w="844" w:type="dxa"/>
            <w:tcBorders>
              <w:top w:val="nil"/>
              <w:left w:val="nil"/>
              <w:bottom w:val="single" w:sz="4" w:space="0" w:color="auto"/>
              <w:right w:val="nil"/>
            </w:tcBorders>
            <w:shd w:val="clear" w:color="auto" w:fill="auto"/>
            <w:noWrap/>
            <w:vAlign w:val="bottom"/>
            <w:hideMark/>
          </w:tcPr>
          <w:p w14:paraId="76A1C17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16</w:t>
            </w:r>
          </w:p>
        </w:tc>
        <w:tc>
          <w:tcPr>
            <w:tcW w:w="597" w:type="dxa"/>
            <w:tcBorders>
              <w:top w:val="nil"/>
              <w:left w:val="nil"/>
              <w:bottom w:val="single" w:sz="4" w:space="0" w:color="auto"/>
              <w:right w:val="nil"/>
            </w:tcBorders>
            <w:shd w:val="clear" w:color="auto" w:fill="auto"/>
            <w:noWrap/>
            <w:vAlign w:val="bottom"/>
            <w:hideMark/>
          </w:tcPr>
          <w:p w14:paraId="3688CBA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w:t>
            </w:r>
          </w:p>
        </w:tc>
        <w:tc>
          <w:tcPr>
            <w:tcW w:w="626" w:type="dxa"/>
            <w:tcBorders>
              <w:top w:val="nil"/>
              <w:left w:val="nil"/>
              <w:bottom w:val="single" w:sz="4" w:space="0" w:color="auto"/>
              <w:right w:val="nil"/>
            </w:tcBorders>
            <w:shd w:val="clear" w:color="auto" w:fill="auto"/>
            <w:noWrap/>
            <w:vAlign w:val="bottom"/>
            <w:hideMark/>
          </w:tcPr>
          <w:p w14:paraId="38F9873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30</w:t>
            </w:r>
          </w:p>
        </w:tc>
        <w:tc>
          <w:tcPr>
            <w:tcW w:w="626" w:type="dxa"/>
            <w:tcBorders>
              <w:top w:val="nil"/>
              <w:left w:val="nil"/>
              <w:bottom w:val="single" w:sz="4" w:space="0" w:color="auto"/>
              <w:right w:val="nil"/>
            </w:tcBorders>
            <w:shd w:val="clear" w:color="auto" w:fill="auto"/>
            <w:noWrap/>
            <w:vAlign w:val="bottom"/>
            <w:hideMark/>
          </w:tcPr>
          <w:p w14:paraId="57C5B9C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613" w:type="dxa"/>
            <w:tcBorders>
              <w:top w:val="nil"/>
              <w:left w:val="nil"/>
              <w:bottom w:val="single" w:sz="4" w:space="0" w:color="auto"/>
              <w:right w:val="nil"/>
            </w:tcBorders>
            <w:shd w:val="clear" w:color="auto" w:fill="auto"/>
            <w:noWrap/>
            <w:vAlign w:val="bottom"/>
            <w:hideMark/>
          </w:tcPr>
          <w:p w14:paraId="5775BF5E"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13</w:t>
            </w:r>
          </w:p>
        </w:tc>
        <w:tc>
          <w:tcPr>
            <w:tcW w:w="626" w:type="dxa"/>
            <w:tcBorders>
              <w:top w:val="nil"/>
              <w:left w:val="nil"/>
              <w:bottom w:val="single" w:sz="4" w:space="0" w:color="auto"/>
              <w:right w:val="nil"/>
            </w:tcBorders>
            <w:shd w:val="clear" w:color="auto" w:fill="auto"/>
            <w:noWrap/>
            <w:vAlign w:val="bottom"/>
            <w:hideMark/>
          </w:tcPr>
          <w:p w14:paraId="5B3B677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47</w:t>
            </w:r>
          </w:p>
        </w:tc>
        <w:tc>
          <w:tcPr>
            <w:tcW w:w="609" w:type="dxa"/>
            <w:tcBorders>
              <w:top w:val="nil"/>
              <w:left w:val="nil"/>
              <w:bottom w:val="single" w:sz="4" w:space="0" w:color="auto"/>
              <w:right w:val="nil"/>
            </w:tcBorders>
            <w:shd w:val="clear" w:color="auto" w:fill="auto"/>
            <w:noWrap/>
            <w:vAlign w:val="bottom"/>
            <w:hideMark/>
          </w:tcPr>
          <w:p w14:paraId="10FC424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0</w:t>
            </w:r>
          </w:p>
        </w:tc>
        <w:tc>
          <w:tcPr>
            <w:tcW w:w="1379" w:type="dxa"/>
            <w:tcBorders>
              <w:top w:val="nil"/>
              <w:left w:val="nil"/>
              <w:bottom w:val="single" w:sz="4" w:space="0" w:color="auto"/>
              <w:right w:val="nil"/>
            </w:tcBorders>
            <w:shd w:val="clear" w:color="auto" w:fill="auto"/>
            <w:noWrap/>
            <w:vAlign w:val="bottom"/>
            <w:hideMark/>
          </w:tcPr>
          <w:p w14:paraId="38876AAC" w14:textId="78F666B4" w:rsidR="0020046C" w:rsidRPr="00F85178" w:rsidRDefault="007467A5" w:rsidP="007467A5">
            <w:pPr>
              <w:spacing w:line="240" w:lineRule="auto"/>
              <w:jc w:val="center"/>
              <w:rPr>
                <w:rFonts w:eastAsia="Times New Roman"/>
                <w:b/>
                <w:bCs/>
                <w:szCs w:val="24"/>
                <w:lang w:eastAsia="cs-CZ"/>
              </w:rPr>
            </w:pPr>
            <w:r w:rsidRPr="00F85178">
              <w:rPr>
                <w:rFonts w:eastAsia="Times New Roman"/>
                <w:b/>
                <w:bCs/>
                <w:szCs w:val="24"/>
                <w:lang w:eastAsia="cs-CZ"/>
              </w:rPr>
              <w:t>13</w:t>
            </w:r>
            <w:r>
              <w:rPr>
                <w:rFonts w:eastAsia="Times New Roman"/>
                <w:b/>
                <w:bCs/>
                <w:szCs w:val="24"/>
                <w:lang w:eastAsia="cs-CZ"/>
              </w:rPr>
              <w:t>5</w:t>
            </w:r>
          </w:p>
        </w:tc>
      </w:tr>
      <w:tr w:rsidR="00F85178" w:rsidRPr="00F85178" w14:paraId="3A5ECFE1"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21CC85FD"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Č. Budějovice</w:t>
            </w:r>
          </w:p>
        </w:tc>
        <w:tc>
          <w:tcPr>
            <w:tcW w:w="844" w:type="dxa"/>
            <w:tcBorders>
              <w:top w:val="nil"/>
              <w:left w:val="nil"/>
              <w:bottom w:val="single" w:sz="4" w:space="0" w:color="auto"/>
              <w:right w:val="nil"/>
            </w:tcBorders>
            <w:shd w:val="clear" w:color="auto" w:fill="auto"/>
            <w:noWrap/>
            <w:vAlign w:val="bottom"/>
            <w:hideMark/>
          </w:tcPr>
          <w:p w14:paraId="3E3CEEB0"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17</w:t>
            </w:r>
          </w:p>
        </w:tc>
        <w:tc>
          <w:tcPr>
            <w:tcW w:w="597" w:type="dxa"/>
            <w:tcBorders>
              <w:top w:val="nil"/>
              <w:left w:val="nil"/>
              <w:bottom w:val="single" w:sz="4" w:space="0" w:color="auto"/>
              <w:right w:val="nil"/>
            </w:tcBorders>
            <w:shd w:val="clear" w:color="auto" w:fill="auto"/>
            <w:noWrap/>
            <w:vAlign w:val="bottom"/>
            <w:hideMark/>
          </w:tcPr>
          <w:p w14:paraId="429D9D1F"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8</w:t>
            </w:r>
          </w:p>
        </w:tc>
        <w:tc>
          <w:tcPr>
            <w:tcW w:w="626" w:type="dxa"/>
            <w:tcBorders>
              <w:top w:val="nil"/>
              <w:left w:val="nil"/>
              <w:bottom w:val="single" w:sz="4" w:space="0" w:color="auto"/>
              <w:right w:val="nil"/>
            </w:tcBorders>
            <w:shd w:val="clear" w:color="auto" w:fill="auto"/>
            <w:noWrap/>
            <w:vAlign w:val="bottom"/>
            <w:hideMark/>
          </w:tcPr>
          <w:p w14:paraId="33A1772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21</w:t>
            </w:r>
          </w:p>
        </w:tc>
        <w:tc>
          <w:tcPr>
            <w:tcW w:w="626" w:type="dxa"/>
            <w:tcBorders>
              <w:top w:val="nil"/>
              <w:left w:val="nil"/>
              <w:bottom w:val="single" w:sz="4" w:space="0" w:color="auto"/>
              <w:right w:val="nil"/>
            </w:tcBorders>
            <w:shd w:val="clear" w:color="auto" w:fill="auto"/>
            <w:noWrap/>
            <w:vAlign w:val="bottom"/>
            <w:hideMark/>
          </w:tcPr>
          <w:p w14:paraId="54657C5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17</w:t>
            </w:r>
          </w:p>
        </w:tc>
        <w:tc>
          <w:tcPr>
            <w:tcW w:w="613" w:type="dxa"/>
            <w:tcBorders>
              <w:top w:val="nil"/>
              <w:left w:val="nil"/>
              <w:bottom w:val="single" w:sz="4" w:space="0" w:color="auto"/>
              <w:right w:val="nil"/>
            </w:tcBorders>
            <w:shd w:val="clear" w:color="auto" w:fill="auto"/>
            <w:noWrap/>
            <w:vAlign w:val="bottom"/>
            <w:hideMark/>
          </w:tcPr>
          <w:p w14:paraId="54601FFF"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10</w:t>
            </w:r>
          </w:p>
        </w:tc>
        <w:tc>
          <w:tcPr>
            <w:tcW w:w="626" w:type="dxa"/>
            <w:tcBorders>
              <w:top w:val="nil"/>
              <w:left w:val="nil"/>
              <w:bottom w:val="single" w:sz="4" w:space="0" w:color="auto"/>
              <w:right w:val="nil"/>
            </w:tcBorders>
            <w:shd w:val="clear" w:color="auto" w:fill="auto"/>
            <w:noWrap/>
            <w:vAlign w:val="bottom"/>
            <w:hideMark/>
          </w:tcPr>
          <w:p w14:paraId="06B8664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26</w:t>
            </w:r>
          </w:p>
        </w:tc>
        <w:tc>
          <w:tcPr>
            <w:tcW w:w="609" w:type="dxa"/>
            <w:tcBorders>
              <w:top w:val="nil"/>
              <w:left w:val="nil"/>
              <w:bottom w:val="single" w:sz="4" w:space="0" w:color="auto"/>
              <w:right w:val="nil"/>
            </w:tcBorders>
            <w:shd w:val="clear" w:color="auto" w:fill="auto"/>
            <w:noWrap/>
            <w:vAlign w:val="bottom"/>
            <w:hideMark/>
          </w:tcPr>
          <w:p w14:paraId="6B38C08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w:t>
            </w:r>
          </w:p>
        </w:tc>
        <w:tc>
          <w:tcPr>
            <w:tcW w:w="1379" w:type="dxa"/>
            <w:tcBorders>
              <w:top w:val="nil"/>
              <w:left w:val="nil"/>
              <w:bottom w:val="single" w:sz="4" w:space="0" w:color="auto"/>
              <w:right w:val="nil"/>
            </w:tcBorders>
            <w:shd w:val="clear" w:color="auto" w:fill="auto"/>
            <w:noWrap/>
            <w:vAlign w:val="bottom"/>
            <w:hideMark/>
          </w:tcPr>
          <w:p w14:paraId="7B3EFC37"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100</w:t>
            </w:r>
          </w:p>
        </w:tc>
      </w:tr>
      <w:tr w:rsidR="00F85178" w:rsidRPr="00F85178" w14:paraId="33710E0F"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6259B4FE"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Plzeň</w:t>
            </w:r>
          </w:p>
        </w:tc>
        <w:tc>
          <w:tcPr>
            <w:tcW w:w="844" w:type="dxa"/>
            <w:tcBorders>
              <w:top w:val="nil"/>
              <w:left w:val="nil"/>
              <w:bottom w:val="single" w:sz="4" w:space="0" w:color="auto"/>
              <w:right w:val="nil"/>
            </w:tcBorders>
            <w:shd w:val="clear" w:color="auto" w:fill="auto"/>
            <w:noWrap/>
            <w:vAlign w:val="bottom"/>
            <w:hideMark/>
          </w:tcPr>
          <w:p w14:paraId="26814E5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17</w:t>
            </w:r>
          </w:p>
        </w:tc>
        <w:tc>
          <w:tcPr>
            <w:tcW w:w="597" w:type="dxa"/>
            <w:tcBorders>
              <w:top w:val="nil"/>
              <w:left w:val="nil"/>
              <w:bottom w:val="single" w:sz="4" w:space="0" w:color="auto"/>
              <w:right w:val="nil"/>
            </w:tcBorders>
            <w:shd w:val="clear" w:color="auto" w:fill="auto"/>
            <w:noWrap/>
            <w:vAlign w:val="bottom"/>
            <w:hideMark/>
          </w:tcPr>
          <w:p w14:paraId="49A71FD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w:t>
            </w:r>
          </w:p>
        </w:tc>
        <w:tc>
          <w:tcPr>
            <w:tcW w:w="626" w:type="dxa"/>
            <w:tcBorders>
              <w:top w:val="nil"/>
              <w:left w:val="nil"/>
              <w:bottom w:val="single" w:sz="4" w:space="0" w:color="auto"/>
              <w:right w:val="nil"/>
            </w:tcBorders>
            <w:shd w:val="clear" w:color="auto" w:fill="auto"/>
            <w:noWrap/>
            <w:vAlign w:val="bottom"/>
            <w:hideMark/>
          </w:tcPr>
          <w:p w14:paraId="2B7C885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24</w:t>
            </w:r>
          </w:p>
        </w:tc>
        <w:tc>
          <w:tcPr>
            <w:tcW w:w="626" w:type="dxa"/>
            <w:tcBorders>
              <w:top w:val="nil"/>
              <w:left w:val="nil"/>
              <w:bottom w:val="single" w:sz="4" w:space="0" w:color="auto"/>
              <w:right w:val="nil"/>
            </w:tcBorders>
            <w:shd w:val="clear" w:color="auto" w:fill="auto"/>
            <w:noWrap/>
            <w:vAlign w:val="bottom"/>
            <w:hideMark/>
          </w:tcPr>
          <w:p w14:paraId="63865AC6"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39</w:t>
            </w:r>
          </w:p>
        </w:tc>
        <w:tc>
          <w:tcPr>
            <w:tcW w:w="613" w:type="dxa"/>
            <w:tcBorders>
              <w:top w:val="nil"/>
              <w:left w:val="nil"/>
              <w:bottom w:val="single" w:sz="4" w:space="0" w:color="auto"/>
              <w:right w:val="nil"/>
            </w:tcBorders>
            <w:shd w:val="clear" w:color="auto" w:fill="auto"/>
            <w:noWrap/>
            <w:vAlign w:val="bottom"/>
            <w:hideMark/>
          </w:tcPr>
          <w:p w14:paraId="3455457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11</w:t>
            </w:r>
          </w:p>
        </w:tc>
        <w:tc>
          <w:tcPr>
            <w:tcW w:w="626" w:type="dxa"/>
            <w:tcBorders>
              <w:top w:val="nil"/>
              <w:left w:val="nil"/>
              <w:bottom w:val="single" w:sz="4" w:space="0" w:color="auto"/>
              <w:right w:val="nil"/>
            </w:tcBorders>
            <w:shd w:val="clear" w:color="auto" w:fill="auto"/>
            <w:noWrap/>
            <w:vAlign w:val="bottom"/>
            <w:hideMark/>
          </w:tcPr>
          <w:p w14:paraId="46575A9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21</w:t>
            </w:r>
          </w:p>
        </w:tc>
        <w:tc>
          <w:tcPr>
            <w:tcW w:w="609" w:type="dxa"/>
            <w:tcBorders>
              <w:top w:val="nil"/>
              <w:left w:val="nil"/>
              <w:bottom w:val="single" w:sz="4" w:space="0" w:color="auto"/>
              <w:right w:val="nil"/>
            </w:tcBorders>
            <w:shd w:val="clear" w:color="auto" w:fill="auto"/>
            <w:noWrap/>
            <w:vAlign w:val="bottom"/>
            <w:hideMark/>
          </w:tcPr>
          <w:p w14:paraId="203A798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w:t>
            </w:r>
          </w:p>
        </w:tc>
        <w:tc>
          <w:tcPr>
            <w:tcW w:w="1379" w:type="dxa"/>
            <w:tcBorders>
              <w:top w:val="nil"/>
              <w:left w:val="nil"/>
              <w:bottom w:val="single" w:sz="4" w:space="0" w:color="auto"/>
              <w:right w:val="nil"/>
            </w:tcBorders>
            <w:shd w:val="clear" w:color="auto" w:fill="auto"/>
            <w:noWrap/>
            <w:vAlign w:val="bottom"/>
            <w:hideMark/>
          </w:tcPr>
          <w:p w14:paraId="7E558F8D"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117</w:t>
            </w:r>
          </w:p>
        </w:tc>
      </w:tr>
      <w:tr w:rsidR="00F85178" w:rsidRPr="00F85178" w14:paraId="16DFEE21"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1335166A"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Ústí n. Labem</w:t>
            </w:r>
          </w:p>
        </w:tc>
        <w:tc>
          <w:tcPr>
            <w:tcW w:w="844" w:type="dxa"/>
            <w:tcBorders>
              <w:top w:val="nil"/>
              <w:left w:val="nil"/>
              <w:bottom w:val="single" w:sz="4" w:space="0" w:color="auto"/>
              <w:right w:val="nil"/>
            </w:tcBorders>
            <w:shd w:val="clear" w:color="auto" w:fill="auto"/>
            <w:noWrap/>
            <w:vAlign w:val="bottom"/>
            <w:hideMark/>
          </w:tcPr>
          <w:p w14:paraId="76A9A67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33</w:t>
            </w:r>
          </w:p>
        </w:tc>
        <w:tc>
          <w:tcPr>
            <w:tcW w:w="597" w:type="dxa"/>
            <w:tcBorders>
              <w:top w:val="nil"/>
              <w:left w:val="nil"/>
              <w:bottom w:val="single" w:sz="4" w:space="0" w:color="auto"/>
              <w:right w:val="nil"/>
            </w:tcBorders>
            <w:shd w:val="clear" w:color="auto" w:fill="auto"/>
            <w:noWrap/>
            <w:vAlign w:val="bottom"/>
            <w:hideMark/>
          </w:tcPr>
          <w:p w14:paraId="6564FC46"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28</w:t>
            </w:r>
          </w:p>
        </w:tc>
        <w:tc>
          <w:tcPr>
            <w:tcW w:w="626" w:type="dxa"/>
            <w:tcBorders>
              <w:top w:val="nil"/>
              <w:left w:val="nil"/>
              <w:bottom w:val="single" w:sz="4" w:space="0" w:color="auto"/>
              <w:right w:val="nil"/>
            </w:tcBorders>
            <w:shd w:val="clear" w:color="auto" w:fill="auto"/>
            <w:noWrap/>
            <w:vAlign w:val="bottom"/>
            <w:hideMark/>
          </w:tcPr>
          <w:p w14:paraId="6E2EF4C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34</w:t>
            </w:r>
          </w:p>
        </w:tc>
        <w:tc>
          <w:tcPr>
            <w:tcW w:w="626" w:type="dxa"/>
            <w:tcBorders>
              <w:top w:val="nil"/>
              <w:left w:val="nil"/>
              <w:bottom w:val="single" w:sz="4" w:space="0" w:color="auto"/>
              <w:right w:val="nil"/>
            </w:tcBorders>
            <w:shd w:val="clear" w:color="auto" w:fill="auto"/>
            <w:noWrap/>
            <w:vAlign w:val="bottom"/>
            <w:hideMark/>
          </w:tcPr>
          <w:p w14:paraId="1A72417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26</w:t>
            </w:r>
          </w:p>
        </w:tc>
        <w:tc>
          <w:tcPr>
            <w:tcW w:w="613" w:type="dxa"/>
            <w:tcBorders>
              <w:top w:val="nil"/>
              <w:left w:val="nil"/>
              <w:bottom w:val="single" w:sz="4" w:space="0" w:color="auto"/>
              <w:right w:val="nil"/>
            </w:tcBorders>
            <w:shd w:val="clear" w:color="auto" w:fill="auto"/>
            <w:noWrap/>
            <w:vAlign w:val="bottom"/>
            <w:hideMark/>
          </w:tcPr>
          <w:p w14:paraId="2C46B977"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21</w:t>
            </w:r>
          </w:p>
        </w:tc>
        <w:tc>
          <w:tcPr>
            <w:tcW w:w="626" w:type="dxa"/>
            <w:tcBorders>
              <w:top w:val="nil"/>
              <w:left w:val="nil"/>
              <w:bottom w:val="single" w:sz="4" w:space="0" w:color="auto"/>
              <w:right w:val="nil"/>
            </w:tcBorders>
            <w:shd w:val="clear" w:color="auto" w:fill="auto"/>
            <w:noWrap/>
            <w:vAlign w:val="bottom"/>
            <w:hideMark/>
          </w:tcPr>
          <w:p w14:paraId="3045E365"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41</w:t>
            </w:r>
          </w:p>
        </w:tc>
        <w:tc>
          <w:tcPr>
            <w:tcW w:w="609" w:type="dxa"/>
            <w:tcBorders>
              <w:top w:val="nil"/>
              <w:left w:val="nil"/>
              <w:bottom w:val="single" w:sz="4" w:space="0" w:color="auto"/>
              <w:right w:val="nil"/>
            </w:tcBorders>
            <w:shd w:val="clear" w:color="auto" w:fill="auto"/>
            <w:noWrap/>
            <w:vAlign w:val="bottom"/>
            <w:hideMark/>
          </w:tcPr>
          <w:p w14:paraId="0431796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1379" w:type="dxa"/>
            <w:tcBorders>
              <w:top w:val="nil"/>
              <w:left w:val="nil"/>
              <w:bottom w:val="single" w:sz="4" w:space="0" w:color="auto"/>
              <w:right w:val="nil"/>
            </w:tcBorders>
            <w:shd w:val="clear" w:color="auto" w:fill="auto"/>
            <w:noWrap/>
            <w:vAlign w:val="bottom"/>
            <w:hideMark/>
          </w:tcPr>
          <w:p w14:paraId="790A2FFD"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208</w:t>
            </w:r>
          </w:p>
        </w:tc>
      </w:tr>
      <w:tr w:rsidR="00F85178" w:rsidRPr="00F85178" w14:paraId="5ECFA622"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27BF2D26"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Hr. Králové</w:t>
            </w:r>
          </w:p>
        </w:tc>
        <w:tc>
          <w:tcPr>
            <w:tcW w:w="844" w:type="dxa"/>
            <w:tcBorders>
              <w:top w:val="nil"/>
              <w:left w:val="nil"/>
              <w:bottom w:val="single" w:sz="4" w:space="0" w:color="auto"/>
              <w:right w:val="nil"/>
            </w:tcBorders>
            <w:shd w:val="clear" w:color="auto" w:fill="auto"/>
            <w:noWrap/>
            <w:vAlign w:val="bottom"/>
            <w:hideMark/>
          </w:tcPr>
          <w:p w14:paraId="6C33D761"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597" w:type="dxa"/>
            <w:tcBorders>
              <w:top w:val="nil"/>
              <w:left w:val="nil"/>
              <w:bottom w:val="single" w:sz="4" w:space="0" w:color="auto"/>
              <w:right w:val="nil"/>
            </w:tcBorders>
            <w:shd w:val="clear" w:color="auto" w:fill="auto"/>
            <w:noWrap/>
            <w:vAlign w:val="bottom"/>
            <w:hideMark/>
          </w:tcPr>
          <w:p w14:paraId="1BDA968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5</w:t>
            </w:r>
          </w:p>
        </w:tc>
        <w:tc>
          <w:tcPr>
            <w:tcW w:w="626" w:type="dxa"/>
            <w:tcBorders>
              <w:top w:val="nil"/>
              <w:left w:val="nil"/>
              <w:bottom w:val="single" w:sz="4" w:space="0" w:color="auto"/>
              <w:right w:val="nil"/>
            </w:tcBorders>
            <w:shd w:val="clear" w:color="auto" w:fill="auto"/>
            <w:noWrap/>
            <w:vAlign w:val="bottom"/>
            <w:hideMark/>
          </w:tcPr>
          <w:p w14:paraId="2BCCACD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15</w:t>
            </w:r>
          </w:p>
        </w:tc>
        <w:tc>
          <w:tcPr>
            <w:tcW w:w="626" w:type="dxa"/>
            <w:tcBorders>
              <w:top w:val="nil"/>
              <w:left w:val="nil"/>
              <w:bottom w:val="single" w:sz="4" w:space="0" w:color="auto"/>
              <w:right w:val="nil"/>
            </w:tcBorders>
            <w:shd w:val="clear" w:color="auto" w:fill="auto"/>
            <w:noWrap/>
            <w:vAlign w:val="bottom"/>
            <w:hideMark/>
          </w:tcPr>
          <w:p w14:paraId="661006C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613" w:type="dxa"/>
            <w:tcBorders>
              <w:top w:val="nil"/>
              <w:left w:val="nil"/>
              <w:bottom w:val="single" w:sz="4" w:space="0" w:color="auto"/>
              <w:right w:val="nil"/>
            </w:tcBorders>
            <w:shd w:val="clear" w:color="auto" w:fill="auto"/>
            <w:noWrap/>
            <w:vAlign w:val="bottom"/>
            <w:hideMark/>
          </w:tcPr>
          <w:p w14:paraId="0FE1DDFD"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12</w:t>
            </w:r>
          </w:p>
        </w:tc>
        <w:tc>
          <w:tcPr>
            <w:tcW w:w="626" w:type="dxa"/>
            <w:tcBorders>
              <w:top w:val="nil"/>
              <w:left w:val="nil"/>
              <w:bottom w:val="single" w:sz="4" w:space="0" w:color="auto"/>
              <w:right w:val="nil"/>
            </w:tcBorders>
            <w:shd w:val="clear" w:color="auto" w:fill="auto"/>
            <w:noWrap/>
            <w:vAlign w:val="bottom"/>
            <w:hideMark/>
          </w:tcPr>
          <w:p w14:paraId="670DDB85"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57</w:t>
            </w:r>
          </w:p>
        </w:tc>
        <w:tc>
          <w:tcPr>
            <w:tcW w:w="609" w:type="dxa"/>
            <w:tcBorders>
              <w:top w:val="nil"/>
              <w:left w:val="nil"/>
              <w:bottom w:val="single" w:sz="4" w:space="0" w:color="auto"/>
              <w:right w:val="nil"/>
            </w:tcBorders>
            <w:shd w:val="clear" w:color="auto" w:fill="auto"/>
            <w:noWrap/>
            <w:vAlign w:val="bottom"/>
            <w:hideMark/>
          </w:tcPr>
          <w:p w14:paraId="19AB686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0</w:t>
            </w:r>
          </w:p>
        </w:tc>
        <w:tc>
          <w:tcPr>
            <w:tcW w:w="1379" w:type="dxa"/>
            <w:tcBorders>
              <w:top w:val="nil"/>
              <w:left w:val="nil"/>
              <w:bottom w:val="single" w:sz="4" w:space="0" w:color="auto"/>
              <w:right w:val="nil"/>
            </w:tcBorders>
            <w:shd w:val="clear" w:color="auto" w:fill="auto"/>
            <w:noWrap/>
            <w:vAlign w:val="bottom"/>
            <w:hideMark/>
          </w:tcPr>
          <w:p w14:paraId="5FD08D75"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139</w:t>
            </w:r>
          </w:p>
        </w:tc>
      </w:tr>
      <w:tr w:rsidR="00F85178" w:rsidRPr="00F85178" w14:paraId="01609AD2" w14:textId="77777777" w:rsidTr="0020046C">
        <w:trPr>
          <w:trHeight w:val="315"/>
        </w:trPr>
        <w:tc>
          <w:tcPr>
            <w:tcW w:w="2080" w:type="dxa"/>
            <w:tcBorders>
              <w:top w:val="nil"/>
              <w:left w:val="nil"/>
              <w:bottom w:val="single" w:sz="4" w:space="0" w:color="auto"/>
              <w:right w:val="nil"/>
            </w:tcBorders>
            <w:shd w:val="clear" w:color="auto" w:fill="auto"/>
            <w:noWrap/>
            <w:vAlign w:val="bottom"/>
            <w:hideMark/>
          </w:tcPr>
          <w:p w14:paraId="5F253E04"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Brno</w:t>
            </w:r>
          </w:p>
        </w:tc>
        <w:tc>
          <w:tcPr>
            <w:tcW w:w="844" w:type="dxa"/>
            <w:tcBorders>
              <w:top w:val="nil"/>
              <w:left w:val="nil"/>
              <w:bottom w:val="single" w:sz="4" w:space="0" w:color="auto"/>
              <w:right w:val="nil"/>
            </w:tcBorders>
            <w:shd w:val="clear" w:color="auto" w:fill="auto"/>
            <w:noWrap/>
            <w:vAlign w:val="bottom"/>
            <w:hideMark/>
          </w:tcPr>
          <w:p w14:paraId="32C90D39"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45</w:t>
            </w:r>
          </w:p>
        </w:tc>
        <w:tc>
          <w:tcPr>
            <w:tcW w:w="597" w:type="dxa"/>
            <w:tcBorders>
              <w:top w:val="nil"/>
              <w:left w:val="nil"/>
              <w:bottom w:val="single" w:sz="4" w:space="0" w:color="auto"/>
              <w:right w:val="nil"/>
            </w:tcBorders>
            <w:shd w:val="clear" w:color="auto" w:fill="auto"/>
            <w:noWrap/>
            <w:vAlign w:val="bottom"/>
            <w:hideMark/>
          </w:tcPr>
          <w:p w14:paraId="660D2184"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22</w:t>
            </w:r>
          </w:p>
        </w:tc>
        <w:tc>
          <w:tcPr>
            <w:tcW w:w="626" w:type="dxa"/>
            <w:tcBorders>
              <w:top w:val="nil"/>
              <w:left w:val="nil"/>
              <w:bottom w:val="single" w:sz="4" w:space="0" w:color="auto"/>
              <w:right w:val="nil"/>
            </w:tcBorders>
            <w:shd w:val="clear" w:color="auto" w:fill="auto"/>
            <w:noWrap/>
            <w:vAlign w:val="bottom"/>
            <w:hideMark/>
          </w:tcPr>
          <w:p w14:paraId="20CBAEAE"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60</w:t>
            </w:r>
          </w:p>
        </w:tc>
        <w:tc>
          <w:tcPr>
            <w:tcW w:w="626" w:type="dxa"/>
            <w:tcBorders>
              <w:top w:val="nil"/>
              <w:left w:val="nil"/>
              <w:bottom w:val="single" w:sz="4" w:space="0" w:color="auto"/>
              <w:right w:val="nil"/>
            </w:tcBorders>
            <w:shd w:val="clear" w:color="auto" w:fill="auto"/>
            <w:noWrap/>
            <w:vAlign w:val="bottom"/>
            <w:hideMark/>
          </w:tcPr>
          <w:p w14:paraId="40F90800"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24</w:t>
            </w:r>
          </w:p>
        </w:tc>
        <w:tc>
          <w:tcPr>
            <w:tcW w:w="613" w:type="dxa"/>
            <w:tcBorders>
              <w:top w:val="nil"/>
              <w:left w:val="nil"/>
              <w:bottom w:val="single" w:sz="4" w:space="0" w:color="auto"/>
              <w:right w:val="nil"/>
            </w:tcBorders>
            <w:shd w:val="clear" w:color="auto" w:fill="auto"/>
            <w:noWrap/>
            <w:vAlign w:val="bottom"/>
            <w:hideMark/>
          </w:tcPr>
          <w:p w14:paraId="2CB4CA15"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19</w:t>
            </w:r>
          </w:p>
        </w:tc>
        <w:tc>
          <w:tcPr>
            <w:tcW w:w="626" w:type="dxa"/>
            <w:tcBorders>
              <w:top w:val="nil"/>
              <w:left w:val="nil"/>
              <w:bottom w:val="single" w:sz="4" w:space="0" w:color="auto"/>
              <w:right w:val="nil"/>
            </w:tcBorders>
            <w:shd w:val="clear" w:color="auto" w:fill="auto"/>
            <w:noWrap/>
            <w:vAlign w:val="bottom"/>
            <w:hideMark/>
          </w:tcPr>
          <w:p w14:paraId="2EB9588E"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71</w:t>
            </w:r>
          </w:p>
        </w:tc>
        <w:tc>
          <w:tcPr>
            <w:tcW w:w="609" w:type="dxa"/>
            <w:tcBorders>
              <w:top w:val="nil"/>
              <w:left w:val="nil"/>
              <w:bottom w:val="single" w:sz="4" w:space="0" w:color="auto"/>
              <w:right w:val="nil"/>
            </w:tcBorders>
            <w:shd w:val="clear" w:color="auto" w:fill="auto"/>
            <w:noWrap/>
            <w:vAlign w:val="bottom"/>
            <w:hideMark/>
          </w:tcPr>
          <w:p w14:paraId="1786F9A8"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26</w:t>
            </w:r>
          </w:p>
        </w:tc>
        <w:tc>
          <w:tcPr>
            <w:tcW w:w="1379" w:type="dxa"/>
            <w:tcBorders>
              <w:top w:val="nil"/>
              <w:left w:val="nil"/>
              <w:bottom w:val="single" w:sz="4" w:space="0" w:color="auto"/>
              <w:right w:val="nil"/>
            </w:tcBorders>
            <w:shd w:val="clear" w:color="auto" w:fill="auto"/>
            <w:noWrap/>
            <w:vAlign w:val="bottom"/>
            <w:hideMark/>
          </w:tcPr>
          <w:p w14:paraId="3024731B"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267</w:t>
            </w:r>
          </w:p>
        </w:tc>
      </w:tr>
      <w:tr w:rsidR="00F85178" w:rsidRPr="00F85178" w14:paraId="652057C8" w14:textId="77777777" w:rsidTr="0020046C">
        <w:trPr>
          <w:trHeight w:val="330"/>
        </w:trPr>
        <w:tc>
          <w:tcPr>
            <w:tcW w:w="2080" w:type="dxa"/>
            <w:tcBorders>
              <w:top w:val="nil"/>
              <w:left w:val="nil"/>
              <w:bottom w:val="double" w:sz="6" w:space="0" w:color="auto"/>
              <w:right w:val="nil"/>
            </w:tcBorders>
            <w:shd w:val="clear" w:color="auto" w:fill="auto"/>
            <w:noWrap/>
            <w:vAlign w:val="bottom"/>
            <w:hideMark/>
          </w:tcPr>
          <w:p w14:paraId="72200CC1" w14:textId="77777777" w:rsidR="0020046C" w:rsidRPr="00F85178" w:rsidRDefault="0020046C" w:rsidP="0020046C">
            <w:pPr>
              <w:spacing w:line="240" w:lineRule="auto"/>
              <w:jc w:val="left"/>
              <w:rPr>
                <w:rFonts w:eastAsia="Times New Roman"/>
                <w:szCs w:val="24"/>
                <w:lang w:eastAsia="cs-CZ"/>
              </w:rPr>
            </w:pPr>
            <w:r w:rsidRPr="00F85178">
              <w:rPr>
                <w:rFonts w:eastAsia="Times New Roman"/>
                <w:szCs w:val="24"/>
                <w:lang w:eastAsia="cs-CZ"/>
              </w:rPr>
              <w:t>KS Ostrava</w:t>
            </w:r>
          </w:p>
        </w:tc>
        <w:tc>
          <w:tcPr>
            <w:tcW w:w="844" w:type="dxa"/>
            <w:tcBorders>
              <w:top w:val="nil"/>
              <w:left w:val="nil"/>
              <w:bottom w:val="double" w:sz="6" w:space="0" w:color="auto"/>
              <w:right w:val="nil"/>
            </w:tcBorders>
            <w:shd w:val="clear" w:color="auto" w:fill="auto"/>
            <w:noWrap/>
            <w:vAlign w:val="bottom"/>
            <w:hideMark/>
          </w:tcPr>
          <w:p w14:paraId="5296373B"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46</w:t>
            </w:r>
          </w:p>
        </w:tc>
        <w:tc>
          <w:tcPr>
            <w:tcW w:w="597" w:type="dxa"/>
            <w:tcBorders>
              <w:top w:val="nil"/>
              <w:left w:val="nil"/>
              <w:bottom w:val="double" w:sz="6" w:space="0" w:color="auto"/>
              <w:right w:val="nil"/>
            </w:tcBorders>
            <w:shd w:val="clear" w:color="auto" w:fill="auto"/>
            <w:noWrap/>
            <w:vAlign w:val="bottom"/>
            <w:hideMark/>
          </w:tcPr>
          <w:p w14:paraId="67D1C63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14</w:t>
            </w:r>
          </w:p>
        </w:tc>
        <w:tc>
          <w:tcPr>
            <w:tcW w:w="626" w:type="dxa"/>
            <w:tcBorders>
              <w:top w:val="nil"/>
              <w:left w:val="nil"/>
              <w:bottom w:val="double" w:sz="6" w:space="0" w:color="auto"/>
              <w:right w:val="nil"/>
            </w:tcBorders>
            <w:shd w:val="clear" w:color="auto" w:fill="auto"/>
            <w:noWrap/>
            <w:vAlign w:val="bottom"/>
            <w:hideMark/>
          </w:tcPr>
          <w:p w14:paraId="75AD5E5A"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47</w:t>
            </w:r>
          </w:p>
        </w:tc>
        <w:tc>
          <w:tcPr>
            <w:tcW w:w="626" w:type="dxa"/>
            <w:tcBorders>
              <w:top w:val="nil"/>
              <w:left w:val="nil"/>
              <w:bottom w:val="double" w:sz="6" w:space="0" w:color="auto"/>
              <w:right w:val="nil"/>
            </w:tcBorders>
            <w:shd w:val="clear" w:color="auto" w:fill="auto"/>
            <w:noWrap/>
            <w:vAlign w:val="bottom"/>
            <w:hideMark/>
          </w:tcPr>
          <w:p w14:paraId="17099C02"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37</w:t>
            </w:r>
          </w:p>
        </w:tc>
        <w:tc>
          <w:tcPr>
            <w:tcW w:w="613" w:type="dxa"/>
            <w:tcBorders>
              <w:top w:val="nil"/>
              <w:left w:val="nil"/>
              <w:bottom w:val="double" w:sz="6" w:space="0" w:color="auto"/>
              <w:right w:val="nil"/>
            </w:tcBorders>
            <w:shd w:val="clear" w:color="auto" w:fill="auto"/>
            <w:noWrap/>
            <w:vAlign w:val="bottom"/>
            <w:hideMark/>
          </w:tcPr>
          <w:p w14:paraId="66B2AF33"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25</w:t>
            </w:r>
          </w:p>
        </w:tc>
        <w:tc>
          <w:tcPr>
            <w:tcW w:w="626" w:type="dxa"/>
            <w:tcBorders>
              <w:top w:val="nil"/>
              <w:left w:val="nil"/>
              <w:bottom w:val="double" w:sz="6" w:space="0" w:color="auto"/>
              <w:right w:val="nil"/>
            </w:tcBorders>
            <w:shd w:val="clear" w:color="auto" w:fill="auto"/>
            <w:noWrap/>
            <w:vAlign w:val="bottom"/>
            <w:hideMark/>
          </w:tcPr>
          <w:p w14:paraId="6FF81363"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65</w:t>
            </w:r>
          </w:p>
        </w:tc>
        <w:tc>
          <w:tcPr>
            <w:tcW w:w="609" w:type="dxa"/>
            <w:tcBorders>
              <w:top w:val="nil"/>
              <w:left w:val="nil"/>
              <w:bottom w:val="double" w:sz="6" w:space="0" w:color="auto"/>
              <w:right w:val="nil"/>
            </w:tcBorders>
            <w:shd w:val="clear" w:color="auto" w:fill="auto"/>
            <w:noWrap/>
            <w:vAlign w:val="bottom"/>
            <w:hideMark/>
          </w:tcPr>
          <w:p w14:paraId="1B0CB155" w14:textId="77777777" w:rsidR="0020046C" w:rsidRPr="00F85178" w:rsidRDefault="0020046C" w:rsidP="0020046C">
            <w:pPr>
              <w:spacing w:line="240" w:lineRule="auto"/>
              <w:jc w:val="center"/>
              <w:rPr>
                <w:rFonts w:eastAsia="Times New Roman"/>
                <w:szCs w:val="24"/>
                <w:lang w:eastAsia="cs-CZ"/>
              </w:rPr>
            </w:pPr>
            <w:r w:rsidRPr="00F85178">
              <w:rPr>
                <w:rFonts w:eastAsia="Times New Roman"/>
                <w:szCs w:val="24"/>
                <w:lang w:eastAsia="cs-CZ"/>
              </w:rPr>
              <w:t>46</w:t>
            </w:r>
          </w:p>
        </w:tc>
        <w:tc>
          <w:tcPr>
            <w:tcW w:w="1379" w:type="dxa"/>
            <w:tcBorders>
              <w:top w:val="nil"/>
              <w:left w:val="nil"/>
              <w:bottom w:val="double" w:sz="6" w:space="0" w:color="auto"/>
              <w:right w:val="nil"/>
            </w:tcBorders>
            <w:shd w:val="clear" w:color="auto" w:fill="auto"/>
            <w:noWrap/>
            <w:vAlign w:val="bottom"/>
            <w:hideMark/>
          </w:tcPr>
          <w:p w14:paraId="50FBC0CD"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280</w:t>
            </w:r>
          </w:p>
        </w:tc>
      </w:tr>
      <w:tr w:rsidR="00F85178" w:rsidRPr="00F85178" w14:paraId="3074A8DC" w14:textId="77777777" w:rsidTr="0020046C">
        <w:trPr>
          <w:trHeight w:val="345"/>
        </w:trPr>
        <w:tc>
          <w:tcPr>
            <w:tcW w:w="2080" w:type="dxa"/>
            <w:tcBorders>
              <w:top w:val="nil"/>
              <w:left w:val="nil"/>
              <w:bottom w:val="double" w:sz="6" w:space="0" w:color="auto"/>
              <w:right w:val="nil"/>
            </w:tcBorders>
            <w:shd w:val="clear" w:color="auto" w:fill="auto"/>
            <w:noWrap/>
            <w:vAlign w:val="bottom"/>
            <w:hideMark/>
          </w:tcPr>
          <w:p w14:paraId="24D46F4C" w14:textId="77777777" w:rsidR="0020046C" w:rsidRPr="00F85178" w:rsidRDefault="0020046C" w:rsidP="0020046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844" w:type="dxa"/>
            <w:tcBorders>
              <w:top w:val="nil"/>
              <w:left w:val="nil"/>
              <w:bottom w:val="double" w:sz="6" w:space="0" w:color="auto"/>
              <w:right w:val="nil"/>
            </w:tcBorders>
            <w:shd w:val="clear" w:color="auto" w:fill="auto"/>
            <w:noWrap/>
            <w:vAlign w:val="bottom"/>
            <w:hideMark/>
          </w:tcPr>
          <w:p w14:paraId="04BE6FB5" w14:textId="1FCEF6BD" w:rsidR="0020046C" w:rsidRPr="00F85178" w:rsidRDefault="004636BD" w:rsidP="004636BD">
            <w:pPr>
              <w:spacing w:line="240" w:lineRule="auto"/>
              <w:jc w:val="center"/>
              <w:rPr>
                <w:rFonts w:eastAsia="Times New Roman"/>
                <w:b/>
                <w:bCs/>
                <w:szCs w:val="24"/>
                <w:lang w:eastAsia="cs-CZ"/>
              </w:rPr>
            </w:pPr>
            <w:r w:rsidRPr="00F85178">
              <w:rPr>
                <w:rFonts w:eastAsia="Times New Roman"/>
                <w:b/>
                <w:bCs/>
                <w:szCs w:val="24"/>
                <w:lang w:eastAsia="cs-CZ"/>
              </w:rPr>
              <w:t>25</w:t>
            </w:r>
            <w:r>
              <w:rPr>
                <w:rFonts w:eastAsia="Times New Roman"/>
                <w:b/>
                <w:bCs/>
                <w:szCs w:val="24"/>
                <w:lang w:eastAsia="cs-CZ"/>
              </w:rPr>
              <w:t>5</w:t>
            </w:r>
          </w:p>
        </w:tc>
        <w:tc>
          <w:tcPr>
            <w:tcW w:w="597" w:type="dxa"/>
            <w:tcBorders>
              <w:top w:val="nil"/>
              <w:left w:val="nil"/>
              <w:bottom w:val="double" w:sz="6" w:space="0" w:color="auto"/>
              <w:right w:val="nil"/>
            </w:tcBorders>
            <w:shd w:val="clear" w:color="auto" w:fill="auto"/>
            <w:noWrap/>
            <w:vAlign w:val="bottom"/>
            <w:hideMark/>
          </w:tcPr>
          <w:p w14:paraId="18D035F8"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108</w:t>
            </w:r>
          </w:p>
        </w:tc>
        <w:tc>
          <w:tcPr>
            <w:tcW w:w="626" w:type="dxa"/>
            <w:tcBorders>
              <w:top w:val="nil"/>
              <w:left w:val="nil"/>
              <w:bottom w:val="double" w:sz="6" w:space="0" w:color="auto"/>
              <w:right w:val="nil"/>
            </w:tcBorders>
            <w:shd w:val="clear" w:color="auto" w:fill="auto"/>
            <w:noWrap/>
            <w:vAlign w:val="bottom"/>
            <w:hideMark/>
          </w:tcPr>
          <w:p w14:paraId="06B31BF3"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333</w:t>
            </w:r>
          </w:p>
        </w:tc>
        <w:tc>
          <w:tcPr>
            <w:tcW w:w="626" w:type="dxa"/>
            <w:tcBorders>
              <w:top w:val="nil"/>
              <w:left w:val="nil"/>
              <w:bottom w:val="double" w:sz="6" w:space="0" w:color="auto"/>
              <w:right w:val="nil"/>
            </w:tcBorders>
            <w:shd w:val="clear" w:color="auto" w:fill="auto"/>
            <w:noWrap/>
            <w:vAlign w:val="bottom"/>
            <w:hideMark/>
          </w:tcPr>
          <w:p w14:paraId="2043FD3D" w14:textId="61DC6123" w:rsidR="0020046C" w:rsidRPr="00F85178" w:rsidRDefault="004636BD" w:rsidP="004636BD">
            <w:pPr>
              <w:spacing w:line="240" w:lineRule="auto"/>
              <w:jc w:val="center"/>
              <w:rPr>
                <w:rFonts w:eastAsia="Times New Roman"/>
                <w:b/>
                <w:bCs/>
                <w:szCs w:val="24"/>
                <w:lang w:eastAsia="cs-CZ"/>
              </w:rPr>
            </w:pPr>
            <w:r w:rsidRPr="00F85178">
              <w:rPr>
                <w:rFonts w:eastAsia="Times New Roman"/>
                <w:b/>
                <w:bCs/>
                <w:szCs w:val="24"/>
                <w:lang w:eastAsia="cs-CZ"/>
              </w:rPr>
              <w:t>30</w:t>
            </w:r>
            <w:r>
              <w:rPr>
                <w:rFonts w:eastAsia="Times New Roman"/>
                <w:b/>
                <w:bCs/>
                <w:szCs w:val="24"/>
                <w:lang w:eastAsia="cs-CZ"/>
              </w:rPr>
              <w:t>5</w:t>
            </w:r>
          </w:p>
        </w:tc>
        <w:tc>
          <w:tcPr>
            <w:tcW w:w="613" w:type="dxa"/>
            <w:tcBorders>
              <w:top w:val="nil"/>
              <w:left w:val="nil"/>
              <w:bottom w:val="double" w:sz="6" w:space="0" w:color="auto"/>
              <w:right w:val="nil"/>
            </w:tcBorders>
            <w:shd w:val="clear" w:color="auto" w:fill="auto"/>
            <w:noWrap/>
            <w:vAlign w:val="bottom"/>
            <w:hideMark/>
          </w:tcPr>
          <w:p w14:paraId="6B56DD55" w14:textId="5E87698F" w:rsidR="0020046C" w:rsidRPr="00F85178" w:rsidRDefault="0020046C" w:rsidP="004636BD">
            <w:pPr>
              <w:spacing w:line="240" w:lineRule="auto"/>
              <w:jc w:val="center"/>
              <w:rPr>
                <w:rFonts w:eastAsia="Times New Roman"/>
                <w:b/>
                <w:bCs/>
                <w:szCs w:val="24"/>
                <w:lang w:eastAsia="cs-CZ"/>
              </w:rPr>
            </w:pPr>
            <w:r w:rsidRPr="00F85178">
              <w:rPr>
                <w:rFonts w:eastAsia="Times New Roman"/>
                <w:b/>
                <w:bCs/>
                <w:szCs w:val="24"/>
                <w:lang w:eastAsia="cs-CZ"/>
              </w:rPr>
              <w:t>13</w:t>
            </w:r>
            <w:r w:rsidR="004636BD">
              <w:rPr>
                <w:rFonts w:eastAsia="Times New Roman"/>
                <w:b/>
                <w:bCs/>
                <w:szCs w:val="24"/>
                <w:lang w:eastAsia="cs-CZ"/>
              </w:rPr>
              <w:t>6</w:t>
            </w:r>
          </w:p>
        </w:tc>
        <w:tc>
          <w:tcPr>
            <w:tcW w:w="626" w:type="dxa"/>
            <w:tcBorders>
              <w:top w:val="nil"/>
              <w:left w:val="nil"/>
              <w:bottom w:val="double" w:sz="6" w:space="0" w:color="auto"/>
              <w:right w:val="nil"/>
            </w:tcBorders>
            <w:shd w:val="clear" w:color="auto" w:fill="auto"/>
            <w:noWrap/>
            <w:vAlign w:val="bottom"/>
            <w:hideMark/>
          </w:tcPr>
          <w:p w14:paraId="7E75ED5A" w14:textId="0BE977BB" w:rsidR="0020046C" w:rsidRPr="00F85178" w:rsidRDefault="0020046C" w:rsidP="004636BD">
            <w:pPr>
              <w:spacing w:line="240" w:lineRule="auto"/>
              <w:jc w:val="center"/>
              <w:rPr>
                <w:rFonts w:eastAsia="Times New Roman"/>
                <w:b/>
                <w:bCs/>
                <w:szCs w:val="24"/>
                <w:lang w:eastAsia="cs-CZ"/>
              </w:rPr>
            </w:pPr>
            <w:r w:rsidRPr="00F85178">
              <w:rPr>
                <w:rFonts w:eastAsia="Times New Roman"/>
                <w:b/>
                <w:bCs/>
                <w:szCs w:val="24"/>
                <w:lang w:eastAsia="cs-CZ"/>
              </w:rPr>
              <w:t>40</w:t>
            </w:r>
            <w:r w:rsidR="004636BD">
              <w:rPr>
                <w:rFonts w:eastAsia="Times New Roman"/>
                <w:b/>
                <w:bCs/>
                <w:szCs w:val="24"/>
                <w:lang w:eastAsia="cs-CZ"/>
              </w:rPr>
              <w:t>9</w:t>
            </w:r>
          </w:p>
        </w:tc>
        <w:tc>
          <w:tcPr>
            <w:tcW w:w="609" w:type="dxa"/>
            <w:tcBorders>
              <w:top w:val="nil"/>
              <w:left w:val="nil"/>
              <w:bottom w:val="double" w:sz="6" w:space="0" w:color="auto"/>
              <w:right w:val="nil"/>
            </w:tcBorders>
            <w:shd w:val="clear" w:color="auto" w:fill="auto"/>
            <w:noWrap/>
            <w:vAlign w:val="bottom"/>
            <w:hideMark/>
          </w:tcPr>
          <w:p w14:paraId="0D1F900F" w14:textId="77777777" w:rsidR="0020046C" w:rsidRPr="00F85178" w:rsidRDefault="0020046C" w:rsidP="0020046C">
            <w:pPr>
              <w:spacing w:line="240" w:lineRule="auto"/>
              <w:jc w:val="center"/>
              <w:rPr>
                <w:rFonts w:eastAsia="Times New Roman"/>
                <w:b/>
                <w:bCs/>
                <w:szCs w:val="24"/>
                <w:lang w:eastAsia="cs-CZ"/>
              </w:rPr>
            </w:pPr>
            <w:r w:rsidRPr="00F85178">
              <w:rPr>
                <w:rFonts w:eastAsia="Times New Roman"/>
                <w:b/>
                <w:bCs/>
                <w:szCs w:val="24"/>
                <w:lang w:eastAsia="cs-CZ"/>
              </w:rPr>
              <w:t>101</w:t>
            </w:r>
          </w:p>
        </w:tc>
        <w:tc>
          <w:tcPr>
            <w:tcW w:w="1379" w:type="dxa"/>
            <w:tcBorders>
              <w:top w:val="nil"/>
              <w:left w:val="nil"/>
              <w:bottom w:val="double" w:sz="6" w:space="0" w:color="auto"/>
              <w:right w:val="nil"/>
            </w:tcBorders>
            <w:shd w:val="clear" w:color="auto" w:fill="auto"/>
            <w:noWrap/>
            <w:vAlign w:val="bottom"/>
            <w:hideMark/>
          </w:tcPr>
          <w:p w14:paraId="0EE63464" w14:textId="6C3191CE" w:rsidR="0020046C" w:rsidRPr="00F85178" w:rsidRDefault="007467A5" w:rsidP="007467A5">
            <w:pPr>
              <w:spacing w:line="240" w:lineRule="auto"/>
              <w:jc w:val="center"/>
              <w:rPr>
                <w:rFonts w:eastAsia="Times New Roman"/>
                <w:b/>
                <w:bCs/>
                <w:szCs w:val="24"/>
                <w:lang w:eastAsia="cs-CZ"/>
              </w:rPr>
            </w:pPr>
            <w:r w:rsidRPr="00F85178">
              <w:rPr>
                <w:rFonts w:eastAsia="Times New Roman"/>
                <w:b/>
                <w:bCs/>
                <w:szCs w:val="24"/>
                <w:lang w:eastAsia="cs-CZ"/>
              </w:rPr>
              <w:t>1</w:t>
            </w:r>
            <w:r w:rsidR="00241CBB">
              <w:rPr>
                <w:rFonts w:eastAsia="Times New Roman"/>
                <w:b/>
                <w:bCs/>
                <w:szCs w:val="24"/>
                <w:lang w:eastAsia="cs-CZ"/>
              </w:rPr>
              <w:t xml:space="preserve"> </w:t>
            </w:r>
            <w:r w:rsidRPr="00F85178">
              <w:rPr>
                <w:rFonts w:eastAsia="Times New Roman"/>
                <w:b/>
                <w:bCs/>
                <w:szCs w:val="24"/>
                <w:lang w:eastAsia="cs-CZ"/>
              </w:rPr>
              <w:t>64</w:t>
            </w:r>
            <w:r w:rsidR="004636BD">
              <w:rPr>
                <w:rFonts w:eastAsia="Times New Roman"/>
                <w:b/>
                <w:bCs/>
                <w:szCs w:val="24"/>
                <w:lang w:eastAsia="cs-CZ"/>
              </w:rPr>
              <w:t>7</w:t>
            </w:r>
          </w:p>
        </w:tc>
      </w:tr>
    </w:tbl>
    <w:p w14:paraId="067ED32C" w14:textId="77777777" w:rsidR="000F4C79" w:rsidRPr="00F85178" w:rsidRDefault="000F4C79" w:rsidP="000F4C79">
      <w:pPr>
        <w:pStyle w:val="OdstavecASR"/>
      </w:pPr>
      <w:r w:rsidRPr="00F85178">
        <w:t>Opět platí, že počet zaměstnanců ve výkonu se odvíjí od systemizace zaměstnanců ve výkonu, personální politiky soudů a situace na trhu práce. U krajských soudů je počet zaměstnanců ve výkonu v poměru k počtu soudců nižší než u okresních soudů. To je důsledkem rozdílnosti zpracovávaných agend (méně jednodušší práce, kterou lze delegovat na nesoudcovský personál).</w:t>
      </w:r>
    </w:p>
    <w:p w14:paraId="4A77EAE4" w14:textId="40D06085" w:rsidR="000F4C79" w:rsidRPr="00F85178" w:rsidRDefault="00580588" w:rsidP="000F4C79">
      <w:pPr>
        <w:pStyle w:val="OdstavecASR"/>
      </w:pPr>
      <w:r w:rsidRPr="00F85178">
        <w:t xml:space="preserve">Po skokovém posílení jejich stavu o 101 zaměstnanců v roce 2017 dochází ke stabilizaci počtů v roce 2018. </w:t>
      </w:r>
      <w:r w:rsidR="000F4C79" w:rsidRPr="00F85178">
        <w:t>Z 1 531 v roce 2016 vzrostl počet zaměstnanců ve výkonu na 1 632, tedy asi o 7 %</w:t>
      </w:r>
      <w:r w:rsidR="001B2D81">
        <w:t>,</w:t>
      </w:r>
      <w:r w:rsidR="00581ED3" w:rsidRPr="00F85178">
        <w:t xml:space="preserve"> a</w:t>
      </w:r>
      <w:r w:rsidR="00325A00" w:rsidRPr="00F85178">
        <w:t> </w:t>
      </w:r>
      <w:r w:rsidR="00581ED3" w:rsidRPr="00F85178">
        <w:t>v roce 2018 již pouze o 12</w:t>
      </w:r>
      <w:r w:rsidR="007E5013" w:rsidRPr="00F85178">
        <w:t xml:space="preserve"> osob</w:t>
      </w:r>
      <w:r w:rsidR="000F4C79" w:rsidRPr="00F85178">
        <w:t xml:space="preserve">. </w:t>
      </w:r>
      <w:r w:rsidR="00581ED3" w:rsidRPr="00F85178">
        <w:t xml:space="preserve">Jestliže tedy v roce 2017 </w:t>
      </w:r>
      <w:r w:rsidR="000F4C79" w:rsidRPr="00F85178">
        <w:t>je v zásadě celý růst dán růstem počtu asistentů z 228 na 326</w:t>
      </w:r>
      <w:r w:rsidR="00581ED3" w:rsidRPr="00F85178">
        <w:t xml:space="preserve">, potom v roce 2018 </w:t>
      </w:r>
      <w:r w:rsidR="007E5013" w:rsidRPr="00F85178">
        <w:t>docházelo zejména k přesunům mezi funkcemi v rámci krajských soudů (zapisovatelky – 63 osob, rejstříkové vedoucí +43 osob, vedoucí kanceláří +29 osob)</w:t>
      </w:r>
      <w:r w:rsidR="00325A00" w:rsidRPr="00F85178">
        <w:t>.</w:t>
      </w:r>
    </w:p>
    <w:p w14:paraId="757B1799" w14:textId="77777777" w:rsidR="00AE2B58" w:rsidRPr="00F85178" w:rsidRDefault="00AE2B58" w:rsidP="00AE2B58">
      <w:pPr>
        <w:pStyle w:val="Nadpis2"/>
      </w:pPr>
      <w:bookmarkStart w:id="345" w:name="_Toc515871248"/>
      <w:bookmarkStart w:id="346" w:name="_Toc14076897"/>
      <w:r w:rsidRPr="00F85178">
        <w:t>Prvostupňová civilní a obchodní agenda</w:t>
      </w:r>
      <w:bookmarkEnd w:id="345"/>
      <w:bookmarkEnd w:id="346"/>
    </w:p>
    <w:p w14:paraId="0E454292" w14:textId="77777777" w:rsidR="000F4C79" w:rsidRPr="00F85178" w:rsidRDefault="000F4C79" w:rsidP="000F4C79">
      <w:pPr>
        <w:pStyle w:val="OdstavecASR"/>
      </w:pPr>
      <w:r w:rsidRPr="00F85178">
        <w:t>Krajské soudy vyřizují podobně jako okresní soudy větší množství prvostupňové netrestní agendy. Na rozdíl od okresních soudů vyřizují krajské soudy s výjimkou KS Praha věci veřejných rejstříků právnických a fyzických osob. Tato podkapitola se věnuje prvostupňové civilní (občanskoprávní) a obchodní agendě. V rámci této zprávy se jedná o rejstříky označené jako C, EC, Cm a ECm. Ve vedení statistik došlo k podobným změnám jako u OS, což se do určité míry projeví i v časových řadách, a to i přes snahu data o tyto změny očistit. Data, která se týkají délek řízení a dalších statistik, byla opět v největší možné míře očištěna o rozkazní řízení.</w:t>
      </w:r>
    </w:p>
    <w:p w14:paraId="1217836E" w14:textId="77777777" w:rsidR="00AE2B58" w:rsidRPr="00F85178" w:rsidRDefault="00AE2B58" w:rsidP="00770E8A">
      <w:pPr>
        <w:pStyle w:val="Nadpis3"/>
        <w:rPr>
          <w:color w:val="auto"/>
        </w:rPr>
      </w:pPr>
      <w:bookmarkStart w:id="347" w:name="_Ref511302440"/>
      <w:bookmarkStart w:id="348" w:name="_Toc515871249"/>
      <w:bookmarkStart w:id="349" w:name="_Toc14076898"/>
      <w:r w:rsidRPr="00F85178">
        <w:rPr>
          <w:color w:val="auto"/>
        </w:rPr>
        <w:t>Délka řízení</w:t>
      </w:r>
      <w:bookmarkEnd w:id="347"/>
      <w:bookmarkEnd w:id="348"/>
      <w:bookmarkEnd w:id="349"/>
    </w:p>
    <w:p w14:paraId="2B19C2C4" w14:textId="77777777" w:rsidR="000F4C79" w:rsidRPr="00F85178" w:rsidRDefault="000F4C79" w:rsidP="000F4C79">
      <w:pPr>
        <w:pStyle w:val="OdstavecASR"/>
      </w:pPr>
      <w:r w:rsidRPr="00F85178">
        <w:t xml:space="preserve">Uvádíme délky řízení v kalendářních dnech ode dne nápadu do dne konečného vyřízení soudem I. stupně zjištěné ze statistických listů. V tomto případě došlo ke změně v metodologii a data byla dále očištěna o věci s předmětem sporu </w:t>
      </w:r>
      <w:r w:rsidRPr="00F85178">
        <w:rPr>
          <w:i/>
        </w:rPr>
        <w:t>právní vztahy související se zrušením a likvidací obchodní korporace</w:t>
      </w:r>
      <w:r w:rsidRPr="00F85178">
        <w:t>. Přestože se může jednat o administrativně náročnou agendu, především v Praze se velmi často vyskytují jednoduché a rychle vyřízené věci. A právě u tohoto soudu došlo v roce 2017 k velkému nárůstu v počtu pravomocně skončených věcí (nárůst o 176 %). To samozřejmě značně ovlivňuje vykazovanou délku řízení – výrazně ji to snižuje. Po zralé úvaze (především z důvodu zachování srovnatelnosti mezi soudními kraji a roky) jsme data využitá v této zprávě o tento typ sporu očistili. Ostatní změny metodiky v této zprávě údaje spíše mírně upravují a zpřesňují. Zde je ale dopad na hodnoty zásadní (především u délek řízení, výrazný je ale například i u míry odvolání).</w:t>
      </w:r>
      <w:r w:rsidR="00EA7C2A" w:rsidRPr="00F85178">
        <w:t xml:space="preserve"> Očištění dat a změny v metodice zůstaly zachovány i pro rok 2018.</w:t>
      </w:r>
    </w:p>
    <w:p w14:paraId="1651AEB3" w14:textId="77777777" w:rsidR="0085355E" w:rsidRPr="00F85178" w:rsidRDefault="0085355E" w:rsidP="0085355E">
      <w:pPr>
        <w:pStyle w:val="Podtitul"/>
        <w:rPr>
          <w:color w:val="auto"/>
        </w:rPr>
      </w:pPr>
      <w:bookmarkStart w:id="350" w:name="_Toc515871380"/>
      <w:bookmarkStart w:id="351" w:name="_Toc11135111"/>
      <w:bookmarkStart w:id="352" w:name="_Toc1383754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50</w:t>
      </w:r>
      <w:r w:rsidRPr="00F85178">
        <w:rPr>
          <w:noProof/>
          <w:color w:val="auto"/>
        </w:rPr>
        <w:fldChar w:fldCharType="end"/>
      </w:r>
      <w:r w:rsidRPr="00F85178">
        <w:rPr>
          <w:color w:val="auto"/>
        </w:rPr>
        <w:t>: KS – délka prvostupňového civilního řízení v letech 2008–201</w:t>
      </w:r>
      <w:bookmarkEnd w:id="350"/>
      <w:r w:rsidRPr="00F85178">
        <w:rPr>
          <w:color w:val="auto"/>
        </w:rPr>
        <w:t>8</w:t>
      </w:r>
      <w:bookmarkEnd w:id="351"/>
      <w:bookmarkEnd w:id="352"/>
    </w:p>
    <w:p w14:paraId="56A7C62B" w14:textId="77777777" w:rsidR="0085355E" w:rsidRPr="00F85178" w:rsidRDefault="00890295" w:rsidP="0085355E">
      <w:r>
        <w:rPr>
          <w:noProof/>
          <w:lang w:eastAsia="cs-CZ"/>
        </w:rPr>
        <w:drawing>
          <wp:inline distT="0" distB="0" distL="0" distR="0" wp14:anchorId="2E7AA5A3" wp14:editId="32313C8D">
            <wp:extent cx="5118100" cy="3746500"/>
            <wp:effectExtent l="0" t="0" r="0" b="0"/>
            <wp:docPr id="53" name="Obrázek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3"/>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D6A41D9" w14:textId="77777777" w:rsidR="000F4C79" w:rsidRPr="00F85178" w:rsidRDefault="000F4C79" w:rsidP="000F4C79">
      <w:pPr>
        <w:pStyle w:val="OdstavecASR"/>
      </w:pPr>
      <w:r w:rsidRPr="00F85178">
        <w:t>V časové řadě na grafu jsou zajímavé především dva extrémy – vysoká délka řízení v roce 2008 a nízká délka řízení v roce 2011. Do jisté míry to může vyplývat ze změn ve vedení statistik. Data totiž není možné úplně očistit a zbavit se tak výkyvů, které jsou způsobeny změnami ve vedení statistik. Mezi roky 2008 a 2009 se ale zjevně jedná o reálný pokles v délce řízení. V té době (nebo spíše ještě dříve, protože v délce řízení se změny projevují se zpožděním) zřejmě došlo k výraznému urychlení civilního soudního řízení. Data však rozhodně nedávají důvod k optimismu, spíš naopak. Důvody jsou především tyto:</w:t>
      </w:r>
    </w:p>
    <w:p w14:paraId="706D270D" w14:textId="77777777" w:rsidR="000F4C79" w:rsidRPr="00F85178" w:rsidRDefault="000F4C79" w:rsidP="000F4C79">
      <w:pPr>
        <w:pStyle w:val="OdstavecASR"/>
        <w:numPr>
          <w:ilvl w:val="0"/>
          <w:numId w:val="20"/>
        </w:numPr>
        <w:spacing w:before="0" w:after="0"/>
        <w:ind w:left="714" w:hanging="357"/>
      </w:pPr>
      <w:r w:rsidRPr="00F85178">
        <w:t>Od roku 2014 roste poměrně rychle průměr i percentil 90. K jejich nárůstu došlo každý rok a nárůst devadesátého percentilu byl v roce 2017 nejvyšší od roku 2014.</w:t>
      </w:r>
    </w:p>
    <w:p w14:paraId="26801C6E" w14:textId="77777777" w:rsidR="005019A2" w:rsidRPr="00F85178" w:rsidRDefault="005019A2" w:rsidP="000F4C79">
      <w:pPr>
        <w:pStyle w:val="OdstavecASR"/>
        <w:numPr>
          <w:ilvl w:val="0"/>
          <w:numId w:val="20"/>
        </w:numPr>
        <w:spacing w:before="0" w:after="0"/>
        <w:ind w:left="714" w:hanging="357"/>
      </w:pPr>
      <w:r w:rsidRPr="00F85178">
        <w:t>V roce 2018 došlo ke zlepšení všech sledovaných parametrů délky prvostupňového civilního řízení, zejména medián klesá již třetí rok po sobě.</w:t>
      </w:r>
    </w:p>
    <w:p w14:paraId="36847B7E" w14:textId="77777777" w:rsidR="0032015B" w:rsidRDefault="000F4C79" w:rsidP="000F4C79">
      <w:pPr>
        <w:pStyle w:val="OdstavecASR"/>
        <w:numPr>
          <w:ilvl w:val="0"/>
          <w:numId w:val="20"/>
        </w:numPr>
        <w:spacing w:before="0" w:after="0"/>
        <w:ind w:left="714" w:hanging="357"/>
      </w:pPr>
      <w:r w:rsidRPr="00F85178">
        <w:t xml:space="preserve">Absolutní hodnoty průměru i percentilu 90 jsou </w:t>
      </w:r>
      <w:r w:rsidR="005019A2" w:rsidRPr="00F85178">
        <w:t xml:space="preserve">však </w:t>
      </w:r>
      <w:r w:rsidR="003B6086" w:rsidRPr="00F85178">
        <w:t xml:space="preserve">stále </w:t>
      </w:r>
      <w:r w:rsidRPr="00F85178">
        <w:t>velmi vysoké</w:t>
      </w:r>
      <w:r w:rsidR="003B6086" w:rsidRPr="00F85178">
        <w:t xml:space="preserve"> i přesto, že průměr v roce 2018 se snížil z přibližně 3 let na 2,5 roku a percentil o celý jeden rok na 6,3 roku (zásluhou KS v Ostravě, Hradci Králové a </w:t>
      </w:r>
      <w:r w:rsidR="00195B5B" w:rsidRPr="00F85178">
        <w:t>Ústí nad Labem</w:t>
      </w:r>
      <w:r w:rsidR="003B6086" w:rsidRPr="00F85178">
        <w:t xml:space="preserve">). </w:t>
      </w:r>
      <w:r w:rsidR="00195B5B" w:rsidRPr="00F85178">
        <w:t xml:space="preserve">Nyní </w:t>
      </w:r>
      <w:r w:rsidR="003B6086" w:rsidRPr="00F85178">
        <w:t>bude záležet na vývoji v dalších letech, zejména</w:t>
      </w:r>
      <w:r w:rsidR="00CE097C" w:rsidRPr="00F85178">
        <w:t>,</w:t>
      </w:r>
      <w:r w:rsidR="003B6086" w:rsidRPr="00F85178">
        <w:t xml:space="preserve"> zda výše jmenované KS udrží nastoupený trend </w:t>
      </w:r>
      <w:r w:rsidR="005019A2" w:rsidRPr="00F85178">
        <w:t xml:space="preserve">zkracování </w:t>
      </w:r>
      <w:r w:rsidR="003B6086" w:rsidRPr="00F85178">
        <w:t xml:space="preserve">a </w:t>
      </w:r>
      <w:r w:rsidR="00195B5B" w:rsidRPr="00F85178">
        <w:t>KS Č. Budějovice</w:t>
      </w:r>
      <w:r w:rsidR="003B6086" w:rsidRPr="00F85178">
        <w:t xml:space="preserve"> zvrátí velký nárůst v roce 2018 </w:t>
      </w:r>
      <w:r w:rsidR="00013C6A" w:rsidRPr="00F85178">
        <w:t xml:space="preserve">oproti roku </w:t>
      </w:r>
      <w:r w:rsidR="003B6086" w:rsidRPr="00F85178">
        <w:t>2017.</w:t>
      </w:r>
    </w:p>
    <w:p w14:paraId="7DD99F03" w14:textId="28A3FF43" w:rsidR="000F4C79" w:rsidRPr="00F85178" w:rsidRDefault="000F4C79" w:rsidP="000F4C79">
      <w:pPr>
        <w:pStyle w:val="OdstavecASR"/>
        <w:numPr>
          <w:ilvl w:val="0"/>
          <w:numId w:val="20"/>
        </w:numPr>
      </w:pPr>
      <w:r w:rsidRPr="00F85178">
        <w:t xml:space="preserve">Na histogramu je vidět, že </w:t>
      </w:r>
      <w:r w:rsidR="00013C6A" w:rsidRPr="00F85178">
        <w:t xml:space="preserve">přes </w:t>
      </w:r>
      <w:r w:rsidR="0094663E" w:rsidRPr="00F85178">
        <w:t>4 </w:t>
      </w:r>
      <w:r w:rsidRPr="00F85178">
        <w:t>% řízení trv</w:t>
      </w:r>
      <w:r w:rsidR="0094663E" w:rsidRPr="00F85178">
        <w:t>ají</w:t>
      </w:r>
      <w:r w:rsidRPr="00F85178">
        <w:t xml:space="preserve"> déle než 4 000 dnů (11 let).</w:t>
      </w:r>
    </w:p>
    <w:p w14:paraId="20B61F11" w14:textId="77777777" w:rsidR="0085355E" w:rsidRPr="00F85178" w:rsidRDefault="0085355E" w:rsidP="0085355E">
      <w:pPr>
        <w:pStyle w:val="Podtitul"/>
        <w:rPr>
          <w:color w:val="auto"/>
        </w:rPr>
      </w:pPr>
      <w:bookmarkStart w:id="353" w:name="_Toc515871468"/>
      <w:bookmarkStart w:id="354" w:name="_Toc11133235"/>
      <w:bookmarkStart w:id="355" w:name="_Toc13837456"/>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33</w:t>
      </w:r>
      <w:r w:rsidRPr="00F85178">
        <w:rPr>
          <w:noProof/>
          <w:color w:val="auto"/>
        </w:rPr>
        <w:fldChar w:fldCharType="end"/>
      </w:r>
      <w:r w:rsidRPr="00F85178">
        <w:rPr>
          <w:color w:val="auto"/>
        </w:rPr>
        <w:t>: KS – délky prvostupňového civilního řízení dle soudů</w:t>
      </w:r>
      <w:bookmarkEnd w:id="353"/>
      <w:bookmarkEnd w:id="354"/>
      <w:bookmarkEnd w:id="355"/>
    </w:p>
    <w:tbl>
      <w:tblPr>
        <w:tblW w:w="7520" w:type="dxa"/>
        <w:tblCellMar>
          <w:left w:w="70" w:type="dxa"/>
          <w:right w:w="70" w:type="dxa"/>
        </w:tblCellMar>
        <w:tblLook w:val="04A0" w:firstRow="1" w:lastRow="0" w:firstColumn="1" w:lastColumn="0" w:noHBand="0" w:noVBand="1"/>
      </w:tblPr>
      <w:tblGrid>
        <w:gridCol w:w="2480"/>
        <w:gridCol w:w="771"/>
        <w:gridCol w:w="909"/>
        <w:gridCol w:w="771"/>
        <w:gridCol w:w="909"/>
        <w:gridCol w:w="771"/>
        <w:gridCol w:w="909"/>
      </w:tblGrid>
      <w:tr w:rsidR="00F85178" w:rsidRPr="00F85178" w14:paraId="07D52E1A" w14:textId="77777777" w:rsidTr="0085355E">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5D29516" w14:textId="5291EB09" w:rsidR="0085355E" w:rsidRPr="00F85178" w:rsidRDefault="00F2120F" w:rsidP="0085355E">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7AAE3286"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04B77090" w14:textId="77777777" w:rsidTr="0085355E">
        <w:trPr>
          <w:trHeight w:val="330"/>
        </w:trPr>
        <w:tc>
          <w:tcPr>
            <w:tcW w:w="2480" w:type="dxa"/>
            <w:vMerge/>
            <w:tcBorders>
              <w:top w:val="double" w:sz="6" w:space="0" w:color="auto"/>
              <w:left w:val="nil"/>
              <w:bottom w:val="double" w:sz="6" w:space="0" w:color="000000"/>
              <w:right w:val="nil"/>
            </w:tcBorders>
            <w:vAlign w:val="center"/>
            <w:hideMark/>
          </w:tcPr>
          <w:p w14:paraId="185652D2" w14:textId="77777777" w:rsidR="0085355E" w:rsidRPr="00F85178" w:rsidRDefault="0085355E" w:rsidP="0085355E">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42B3FEAE"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E3E427D"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058970C2"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67F181A2" w14:textId="77777777" w:rsidTr="0085355E">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C65ECA1"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MS Praha</w:t>
            </w:r>
          </w:p>
        </w:tc>
        <w:tc>
          <w:tcPr>
            <w:tcW w:w="771" w:type="dxa"/>
            <w:tcBorders>
              <w:top w:val="single" w:sz="4" w:space="0" w:color="auto"/>
              <w:left w:val="nil"/>
              <w:bottom w:val="single" w:sz="4" w:space="0" w:color="auto"/>
              <w:right w:val="nil"/>
            </w:tcBorders>
            <w:shd w:val="clear" w:color="auto" w:fill="auto"/>
            <w:noWrap/>
            <w:vAlign w:val="bottom"/>
            <w:hideMark/>
          </w:tcPr>
          <w:p w14:paraId="3D338553"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909</w:t>
            </w:r>
          </w:p>
        </w:tc>
        <w:tc>
          <w:tcPr>
            <w:tcW w:w="909" w:type="dxa"/>
            <w:tcBorders>
              <w:top w:val="single" w:sz="4" w:space="0" w:color="auto"/>
              <w:left w:val="nil"/>
              <w:bottom w:val="single" w:sz="4" w:space="0" w:color="auto"/>
              <w:right w:val="nil"/>
            </w:tcBorders>
            <w:shd w:val="clear" w:color="auto" w:fill="auto"/>
            <w:noWrap/>
            <w:vAlign w:val="center"/>
            <w:hideMark/>
          </w:tcPr>
          <w:p w14:paraId="7C8E9AC3" w14:textId="79E41E08"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771" w:type="dxa"/>
            <w:tcBorders>
              <w:top w:val="nil"/>
              <w:left w:val="single" w:sz="4" w:space="0" w:color="auto"/>
              <w:bottom w:val="single" w:sz="4" w:space="0" w:color="auto"/>
              <w:right w:val="nil"/>
            </w:tcBorders>
            <w:shd w:val="clear" w:color="auto" w:fill="auto"/>
            <w:noWrap/>
            <w:vAlign w:val="bottom"/>
            <w:hideMark/>
          </w:tcPr>
          <w:p w14:paraId="05D43456"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365</w:t>
            </w:r>
          </w:p>
        </w:tc>
        <w:tc>
          <w:tcPr>
            <w:tcW w:w="909" w:type="dxa"/>
            <w:tcBorders>
              <w:top w:val="nil"/>
              <w:left w:val="nil"/>
              <w:bottom w:val="single" w:sz="4" w:space="0" w:color="auto"/>
              <w:right w:val="single" w:sz="4" w:space="0" w:color="auto"/>
            </w:tcBorders>
            <w:shd w:val="clear" w:color="auto" w:fill="auto"/>
            <w:noWrap/>
            <w:vAlign w:val="center"/>
            <w:hideMark/>
          </w:tcPr>
          <w:p w14:paraId="38E886B5" w14:textId="3F6105C7"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771" w:type="dxa"/>
            <w:tcBorders>
              <w:top w:val="single" w:sz="4" w:space="0" w:color="auto"/>
              <w:left w:val="nil"/>
              <w:bottom w:val="single" w:sz="4" w:space="0" w:color="auto"/>
              <w:right w:val="nil"/>
            </w:tcBorders>
            <w:shd w:val="clear" w:color="auto" w:fill="auto"/>
            <w:noWrap/>
            <w:vAlign w:val="bottom"/>
            <w:hideMark/>
          </w:tcPr>
          <w:p w14:paraId="4B84A1D3" w14:textId="62AEECAF"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w:t>
            </w:r>
            <w:r w:rsidR="001B2D81">
              <w:rPr>
                <w:rFonts w:eastAsia="Times New Roman"/>
                <w:szCs w:val="24"/>
                <w:lang w:eastAsia="cs-CZ"/>
              </w:rPr>
              <w:t xml:space="preserve"> </w:t>
            </w:r>
            <w:r w:rsidRPr="00F85178">
              <w:rPr>
                <w:rFonts w:eastAsia="Times New Roman"/>
                <w:szCs w:val="24"/>
                <w:lang w:eastAsia="cs-CZ"/>
              </w:rPr>
              <w:t>208</w:t>
            </w:r>
          </w:p>
        </w:tc>
        <w:tc>
          <w:tcPr>
            <w:tcW w:w="909" w:type="dxa"/>
            <w:tcBorders>
              <w:top w:val="single" w:sz="4" w:space="0" w:color="auto"/>
              <w:left w:val="nil"/>
              <w:bottom w:val="single" w:sz="4" w:space="0" w:color="auto"/>
              <w:right w:val="nil"/>
            </w:tcBorders>
            <w:shd w:val="clear" w:color="auto" w:fill="auto"/>
            <w:noWrap/>
            <w:vAlign w:val="center"/>
            <w:hideMark/>
          </w:tcPr>
          <w:p w14:paraId="3A40EDD9" w14:textId="08277A4A"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+12 %</w:t>
            </w:r>
          </w:p>
        </w:tc>
      </w:tr>
      <w:tr w:rsidR="00F85178" w:rsidRPr="00F85178" w14:paraId="22A8C6DC"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370721F5"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Praha</w:t>
            </w:r>
          </w:p>
        </w:tc>
        <w:tc>
          <w:tcPr>
            <w:tcW w:w="771" w:type="dxa"/>
            <w:tcBorders>
              <w:top w:val="nil"/>
              <w:left w:val="nil"/>
              <w:bottom w:val="single" w:sz="4" w:space="0" w:color="auto"/>
              <w:right w:val="nil"/>
            </w:tcBorders>
            <w:shd w:val="clear" w:color="auto" w:fill="auto"/>
            <w:noWrap/>
            <w:vAlign w:val="bottom"/>
            <w:hideMark/>
          </w:tcPr>
          <w:p w14:paraId="27AE8261"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697</w:t>
            </w:r>
          </w:p>
        </w:tc>
        <w:tc>
          <w:tcPr>
            <w:tcW w:w="909" w:type="dxa"/>
            <w:tcBorders>
              <w:top w:val="nil"/>
              <w:left w:val="nil"/>
              <w:bottom w:val="single" w:sz="4" w:space="0" w:color="auto"/>
              <w:right w:val="nil"/>
            </w:tcBorders>
            <w:shd w:val="clear" w:color="auto" w:fill="auto"/>
            <w:noWrap/>
            <w:vAlign w:val="center"/>
            <w:hideMark/>
          </w:tcPr>
          <w:p w14:paraId="6CCC9CED" w14:textId="6D8B17EF"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+17 %</w:t>
            </w:r>
          </w:p>
        </w:tc>
        <w:tc>
          <w:tcPr>
            <w:tcW w:w="771" w:type="dxa"/>
            <w:tcBorders>
              <w:top w:val="nil"/>
              <w:left w:val="single" w:sz="4" w:space="0" w:color="auto"/>
              <w:bottom w:val="single" w:sz="4" w:space="0" w:color="auto"/>
              <w:right w:val="nil"/>
            </w:tcBorders>
            <w:shd w:val="clear" w:color="auto" w:fill="auto"/>
            <w:noWrap/>
            <w:vAlign w:val="bottom"/>
            <w:hideMark/>
          </w:tcPr>
          <w:p w14:paraId="00AD1A33"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324</w:t>
            </w:r>
          </w:p>
        </w:tc>
        <w:tc>
          <w:tcPr>
            <w:tcW w:w="909" w:type="dxa"/>
            <w:tcBorders>
              <w:top w:val="nil"/>
              <w:left w:val="nil"/>
              <w:bottom w:val="single" w:sz="4" w:space="0" w:color="auto"/>
              <w:right w:val="single" w:sz="4" w:space="0" w:color="auto"/>
            </w:tcBorders>
            <w:shd w:val="clear" w:color="auto" w:fill="auto"/>
            <w:noWrap/>
            <w:vAlign w:val="center"/>
            <w:hideMark/>
          </w:tcPr>
          <w:p w14:paraId="0BD2D1CD" w14:textId="0C222EBA"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+48 %</w:t>
            </w:r>
          </w:p>
        </w:tc>
        <w:tc>
          <w:tcPr>
            <w:tcW w:w="771" w:type="dxa"/>
            <w:tcBorders>
              <w:top w:val="nil"/>
              <w:left w:val="nil"/>
              <w:bottom w:val="single" w:sz="4" w:space="0" w:color="auto"/>
              <w:right w:val="nil"/>
            </w:tcBorders>
            <w:shd w:val="clear" w:color="auto" w:fill="auto"/>
            <w:noWrap/>
            <w:vAlign w:val="bottom"/>
            <w:hideMark/>
          </w:tcPr>
          <w:p w14:paraId="31C74C96" w14:textId="31D4C72D"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w:t>
            </w:r>
            <w:r w:rsidR="001B2D81">
              <w:rPr>
                <w:rFonts w:eastAsia="Times New Roman"/>
                <w:szCs w:val="24"/>
                <w:lang w:eastAsia="cs-CZ"/>
              </w:rPr>
              <w:t xml:space="preserve"> </w:t>
            </w:r>
            <w:r w:rsidRPr="00F85178">
              <w:rPr>
                <w:rFonts w:eastAsia="Times New Roman"/>
                <w:szCs w:val="24"/>
                <w:lang w:eastAsia="cs-CZ"/>
              </w:rPr>
              <w:t>044</w:t>
            </w:r>
          </w:p>
        </w:tc>
        <w:tc>
          <w:tcPr>
            <w:tcW w:w="909" w:type="dxa"/>
            <w:tcBorders>
              <w:top w:val="nil"/>
              <w:left w:val="nil"/>
              <w:bottom w:val="single" w:sz="4" w:space="0" w:color="auto"/>
              <w:right w:val="nil"/>
            </w:tcBorders>
            <w:shd w:val="clear" w:color="auto" w:fill="auto"/>
            <w:noWrap/>
            <w:vAlign w:val="center"/>
            <w:hideMark/>
          </w:tcPr>
          <w:p w14:paraId="45D1F4CA" w14:textId="166755A3"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+18 %</w:t>
            </w:r>
          </w:p>
        </w:tc>
      </w:tr>
      <w:tr w:rsidR="00F85178" w:rsidRPr="00F85178" w14:paraId="1CC85602"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3FE19D12"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Č. Budějovice</w:t>
            </w:r>
          </w:p>
        </w:tc>
        <w:tc>
          <w:tcPr>
            <w:tcW w:w="771" w:type="dxa"/>
            <w:tcBorders>
              <w:top w:val="nil"/>
              <w:left w:val="nil"/>
              <w:bottom w:val="single" w:sz="4" w:space="0" w:color="auto"/>
              <w:right w:val="nil"/>
            </w:tcBorders>
            <w:shd w:val="clear" w:color="auto" w:fill="auto"/>
            <w:noWrap/>
            <w:vAlign w:val="bottom"/>
            <w:hideMark/>
          </w:tcPr>
          <w:p w14:paraId="4D538964"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727</w:t>
            </w:r>
          </w:p>
        </w:tc>
        <w:tc>
          <w:tcPr>
            <w:tcW w:w="909" w:type="dxa"/>
            <w:tcBorders>
              <w:top w:val="nil"/>
              <w:left w:val="nil"/>
              <w:bottom w:val="single" w:sz="4" w:space="0" w:color="auto"/>
              <w:right w:val="nil"/>
            </w:tcBorders>
            <w:shd w:val="clear" w:color="auto" w:fill="auto"/>
            <w:noWrap/>
            <w:vAlign w:val="center"/>
            <w:hideMark/>
          </w:tcPr>
          <w:p w14:paraId="18CA909B" w14:textId="154D0D4F"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+25 %</w:t>
            </w:r>
          </w:p>
        </w:tc>
        <w:tc>
          <w:tcPr>
            <w:tcW w:w="771" w:type="dxa"/>
            <w:tcBorders>
              <w:top w:val="nil"/>
              <w:left w:val="single" w:sz="4" w:space="0" w:color="auto"/>
              <w:bottom w:val="single" w:sz="4" w:space="0" w:color="auto"/>
              <w:right w:val="nil"/>
            </w:tcBorders>
            <w:shd w:val="clear" w:color="auto" w:fill="auto"/>
            <w:noWrap/>
            <w:vAlign w:val="bottom"/>
            <w:hideMark/>
          </w:tcPr>
          <w:p w14:paraId="2E1A4488"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266</w:t>
            </w:r>
          </w:p>
        </w:tc>
        <w:tc>
          <w:tcPr>
            <w:tcW w:w="909" w:type="dxa"/>
            <w:tcBorders>
              <w:top w:val="nil"/>
              <w:left w:val="nil"/>
              <w:bottom w:val="single" w:sz="4" w:space="0" w:color="auto"/>
              <w:right w:val="single" w:sz="4" w:space="0" w:color="auto"/>
            </w:tcBorders>
            <w:shd w:val="clear" w:color="auto" w:fill="auto"/>
            <w:noWrap/>
            <w:vAlign w:val="center"/>
            <w:hideMark/>
          </w:tcPr>
          <w:p w14:paraId="40C3CE0D" w14:textId="480440ED"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+17 %</w:t>
            </w:r>
          </w:p>
        </w:tc>
        <w:tc>
          <w:tcPr>
            <w:tcW w:w="771" w:type="dxa"/>
            <w:tcBorders>
              <w:top w:val="nil"/>
              <w:left w:val="nil"/>
              <w:bottom w:val="single" w:sz="4" w:space="0" w:color="auto"/>
              <w:right w:val="nil"/>
            </w:tcBorders>
            <w:shd w:val="clear" w:color="auto" w:fill="auto"/>
            <w:noWrap/>
            <w:vAlign w:val="bottom"/>
            <w:hideMark/>
          </w:tcPr>
          <w:p w14:paraId="32C4AEDA" w14:textId="1200B952"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w:t>
            </w:r>
            <w:r w:rsidR="001B2D81">
              <w:rPr>
                <w:rFonts w:eastAsia="Times New Roman"/>
                <w:szCs w:val="24"/>
                <w:lang w:eastAsia="cs-CZ"/>
              </w:rPr>
              <w:t xml:space="preserve"> </w:t>
            </w:r>
            <w:r w:rsidRPr="00F85178">
              <w:rPr>
                <w:rFonts w:eastAsia="Times New Roman"/>
                <w:szCs w:val="24"/>
                <w:lang w:eastAsia="cs-CZ"/>
              </w:rPr>
              <w:t>898</w:t>
            </w:r>
          </w:p>
        </w:tc>
        <w:tc>
          <w:tcPr>
            <w:tcW w:w="909" w:type="dxa"/>
            <w:tcBorders>
              <w:top w:val="nil"/>
              <w:left w:val="nil"/>
              <w:bottom w:val="single" w:sz="4" w:space="0" w:color="auto"/>
              <w:right w:val="nil"/>
            </w:tcBorders>
            <w:shd w:val="clear" w:color="auto" w:fill="auto"/>
            <w:noWrap/>
            <w:vAlign w:val="center"/>
            <w:hideMark/>
          </w:tcPr>
          <w:p w14:paraId="3E74AAC6" w14:textId="663BAAE6"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+44 %</w:t>
            </w:r>
          </w:p>
        </w:tc>
      </w:tr>
      <w:tr w:rsidR="00F85178" w:rsidRPr="00F85178" w14:paraId="67FDACE7"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4C9849AA"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Plzeň</w:t>
            </w:r>
          </w:p>
        </w:tc>
        <w:tc>
          <w:tcPr>
            <w:tcW w:w="771" w:type="dxa"/>
            <w:tcBorders>
              <w:top w:val="nil"/>
              <w:left w:val="nil"/>
              <w:bottom w:val="single" w:sz="4" w:space="0" w:color="auto"/>
              <w:right w:val="nil"/>
            </w:tcBorders>
            <w:shd w:val="clear" w:color="auto" w:fill="auto"/>
            <w:noWrap/>
            <w:vAlign w:val="bottom"/>
            <w:hideMark/>
          </w:tcPr>
          <w:p w14:paraId="094EEEC7"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921</w:t>
            </w:r>
          </w:p>
        </w:tc>
        <w:tc>
          <w:tcPr>
            <w:tcW w:w="909" w:type="dxa"/>
            <w:tcBorders>
              <w:top w:val="nil"/>
              <w:left w:val="nil"/>
              <w:bottom w:val="single" w:sz="4" w:space="0" w:color="auto"/>
              <w:right w:val="nil"/>
            </w:tcBorders>
            <w:shd w:val="clear" w:color="auto" w:fill="auto"/>
            <w:noWrap/>
            <w:vAlign w:val="center"/>
            <w:hideMark/>
          </w:tcPr>
          <w:p w14:paraId="342B10F9" w14:textId="1A181B7D"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-9 %</w:t>
            </w:r>
          </w:p>
        </w:tc>
        <w:tc>
          <w:tcPr>
            <w:tcW w:w="771" w:type="dxa"/>
            <w:tcBorders>
              <w:top w:val="nil"/>
              <w:left w:val="single" w:sz="4" w:space="0" w:color="auto"/>
              <w:bottom w:val="single" w:sz="4" w:space="0" w:color="auto"/>
              <w:right w:val="nil"/>
            </w:tcBorders>
            <w:shd w:val="clear" w:color="auto" w:fill="auto"/>
            <w:noWrap/>
            <w:vAlign w:val="bottom"/>
            <w:hideMark/>
          </w:tcPr>
          <w:p w14:paraId="733701A3"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298</w:t>
            </w:r>
          </w:p>
        </w:tc>
        <w:tc>
          <w:tcPr>
            <w:tcW w:w="909" w:type="dxa"/>
            <w:tcBorders>
              <w:top w:val="nil"/>
              <w:left w:val="nil"/>
              <w:bottom w:val="single" w:sz="4" w:space="0" w:color="auto"/>
              <w:right w:val="single" w:sz="4" w:space="0" w:color="auto"/>
            </w:tcBorders>
            <w:shd w:val="clear" w:color="auto" w:fill="auto"/>
            <w:noWrap/>
            <w:vAlign w:val="center"/>
            <w:hideMark/>
          </w:tcPr>
          <w:p w14:paraId="2046BA9C" w14:textId="29E34D66"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-19 %</w:t>
            </w:r>
          </w:p>
        </w:tc>
        <w:tc>
          <w:tcPr>
            <w:tcW w:w="771" w:type="dxa"/>
            <w:tcBorders>
              <w:top w:val="nil"/>
              <w:left w:val="nil"/>
              <w:bottom w:val="single" w:sz="4" w:space="0" w:color="auto"/>
              <w:right w:val="nil"/>
            </w:tcBorders>
            <w:shd w:val="clear" w:color="auto" w:fill="auto"/>
            <w:noWrap/>
            <w:vAlign w:val="bottom"/>
            <w:hideMark/>
          </w:tcPr>
          <w:p w14:paraId="5471B7D4" w14:textId="3B170F48"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w:t>
            </w:r>
            <w:r w:rsidR="001B2D81">
              <w:rPr>
                <w:rFonts w:eastAsia="Times New Roman"/>
                <w:szCs w:val="24"/>
                <w:lang w:eastAsia="cs-CZ"/>
              </w:rPr>
              <w:t xml:space="preserve"> </w:t>
            </w:r>
            <w:r w:rsidRPr="00F85178">
              <w:rPr>
                <w:rFonts w:eastAsia="Times New Roman"/>
                <w:szCs w:val="24"/>
                <w:lang w:eastAsia="cs-CZ"/>
              </w:rPr>
              <w:t>330</w:t>
            </w:r>
          </w:p>
        </w:tc>
        <w:tc>
          <w:tcPr>
            <w:tcW w:w="909" w:type="dxa"/>
            <w:tcBorders>
              <w:top w:val="nil"/>
              <w:left w:val="nil"/>
              <w:bottom w:val="single" w:sz="4" w:space="0" w:color="auto"/>
              <w:right w:val="nil"/>
            </w:tcBorders>
            <w:shd w:val="clear" w:color="auto" w:fill="auto"/>
            <w:noWrap/>
            <w:vAlign w:val="center"/>
            <w:hideMark/>
          </w:tcPr>
          <w:p w14:paraId="29A632F5" w14:textId="101D045F"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-4 %</w:t>
            </w:r>
          </w:p>
        </w:tc>
      </w:tr>
      <w:tr w:rsidR="00F85178" w:rsidRPr="00F85178" w14:paraId="53DC8FDF"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09DF1A33"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Ústí n. Labem</w:t>
            </w:r>
          </w:p>
        </w:tc>
        <w:tc>
          <w:tcPr>
            <w:tcW w:w="771" w:type="dxa"/>
            <w:tcBorders>
              <w:top w:val="nil"/>
              <w:left w:val="nil"/>
              <w:bottom w:val="single" w:sz="4" w:space="0" w:color="auto"/>
              <w:right w:val="nil"/>
            </w:tcBorders>
            <w:shd w:val="clear" w:color="auto" w:fill="auto"/>
            <w:noWrap/>
            <w:vAlign w:val="bottom"/>
            <w:hideMark/>
          </w:tcPr>
          <w:p w14:paraId="4EFCC8CE"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1794</w:t>
            </w:r>
          </w:p>
        </w:tc>
        <w:tc>
          <w:tcPr>
            <w:tcW w:w="909" w:type="dxa"/>
            <w:tcBorders>
              <w:top w:val="nil"/>
              <w:left w:val="nil"/>
              <w:bottom w:val="single" w:sz="4" w:space="0" w:color="auto"/>
              <w:right w:val="nil"/>
            </w:tcBorders>
            <w:shd w:val="clear" w:color="auto" w:fill="auto"/>
            <w:noWrap/>
            <w:vAlign w:val="center"/>
            <w:hideMark/>
          </w:tcPr>
          <w:p w14:paraId="52B05C1B" w14:textId="443D5A79"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-26 %</w:t>
            </w:r>
          </w:p>
        </w:tc>
        <w:tc>
          <w:tcPr>
            <w:tcW w:w="771" w:type="dxa"/>
            <w:tcBorders>
              <w:top w:val="nil"/>
              <w:left w:val="single" w:sz="4" w:space="0" w:color="auto"/>
              <w:bottom w:val="single" w:sz="4" w:space="0" w:color="auto"/>
              <w:right w:val="nil"/>
            </w:tcBorders>
            <w:shd w:val="clear" w:color="auto" w:fill="auto"/>
            <w:noWrap/>
            <w:vAlign w:val="bottom"/>
            <w:hideMark/>
          </w:tcPr>
          <w:p w14:paraId="52CA4668" w14:textId="2135BBB8"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w:t>
            </w:r>
            <w:r w:rsidR="001B2D81">
              <w:rPr>
                <w:rFonts w:eastAsia="Times New Roman"/>
                <w:szCs w:val="24"/>
                <w:lang w:eastAsia="cs-CZ"/>
              </w:rPr>
              <w:t xml:space="preserve"> </w:t>
            </w:r>
            <w:r w:rsidRPr="00F85178">
              <w:rPr>
                <w:rFonts w:eastAsia="Times New Roman"/>
                <w:szCs w:val="24"/>
                <w:lang w:eastAsia="cs-CZ"/>
              </w:rPr>
              <w:t>208</w:t>
            </w:r>
          </w:p>
        </w:tc>
        <w:tc>
          <w:tcPr>
            <w:tcW w:w="909" w:type="dxa"/>
            <w:tcBorders>
              <w:top w:val="nil"/>
              <w:left w:val="nil"/>
              <w:bottom w:val="single" w:sz="4" w:space="0" w:color="auto"/>
              <w:right w:val="single" w:sz="4" w:space="0" w:color="auto"/>
            </w:tcBorders>
            <w:shd w:val="clear" w:color="auto" w:fill="auto"/>
            <w:noWrap/>
            <w:vAlign w:val="center"/>
            <w:hideMark/>
          </w:tcPr>
          <w:p w14:paraId="34FBF260" w14:textId="00C4A303"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771" w:type="dxa"/>
            <w:tcBorders>
              <w:top w:val="nil"/>
              <w:left w:val="nil"/>
              <w:bottom w:val="single" w:sz="4" w:space="0" w:color="auto"/>
              <w:right w:val="nil"/>
            </w:tcBorders>
            <w:shd w:val="clear" w:color="auto" w:fill="auto"/>
            <w:noWrap/>
            <w:vAlign w:val="bottom"/>
            <w:hideMark/>
          </w:tcPr>
          <w:p w14:paraId="408E2A9C" w14:textId="2B861B45"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4</w:t>
            </w:r>
            <w:r w:rsidR="001B2D81">
              <w:rPr>
                <w:rFonts w:eastAsia="Times New Roman"/>
                <w:szCs w:val="24"/>
                <w:lang w:eastAsia="cs-CZ"/>
              </w:rPr>
              <w:t xml:space="preserve"> </w:t>
            </w:r>
            <w:r w:rsidRPr="00F85178">
              <w:rPr>
                <w:rFonts w:eastAsia="Times New Roman"/>
                <w:szCs w:val="24"/>
                <w:lang w:eastAsia="cs-CZ"/>
              </w:rPr>
              <w:t>379</w:t>
            </w:r>
          </w:p>
        </w:tc>
        <w:tc>
          <w:tcPr>
            <w:tcW w:w="909" w:type="dxa"/>
            <w:tcBorders>
              <w:top w:val="nil"/>
              <w:left w:val="nil"/>
              <w:bottom w:val="single" w:sz="4" w:space="0" w:color="auto"/>
              <w:right w:val="nil"/>
            </w:tcBorders>
            <w:shd w:val="clear" w:color="auto" w:fill="auto"/>
            <w:noWrap/>
            <w:vAlign w:val="center"/>
            <w:hideMark/>
          </w:tcPr>
          <w:p w14:paraId="2905856E" w14:textId="12AE4F68"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-48 %</w:t>
            </w:r>
          </w:p>
        </w:tc>
      </w:tr>
      <w:tr w:rsidR="00F85178" w:rsidRPr="00F85178" w14:paraId="71DC3E7C"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4F883FB8"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Hr. Králové</w:t>
            </w:r>
          </w:p>
        </w:tc>
        <w:tc>
          <w:tcPr>
            <w:tcW w:w="771" w:type="dxa"/>
            <w:tcBorders>
              <w:top w:val="nil"/>
              <w:left w:val="nil"/>
              <w:bottom w:val="single" w:sz="4" w:space="0" w:color="auto"/>
              <w:right w:val="nil"/>
            </w:tcBorders>
            <w:shd w:val="clear" w:color="auto" w:fill="auto"/>
            <w:noWrap/>
            <w:vAlign w:val="bottom"/>
            <w:hideMark/>
          </w:tcPr>
          <w:p w14:paraId="39014A4A"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816</w:t>
            </w:r>
          </w:p>
        </w:tc>
        <w:tc>
          <w:tcPr>
            <w:tcW w:w="909" w:type="dxa"/>
            <w:tcBorders>
              <w:top w:val="nil"/>
              <w:left w:val="nil"/>
              <w:bottom w:val="single" w:sz="4" w:space="0" w:color="auto"/>
              <w:right w:val="nil"/>
            </w:tcBorders>
            <w:shd w:val="clear" w:color="auto" w:fill="auto"/>
            <w:noWrap/>
            <w:vAlign w:val="center"/>
            <w:hideMark/>
          </w:tcPr>
          <w:p w14:paraId="018BC790" w14:textId="44290DCB"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-42 %</w:t>
            </w:r>
          </w:p>
        </w:tc>
        <w:tc>
          <w:tcPr>
            <w:tcW w:w="771" w:type="dxa"/>
            <w:tcBorders>
              <w:top w:val="nil"/>
              <w:left w:val="single" w:sz="4" w:space="0" w:color="auto"/>
              <w:bottom w:val="single" w:sz="4" w:space="0" w:color="auto"/>
              <w:right w:val="nil"/>
            </w:tcBorders>
            <w:shd w:val="clear" w:color="auto" w:fill="auto"/>
            <w:noWrap/>
            <w:vAlign w:val="bottom"/>
            <w:hideMark/>
          </w:tcPr>
          <w:p w14:paraId="6A738825"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198</w:t>
            </w:r>
          </w:p>
        </w:tc>
        <w:tc>
          <w:tcPr>
            <w:tcW w:w="909" w:type="dxa"/>
            <w:tcBorders>
              <w:top w:val="nil"/>
              <w:left w:val="nil"/>
              <w:bottom w:val="single" w:sz="4" w:space="0" w:color="auto"/>
              <w:right w:val="single" w:sz="4" w:space="0" w:color="auto"/>
            </w:tcBorders>
            <w:shd w:val="clear" w:color="auto" w:fill="auto"/>
            <w:noWrap/>
            <w:vAlign w:val="center"/>
            <w:hideMark/>
          </w:tcPr>
          <w:p w14:paraId="6D3AF36B" w14:textId="7602EEE2"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-37 %</w:t>
            </w:r>
          </w:p>
        </w:tc>
        <w:tc>
          <w:tcPr>
            <w:tcW w:w="771" w:type="dxa"/>
            <w:tcBorders>
              <w:top w:val="nil"/>
              <w:left w:val="nil"/>
              <w:bottom w:val="single" w:sz="4" w:space="0" w:color="auto"/>
              <w:right w:val="nil"/>
            </w:tcBorders>
            <w:shd w:val="clear" w:color="auto" w:fill="auto"/>
            <w:noWrap/>
            <w:vAlign w:val="bottom"/>
            <w:hideMark/>
          </w:tcPr>
          <w:p w14:paraId="09993E78" w14:textId="7CCDAC1C"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w:t>
            </w:r>
            <w:r w:rsidR="001B2D81">
              <w:rPr>
                <w:rFonts w:eastAsia="Times New Roman"/>
                <w:szCs w:val="24"/>
                <w:lang w:eastAsia="cs-CZ"/>
              </w:rPr>
              <w:t xml:space="preserve"> </w:t>
            </w:r>
            <w:r w:rsidRPr="00F85178">
              <w:rPr>
                <w:rFonts w:eastAsia="Times New Roman"/>
                <w:szCs w:val="24"/>
                <w:lang w:eastAsia="cs-CZ"/>
              </w:rPr>
              <w:t>436</w:t>
            </w:r>
          </w:p>
        </w:tc>
        <w:tc>
          <w:tcPr>
            <w:tcW w:w="909" w:type="dxa"/>
            <w:tcBorders>
              <w:top w:val="nil"/>
              <w:left w:val="nil"/>
              <w:bottom w:val="single" w:sz="4" w:space="0" w:color="auto"/>
              <w:right w:val="nil"/>
            </w:tcBorders>
            <w:shd w:val="clear" w:color="auto" w:fill="auto"/>
            <w:noWrap/>
            <w:vAlign w:val="center"/>
            <w:hideMark/>
          </w:tcPr>
          <w:p w14:paraId="56FE38F7" w14:textId="69935D38"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-61 %</w:t>
            </w:r>
          </w:p>
        </w:tc>
      </w:tr>
      <w:tr w:rsidR="00F85178" w:rsidRPr="00F85178" w14:paraId="72C13757" w14:textId="77777777" w:rsidTr="0085355E">
        <w:trPr>
          <w:trHeight w:val="315"/>
        </w:trPr>
        <w:tc>
          <w:tcPr>
            <w:tcW w:w="2480" w:type="dxa"/>
            <w:tcBorders>
              <w:top w:val="nil"/>
              <w:left w:val="nil"/>
              <w:bottom w:val="single" w:sz="4" w:space="0" w:color="auto"/>
              <w:right w:val="nil"/>
            </w:tcBorders>
            <w:shd w:val="clear" w:color="auto" w:fill="auto"/>
            <w:noWrap/>
            <w:vAlign w:val="bottom"/>
            <w:hideMark/>
          </w:tcPr>
          <w:p w14:paraId="29560453"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Brno</w:t>
            </w:r>
          </w:p>
        </w:tc>
        <w:tc>
          <w:tcPr>
            <w:tcW w:w="771" w:type="dxa"/>
            <w:tcBorders>
              <w:top w:val="nil"/>
              <w:left w:val="nil"/>
              <w:bottom w:val="single" w:sz="4" w:space="0" w:color="auto"/>
              <w:right w:val="nil"/>
            </w:tcBorders>
            <w:shd w:val="clear" w:color="auto" w:fill="auto"/>
            <w:noWrap/>
            <w:vAlign w:val="bottom"/>
            <w:hideMark/>
          </w:tcPr>
          <w:p w14:paraId="63F09F92" w14:textId="4EE0FC0E"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w:t>
            </w:r>
            <w:r w:rsidR="001B2D81">
              <w:rPr>
                <w:rFonts w:eastAsia="Times New Roman"/>
                <w:szCs w:val="24"/>
                <w:lang w:eastAsia="cs-CZ"/>
              </w:rPr>
              <w:t xml:space="preserve"> </w:t>
            </w:r>
            <w:r w:rsidRPr="00F85178">
              <w:rPr>
                <w:rFonts w:eastAsia="Times New Roman"/>
                <w:szCs w:val="24"/>
                <w:lang w:eastAsia="cs-CZ"/>
              </w:rPr>
              <w:t>082</w:t>
            </w:r>
          </w:p>
        </w:tc>
        <w:tc>
          <w:tcPr>
            <w:tcW w:w="909" w:type="dxa"/>
            <w:tcBorders>
              <w:top w:val="nil"/>
              <w:left w:val="nil"/>
              <w:bottom w:val="single" w:sz="4" w:space="0" w:color="auto"/>
              <w:right w:val="nil"/>
            </w:tcBorders>
            <w:shd w:val="clear" w:color="auto" w:fill="auto"/>
            <w:noWrap/>
            <w:vAlign w:val="center"/>
            <w:hideMark/>
          </w:tcPr>
          <w:p w14:paraId="21267F74" w14:textId="556C16C4"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771" w:type="dxa"/>
            <w:tcBorders>
              <w:top w:val="nil"/>
              <w:left w:val="single" w:sz="4" w:space="0" w:color="auto"/>
              <w:bottom w:val="single" w:sz="4" w:space="0" w:color="auto"/>
              <w:right w:val="nil"/>
            </w:tcBorders>
            <w:shd w:val="clear" w:color="auto" w:fill="auto"/>
            <w:noWrap/>
            <w:vAlign w:val="bottom"/>
            <w:hideMark/>
          </w:tcPr>
          <w:p w14:paraId="5CF44FB1"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409</w:t>
            </w:r>
          </w:p>
        </w:tc>
        <w:tc>
          <w:tcPr>
            <w:tcW w:w="909" w:type="dxa"/>
            <w:tcBorders>
              <w:top w:val="nil"/>
              <w:left w:val="nil"/>
              <w:bottom w:val="single" w:sz="4" w:space="0" w:color="auto"/>
              <w:right w:val="single" w:sz="4" w:space="0" w:color="auto"/>
            </w:tcBorders>
            <w:shd w:val="clear" w:color="auto" w:fill="auto"/>
            <w:noWrap/>
            <w:vAlign w:val="center"/>
            <w:hideMark/>
          </w:tcPr>
          <w:p w14:paraId="23A22F3D" w14:textId="2EB24CD9"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-7 %</w:t>
            </w:r>
          </w:p>
        </w:tc>
        <w:tc>
          <w:tcPr>
            <w:tcW w:w="771" w:type="dxa"/>
            <w:tcBorders>
              <w:top w:val="nil"/>
              <w:left w:val="nil"/>
              <w:bottom w:val="single" w:sz="4" w:space="0" w:color="auto"/>
              <w:right w:val="nil"/>
            </w:tcBorders>
            <w:shd w:val="clear" w:color="auto" w:fill="auto"/>
            <w:noWrap/>
            <w:vAlign w:val="bottom"/>
            <w:hideMark/>
          </w:tcPr>
          <w:p w14:paraId="1FFB0D41" w14:textId="0EF2733E"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2</w:t>
            </w:r>
            <w:r w:rsidR="001B2D81">
              <w:rPr>
                <w:rFonts w:eastAsia="Times New Roman"/>
                <w:szCs w:val="24"/>
                <w:lang w:eastAsia="cs-CZ"/>
              </w:rPr>
              <w:t xml:space="preserve"> </w:t>
            </w:r>
            <w:r w:rsidRPr="00F85178">
              <w:rPr>
                <w:rFonts w:eastAsia="Times New Roman"/>
                <w:szCs w:val="24"/>
                <w:lang w:eastAsia="cs-CZ"/>
              </w:rPr>
              <w:t>594</w:t>
            </w:r>
          </w:p>
        </w:tc>
        <w:tc>
          <w:tcPr>
            <w:tcW w:w="909" w:type="dxa"/>
            <w:tcBorders>
              <w:top w:val="nil"/>
              <w:left w:val="nil"/>
              <w:bottom w:val="single" w:sz="4" w:space="0" w:color="auto"/>
              <w:right w:val="nil"/>
            </w:tcBorders>
            <w:shd w:val="clear" w:color="auto" w:fill="auto"/>
            <w:noWrap/>
            <w:vAlign w:val="center"/>
            <w:hideMark/>
          </w:tcPr>
          <w:p w14:paraId="7D384522" w14:textId="093AED0A"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+5 %</w:t>
            </w:r>
          </w:p>
        </w:tc>
      </w:tr>
      <w:tr w:rsidR="00F85178" w:rsidRPr="00F85178" w14:paraId="4A439183" w14:textId="77777777" w:rsidTr="0085355E">
        <w:trPr>
          <w:trHeight w:val="330"/>
        </w:trPr>
        <w:tc>
          <w:tcPr>
            <w:tcW w:w="2480" w:type="dxa"/>
            <w:tcBorders>
              <w:top w:val="nil"/>
              <w:left w:val="nil"/>
              <w:bottom w:val="double" w:sz="6" w:space="0" w:color="auto"/>
              <w:right w:val="nil"/>
            </w:tcBorders>
            <w:shd w:val="clear" w:color="auto" w:fill="auto"/>
            <w:noWrap/>
            <w:vAlign w:val="bottom"/>
            <w:hideMark/>
          </w:tcPr>
          <w:p w14:paraId="7974E689" w14:textId="77777777" w:rsidR="0085355E" w:rsidRPr="00F85178" w:rsidRDefault="0085355E" w:rsidP="0085355E">
            <w:pPr>
              <w:spacing w:line="240" w:lineRule="auto"/>
              <w:jc w:val="left"/>
              <w:rPr>
                <w:rFonts w:eastAsia="Times New Roman"/>
                <w:szCs w:val="24"/>
                <w:lang w:eastAsia="cs-CZ"/>
              </w:rPr>
            </w:pPr>
            <w:r w:rsidRPr="00F85178">
              <w:rPr>
                <w:rFonts w:eastAsia="Times New Roman"/>
                <w:szCs w:val="24"/>
                <w:lang w:eastAsia="cs-CZ"/>
              </w:rPr>
              <w:t>KS Ostrava</w:t>
            </w:r>
          </w:p>
        </w:tc>
        <w:tc>
          <w:tcPr>
            <w:tcW w:w="771" w:type="dxa"/>
            <w:tcBorders>
              <w:top w:val="nil"/>
              <w:left w:val="nil"/>
              <w:bottom w:val="double" w:sz="6" w:space="0" w:color="auto"/>
              <w:right w:val="nil"/>
            </w:tcBorders>
            <w:shd w:val="clear" w:color="auto" w:fill="auto"/>
            <w:noWrap/>
            <w:vAlign w:val="bottom"/>
            <w:hideMark/>
          </w:tcPr>
          <w:p w14:paraId="14BCFF32"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536</w:t>
            </w:r>
          </w:p>
        </w:tc>
        <w:tc>
          <w:tcPr>
            <w:tcW w:w="909" w:type="dxa"/>
            <w:tcBorders>
              <w:top w:val="nil"/>
              <w:left w:val="nil"/>
              <w:bottom w:val="double" w:sz="6" w:space="0" w:color="auto"/>
              <w:right w:val="nil"/>
            </w:tcBorders>
            <w:shd w:val="clear" w:color="auto" w:fill="auto"/>
            <w:noWrap/>
            <w:vAlign w:val="center"/>
            <w:hideMark/>
          </w:tcPr>
          <w:p w14:paraId="3196EA85" w14:textId="34A441B2"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-52 %</w:t>
            </w:r>
          </w:p>
        </w:tc>
        <w:tc>
          <w:tcPr>
            <w:tcW w:w="771" w:type="dxa"/>
            <w:tcBorders>
              <w:top w:val="nil"/>
              <w:left w:val="single" w:sz="4" w:space="0" w:color="auto"/>
              <w:bottom w:val="double" w:sz="6" w:space="0" w:color="auto"/>
              <w:right w:val="nil"/>
            </w:tcBorders>
            <w:shd w:val="clear" w:color="auto" w:fill="auto"/>
            <w:noWrap/>
            <w:vAlign w:val="bottom"/>
            <w:hideMark/>
          </w:tcPr>
          <w:p w14:paraId="05AFC37E" w14:textId="77777777"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137</w:t>
            </w:r>
          </w:p>
        </w:tc>
        <w:tc>
          <w:tcPr>
            <w:tcW w:w="909" w:type="dxa"/>
            <w:tcBorders>
              <w:top w:val="nil"/>
              <w:left w:val="nil"/>
              <w:bottom w:val="double" w:sz="6" w:space="0" w:color="auto"/>
              <w:right w:val="single" w:sz="4" w:space="0" w:color="auto"/>
            </w:tcBorders>
            <w:shd w:val="clear" w:color="auto" w:fill="auto"/>
            <w:noWrap/>
            <w:vAlign w:val="center"/>
            <w:hideMark/>
          </w:tcPr>
          <w:p w14:paraId="42EB5DB7" w14:textId="1C7911D3"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-41 %</w:t>
            </w:r>
          </w:p>
        </w:tc>
        <w:tc>
          <w:tcPr>
            <w:tcW w:w="771" w:type="dxa"/>
            <w:tcBorders>
              <w:top w:val="nil"/>
              <w:left w:val="nil"/>
              <w:bottom w:val="double" w:sz="6" w:space="0" w:color="auto"/>
              <w:right w:val="nil"/>
            </w:tcBorders>
            <w:shd w:val="clear" w:color="auto" w:fill="auto"/>
            <w:noWrap/>
            <w:vAlign w:val="bottom"/>
            <w:hideMark/>
          </w:tcPr>
          <w:p w14:paraId="5A76FE03" w14:textId="55A5703D" w:rsidR="0085355E" w:rsidRPr="00F85178" w:rsidRDefault="0085355E" w:rsidP="0085355E">
            <w:pPr>
              <w:spacing w:line="240" w:lineRule="auto"/>
              <w:jc w:val="center"/>
              <w:rPr>
                <w:rFonts w:eastAsia="Times New Roman"/>
                <w:szCs w:val="24"/>
                <w:lang w:eastAsia="cs-CZ"/>
              </w:rPr>
            </w:pPr>
            <w:r w:rsidRPr="00F85178">
              <w:rPr>
                <w:rFonts w:eastAsia="Times New Roman"/>
                <w:szCs w:val="24"/>
                <w:lang w:eastAsia="cs-CZ"/>
              </w:rPr>
              <w:t>1</w:t>
            </w:r>
            <w:r w:rsidR="001B2D81">
              <w:rPr>
                <w:rFonts w:eastAsia="Times New Roman"/>
                <w:szCs w:val="24"/>
                <w:lang w:eastAsia="cs-CZ"/>
              </w:rPr>
              <w:t xml:space="preserve"> </w:t>
            </w:r>
            <w:r w:rsidRPr="00F85178">
              <w:rPr>
                <w:rFonts w:eastAsia="Times New Roman"/>
                <w:szCs w:val="24"/>
                <w:lang w:eastAsia="cs-CZ"/>
              </w:rPr>
              <w:t>259</w:t>
            </w:r>
          </w:p>
        </w:tc>
        <w:tc>
          <w:tcPr>
            <w:tcW w:w="909" w:type="dxa"/>
            <w:tcBorders>
              <w:top w:val="nil"/>
              <w:left w:val="nil"/>
              <w:bottom w:val="double" w:sz="6" w:space="0" w:color="auto"/>
              <w:right w:val="nil"/>
            </w:tcBorders>
            <w:shd w:val="clear" w:color="auto" w:fill="auto"/>
            <w:noWrap/>
            <w:vAlign w:val="center"/>
            <w:hideMark/>
          </w:tcPr>
          <w:p w14:paraId="21FB8C56" w14:textId="6BAD7C0E" w:rsidR="0085355E" w:rsidRPr="00F85178" w:rsidRDefault="0085355E" w:rsidP="0085355E">
            <w:pPr>
              <w:spacing w:line="240" w:lineRule="auto"/>
              <w:jc w:val="right"/>
              <w:rPr>
                <w:rFonts w:eastAsia="Times New Roman"/>
                <w:sz w:val="20"/>
                <w:szCs w:val="20"/>
                <w:lang w:eastAsia="cs-CZ"/>
              </w:rPr>
            </w:pPr>
            <w:r w:rsidRPr="00F85178">
              <w:rPr>
                <w:rFonts w:eastAsia="Times New Roman"/>
                <w:sz w:val="20"/>
                <w:szCs w:val="20"/>
                <w:lang w:eastAsia="cs-CZ"/>
              </w:rPr>
              <w:t>-69 %</w:t>
            </w:r>
          </w:p>
        </w:tc>
      </w:tr>
      <w:tr w:rsidR="00F85178" w:rsidRPr="00F85178" w14:paraId="473D2359" w14:textId="77777777" w:rsidTr="0085355E">
        <w:trPr>
          <w:trHeight w:val="345"/>
        </w:trPr>
        <w:tc>
          <w:tcPr>
            <w:tcW w:w="2480" w:type="dxa"/>
            <w:tcBorders>
              <w:top w:val="nil"/>
              <w:left w:val="nil"/>
              <w:bottom w:val="double" w:sz="6" w:space="0" w:color="auto"/>
              <w:right w:val="nil"/>
            </w:tcBorders>
            <w:shd w:val="clear" w:color="auto" w:fill="auto"/>
            <w:noWrap/>
            <w:vAlign w:val="bottom"/>
            <w:hideMark/>
          </w:tcPr>
          <w:p w14:paraId="1D32395D" w14:textId="77777777" w:rsidR="0085355E" w:rsidRPr="00F85178" w:rsidRDefault="0085355E" w:rsidP="0085355E">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771" w:type="dxa"/>
            <w:tcBorders>
              <w:top w:val="nil"/>
              <w:left w:val="nil"/>
              <w:bottom w:val="double" w:sz="6" w:space="0" w:color="auto"/>
              <w:right w:val="nil"/>
            </w:tcBorders>
            <w:shd w:val="clear" w:color="auto" w:fill="auto"/>
            <w:noWrap/>
            <w:vAlign w:val="bottom"/>
            <w:hideMark/>
          </w:tcPr>
          <w:p w14:paraId="2ACF7868"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922</w:t>
            </w:r>
          </w:p>
        </w:tc>
        <w:tc>
          <w:tcPr>
            <w:tcW w:w="909" w:type="dxa"/>
            <w:tcBorders>
              <w:top w:val="nil"/>
              <w:left w:val="nil"/>
              <w:bottom w:val="double" w:sz="6" w:space="0" w:color="auto"/>
              <w:right w:val="nil"/>
            </w:tcBorders>
            <w:shd w:val="clear" w:color="auto" w:fill="auto"/>
            <w:noWrap/>
            <w:vAlign w:val="center"/>
            <w:hideMark/>
          </w:tcPr>
          <w:p w14:paraId="744AFC87" w14:textId="797D0BF6" w:rsidR="0085355E" w:rsidRPr="00F85178" w:rsidRDefault="0085355E" w:rsidP="0085355E">
            <w:pPr>
              <w:spacing w:line="240" w:lineRule="auto"/>
              <w:jc w:val="right"/>
              <w:rPr>
                <w:rFonts w:eastAsia="Times New Roman"/>
                <w:b/>
                <w:bCs/>
                <w:sz w:val="20"/>
                <w:szCs w:val="20"/>
                <w:lang w:eastAsia="cs-CZ"/>
              </w:rPr>
            </w:pPr>
            <w:r w:rsidRPr="00F85178">
              <w:rPr>
                <w:rFonts w:eastAsia="Times New Roman"/>
                <w:b/>
                <w:bCs/>
                <w:sz w:val="20"/>
                <w:szCs w:val="20"/>
                <w:lang w:eastAsia="cs-CZ"/>
              </w:rPr>
              <w:t>-17 %</w:t>
            </w:r>
          </w:p>
        </w:tc>
        <w:tc>
          <w:tcPr>
            <w:tcW w:w="771" w:type="dxa"/>
            <w:tcBorders>
              <w:top w:val="nil"/>
              <w:left w:val="single" w:sz="4" w:space="0" w:color="auto"/>
              <w:bottom w:val="double" w:sz="6" w:space="0" w:color="auto"/>
              <w:right w:val="nil"/>
            </w:tcBorders>
            <w:shd w:val="clear" w:color="auto" w:fill="auto"/>
            <w:noWrap/>
            <w:vAlign w:val="bottom"/>
            <w:hideMark/>
          </w:tcPr>
          <w:p w14:paraId="7BC6C392" w14:textId="77777777"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302</w:t>
            </w:r>
          </w:p>
        </w:tc>
        <w:tc>
          <w:tcPr>
            <w:tcW w:w="909" w:type="dxa"/>
            <w:tcBorders>
              <w:top w:val="nil"/>
              <w:left w:val="nil"/>
              <w:bottom w:val="double" w:sz="6" w:space="0" w:color="auto"/>
              <w:right w:val="single" w:sz="4" w:space="0" w:color="auto"/>
            </w:tcBorders>
            <w:shd w:val="clear" w:color="auto" w:fill="auto"/>
            <w:noWrap/>
            <w:vAlign w:val="center"/>
            <w:hideMark/>
          </w:tcPr>
          <w:p w14:paraId="1349B40C" w14:textId="4D40C557" w:rsidR="0085355E" w:rsidRPr="00F85178" w:rsidRDefault="0085355E" w:rsidP="0085355E">
            <w:pPr>
              <w:spacing w:line="240" w:lineRule="auto"/>
              <w:jc w:val="right"/>
              <w:rPr>
                <w:rFonts w:eastAsia="Times New Roman"/>
                <w:b/>
                <w:bCs/>
                <w:sz w:val="20"/>
                <w:szCs w:val="20"/>
                <w:lang w:eastAsia="cs-CZ"/>
              </w:rPr>
            </w:pPr>
            <w:r w:rsidRPr="00F85178">
              <w:rPr>
                <w:rFonts w:eastAsia="Times New Roman"/>
                <w:b/>
                <w:bCs/>
                <w:sz w:val="20"/>
                <w:szCs w:val="20"/>
                <w:lang w:eastAsia="cs-CZ"/>
              </w:rPr>
              <w:t>-13 %</w:t>
            </w:r>
          </w:p>
        </w:tc>
        <w:tc>
          <w:tcPr>
            <w:tcW w:w="771" w:type="dxa"/>
            <w:tcBorders>
              <w:top w:val="nil"/>
              <w:left w:val="nil"/>
              <w:bottom w:val="double" w:sz="6" w:space="0" w:color="auto"/>
              <w:right w:val="nil"/>
            </w:tcBorders>
            <w:shd w:val="clear" w:color="auto" w:fill="auto"/>
            <w:noWrap/>
            <w:vAlign w:val="bottom"/>
            <w:hideMark/>
          </w:tcPr>
          <w:p w14:paraId="0D8CFB84" w14:textId="019069C1" w:rsidR="0085355E" w:rsidRPr="00F85178" w:rsidRDefault="0085355E" w:rsidP="0085355E">
            <w:pPr>
              <w:spacing w:line="240" w:lineRule="auto"/>
              <w:jc w:val="center"/>
              <w:rPr>
                <w:rFonts w:eastAsia="Times New Roman"/>
                <w:b/>
                <w:bCs/>
                <w:szCs w:val="24"/>
                <w:lang w:eastAsia="cs-CZ"/>
              </w:rPr>
            </w:pPr>
            <w:r w:rsidRPr="00F85178">
              <w:rPr>
                <w:rFonts w:eastAsia="Times New Roman"/>
                <w:b/>
                <w:bCs/>
                <w:szCs w:val="24"/>
                <w:lang w:eastAsia="cs-CZ"/>
              </w:rPr>
              <w:t>2</w:t>
            </w:r>
            <w:r w:rsidR="001B2D81">
              <w:rPr>
                <w:rFonts w:eastAsia="Times New Roman"/>
                <w:b/>
                <w:bCs/>
                <w:szCs w:val="24"/>
                <w:lang w:eastAsia="cs-CZ"/>
              </w:rPr>
              <w:t xml:space="preserve"> </w:t>
            </w:r>
            <w:r w:rsidRPr="00F85178">
              <w:rPr>
                <w:rFonts w:eastAsia="Times New Roman"/>
                <w:b/>
                <w:bCs/>
                <w:szCs w:val="24"/>
                <w:lang w:eastAsia="cs-CZ"/>
              </w:rPr>
              <w:t>303</w:t>
            </w:r>
          </w:p>
        </w:tc>
        <w:tc>
          <w:tcPr>
            <w:tcW w:w="909" w:type="dxa"/>
            <w:tcBorders>
              <w:top w:val="nil"/>
              <w:left w:val="nil"/>
              <w:bottom w:val="double" w:sz="6" w:space="0" w:color="auto"/>
              <w:right w:val="nil"/>
            </w:tcBorders>
            <w:shd w:val="clear" w:color="auto" w:fill="auto"/>
            <w:noWrap/>
            <w:vAlign w:val="center"/>
            <w:hideMark/>
          </w:tcPr>
          <w:p w14:paraId="7499B18B" w14:textId="48DF86E0" w:rsidR="0085355E" w:rsidRPr="00F85178" w:rsidRDefault="0085355E" w:rsidP="0085355E">
            <w:pPr>
              <w:spacing w:line="240" w:lineRule="auto"/>
              <w:jc w:val="right"/>
              <w:rPr>
                <w:rFonts w:eastAsia="Times New Roman"/>
                <w:b/>
                <w:bCs/>
                <w:sz w:val="20"/>
                <w:szCs w:val="20"/>
                <w:lang w:eastAsia="cs-CZ"/>
              </w:rPr>
            </w:pPr>
            <w:r w:rsidRPr="00F85178">
              <w:rPr>
                <w:rFonts w:eastAsia="Times New Roman"/>
                <w:b/>
                <w:bCs/>
                <w:sz w:val="20"/>
                <w:szCs w:val="20"/>
                <w:lang w:eastAsia="cs-CZ"/>
              </w:rPr>
              <w:t>-15 %</w:t>
            </w:r>
          </w:p>
        </w:tc>
      </w:tr>
    </w:tbl>
    <w:p w14:paraId="0F81DEEF" w14:textId="77777777" w:rsidR="0085355E" w:rsidRPr="00F85178" w:rsidRDefault="00A345E8" w:rsidP="00A345E8">
      <w:pPr>
        <w:pStyle w:val="Podtitul"/>
        <w:rPr>
          <w:color w:val="auto"/>
        </w:rPr>
      </w:pPr>
      <w:bookmarkStart w:id="356" w:name="_Toc515871381"/>
      <w:bookmarkStart w:id="357" w:name="_Toc11135112"/>
      <w:bookmarkStart w:id="358" w:name="_Toc1383754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51</w:t>
      </w:r>
      <w:r w:rsidRPr="00F85178">
        <w:rPr>
          <w:color w:val="auto"/>
        </w:rPr>
        <w:fldChar w:fldCharType="end"/>
      </w:r>
      <w:r w:rsidRPr="00F85178">
        <w:rPr>
          <w:color w:val="auto"/>
        </w:rPr>
        <w:t>: KS – distribuce délek prvostupňového civilního řízení</w:t>
      </w:r>
      <w:bookmarkEnd w:id="356"/>
      <w:bookmarkEnd w:id="357"/>
      <w:bookmarkEnd w:id="358"/>
    </w:p>
    <w:p w14:paraId="045222E3" w14:textId="77777777" w:rsidR="00A345E8" w:rsidRPr="00F85178" w:rsidRDefault="00890295" w:rsidP="00770E8A">
      <w:r>
        <w:rPr>
          <w:noProof/>
          <w:lang w:eastAsia="cs-CZ"/>
        </w:rPr>
        <w:drawing>
          <wp:inline distT="0" distB="0" distL="0" distR="0" wp14:anchorId="25ECBB00" wp14:editId="05CEB74F">
            <wp:extent cx="5118100" cy="3746500"/>
            <wp:effectExtent l="0" t="0" r="0" b="0"/>
            <wp:docPr id="54" name="Obrázek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4"/>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E110A72" w14:textId="77777777" w:rsidR="000F4C79" w:rsidRPr="00F85178" w:rsidRDefault="000F4C79" w:rsidP="000F4C79">
      <w:pPr>
        <w:pStyle w:val="OdstavecASR"/>
      </w:pPr>
      <w:r w:rsidRPr="00F85178">
        <w:t xml:space="preserve">Situace </w:t>
      </w:r>
      <w:r w:rsidR="005019A2" w:rsidRPr="00F85178">
        <w:t>v roce 2018 se</w:t>
      </w:r>
      <w:r w:rsidR="00892DC6" w:rsidRPr="00F85178">
        <w:t>,</w:t>
      </w:r>
      <w:r w:rsidR="005019A2" w:rsidRPr="00F85178">
        <w:t xml:space="preserve"> jak již bylo uvedeno</w:t>
      </w:r>
      <w:r w:rsidR="00892DC6" w:rsidRPr="00F85178">
        <w:t>,</w:t>
      </w:r>
      <w:r w:rsidR="005019A2" w:rsidRPr="00F85178">
        <w:t xml:space="preserve"> zlepšila</w:t>
      </w:r>
      <w:r w:rsidRPr="00F85178">
        <w:t>. A to z těchto důvodů:</w:t>
      </w:r>
    </w:p>
    <w:p w14:paraId="4ECAA928" w14:textId="77777777" w:rsidR="000F4C79" w:rsidRPr="00F85178" w:rsidRDefault="000F4C79" w:rsidP="000F4C79">
      <w:pPr>
        <w:pStyle w:val="OdstavecASR"/>
        <w:numPr>
          <w:ilvl w:val="0"/>
          <w:numId w:val="19"/>
        </w:numPr>
      </w:pPr>
      <w:r w:rsidRPr="00F85178">
        <w:t xml:space="preserve">Jak je vidět v další podkapitole, </w:t>
      </w:r>
      <w:r w:rsidR="00B1792A" w:rsidRPr="00F85178">
        <w:t>v roce 2018 poklesl počet příchozích i vyřízených věcí. Počet věcí příchozích ale klesl více, což vyústilo v pokles v počtu nevyřízených věcí.</w:t>
      </w:r>
    </w:p>
    <w:p w14:paraId="4FC83308" w14:textId="77777777" w:rsidR="000F4C79" w:rsidRPr="00F85178" w:rsidRDefault="000F4C79" w:rsidP="000F4C79">
      <w:pPr>
        <w:pStyle w:val="OdstavecASR"/>
        <w:numPr>
          <w:ilvl w:val="0"/>
          <w:numId w:val="19"/>
        </w:numPr>
      </w:pPr>
      <w:r w:rsidRPr="00F85178">
        <w:t>Počty déle nevyřízených věcí (přes 3 roky</w:t>
      </w:r>
      <w:r w:rsidR="006A33D7" w:rsidRPr="00F85178">
        <w:t xml:space="preserve"> a více</w:t>
      </w:r>
      <w:r w:rsidRPr="00F85178">
        <w:t xml:space="preserve">, přes 5 let </w:t>
      </w:r>
      <w:r w:rsidR="006A33D7" w:rsidRPr="00F85178">
        <w:t xml:space="preserve">a více </w:t>
      </w:r>
      <w:r w:rsidRPr="00F85178">
        <w:t>či přes 7 let</w:t>
      </w:r>
      <w:r w:rsidR="006A33D7" w:rsidRPr="00F85178">
        <w:t xml:space="preserve"> a více</w:t>
      </w:r>
      <w:r w:rsidRPr="00F85178">
        <w:t>) v posledních letech klesají</w:t>
      </w:r>
      <w:r w:rsidR="00C043B2" w:rsidRPr="00F85178">
        <w:t xml:space="preserve"> (2015: 8 291, 6 006, 4 352 věcí vs. 2018: 5 671, 4 165, 3 132 věcí)</w:t>
      </w:r>
      <w:r w:rsidRPr="00F85178">
        <w:t>. To také samozřejmě může ovlivnit vykázanou délku řízení.</w:t>
      </w:r>
    </w:p>
    <w:p w14:paraId="4E5A8908" w14:textId="76678D87" w:rsidR="000F4C79" w:rsidRPr="00F85178" w:rsidRDefault="000F4C79" w:rsidP="000F4C79">
      <w:pPr>
        <w:pStyle w:val="OdstavecASR"/>
        <w:numPr>
          <w:ilvl w:val="0"/>
          <w:numId w:val="19"/>
        </w:numPr>
      </w:pPr>
      <w:r w:rsidRPr="00F85178">
        <w:t>A především, velká část věcí je přerušena z důvodu prohlášení úpadku/konkurzu. Úpadek se následně řeší 5 a více let a soud se v té době přerušenou věcí nijak nezabývá. Do</w:t>
      </w:r>
      <w:r w:rsidR="001B2D81">
        <w:t> </w:t>
      </w:r>
      <w:r w:rsidRPr="00F85178">
        <w:t>vykazované délky řízení se však tato doba promítne. Data ze statistických listů bohužel neumožňují očištění o tuto dobu nebo o řízení, která byla takto přerušena. Můžeme alespoň odhadnout, jak velký vliv takovéto věci mají. Například data z výkazů ukazují, že</w:t>
      </w:r>
      <w:r w:rsidR="00CE097C" w:rsidRPr="00F85178">
        <w:t xml:space="preserve"> </w:t>
      </w:r>
      <w:r w:rsidRPr="00F85178">
        <w:t xml:space="preserve">k 31. 12. </w:t>
      </w:r>
      <w:r w:rsidR="00C043B2" w:rsidRPr="00F85178">
        <w:t>201</w:t>
      </w:r>
      <w:r w:rsidR="006A33D7" w:rsidRPr="00F85178">
        <w:t>6</w:t>
      </w:r>
      <w:r w:rsidR="00C043B2" w:rsidRPr="00F85178">
        <w:t xml:space="preserve"> </w:t>
      </w:r>
      <w:r w:rsidRPr="00F85178">
        <w:t xml:space="preserve">bylo v rejstříku Cm nevyřízeno déle než 5 let </w:t>
      </w:r>
      <w:r w:rsidR="006A33D7" w:rsidRPr="00F85178">
        <w:t>5 214</w:t>
      </w:r>
      <w:r w:rsidRPr="00F85178">
        <w:t xml:space="preserve"> věcí. Z toho bylo z důvodu prohlášení úpadku/konkurzu přerušeno </w:t>
      </w:r>
      <w:r w:rsidR="006A33D7" w:rsidRPr="00F85178">
        <w:t>3</w:t>
      </w:r>
      <w:r w:rsidRPr="00F85178">
        <w:t> </w:t>
      </w:r>
      <w:r w:rsidR="006A33D7" w:rsidRPr="00F85178">
        <w:t>614</w:t>
      </w:r>
      <w:r w:rsidRPr="00F85178">
        <w:t xml:space="preserve"> věcí, tedy asi </w:t>
      </w:r>
      <w:r w:rsidR="006A33D7" w:rsidRPr="00F85178">
        <w:t>69</w:t>
      </w:r>
      <w:r w:rsidRPr="00F85178">
        <w:t> %. Tyto věci se samozřejmě nakonec objeví ve statistických listech a výrazně ovlivní délku řízení. Velká část z nich pak ale nevypovídá o fungování soudu. To, že medián je výrazně lepší ukazatel než průměr a devadesátý percentil, platí v tomto případě ještě daleko více než jindy. Výše uvedené také vysvětluje obrovský rozdíl mezi mediánem a průměrem (a také 90</w:t>
      </w:r>
      <w:r w:rsidR="00CE097C" w:rsidRPr="00F85178">
        <w:t>.</w:t>
      </w:r>
      <w:r w:rsidRPr="00F85178">
        <w:t> percentilem). Medián je totiž přerušenými věcmi z důvodu prohlášení úpadku/konkurzu ovlivněn mnohem méně. Závěrem tedy můžeme říct, že medián je v tomto případě stále poměrně spolehlivým ukazatelem.</w:t>
      </w:r>
    </w:p>
    <w:p w14:paraId="0247CA8E" w14:textId="77777777" w:rsidR="000F4C79" w:rsidRPr="00F85178" w:rsidRDefault="000F4C79" w:rsidP="000F4C79">
      <w:pPr>
        <w:pStyle w:val="OdstavecASR"/>
      </w:pPr>
      <w:r w:rsidRPr="00F85178">
        <w:t xml:space="preserve">Přestože lze vysoké délky řízení do značné míry vysvětlit přerušováním věcí, neznamená to, že v této agendě nejsou problémy. </w:t>
      </w:r>
      <w:r w:rsidR="00195B5B" w:rsidRPr="00F85178">
        <w:t xml:space="preserve">Např. </w:t>
      </w:r>
      <w:r w:rsidRPr="00F85178">
        <w:t>KS Ústí nad Labem má</w:t>
      </w:r>
      <w:r w:rsidR="006A78A9" w:rsidRPr="00F85178" w:rsidDel="006A78A9">
        <w:t xml:space="preserve"> </w:t>
      </w:r>
      <w:r w:rsidRPr="00F85178">
        <w:t xml:space="preserve">medián výrazně </w:t>
      </w:r>
      <w:r w:rsidR="006A78A9" w:rsidRPr="00F85178">
        <w:t xml:space="preserve">vyšší </w:t>
      </w:r>
      <w:r w:rsidRPr="00F85178">
        <w:t>než 1 000 dnů</w:t>
      </w:r>
      <w:r w:rsidR="00195B5B" w:rsidRPr="00F85178">
        <w:t xml:space="preserve"> a stále roste</w:t>
      </w:r>
      <w:r w:rsidR="006A78A9" w:rsidRPr="00F85178">
        <w:t xml:space="preserve"> (2016: 811 </w:t>
      </w:r>
      <w:r w:rsidR="00CE097C" w:rsidRPr="00F85178">
        <w:t>dnů</w:t>
      </w:r>
      <w:r w:rsidR="006A78A9" w:rsidRPr="00F85178">
        <w:t xml:space="preserve">, 2017: 1 137 </w:t>
      </w:r>
      <w:r w:rsidR="00CE097C" w:rsidRPr="00F85178">
        <w:t>dnů</w:t>
      </w:r>
      <w:r w:rsidR="006A78A9" w:rsidRPr="00F85178">
        <w:t xml:space="preserve">, 2018: 1 208 </w:t>
      </w:r>
      <w:r w:rsidR="00CE097C" w:rsidRPr="00F85178">
        <w:t>dnů</w:t>
      </w:r>
      <w:r w:rsidR="00DA049B" w:rsidRPr="00F85178">
        <w:t>).</w:t>
      </w:r>
      <w:r w:rsidRPr="00F85178">
        <w:t xml:space="preserve"> Vysoké délky řízení jsou zde tedy očividně způsobeny i jinými faktory.</w:t>
      </w:r>
    </w:p>
    <w:p w14:paraId="17326A7A" w14:textId="77777777" w:rsidR="00A345E8" w:rsidRPr="00F85178" w:rsidRDefault="00A345E8" w:rsidP="00A345E8">
      <w:pPr>
        <w:pStyle w:val="Nadpis3"/>
        <w:rPr>
          <w:color w:val="auto"/>
        </w:rPr>
      </w:pPr>
      <w:bookmarkStart w:id="359" w:name="_Toc515871250"/>
      <w:bookmarkStart w:id="360" w:name="_Toc14076899"/>
      <w:r w:rsidRPr="00F85178">
        <w:rPr>
          <w:color w:val="auto"/>
        </w:rPr>
        <w:t>Vyřizování věcí</w:t>
      </w:r>
      <w:bookmarkEnd w:id="359"/>
      <w:bookmarkEnd w:id="360"/>
    </w:p>
    <w:p w14:paraId="042B8957" w14:textId="77777777" w:rsidR="000F4C79" w:rsidRPr="00F85178" w:rsidRDefault="000F4C79" w:rsidP="000F4C79">
      <w:pPr>
        <w:pStyle w:val="OdstavecASR"/>
      </w:pPr>
      <w:r w:rsidRPr="00F85178">
        <w:t>Do časových řad se opět promítá zavedení elektronického platebního rozkazu, ale i změny ve vedení statistik a převod části agendy z krajských soudů na okresní. I přes tyto vlivy však můžeme bezpečně dojít k závěru, že počet napadlých civilních a obchodních věcí vykazuje v posledních letech zjevný klesající trend. Klesající trend se zastavil až v roce 2017, kdy se počet příchozích věcí oproti roku 2016 zvýšil.</w:t>
      </w:r>
    </w:p>
    <w:p w14:paraId="15408FDF" w14:textId="1BC9DADF" w:rsidR="000F4C79" w:rsidRPr="00F85178" w:rsidRDefault="000F4C79" w:rsidP="000F4C79">
      <w:pPr>
        <w:pStyle w:val="OdstavecASR"/>
      </w:pPr>
      <w:r w:rsidRPr="00F85178">
        <w:t xml:space="preserve">Hlubší analýza zmíněného klesajícího trendu přesahuje rozsah této zprávy. V krátkosti však můžeme uvést, že za pokles v nápadu je do velké míry zodpovědný </w:t>
      </w:r>
      <w:r w:rsidR="00DA03FD" w:rsidRPr="00F85178">
        <w:t xml:space="preserve">již dříve zmíněný </w:t>
      </w:r>
      <w:r w:rsidRPr="00F85178">
        <w:t xml:space="preserve">převod velkého množství obchodních řízení z krajských soudů na okresní v roce 2014 (v návaznosti na OZ se změnila věcná příslušnost těchto řízení). </w:t>
      </w:r>
      <w:r w:rsidRPr="00F85178">
        <w:fldChar w:fldCharType="begin"/>
      </w:r>
      <w:r w:rsidRPr="00F85178">
        <w:instrText xml:space="preserve"> REF _Ref511293259 \h </w:instrText>
      </w:r>
      <w:r w:rsidRPr="00F85178">
        <w:fldChar w:fldCharType="separate"/>
      </w:r>
      <w:r w:rsidR="00306940" w:rsidRPr="00F85178">
        <w:t xml:space="preserve">Graf </w:t>
      </w:r>
      <w:r w:rsidR="00306940">
        <w:rPr>
          <w:noProof/>
        </w:rPr>
        <w:t>53</w:t>
      </w:r>
      <w:r w:rsidRPr="00F85178">
        <w:fldChar w:fldCharType="end"/>
      </w:r>
      <w:r w:rsidRPr="00F85178">
        <w:t xml:space="preserve"> zobrazuje vývoj v počtu příchozích, vyřízených a nevyřízených věcí. Z grafu vyplývají především dvě věci:</w:t>
      </w:r>
    </w:p>
    <w:p w14:paraId="68DC1981" w14:textId="77777777" w:rsidR="000F4C79" w:rsidRPr="00F85178" w:rsidRDefault="000F4C79" w:rsidP="000F4C79">
      <w:pPr>
        <w:pStyle w:val="OdstavecASR"/>
        <w:numPr>
          <w:ilvl w:val="0"/>
          <w:numId w:val="19"/>
        </w:numPr>
      </w:pPr>
      <w:r w:rsidRPr="00F85178">
        <w:t>Naprostou většinu prvostupňové občanskoprávní a obchodněprávní agendy tvoří rejstřík Cm, tedy obchodněprávní spory.</w:t>
      </w:r>
    </w:p>
    <w:p w14:paraId="5ECB4C3E" w14:textId="77777777" w:rsidR="000F4C79" w:rsidRPr="00F85178" w:rsidRDefault="000F4C79" w:rsidP="000F4C79">
      <w:pPr>
        <w:pStyle w:val="OdstavecASR"/>
        <w:numPr>
          <w:ilvl w:val="0"/>
          <w:numId w:val="19"/>
        </w:numPr>
      </w:pPr>
      <w:r w:rsidRPr="00F85178">
        <w:t>Výše zmíněný převod obchodněprávní agendy na okresní soudy hrál velkou roli. Pokles v příchozích věcech byl ale očividně způsoben i dalšími faktory. K poklesu došlo i v jiných letech než jen mezi roky 2013 a 2014</w:t>
      </w:r>
      <w:r w:rsidR="00DA049B" w:rsidRPr="00F85178">
        <w:t xml:space="preserve"> </w:t>
      </w:r>
      <w:r w:rsidR="005713C9" w:rsidRPr="00F85178">
        <w:t>a</w:t>
      </w:r>
      <w:r w:rsidR="008F7177" w:rsidRPr="00F85178">
        <w:t xml:space="preserve"> pokles</w:t>
      </w:r>
      <w:r w:rsidR="005713C9" w:rsidRPr="00F85178">
        <w:t xml:space="preserve"> dále pokračuje</w:t>
      </w:r>
      <w:r w:rsidRPr="00F85178">
        <w:t>.</w:t>
      </w:r>
    </w:p>
    <w:p w14:paraId="3838D352" w14:textId="77777777" w:rsidR="000F4C79" w:rsidRPr="00F85178" w:rsidRDefault="000F4C79" w:rsidP="000F4C79"/>
    <w:p w14:paraId="770FC0BC" w14:textId="77777777" w:rsidR="00205FD6" w:rsidRPr="00F85178" w:rsidRDefault="00205FD6" w:rsidP="00205FD6">
      <w:pPr>
        <w:pStyle w:val="Podtitul"/>
        <w:rPr>
          <w:color w:val="auto"/>
        </w:rPr>
      </w:pPr>
      <w:bookmarkStart w:id="361" w:name="_Toc515871382"/>
      <w:bookmarkStart w:id="362" w:name="_Toc11135113"/>
      <w:bookmarkStart w:id="363" w:name="_Toc1383754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52</w:t>
      </w:r>
      <w:r w:rsidRPr="00F85178">
        <w:rPr>
          <w:noProof/>
          <w:color w:val="auto"/>
        </w:rPr>
        <w:fldChar w:fldCharType="end"/>
      </w:r>
      <w:r w:rsidRPr="00F85178">
        <w:rPr>
          <w:color w:val="auto"/>
        </w:rPr>
        <w:t>: KS – vyřizování prvostupňových civilních věcí v letech 2008–201</w:t>
      </w:r>
      <w:bookmarkEnd w:id="361"/>
      <w:r w:rsidRPr="00F85178">
        <w:rPr>
          <w:color w:val="auto"/>
        </w:rPr>
        <w:t>8</w:t>
      </w:r>
      <w:bookmarkEnd w:id="362"/>
      <w:bookmarkEnd w:id="363"/>
    </w:p>
    <w:p w14:paraId="3261E53B" w14:textId="77777777" w:rsidR="00205FD6" w:rsidRPr="00F85178" w:rsidRDefault="00890295" w:rsidP="00770E8A">
      <w:r>
        <w:rPr>
          <w:noProof/>
          <w:lang w:eastAsia="cs-CZ"/>
        </w:rPr>
        <w:drawing>
          <wp:inline distT="0" distB="0" distL="0" distR="0" wp14:anchorId="665B100A" wp14:editId="4E832E44">
            <wp:extent cx="5118100" cy="3746500"/>
            <wp:effectExtent l="0" t="0" r="0" b="0"/>
            <wp:docPr id="55" name="Obrázek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5"/>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0A3E8DD" w14:textId="77777777" w:rsidR="00205FD6" w:rsidRPr="00F85178" w:rsidRDefault="00205FD6">
      <w:pPr>
        <w:spacing w:line="240" w:lineRule="auto"/>
        <w:jc w:val="left"/>
      </w:pPr>
    </w:p>
    <w:p w14:paraId="5B295DB8" w14:textId="5CA26E99" w:rsidR="00A345E8" w:rsidRPr="00F85178" w:rsidRDefault="00205FD6" w:rsidP="00205FD6">
      <w:pPr>
        <w:pStyle w:val="Podtitul"/>
        <w:rPr>
          <w:color w:val="auto"/>
        </w:rPr>
      </w:pPr>
      <w:bookmarkStart w:id="364" w:name="_Ref511293259"/>
      <w:bookmarkStart w:id="365" w:name="_Toc515871383"/>
      <w:bookmarkStart w:id="366" w:name="_Toc11135114"/>
      <w:bookmarkStart w:id="367" w:name="_Toc13837546"/>
      <w:r w:rsidRPr="00F85178">
        <w:rPr>
          <w:color w:val="auto"/>
        </w:rPr>
        <w:t xml:space="preserve">Graf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53</w:t>
      </w:r>
      <w:r w:rsidR="00D842DE" w:rsidRPr="00F85178">
        <w:rPr>
          <w:noProof/>
          <w:color w:val="auto"/>
        </w:rPr>
        <w:fldChar w:fldCharType="end"/>
      </w:r>
      <w:bookmarkEnd w:id="364"/>
      <w:r w:rsidRPr="00F85178">
        <w:rPr>
          <w:color w:val="auto"/>
        </w:rPr>
        <w:t>: KS – vyřizování věcí v letech 2008–201</w:t>
      </w:r>
      <w:r w:rsidR="00025474">
        <w:rPr>
          <w:color w:val="auto"/>
        </w:rPr>
        <w:t>8</w:t>
      </w:r>
      <w:r w:rsidRPr="00F85178">
        <w:rPr>
          <w:color w:val="auto"/>
        </w:rPr>
        <w:t>, pouze rejstřík Cm</w:t>
      </w:r>
      <w:bookmarkEnd w:id="365"/>
      <w:bookmarkEnd w:id="366"/>
      <w:bookmarkEnd w:id="367"/>
    </w:p>
    <w:p w14:paraId="5CFD4A5D" w14:textId="77777777" w:rsidR="00205FD6" w:rsidRPr="00F85178" w:rsidRDefault="00890295" w:rsidP="00205FD6">
      <w:r>
        <w:rPr>
          <w:noProof/>
          <w:lang w:eastAsia="cs-CZ"/>
        </w:rPr>
        <w:drawing>
          <wp:inline distT="0" distB="0" distL="0" distR="0" wp14:anchorId="1992D05B" wp14:editId="304FEAE2">
            <wp:extent cx="5118100" cy="3746500"/>
            <wp:effectExtent l="0" t="0" r="0" b="0"/>
            <wp:docPr id="56" name="Obrázek 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6"/>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C1AA88C" w14:textId="77777777" w:rsidR="00205FD6" w:rsidRPr="00F85178" w:rsidRDefault="00205FD6" w:rsidP="00205FD6"/>
    <w:p w14:paraId="25C1101A" w14:textId="77777777" w:rsidR="00205FD6" w:rsidRPr="00F85178" w:rsidRDefault="00205FD6" w:rsidP="00DA049B">
      <w:pPr>
        <w:pStyle w:val="Podtitul"/>
        <w:rPr>
          <w:color w:val="auto"/>
        </w:rPr>
      </w:pPr>
      <w:bookmarkStart w:id="368" w:name="_Toc515871469"/>
      <w:bookmarkStart w:id="369" w:name="_Toc11133236"/>
      <w:bookmarkStart w:id="370" w:name="_Toc1383745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34</w:t>
      </w:r>
      <w:r w:rsidRPr="00F85178">
        <w:rPr>
          <w:noProof/>
          <w:color w:val="auto"/>
        </w:rPr>
        <w:fldChar w:fldCharType="end"/>
      </w:r>
      <w:r w:rsidRPr="00F85178">
        <w:rPr>
          <w:color w:val="auto"/>
        </w:rPr>
        <w:t>: KS – vyřizování prvostupňových civilních věcí dle soudů</w:t>
      </w:r>
      <w:bookmarkEnd w:id="368"/>
      <w:bookmarkEnd w:id="369"/>
      <w:bookmarkEnd w:id="370"/>
    </w:p>
    <w:tbl>
      <w:tblPr>
        <w:tblW w:w="9140" w:type="dxa"/>
        <w:tblCellMar>
          <w:left w:w="70" w:type="dxa"/>
          <w:right w:w="70" w:type="dxa"/>
        </w:tblCellMar>
        <w:tblLook w:val="04A0" w:firstRow="1" w:lastRow="0" w:firstColumn="1" w:lastColumn="0" w:noHBand="0" w:noVBand="1"/>
      </w:tblPr>
      <w:tblGrid>
        <w:gridCol w:w="2020"/>
        <w:gridCol w:w="1039"/>
        <w:gridCol w:w="900"/>
        <w:gridCol w:w="1038"/>
        <w:gridCol w:w="900"/>
        <w:gridCol w:w="916"/>
        <w:gridCol w:w="787"/>
        <w:gridCol w:w="1540"/>
      </w:tblGrid>
      <w:tr w:rsidR="00F85178" w:rsidRPr="00F85178" w14:paraId="09C1F12C" w14:textId="77777777" w:rsidTr="00205FD6">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7A93780E" w14:textId="1CD284CD" w:rsidR="00205FD6" w:rsidRPr="00F85178" w:rsidRDefault="00F2120F" w:rsidP="00205FD6">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06719D49"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4FABB816"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073E71D6" w14:textId="77777777" w:rsidTr="00205FD6">
        <w:trPr>
          <w:trHeight w:val="330"/>
        </w:trPr>
        <w:tc>
          <w:tcPr>
            <w:tcW w:w="2020" w:type="dxa"/>
            <w:vMerge/>
            <w:tcBorders>
              <w:top w:val="double" w:sz="6" w:space="0" w:color="auto"/>
              <w:left w:val="nil"/>
              <w:bottom w:val="double" w:sz="6" w:space="0" w:color="000000"/>
              <w:right w:val="nil"/>
            </w:tcBorders>
            <w:vAlign w:val="center"/>
            <w:hideMark/>
          </w:tcPr>
          <w:p w14:paraId="704DDBE7" w14:textId="77777777" w:rsidR="00205FD6" w:rsidRPr="00F85178" w:rsidRDefault="00205FD6" w:rsidP="00205FD6">
            <w:pPr>
              <w:spacing w:line="240" w:lineRule="auto"/>
              <w:jc w:val="left"/>
              <w:rPr>
                <w:rFonts w:eastAsia="Times New Roman"/>
                <w:b/>
                <w:bCs/>
                <w:szCs w:val="24"/>
                <w:lang w:eastAsia="cs-CZ"/>
              </w:rPr>
            </w:pPr>
          </w:p>
        </w:tc>
        <w:tc>
          <w:tcPr>
            <w:tcW w:w="1939" w:type="dxa"/>
            <w:gridSpan w:val="2"/>
            <w:tcBorders>
              <w:top w:val="nil"/>
              <w:left w:val="nil"/>
              <w:bottom w:val="double" w:sz="6" w:space="0" w:color="auto"/>
              <w:right w:val="nil"/>
            </w:tcBorders>
            <w:shd w:val="clear" w:color="auto" w:fill="auto"/>
            <w:noWrap/>
            <w:vAlign w:val="center"/>
            <w:hideMark/>
          </w:tcPr>
          <w:p w14:paraId="75FA3296"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38"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A73A67F"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03" w:type="dxa"/>
            <w:gridSpan w:val="2"/>
            <w:tcBorders>
              <w:top w:val="nil"/>
              <w:left w:val="nil"/>
              <w:bottom w:val="double" w:sz="6" w:space="0" w:color="auto"/>
              <w:right w:val="single" w:sz="4" w:space="0" w:color="000000"/>
            </w:tcBorders>
            <w:shd w:val="clear" w:color="auto" w:fill="auto"/>
            <w:noWrap/>
            <w:vAlign w:val="center"/>
            <w:hideMark/>
          </w:tcPr>
          <w:p w14:paraId="61C70F4E"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2CA313E1" w14:textId="77777777" w:rsidR="00205FD6" w:rsidRPr="00F85178" w:rsidRDefault="00205FD6" w:rsidP="00205FD6">
            <w:pPr>
              <w:spacing w:line="240" w:lineRule="auto"/>
              <w:jc w:val="left"/>
              <w:rPr>
                <w:rFonts w:eastAsia="Times New Roman"/>
                <w:b/>
                <w:bCs/>
                <w:szCs w:val="24"/>
                <w:lang w:eastAsia="cs-CZ"/>
              </w:rPr>
            </w:pPr>
          </w:p>
        </w:tc>
      </w:tr>
      <w:tr w:rsidR="00F85178" w:rsidRPr="00F85178" w14:paraId="17ACDD95" w14:textId="77777777" w:rsidTr="00205FD6">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1A1E315"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MS Praha</w:t>
            </w:r>
          </w:p>
        </w:tc>
        <w:tc>
          <w:tcPr>
            <w:tcW w:w="1039" w:type="dxa"/>
            <w:tcBorders>
              <w:top w:val="single" w:sz="4" w:space="0" w:color="auto"/>
              <w:left w:val="nil"/>
              <w:bottom w:val="single" w:sz="4" w:space="0" w:color="auto"/>
              <w:right w:val="nil"/>
            </w:tcBorders>
            <w:shd w:val="clear" w:color="auto" w:fill="auto"/>
            <w:noWrap/>
            <w:vAlign w:val="bottom"/>
            <w:hideMark/>
          </w:tcPr>
          <w:p w14:paraId="3A9142EB"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11 601</w:t>
            </w:r>
          </w:p>
        </w:tc>
        <w:tc>
          <w:tcPr>
            <w:tcW w:w="900" w:type="dxa"/>
            <w:tcBorders>
              <w:top w:val="single" w:sz="4" w:space="0" w:color="auto"/>
              <w:left w:val="nil"/>
              <w:bottom w:val="single" w:sz="4" w:space="0" w:color="auto"/>
              <w:right w:val="nil"/>
            </w:tcBorders>
            <w:shd w:val="clear" w:color="auto" w:fill="auto"/>
            <w:noWrap/>
            <w:vAlign w:val="center"/>
            <w:hideMark/>
          </w:tcPr>
          <w:p w14:paraId="71C1043E" w14:textId="42462B46"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038" w:type="dxa"/>
            <w:tcBorders>
              <w:top w:val="single" w:sz="4" w:space="0" w:color="auto"/>
              <w:left w:val="single" w:sz="4" w:space="0" w:color="auto"/>
              <w:bottom w:val="single" w:sz="4" w:space="0" w:color="auto"/>
              <w:right w:val="nil"/>
            </w:tcBorders>
            <w:shd w:val="clear" w:color="auto" w:fill="auto"/>
            <w:noWrap/>
            <w:vAlign w:val="bottom"/>
            <w:hideMark/>
          </w:tcPr>
          <w:p w14:paraId="14CC9FC9"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12 215</w:t>
            </w:r>
          </w:p>
        </w:tc>
        <w:tc>
          <w:tcPr>
            <w:tcW w:w="900" w:type="dxa"/>
            <w:tcBorders>
              <w:top w:val="single" w:sz="4" w:space="0" w:color="auto"/>
              <w:left w:val="nil"/>
              <w:bottom w:val="single" w:sz="4" w:space="0" w:color="auto"/>
              <w:right w:val="single" w:sz="4" w:space="0" w:color="auto"/>
            </w:tcBorders>
            <w:shd w:val="clear" w:color="auto" w:fill="auto"/>
            <w:noWrap/>
            <w:vAlign w:val="center"/>
            <w:hideMark/>
          </w:tcPr>
          <w:p w14:paraId="091A8CCF" w14:textId="18F6E57D"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16" w:type="dxa"/>
            <w:tcBorders>
              <w:top w:val="single" w:sz="4" w:space="0" w:color="auto"/>
              <w:left w:val="nil"/>
              <w:bottom w:val="single" w:sz="4" w:space="0" w:color="auto"/>
              <w:right w:val="nil"/>
            </w:tcBorders>
            <w:shd w:val="clear" w:color="auto" w:fill="auto"/>
            <w:noWrap/>
            <w:vAlign w:val="bottom"/>
            <w:hideMark/>
          </w:tcPr>
          <w:p w14:paraId="5A9889CF"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5 428</w:t>
            </w:r>
          </w:p>
        </w:tc>
        <w:tc>
          <w:tcPr>
            <w:tcW w:w="787" w:type="dxa"/>
            <w:tcBorders>
              <w:top w:val="single" w:sz="4" w:space="0" w:color="auto"/>
              <w:left w:val="nil"/>
              <w:bottom w:val="single" w:sz="4" w:space="0" w:color="auto"/>
              <w:right w:val="single" w:sz="4" w:space="0" w:color="auto"/>
            </w:tcBorders>
            <w:shd w:val="clear" w:color="auto" w:fill="auto"/>
            <w:noWrap/>
            <w:vAlign w:val="center"/>
            <w:hideMark/>
          </w:tcPr>
          <w:p w14:paraId="28EBB546" w14:textId="52CEA3B5"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540" w:type="dxa"/>
            <w:tcBorders>
              <w:top w:val="nil"/>
              <w:left w:val="nil"/>
              <w:bottom w:val="single" w:sz="4" w:space="0" w:color="auto"/>
              <w:right w:val="nil"/>
            </w:tcBorders>
            <w:shd w:val="clear" w:color="auto" w:fill="auto"/>
            <w:noWrap/>
            <w:vAlign w:val="center"/>
            <w:hideMark/>
          </w:tcPr>
          <w:p w14:paraId="7596078F"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105</w:t>
            </w:r>
            <w:r w:rsidR="00DA049B" w:rsidRPr="00F85178">
              <w:rPr>
                <w:rFonts w:eastAsia="Times New Roman"/>
                <w:szCs w:val="24"/>
                <w:lang w:eastAsia="cs-CZ"/>
              </w:rPr>
              <w:t>,</w:t>
            </w:r>
            <w:r w:rsidRPr="00F85178">
              <w:rPr>
                <w:rFonts w:eastAsia="Times New Roman"/>
                <w:szCs w:val="24"/>
                <w:lang w:eastAsia="cs-CZ"/>
              </w:rPr>
              <w:t>3 %</w:t>
            </w:r>
          </w:p>
        </w:tc>
      </w:tr>
      <w:tr w:rsidR="00F85178" w:rsidRPr="00F85178" w14:paraId="424993DD"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5DBD4E81"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Praha</w:t>
            </w:r>
          </w:p>
        </w:tc>
        <w:tc>
          <w:tcPr>
            <w:tcW w:w="1039" w:type="dxa"/>
            <w:tcBorders>
              <w:top w:val="nil"/>
              <w:left w:val="nil"/>
              <w:bottom w:val="single" w:sz="4" w:space="0" w:color="auto"/>
              <w:right w:val="nil"/>
            </w:tcBorders>
            <w:shd w:val="clear" w:color="auto" w:fill="auto"/>
            <w:noWrap/>
            <w:vAlign w:val="bottom"/>
            <w:hideMark/>
          </w:tcPr>
          <w:p w14:paraId="42799F9A"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048</w:t>
            </w:r>
          </w:p>
        </w:tc>
        <w:tc>
          <w:tcPr>
            <w:tcW w:w="900" w:type="dxa"/>
            <w:tcBorders>
              <w:top w:val="nil"/>
              <w:left w:val="nil"/>
              <w:bottom w:val="single" w:sz="4" w:space="0" w:color="auto"/>
              <w:right w:val="nil"/>
            </w:tcBorders>
            <w:shd w:val="clear" w:color="auto" w:fill="auto"/>
            <w:noWrap/>
            <w:vAlign w:val="center"/>
            <w:hideMark/>
          </w:tcPr>
          <w:p w14:paraId="4EECB0A2" w14:textId="5C6B328A"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38" w:type="dxa"/>
            <w:tcBorders>
              <w:top w:val="nil"/>
              <w:left w:val="single" w:sz="4" w:space="0" w:color="auto"/>
              <w:bottom w:val="single" w:sz="4" w:space="0" w:color="auto"/>
              <w:right w:val="nil"/>
            </w:tcBorders>
            <w:shd w:val="clear" w:color="auto" w:fill="auto"/>
            <w:noWrap/>
            <w:vAlign w:val="bottom"/>
            <w:hideMark/>
          </w:tcPr>
          <w:p w14:paraId="694120F3"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163</w:t>
            </w:r>
          </w:p>
        </w:tc>
        <w:tc>
          <w:tcPr>
            <w:tcW w:w="900" w:type="dxa"/>
            <w:tcBorders>
              <w:top w:val="nil"/>
              <w:left w:val="nil"/>
              <w:bottom w:val="single" w:sz="4" w:space="0" w:color="auto"/>
              <w:right w:val="single" w:sz="4" w:space="0" w:color="auto"/>
            </w:tcBorders>
            <w:shd w:val="clear" w:color="auto" w:fill="auto"/>
            <w:noWrap/>
            <w:vAlign w:val="center"/>
            <w:hideMark/>
          </w:tcPr>
          <w:p w14:paraId="0299EBEA" w14:textId="177EC588"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16" w:type="dxa"/>
            <w:tcBorders>
              <w:top w:val="nil"/>
              <w:left w:val="nil"/>
              <w:bottom w:val="single" w:sz="4" w:space="0" w:color="auto"/>
              <w:right w:val="nil"/>
            </w:tcBorders>
            <w:shd w:val="clear" w:color="auto" w:fill="auto"/>
            <w:noWrap/>
            <w:vAlign w:val="bottom"/>
            <w:hideMark/>
          </w:tcPr>
          <w:p w14:paraId="65FC171E"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676</w:t>
            </w:r>
          </w:p>
        </w:tc>
        <w:tc>
          <w:tcPr>
            <w:tcW w:w="787" w:type="dxa"/>
            <w:tcBorders>
              <w:top w:val="nil"/>
              <w:left w:val="nil"/>
              <w:bottom w:val="single" w:sz="4" w:space="0" w:color="auto"/>
              <w:right w:val="single" w:sz="4" w:space="0" w:color="auto"/>
            </w:tcBorders>
            <w:shd w:val="clear" w:color="auto" w:fill="auto"/>
            <w:noWrap/>
            <w:vAlign w:val="center"/>
            <w:hideMark/>
          </w:tcPr>
          <w:p w14:paraId="130FD310" w14:textId="756CAD5F"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540" w:type="dxa"/>
            <w:tcBorders>
              <w:top w:val="nil"/>
              <w:left w:val="nil"/>
              <w:bottom w:val="single" w:sz="4" w:space="0" w:color="auto"/>
              <w:right w:val="nil"/>
            </w:tcBorders>
            <w:shd w:val="clear" w:color="auto" w:fill="auto"/>
            <w:noWrap/>
            <w:vAlign w:val="center"/>
            <w:hideMark/>
          </w:tcPr>
          <w:p w14:paraId="6120CC46"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111</w:t>
            </w:r>
            <w:r w:rsidR="00DA049B" w:rsidRPr="00F85178">
              <w:rPr>
                <w:rFonts w:eastAsia="Times New Roman"/>
                <w:szCs w:val="24"/>
                <w:lang w:eastAsia="cs-CZ"/>
              </w:rPr>
              <w:t>,</w:t>
            </w:r>
            <w:r w:rsidRPr="00F85178">
              <w:rPr>
                <w:rFonts w:eastAsia="Times New Roman"/>
                <w:szCs w:val="24"/>
                <w:lang w:eastAsia="cs-CZ"/>
              </w:rPr>
              <w:t>0 %</w:t>
            </w:r>
          </w:p>
        </w:tc>
      </w:tr>
      <w:tr w:rsidR="00F85178" w:rsidRPr="00F85178" w14:paraId="5BA0082B"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1BBA577C"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Č. Budějovice</w:t>
            </w:r>
          </w:p>
        </w:tc>
        <w:tc>
          <w:tcPr>
            <w:tcW w:w="1039" w:type="dxa"/>
            <w:tcBorders>
              <w:top w:val="nil"/>
              <w:left w:val="nil"/>
              <w:bottom w:val="single" w:sz="4" w:space="0" w:color="auto"/>
              <w:right w:val="nil"/>
            </w:tcBorders>
            <w:shd w:val="clear" w:color="auto" w:fill="auto"/>
            <w:noWrap/>
            <w:vAlign w:val="bottom"/>
            <w:hideMark/>
          </w:tcPr>
          <w:p w14:paraId="56BAED7D"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745</w:t>
            </w:r>
          </w:p>
        </w:tc>
        <w:tc>
          <w:tcPr>
            <w:tcW w:w="900" w:type="dxa"/>
            <w:tcBorders>
              <w:top w:val="nil"/>
              <w:left w:val="nil"/>
              <w:bottom w:val="single" w:sz="4" w:space="0" w:color="auto"/>
              <w:right w:val="nil"/>
            </w:tcBorders>
            <w:shd w:val="clear" w:color="auto" w:fill="auto"/>
            <w:noWrap/>
            <w:vAlign w:val="center"/>
            <w:hideMark/>
          </w:tcPr>
          <w:p w14:paraId="5C35AC26" w14:textId="654413D7"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1038" w:type="dxa"/>
            <w:tcBorders>
              <w:top w:val="nil"/>
              <w:left w:val="single" w:sz="4" w:space="0" w:color="auto"/>
              <w:bottom w:val="single" w:sz="4" w:space="0" w:color="auto"/>
              <w:right w:val="nil"/>
            </w:tcBorders>
            <w:shd w:val="clear" w:color="auto" w:fill="auto"/>
            <w:noWrap/>
            <w:vAlign w:val="bottom"/>
            <w:hideMark/>
          </w:tcPr>
          <w:p w14:paraId="121A228C"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811</w:t>
            </w:r>
          </w:p>
        </w:tc>
        <w:tc>
          <w:tcPr>
            <w:tcW w:w="900" w:type="dxa"/>
            <w:tcBorders>
              <w:top w:val="nil"/>
              <w:left w:val="nil"/>
              <w:bottom w:val="single" w:sz="4" w:space="0" w:color="auto"/>
              <w:right w:val="single" w:sz="4" w:space="0" w:color="auto"/>
            </w:tcBorders>
            <w:shd w:val="clear" w:color="auto" w:fill="auto"/>
            <w:noWrap/>
            <w:vAlign w:val="center"/>
            <w:hideMark/>
          </w:tcPr>
          <w:p w14:paraId="0FAC0830" w14:textId="7FBA0288"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-23 %</w:t>
            </w:r>
          </w:p>
        </w:tc>
        <w:tc>
          <w:tcPr>
            <w:tcW w:w="916" w:type="dxa"/>
            <w:tcBorders>
              <w:top w:val="nil"/>
              <w:left w:val="nil"/>
              <w:bottom w:val="single" w:sz="4" w:space="0" w:color="auto"/>
              <w:right w:val="nil"/>
            </w:tcBorders>
            <w:shd w:val="clear" w:color="auto" w:fill="auto"/>
            <w:noWrap/>
            <w:vAlign w:val="bottom"/>
            <w:hideMark/>
          </w:tcPr>
          <w:p w14:paraId="55C2DD2C"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539</w:t>
            </w:r>
          </w:p>
        </w:tc>
        <w:tc>
          <w:tcPr>
            <w:tcW w:w="787" w:type="dxa"/>
            <w:tcBorders>
              <w:top w:val="nil"/>
              <w:left w:val="nil"/>
              <w:bottom w:val="single" w:sz="4" w:space="0" w:color="auto"/>
              <w:right w:val="single" w:sz="4" w:space="0" w:color="auto"/>
            </w:tcBorders>
            <w:shd w:val="clear" w:color="auto" w:fill="auto"/>
            <w:noWrap/>
            <w:vAlign w:val="center"/>
            <w:hideMark/>
          </w:tcPr>
          <w:p w14:paraId="2FABC29E" w14:textId="1E001D09"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540" w:type="dxa"/>
            <w:tcBorders>
              <w:top w:val="nil"/>
              <w:left w:val="nil"/>
              <w:bottom w:val="single" w:sz="4" w:space="0" w:color="auto"/>
              <w:right w:val="nil"/>
            </w:tcBorders>
            <w:shd w:val="clear" w:color="auto" w:fill="auto"/>
            <w:noWrap/>
            <w:vAlign w:val="center"/>
            <w:hideMark/>
          </w:tcPr>
          <w:p w14:paraId="6B55F4DF"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108</w:t>
            </w:r>
            <w:r w:rsidR="00DA049B" w:rsidRPr="00F85178">
              <w:rPr>
                <w:rFonts w:eastAsia="Times New Roman"/>
                <w:szCs w:val="24"/>
                <w:lang w:eastAsia="cs-CZ"/>
              </w:rPr>
              <w:t>,</w:t>
            </w:r>
            <w:r w:rsidRPr="00F85178">
              <w:rPr>
                <w:rFonts w:eastAsia="Times New Roman"/>
                <w:szCs w:val="24"/>
                <w:lang w:eastAsia="cs-CZ"/>
              </w:rPr>
              <w:t>9 %</w:t>
            </w:r>
          </w:p>
        </w:tc>
      </w:tr>
      <w:tr w:rsidR="00F85178" w:rsidRPr="00F85178" w14:paraId="1460B3A7"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25664EE3"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Plzeň</w:t>
            </w:r>
          </w:p>
        </w:tc>
        <w:tc>
          <w:tcPr>
            <w:tcW w:w="1039" w:type="dxa"/>
            <w:tcBorders>
              <w:top w:val="nil"/>
              <w:left w:val="nil"/>
              <w:bottom w:val="single" w:sz="4" w:space="0" w:color="auto"/>
              <w:right w:val="nil"/>
            </w:tcBorders>
            <w:shd w:val="clear" w:color="auto" w:fill="auto"/>
            <w:noWrap/>
            <w:vAlign w:val="bottom"/>
            <w:hideMark/>
          </w:tcPr>
          <w:p w14:paraId="60ED1834"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518</w:t>
            </w:r>
          </w:p>
        </w:tc>
        <w:tc>
          <w:tcPr>
            <w:tcW w:w="900" w:type="dxa"/>
            <w:tcBorders>
              <w:top w:val="nil"/>
              <w:left w:val="nil"/>
              <w:bottom w:val="single" w:sz="4" w:space="0" w:color="auto"/>
              <w:right w:val="nil"/>
            </w:tcBorders>
            <w:shd w:val="clear" w:color="auto" w:fill="auto"/>
            <w:noWrap/>
            <w:vAlign w:val="center"/>
            <w:hideMark/>
          </w:tcPr>
          <w:p w14:paraId="02C67682" w14:textId="05669F0A"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+22 %</w:t>
            </w:r>
          </w:p>
        </w:tc>
        <w:tc>
          <w:tcPr>
            <w:tcW w:w="1038" w:type="dxa"/>
            <w:tcBorders>
              <w:top w:val="nil"/>
              <w:left w:val="single" w:sz="4" w:space="0" w:color="auto"/>
              <w:bottom w:val="single" w:sz="4" w:space="0" w:color="auto"/>
              <w:right w:val="nil"/>
            </w:tcBorders>
            <w:shd w:val="clear" w:color="auto" w:fill="auto"/>
            <w:noWrap/>
            <w:vAlign w:val="bottom"/>
            <w:hideMark/>
          </w:tcPr>
          <w:p w14:paraId="12BD171F"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460</w:t>
            </w:r>
          </w:p>
        </w:tc>
        <w:tc>
          <w:tcPr>
            <w:tcW w:w="900" w:type="dxa"/>
            <w:tcBorders>
              <w:top w:val="nil"/>
              <w:left w:val="nil"/>
              <w:bottom w:val="single" w:sz="4" w:space="0" w:color="auto"/>
              <w:right w:val="single" w:sz="4" w:space="0" w:color="auto"/>
            </w:tcBorders>
            <w:shd w:val="clear" w:color="auto" w:fill="auto"/>
            <w:noWrap/>
            <w:vAlign w:val="center"/>
            <w:hideMark/>
          </w:tcPr>
          <w:p w14:paraId="7B2CB516" w14:textId="4CF00206"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916" w:type="dxa"/>
            <w:tcBorders>
              <w:top w:val="nil"/>
              <w:left w:val="nil"/>
              <w:bottom w:val="single" w:sz="4" w:space="0" w:color="auto"/>
              <w:right w:val="nil"/>
            </w:tcBorders>
            <w:shd w:val="clear" w:color="auto" w:fill="auto"/>
            <w:noWrap/>
            <w:vAlign w:val="bottom"/>
            <w:hideMark/>
          </w:tcPr>
          <w:p w14:paraId="7D2C0001"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318</w:t>
            </w:r>
          </w:p>
        </w:tc>
        <w:tc>
          <w:tcPr>
            <w:tcW w:w="787" w:type="dxa"/>
            <w:tcBorders>
              <w:top w:val="nil"/>
              <w:left w:val="nil"/>
              <w:bottom w:val="single" w:sz="4" w:space="0" w:color="auto"/>
              <w:right w:val="single" w:sz="4" w:space="0" w:color="auto"/>
            </w:tcBorders>
            <w:shd w:val="clear" w:color="auto" w:fill="auto"/>
            <w:noWrap/>
            <w:vAlign w:val="center"/>
            <w:hideMark/>
          </w:tcPr>
          <w:p w14:paraId="1C091FAD" w14:textId="2E8A6D48"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540" w:type="dxa"/>
            <w:tcBorders>
              <w:top w:val="nil"/>
              <w:left w:val="nil"/>
              <w:bottom w:val="single" w:sz="4" w:space="0" w:color="auto"/>
              <w:right w:val="nil"/>
            </w:tcBorders>
            <w:shd w:val="clear" w:color="auto" w:fill="auto"/>
            <w:noWrap/>
            <w:vAlign w:val="center"/>
            <w:hideMark/>
          </w:tcPr>
          <w:p w14:paraId="2510E653"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96</w:t>
            </w:r>
            <w:r w:rsidR="00DA049B" w:rsidRPr="00F85178">
              <w:rPr>
                <w:rFonts w:eastAsia="Times New Roman"/>
                <w:szCs w:val="24"/>
                <w:lang w:eastAsia="cs-CZ"/>
              </w:rPr>
              <w:t>,</w:t>
            </w:r>
            <w:r w:rsidRPr="00F85178">
              <w:rPr>
                <w:rFonts w:eastAsia="Times New Roman"/>
                <w:szCs w:val="24"/>
                <w:lang w:eastAsia="cs-CZ"/>
              </w:rPr>
              <w:t>2 %</w:t>
            </w:r>
          </w:p>
        </w:tc>
      </w:tr>
      <w:tr w:rsidR="00F85178" w:rsidRPr="00F85178" w14:paraId="7838F337"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5CD8DBAB"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Ústí n. Labem</w:t>
            </w:r>
          </w:p>
        </w:tc>
        <w:tc>
          <w:tcPr>
            <w:tcW w:w="1039" w:type="dxa"/>
            <w:tcBorders>
              <w:top w:val="nil"/>
              <w:left w:val="nil"/>
              <w:bottom w:val="single" w:sz="4" w:space="0" w:color="auto"/>
              <w:right w:val="nil"/>
            </w:tcBorders>
            <w:shd w:val="clear" w:color="auto" w:fill="auto"/>
            <w:noWrap/>
            <w:vAlign w:val="bottom"/>
            <w:hideMark/>
          </w:tcPr>
          <w:p w14:paraId="06700C56"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072</w:t>
            </w:r>
          </w:p>
        </w:tc>
        <w:tc>
          <w:tcPr>
            <w:tcW w:w="900" w:type="dxa"/>
            <w:tcBorders>
              <w:top w:val="nil"/>
              <w:left w:val="nil"/>
              <w:bottom w:val="single" w:sz="4" w:space="0" w:color="auto"/>
              <w:right w:val="nil"/>
            </w:tcBorders>
            <w:shd w:val="clear" w:color="auto" w:fill="auto"/>
            <w:noWrap/>
            <w:vAlign w:val="center"/>
            <w:hideMark/>
          </w:tcPr>
          <w:p w14:paraId="1395F139" w14:textId="0F8F397A"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-67 %</w:t>
            </w:r>
          </w:p>
        </w:tc>
        <w:tc>
          <w:tcPr>
            <w:tcW w:w="1038" w:type="dxa"/>
            <w:tcBorders>
              <w:top w:val="nil"/>
              <w:left w:val="single" w:sz="4" w:space="0" w:color="auto"/>
              <w:bottom w:val="single" w:sz="4" w:space="0" w:color="auto"/>
              <w:right w:val="nil"/>
            </w:tcBorders>
            <w:shd w:val="clear" w:color="auto" w:fill="auto"/>
            <w:noWrap/>
            <w:vAlign w:val="bottom"/>
            <w:hideMark/>
          </w:tcPr>
          <w:p w14:paraId="7A53D119"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902</w:t>
            </w:r>
          </w:p>
        </w:tc>
        <w:tc>
          <w:tcPr>
            <w:tcW w:w="900" w:type="dxa"/>
            <w:tcBorders>
              <w:top w:val="nil"/>
              <w:left w:val="nil"/>
              <w:bottom w:val="single" w:sz="4" w:space="0" w:color="auto"/>
              <w:right w:val="single" w:sz="4" w:space="0" w:color="auto"/>
            </w:tcBorders>
            <w:shd w:val="clear" w:color="auto" w:fill="auto"/>
            <w:noWrap/>
            <w:vAlign w:val="center"/>
            <w:hideMark/>
          </w:tcPr>
          <w:p w14:paraId="7C89B187" w14:textId="049CBA64"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916" w:type="dxa"/>
            <w:tcBorders>
              <w:top w:val="nil"/>
              <w:left w:val="nil"/>
              <w:bottom w:val="single" w:sz="4" w:space="0" w:color="auto"/>
              <w:right w:val="nil"/>
            </w:tcBorders>
            <w:shd w:val="clear" w:color="auto" w:fill="auto"/>
            <w:noWrap/>
            <w:vAlign w:val="bottom"/>
            <w:hideMark/>
          </w:tcPr>
          <w:p w14:paraId="496C7537"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3</w:t>
            </w:r>
            <w:r w:rsidR="00DA049B" w:rsidRPr="00F85178">
              <w:rPr>
                <w:rFonts w:eastAsia="Times New Roman"/>
                <w:szCs w:val="24"/>
                <w:lang w:eastAsia="cs-CZ"/>
              </w:rPr>
              <w:t xml:space="preserve"> </w:t>
            </w:r>
            <w:r w:rsidRPr="00F85178">
              <w:rPr>
                <w:rFonts w:eastAsia="Times New Roman"/>
                <w:szCs w:val="24"/>
                <w:lang w:eastAsia="cs-CZ"/>
              </w:rPr>
              <w:t>124</w:t>
            </w:r>
          </w:p>
        </w:tc>
        <w:tc>
          <w:tcPr>
            <w:tcW w:w="787" w:type="dxa"/>
            <w:tcBorders>
              <w:top w:val="nil"/>
              <w:left w:val="nil"/>
              <w:bottom w:val="single" w:sz="4" w:space="0" w:color="auto"/>
              <w:right w:val="single" w:sz="4" w:space="0" w:color="auto"/>
            </w:tcBorders>
            <w:shd w:val="clear" w:color="auto" w:fill="auto"/>
            <w:noWrap/>
            <w:vAlign w:val="center"/>
            <w:hideMark/>
          </w:tcPr>
          <w:p w14:paraId="60D98B7B" w14:textId="0BA7433B"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-21 %</w:t>
            </w:r>
          </w:p>
        </w:tc>
        <w:tc>
          <w:tcPr>
            <w:tcW w:w="1540" w:type="dxa"/>
            <w:tcBorders>
              <w:top w:val="nil"/>
              <w:left w:val="nil"/>
              <w:bottom w:val="single" w:sz="4" w:space="0" w:color="auto"/>
              <w:right w:val="nil"/>
            </w:tcBorders>
            <w:shd w:val="clear" w:color="auto" w:fill="auto"/>
            <w:noWrap/>
            <w:vAlign w:val="center"/>
            <w:hideMark/>
          </w:tcPr>
          <w:p w14:paraId="14C8D8FC"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177</w:t>
            </w:r>
            <w:r w:rsidR="00DA049B" w:rsidRPr="00F85178">
              <w:rPr>
                <w:rFonts w:eastAsia="Times New Roman"/>
                <w:szCs w:val="24"/>
                <w:lang w:eastAsia="cs-CZ"/>
              </w:rPr>
              <w:t>,</w:t>
            </w:r>
            <w:r w:rsidRPr="00F85178">
              <w:rPr>
                <w:rFonts w:eastAsia="Times New Roman"/>
                <w:szCs w:val="24"/>
                <w:lang w:eastAsia="cs-CZ"/>
              </w:rPr>
              <w:t>4 %</w:t>
            </w:r>
          </w:p>
        </w:tc>
      </w:tr>
      <w:tr w:rsidR="00F85178" w:rsidRPr="00F85178" w14:paraId="7DCCAF12"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3BD7839C"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Hr. Králové</w:t>
            </w:r>
          </w:p>
        </w:tc>
        <w:tc>
          <w:tcPr>
            <w:tcW w:w="1039" w:type="dxa"/>
            <w:tcBorders>
              <w:top w:val="nil"/>
              <w:left w:val="nil"/>
              <w:bottom w:val="single" w:sz="4" w:space="0" w:color="auto"/>
              <w:right w:val="nil"/>
            </w:tcBorders>
            <w:shd w:val="clear" w:color="auto" w:fill="auto"/>
            <w:noWrap/>
            <w:vAlign w:val="bottom"/>
            <w:hideMark/>
          </w:tcPr>
          <w:p w14:paraId="55E0D09C"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844</w:t>
            </w:r>
          </w:p>
        </w:tc>
        <w:tc>
          <w:tcPr>
            <w:tcW w:w="900" w:type="dxa"/>
            <w:tcBorders>
              <w:top w:val="nil"/>
              <w:left w:val="nil"/>
              <w:bottom w:val="single" w:sz="4" w:space="0" w:color="auto"/>
              <w:right w:val="nil"/>
            </w:tcBorders>
            <w:shd w:val="clear" w:color="auto" w:fill="auto"/>
            <w:noWrap/>
            <w:vAlign w:val="center"/>
            <w:hideMark/>
          </w:tcPr>
          <w:p w14:paraId="2CAFE1D1" w14:textId="2ACAEB0D"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+42 %</w:t>
            </w:r>
          </w:p>
        </w:tc>
        <w:tc>
          <w:tcPr>
            <w:tcW w:w="1038" w:type="dxa"/>
            <w:tcBorders>
              <w:top w:val="nil"/>
              <w:left w:val="single" w:sz="4" w:space="0" w:color="auto"/>
              <w:bottom w:val="single" w:sz="4" w:space="0" w:color="auto"/>
              <w:right w:val="nil"/>
            </w:tcBorders>
            <w:shd w:val="clear" w:color="auto" w:fill="auto"/>
            <w:noWrap/>
            <w:vAlign w:val="bottom"/>
            <w:hideMark/>
          </w:tcPr>
          <w:p w14:paraId="7276CD0A"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1</w:t>
            </w:r>
            <w:r w:rsidR="00DA049B" w:rsidRPr="00F85178">
              <w:rPr>
                <w:rFonts w:eastAsia="Times New Roman"/>
                <w:szCs w:val="24"/>
                <w:lang w:eastAsia="cs-CZ"/>
              </w:rPr>
              <w:t xml:space="preserve"> </w:t>
            </w:r>
            <w:r w:rsidRPr="00F85178">
              <w:rPr>
                <w:rFonts w:eastAsia="Times New Roman"/>
                <w:szCs w:val="24"/>
                <w:lang w:eastAsia="cs-CZ"/>
              </w:rPr>
              <w:t>793</w:t>
            </w:r>
          </w:p>
        </w:tc>
        <w:tc>
          <w:tcPr>
            <w:tcW w:w="900" w:type="dxa"/>
            <w:tcBorders>
              <w:top w:val="nil"/>
              <w:left w:val="nil"/>
              <w:bottom w:val="single" w:sz="4" w:space="0" w:color="auto"/>
              <w:right w:val="single" w:sz="4" w:space="0" w:color="auto"/>
            </w:tcBorders>
            <w:shd w:val="clear" w:color="auto" w:fill="auto"/>
            <w:noWrap/>
            <w:vAlign w:val="center"/>
            <w:hideMark/>
          </w:tcPr>
          <w:p w14:paraId="52A4E8BA" w14:textId="45A8298A"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916" w:type="dxa"/>
            <w:tcBorders>
              <w:top w:val="nil"/>
              <w:left w:val="nil"/>
              <w:bottom w:val="single" w:sz="4" w:space="0" w:color="auto"/>
              <w:right w:val="nil"/>
            </w:tcBorders>
            <w:shd w:val="clear" w:color="auto" w:fill="auto"/>
            <w:noWrap/>
            <w:vAlign w:val="bottom"/>
            <w:hideMark/>
          </w:tcPr>
          <w:p w14:paraId="1B80F739"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976</w:t>
            </w:r>
          </w:p>
        </w:tc>
        <w:tc>
          <w:tcPr>
            <w:tcW w:w="787" w:type="dxa"/>
            <w:tcBorders>
              <w:top w:val="nil"/>
              <w:left w:val="nil"/>
              <w:bottom w:val="single" w:sz="4" w:space="0" w:color="auto"/>
              <w:right w:val="single" w:sz="4" w:space="0" w:color="auto"/>
            </w:tcBorders>
            <w:shd w:val="clear" w:color="auto" w:fill="auto"/>
            <w:noWrap/>
            <w:vAlign w:val="center"/>
            <w:hideMark/>
          </w:tcPr>
          <w:p w14:paraId="3D98FC68" w14:textId="5F4E6879"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540" w:type="dxa"/>
            <w:tcBorders>
              <w:top w:val="nil"/>
              <w:left w:val="nil"/>
              <w:bottom w:val="single" w:sz="4" w:space="0" w:color="auto"/>
              <w:right w:val="nil"/>
            </w:tcBorders>
            <w:shd w:val="clear" w:color="auto" w:fill="auto"/>
            <w:noWrap/>
            <w:vAlign w:val="center"/>
            <w:hideMark/>
          </w:tcPr>
          <w:p w14:paraId="3117EC30"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97</w:t>
            </w:r>
            <w:r w:rsidR="00DA049B" w:rsidRPr="00F85178">
              <w:rPr>
                <w:rFonts w:eastAsia="Times New Roman"/>
                <w:szCs w:val="24"/>
                <w:lang w:eastAsia="cs-CZ"/>
              </w:rPr>
              <w:t>,</w:t>
            </w:r>
            <w:r w:rsidRPr="00F85178">
              <w:rPr>
                <w:rFonts w:eastAsia="Times New Roman"/>
                <w:szCs w:val="24"/>
                <w:lang w:eastAsia="cs-CZ"/>
              </w:rPr>
              <w:t>2 %</w:t>
            </w:r>
          </w:p>
        </w:tc>
      </w:tr>
      <w:tr w:rsidR="00F85178" w:rsidRPr="00F85178" w14:paraId="127779CA" w14:textId="77777777" w:rsidTr="00205FD6">
        <w:trPr>
          <w:trHeight w:val="315"/>
        </w:trPr>
        <w:tc>
          <w:tcPr>
            <w:tcW w:w="2020" w:type="dxa"/>
            <w:tcBorders>
              <w:top w:val="nil"/>
              <w:left w:val="nil"/>
              <w:bottom w:val="single" w:sz="4" w:space="0" w:color="auto"/>
              <w:right w:val="nil"/>
            </w:tcBorders>
            <w:shd w:val="clear" w:color="auto" w:fill="auto"/>
            <w:noWrap/>
            <w:vAlign w:val="bottom"/>
            <w:hideMark/>
          </w:tcPr>
          <w:p w14:paraId="30654A3D"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Brno</w:t>
            </w:r>
          </w:p>
        </w:tc>
        <w:tc>
          <w:tcPr>
            <w:tcW w:w="1039" w:type="dxa"/>
            <w:tcBorders>
              <w:top w:val="nil"/>
              <w:left w:val="nil"/>
              <w:bottom w:val="single" w:sz="4" w:space="0" w:color="auto"/>
              <w:right w:val="nil"/>
            </w:tcBorders>
            <w:shd w:val="clear" w:color="auto" w:fill="auto"/>
            <w:noWrap/>
            <w:vAlign w:val="bottom"/>
            <w:hideMark/>
          </w:tcPr>
          <w:p w14:paraId="38DDD403"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3</w:t>
            </w:r>
            <w:r w:rsidR="00DA049B" w:rsidRPr="00F85178">
              <w:rPr>
                <w:rFonts w:eastAsia="Times New Roman"/>
                <w:szCs w:val="24"/>
                <w:lang w:eastAsia="cs-CZ"/>
              </w:rPr>
              <w:t xml:space="preserve"> </w:t>
            </w:r>
            <w:r w:rsidRPr="00F85178">
              <w:rPr>
                <w:rFonts w:eastAsia="Times New Roman"/>
                <w:szCs w:val="24"/>
                <w:lang w:eastAsia="cs-CZ"/>
              </w:rPr>
              <w:t>204</w:t>
            </w:r>
          </w:p>
        </w:tc>
        <w:tc>
          <w:tcPr>
            <w:tcW w:w="900" w:type="dxa"/>
            <w:tcBorders>
              <w:top w:val="nil"/>
              <w:left w:val="nil"/>
              <w:bottom w:val="single" w:sz="4" w:space="0" w:color="auto"/>
              <w:right w:val="nil"/>
            </w:tcBorders>
            <w:shd w:val="clear" w:color="auto" w:fill="auto"/>
            <w:noWrap/>
            <w:vAlign w:val="center"/>
            <w:hideMark/>
          </w:tcPr>
          <w:p w14:paraId="311B465D" w14:textId="5E0AE5E3"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-28 %</w:t>
            </w:r>
          </w:p>
        </w:tc>
        <w:tc>
          <w:tcPr>
            <w:tcW w:w="1038" w:type="dxa"/>
            <w:tcBorders>
              <w:top w:val="nil"/>
              <w:left w:val="single" w:sz="4" w:space="0" w:color="auto"/>
              <w:bottom w:val="single" w:sz="4" w:space="0" w:color="auto"/>
              <w:right w:val="nil"/>
            </w:tcBorders>
            <w:shd w:val="clear" w:color="auto" w:fill="auto"/>
            <w:noWrap/>
            <w:vAlign w:val="bottom"/>
            <w:hideMark/>
          </w:tcPr>
          <w:p w14:paraId="7E673E5D"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4</w:t>
            </w:r>
            <w:r w:rsidR="00DA049B" w:rsidRPr="00F85178">
              <w:rPr>
                <w:rFonts w:eastAsia="Times New Roman"/>
                <w:szCs w:val="24"/>
                <w:lang w:eastAsia="cs-CZ"/>
              </w:rPr>
              <w:t xml:space="preserve"> </w:t>
            </w:r>
            <w:r w:rsidRPr="00F85178">
              <w:rPr>
                <w:rFonts w:eastAsia="Times New Roman"/>
                <w:szCs w:val="24"/>
                <w:lang w:eastAsia="cs-CZ"/>
              </w:rPr>
              <w:t>075</w:t>
            </w:r>
          </w:p>
        </w:tc>
        <w:tc>
          <w:tcPr>
            <w:tcW w:w="900" w:type="dxa"/>
            <w:tcBorders>
              <w:top w:val="nil"/>
              <w:left w:val="nil"/>
              <w:bottom w:val="single" w:sz="4" w:space="0" w:color="auto"/>
              <w:right w:val="single" w:sz="4" w:space="0" w:color="auto"/>
            </w:tcBorders>
            <w:shd w:val="clear" w:color="auto" w:fill="auto"/>
            <w:noWrap/>
            <w:vAlign w:val="center"/>
            <w:hideMark/>
          </w:tcPr>
          <w:p w14:paraId="59D07B28" w14:textId="63221FF0"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916" w:type="dxa"/>
            <w:tcBorders>
              <w:top w:val="nil"/>
              <w:left w:val="nil"/>
              <w:bottom w:val="single" w:sz="4" w:space="0" w:color="auto"/>
              <w:right w:val="nil"/>
            </w:tcBorders>
            <w:shd w:val="clear" w:color="auto" w:fill="auto"/>
            <w:noWrap/>
            <w:vAlign w:val="bottom"/>
            <w:hideMark/>
          </w:tcPr>
          <w:p w14:paraId="2E1193A9"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3</w:t>
            </w:r>
            <w:r w:rsidR="00DA049B" w:rsidRPr="00F85178">
              <w:rPr>
                <w:rFonts w:eastAsia="Times New Roman"/>
                <w:szCs w:val="24"/>
                <w:lang w:eastAsia="cs-CZ"/>
              </w:rPr>
              <w:t xml:space="preserve"> </w:t>
            </w:r>
            <w:r w:rsidRPr="00F85178">
              <w:rPr>
                <w:rFonts w:eastAsia="Times New Roman"/>
                <w:szCs w:val="24"/>
                <w:lang w:eastAsia="cs-CZ"/>
              </w:rPr>
              <w:t>516</w:t>
            </w:r>
          </w:p>
        </w:tc>
        <w:tc>
          <w:tcPr>
            <w:tcW w:w="787" w:type="dxa"/>
            <w:tcBorders>
              <w:top w:val="nil"/>
              <w:left w:val="nil"/>
              <w:bottom w:val="single" w:sz="4" w:space="0" w:color="auto"/>
              <w:right w:val="single" w:sz="4" w:space="0" w:color="auto"/>
            </w:tcBorders>
            <w:shd w:val="clear" w:color="auto" w:fill="auto"/>
            <w:noWrap/>
            <w:vAlign w:val="center"/>
            <w:hideMark/>
          </w:tcPr>
          <w:p w14:paraId="735A83F9" w14:textId="2F30184C"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1540" w:type="dxa"/>
            <w:tcBorders>
              <w:top w:val="nil"/>
              <w:left w:val="nil"/>
              <w:bottom w:val="single" w:sz="4" w:space="0" w:color="auto"/>
              <w:right w:val="nil"/>
            </w:tcBorders>
            <w:shd w:val="clear" w:color="auto" w:fill="auto"/>
            <w:noWrap/>
            <w:vAlign w:val="center"/>
            <w:hideMark/>
          </w:tcPr>
          <w:p w14:paraId="7285CF88"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127</w:t>
            </w:r>
            <w:r w:rsidR="00DA049B" w:rsidRPr="00F85178">
              <w:rPr>
                <w:rFonts w:eastAsia="Times New Roman"/>
                <w:szCs w:val="24"/>
                <w:lang w:eastAsia="cs-CZ"/>
              </w:rPr>
              <w:t>,</w:t>
            </w:r>
            <w:r w:rsidRPr="00F85178">
              <w:rPr>
                <w:rFonts w:eastAsia="Times New Roman"/>
                <w:szCs w:val="24"/>
                <w:lang w:eastAsia="cs-CZ"/>
              </w:rPr>
              <w:t>2 %</w:t>
            </w:r>
          </w:p>
        </w:tc>
      </w:tr>
      <w:tr w:rsidR="00F85178" w:rsidRPr="00F85178" w14:paraId="396F7873" w14:textId="77777777" w:rsidTr="00205FD6">
        <w:trPr>
          <w:trHeight w:val="330"/>
        </w:trPr>
        <w:tc>
          <w:tcPr>
            <w:tcW w:w="2020" w:type="dxa"/>
            <w:tcBorders>
              <w:top w:val="nil"/>
              <w:left w:val="nil"/>
              <w:bottom w:val="double" w:sz="6" w:space="0" w:color="auto"/>
              <w:right w:val="nil"/>
            </w:tcBorders>
            <w:shd w:val="clear" w:color="auto" w:fill="auto"/>
            <w:noWrap/>
            <w:vAlign w:val="bottom"/>
            <w:hideMark/>
          </w:tcPr>
          <w:p w14:paraId="0C87E4B9" w14:textId="77777777" w:rsidR="00205FD6" w:rsidRPr="00F85178" w:rsidRDefault="00205FD6" w:rsidP="00205FD6">
            <w:pPr>
              <w:spacing w:line="240" w:lineRule="auto"/>
              <w:jc w:val="left"/>
              <w:rPr>
                <w:rFonts w:eastAsia="Times New Roman"/>
                <w:szCs w:val="24"/>
                <w:lang w:eastAsia="cs-CZ"/>
              </w:rPr>
            </w:pPr>
            <w:r w:rsidRPr="00F85178">
              <w:rPr>
                <w:rFonts w:eastAsia="Times New Roman"/>
                <w:szCs w:val="24"/>
                <w:lang w:eastAsia="cs-CZ"/>
              </w:rPr>
              <w:t>KS Ostrava</w:t>
            </w:r>
          </w:p>
        </w:tc>
        <w:tc>
          <w:tcPr>
            <w:tcW w:w="1039" w:type="dxa"/>
            <w:tcBorders>
              <w:top w:val="nil"/>
              <w:left w:val="nil"/>
              <w:bottom w:val="double" w:sz="6" w:space="0" w:color="auto"/>
              <w:right w:val="nil"/>
            </w:tcBorders>
            <w:shd w:val="clear" w:color="auto" w:fill="auto"/>
            <w:noWrap/>
            <w:vAlign w:val="bottom"/>
            <w:hideMark/>
          </w:tcPr>
          <w:p w14:paraId="545E325F"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4</w:t>
            </w:r>
            <w:r w:rsidR="00DA049B" w:rsidRPr="00F85178">
              <w:rPr>
                <w:rFonts w:eastAsia="Times New Roman"/>
                <w:szCs w:val="24"/>
                <w:lang w:eastAsia="cs-CZ"/>
              </w:rPr>
              <w:t xml:space="preserve"> </w:t>
            </w:r>
            <w:r w:rsidRPr="00F85178">
              <w:rPr>
                <w:rFonts w:eastAsia="Times New Roman"/>
                <w:szCs w:val="24"/>
                <w:lang w:eastAsia="cs-CZ"/>
              </w:rPr>
              <w:t>500</w:t>
            </w:r>
          </w:p>
        </w:tc>
        <w:tc>
          <w:tcPr>
            <w:tcW w:w="900" w:type="dxa"/>
            <w:tcBorders>
              <w:top w:val="nil"/>
              <w:left w:val="nil"/>
              <w:bottom w:val="double" w:sz="6" w:space="0" w:color="auto"/>
              <w:right w:val="nil"/>
            </w:tcBorders>
            <w:shd w:val="clear" w:color="auto" w:fill="auto"/>
            <w:noWrap/>
            <w:vAlign w:val="center"/>
            <w:hideMark/>
          </w:tcPr>
          <w:p w14:paraId="3CBF43F3" w14:textId="6320FAD7"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38" w:type="dxa"/>
            <w:tcBorders>
              <w:top w:val="nil"/>
              <w:left w:val="single" w:sz="4" w:space="0" w:color="auto"/>
              <w:bottom w:val="double" w:sz="6" w:space="0" w:color="auto"/>
              <w:right w:val="nil"/>
            </w:tcBorders>
            <w:shd w:val="clear" w:color="auto" w:fill="auto"/>
            <w:noWrap/>
            <w:vAlign w:val="bottom"/>
            <w:hideMark/>
          </w:tcPr>
          <w:p w14:paraId="109E882A"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4</w:t>
            </w:r>
            <w:r w:rsidR="00DA049B" w:rsidRPr="00F85178">
              <w:rPr>
                <w:rFonts w:eastAsia="Times New Roman"/>
                <w:szCs w:val="24"/>
                <w:lang w:eastAsia="cs-CZ"/>
              </w:rPr>
              <w:t xml:space="preserve"> </w:t>
            </w:r>
            <w:r w:rsidRPr="00F85178">
              <w:rPr>
                <w:rFonts w:eastAsia="Times New Roman"/>
                <w:szCs w:val="24"/>
                <w:lang w:eastAsia="cs-CZ"/>
              </w:rPr>
              <w:t>852</w:t>
            </w:r>
          </w:p>
        </w:tc>
        <w:tc>
          <w:tcPr>
            <w:tcW w:w="900" w:type="dxa"/>
            <w:tcBorders>
              <w:top w:val="nil"/>
              <w:left w:val="nil"/>
              <w:bottom w:val="double" w:sz="6" w:space="0" w:color="auto"/>
              <w:right w:val="single" w:sz="4" w:space="0" w:color="auto"/>
            </w:tcBorders>
            <w:shd w:val="clear" w:color="auto" w:fill="auto"/>
            <w:noWrap/>
            <w:vAlign w:val="center"/>
            <w:hideMark/>
          </w:tcPr>
          <w:p w14:paraId="2CDA604B" w14:textId="03440524"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16" w:type="dxa"/>
            <w:tcBorders>
              <w:top w:val="nil"/>
              <w:left w:val="nil"/>
              <w:bottom w:val="double" w:sz="6" w:space="0" w:color="auto"/>
              <w:right w:val="nil"/>
            </w:tcBorders>
            <w:shd w:val="clear" w:color="auto" w:fill="auto"/>
            <w:noWrap/>
            <w:vAlign w:val="bottom"/>
            <w:hideMark/>
          </w:tcPr>
          <w:p w14:paraId="50ACD717" w14:textId="77777777" w:rsidR="00205FD6" w:rsidRPr="00F85178" w:rsidRDefault="00205FD6" w:rsidP="00205FD6">
            <w:pPr>
              <w:spacing w:line="240" w:lineRule="auto"/>
              <w:jc w:val="center"/>
              <w:rPr>
                <w:rFonts w:eastAsia="Times New Roman"/>
                <w:szCs w:val="24"/>
                <w:lang w:eastAsia="cs-CZ"/>
              </w:rPr>
            </w:pPr>
            <w:r w:rsidRPr="00F85178">
              <w:rPr>
                <w:rFonts w:eastAsia="Times New Roman"/>
                <w:szCs w:val="24"/>
                <w:lang w:eastAsia="cs-CZ"/>
              </w:rPr>
              <w:t>2</w:t>
            </w:r>
            <w:r w:rsidR="00DA049B" w:rsidRPr="00F85178">
              <w:rPr>
                <w:rFonts w:eastAsia="Times New Roman"/>
                <w:szCs w:val="24"/>
                <w:lang w:eastAsia="cs-CZ"/>
              </w:rPr>
              <w:t xml:space="preserve"> </w:t>
            </w:r>
            <w:r w:rsidRPr="00F85178">
              <w:rPr>
                <w:rFonts w:eastAsia="Times New Roman"/>
                <w:szCs w:val="24"/>
                <w:lang w:eastAsia="cs-CZ"/>
              </w:rPr>
              <w:t>212</w:t>
            </w:r>
          </w:p>
        </w:tc>
        <w:tc>
          <w:tcPr>
            <w:tcW w:w="787" w:type="dxa"/>
            <w:tcBorders>
              <w:top w:val="nil"/>
              <w:left w:val="nil"/>
              <w:bottom w:val="double" w:sz="6" w:space="0" w:color="auto"/>
              <w:right w:val="single" w:sz="4" w:space="0" w:color="auto"/>
            </w:tcBorders>
            <w:shd w:val="clear" w:color="auto" w:fill="auto"/>
            <w:noWrap/>
            <w:vAlign w:val="center"/>
            <w:hideMark/>
          </w:tcPr>
          <w:p w14:paraId="11C46FE4" w14:textId="6385F34B" w:rsidR="00205FD6" w:rsidRPr="00F85178" w:rsidRDefault="00205FD6" w:rsidP="00205FD6">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1540" w:type="dxa"/>
            <w:tcBorders>
              <w:top w:val="nil"/>
              <w:left w:val="nil"/>
              <w:bottom w:val="nil"/>
              <w:right w:val="nil"/>
            </w:tcBorders>
            <w:shd w:val="clear" w:color="auto" w:fill="auto"/>
            <w:noWrap/>
            <w:vAlign w:val="center"/>
            <w:hideMark/>
          </w:tcPr>
          <w:p w14:paraId="38052BD6" w14:textId="77777777" w:rsidR="00205FD6" w:rsidRPr="00F85178" w:rsidRDefault="00205FD6" w:rsidP="00DA049B">
            <w:pPr>
              <w:spacing w:line="240" w:lineRule="auto"/>
              <w:jc w:val="center"/>
              <w:rPr>
                <w:rFonts w:eastAsia="Times New Roman"/>
                <w:szCs w:val="24"/>
                <w:lang w:eastAsia="cs-CZ"/>
              </w:rPr>
            </w:pPr>
            <w:r w:rsidRPr="00F85178">
              <w:rPr>
                <w:rFonts w:eastAsia="Times New Roman"/>
                <w:szCs w:val="24"/>
                <w:lang w:eastAsia="cs-CZ"/>
              </w:rPr>
              <w:t>107</w:t>
            </w:r>
            <w:r w:rsidR="00DA049B" w:rsidRPr="00F85178">
              <w:rPr>
                <w:rFonts w:eastAsia="Times New Roman"/>
                <w:szCs w:val="24"/>
                <w:lang w:eastAsia="cs-CZ"/>
              </w:rPr>
              <w:t>,</w:t>
            </w:r>
            <w:r w:rsidRPr="00F85178">
              <w:rPr>
                <w:rFonts w:eastAsia="Times New Roman"/>
                <w:szCs w:val="24"/>
                <w:lang w:eastAsia="cs-CZ"/>
              </w:rPr>
              <w:t>8 %</w:t>
            </w:r>
          </w:p>
        </w:tc>
      </w:tr>
      <w:tr w:rsidR="00205FD6" w:rsidRPr="00F85178" w14:paraId="1F3D2C62" w14:textId="77777777" w:rsidTr="00205FD6">
        <w:trPr>
          <w:trHeight w:val="345"/>
        </w:trPr>
        <w:tc>
          <w:tcPr>
            <w:tcW w:w="2020" w:type="dxa"/>
            <w:tcBorders>
              <w:top w:val="nil"/>
              <w:left w:val="nil"/>
              <w:bottom w:val="double" w:sz="6" w:space="0" w:color="auto"/>
              <w:right w:val="nil"/>
            </w:tcBorders>
            <w:shd w:val="clear" w:color="auto" w:fill="auto"/>
            <w:noWrap/>
            <w:vAlign w:val="bottom"/>
            <w:hideMark/>
          </w:tcPr>
          <w:p w14:paraId="046CA71A" w14:textId="77777777" w:rsidR="00205FD6" w:rsidRPr="00F85178" w:rsidRDefault="00205FD6" w:rsidP="00205FD6">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39" w:type="dxa"/>
            <w:tcBorders>
              <w:top w:val="nil"/>
              <w:left w:val="nil"/>
              <w:bottom w:val="double" w:sz="6" w:space="0" w:color="auto"/>
              <w:right w:val="nil"/>
            </w:tcBorders>
            <w:shd w:val="clear" w:color="auto" w:fill="auto"/>
            <w:noWrap/>
            <w:vAlign w:val="bottom"/>
            <w:hideMark/>
          </w:tcPr>
          <w:p w14:paraId="57534352"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25</w:t>
            </w:r>
            <w:r w:rsidR="00DA049B" w:rsidRPr="00F85178">
              <w:rPr>
                <w:rFonts w:eastAsia="Times New Roman"/>
                <w:b/>
                <w:bCs/>
                <w:szCs w:val="24"/>
                <w:lang w:eastAsia="cs-CZ"/>
              </w:rPr>
              <w:t xml:space="preserve"> </w:t>
            </w:r>
            <w:r w:rsidRPr="00F85178">
              <w:rPr>
                <w:rFonts w:eastAsia="Times New Roman"/>
                <w:b/>
                <w:bCs/>
                <w:szCs w:val="24"/>
                <w:lang w:eastAsia="cs-CZ"/>
              </w:rPr>
              <w:t>532</w:t>
            </w:r>
          </w:p>
        </w:tc>
        <w:tc>
          <w:tcPr>
            <w:tcW w:w="900" w:type="dxa"/>
            <w:tcBorders>
              <w:top w:val="nil"/>
              <w:left w:val="nil"/>
              <w:bottom w:val="double" w:sz="6" w:space="0" w:color="auto"/>
              <w:right w:val="nil"/>
            </w:tcBorders>
            <w:shd w:val="clear" w:color="auto" w:fill="auto"/>
            <w:noWrap/>
            <w:vAlign w:val="center"/>
            <w:hideMark/>
          </w:tcPr>
          <w:p w14:paraId="304A8771" w14:textId="24D36D73" w:rsidR="00205FD6" w:rsidRPr="00F85178" w:rsidRDefault="00205FD6" w:rsidP="00205FD6">
            <w:pPr>
              <w:spacing w:line="240" w:lineRule="auto"/>
              <w:jc w:val="center"/>
              <w:rPr>
                <w:rFonts w:eastAsia="Times New Roman"/>
                <w:b/>
                <w:bCs/>
                <w:sz w:val="20"/>
                <w:szCs w:val="20"/>
                <w:lang w:eastAsia="cs-CZ"/>
              </w:rPr>
            </w:pPr>
            <w:r w:rsidRPr="00F85178">
              <w:rPr>
                <w:rFonts w:eastAsia="Times New Roman"/>
                <w:b/>
                <w:bCs/>
                <w:sz w:val="20"/>
                <w:szCs w:val="20"/>
                <w:lang w:eastAsia="cs-CZ"/>
              </w:rPr>
              <w:t>-12 %</w:t>
            </w:r>
          </w:p>
        </w:tc>
        <w:tc>
          <w:tcPr>
            <w:tcW w:w="1038" w:type="dxa"/>
            <w:tcBorders>
              <w:top w:val="nil"/>
              <w:left w:val="single" w:sz="4" w:space="0" w:color="auto"/>
              <w:bottom w:val="double" w:sz="6" w:space="0" w:color="auto"/>
              <w:right w:val="nil"/>
            </w:tcBorders>
            <w:shd w:val="clear" w:color="auto" w:fill="auto"/>
            <w:noWrap/>
            <w:vAlign w:val="bottom"/>
            <w:hideMark/>
          </w:tcPr>
          <w:p w14:paraId="363ACE0C"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28</w:t>
            </w:r>
            <w:r w:rsidR="00DA049B" w:rsidRPr="00F85178">
              <w:rPr>
                <w:rFonts w:eastAsia="Times New Roman"/>
                <w:b/>
                <w:bCs/>
                <w:szCs w:val="24"/>
                <w:lang w:eastAsia="cs-CZ"/>
              </w:rPr>
              <w:t xml:space="preserve"> </w:t>
            </w:r>
            <w:r w:rsidRPr="00F85178">
              <w:rPr>
                <w:rFonts w:eastAsia="Times New Roman"/>
                <w:b/>
                <w:bCs/>
                <w:szCs w:val="24"/>
                <w:lang w:eastAsia="cs-CZ"/>
              </w:rPr>
              <w:t>271</w:t>
            </w:r>
          </w:p>
        </w:tc>
        <w:tc>
          <w:tcPr>
            <w:tcW w:w="900" w:type="dxa"/>
            <w:tcBorders>
              <w:top w:val="nil"/>
              <w:left w:val="nil"/>
              <w:bottom w:val="double" w:sz="6" w:space="0" w:color="auto"/>
              <w:right w:val="single" w:sz="4" w:space="0" w:color="auto"/>
            </w:tcBorders>
            <w:shd w:val="clear" w:color="auto" w:fill="auto"/>
            <w:noWrap/>
            <w:vAlign w:val="center"/>
            <w:hideMark/>
          </w:tcPr>
          <w:p w14:paraId="08FF6D97" w14:textId="5E1AA027" w:rsidR="00205FD6" w:rsidRPr="00F85178" w:rsidRDefault="00205FD6" w:rsidP="00205FD6">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916" w:type="dxa"/>
            <w:tcBorders>
              <w:top w:val="nil"/>
              <w:left w:val="nil"/>
              <w:bottom w:val="double" w:sz="6" w:space="0" w:color="auto"/>
              <w:right w:val="nil"/>
            </w:tcBorders>
            <w:shd w:val="clear" w:color="auto" w:fill="auto"/>
            <w:noWrap/>
            <w:vAlign w:val="bottom"/>
            <w:hideMark/>
          </w:tcPr>
          <w:p w14:paraId="4A1BFB6B" w14:textId="77777777" w:rsidR="00205FD6" w:rsidRPr="00F85178" w:rsidRDefault="00205FD6" w:rsidP="00205FD6">
            <w:pPr>
              <w:spacing w:line="240" w:lineRule="auto"/>
              <w:jc w:val="center"/>
              <w:rPr>
                <w:rFonts w:eastAsia="Times New Roman"/>
                <w:b/>
                <w:bCs/>
                <w:szCs w:val="24"/>
                <w:lang w:eastAsia="cs-CZ"/>
              </w:rPr>
            </w:pPr>
            <w:r w:rsidRPr="00F85178">
              <w:rPr>
                <w:rFonts w:eastAsia="Times New Roman"/>
                <w:b/>
                <w:bCs/>
                <w:szCs w:val="24"/>
                <w:lang w:eastAsia="cs-CZ"/>
              </w:rPr>
              <w:t>17</w:t>
            </w:r>
            <w:r w:rsidR="00DA049B" w:rsidRPr="00F85178">
              <w:rPr>
                <w:rFonts w:eastAsia="Times New Roman"/>
                <w:b/>
                <w:bCs/>
                <w:szCs w:val="24"/>
                <w:lang w:eastAsia="cs-CZ"/>
              </w:rPr>
              <w:t xml:space="preserve"> </w:t>
            </w:r>
            <w:r w:rsidRPr="00F85178">
              <w:rPr>
                <w:rFonts w:eastAsia="Times New Roman"/>
                <w:b/>
                <w:bCs/>
                <w:szCs w:val="24"/>
                <w:lang w:eastAsia="cs-CZ"/>
              </w:rPr>
              <w:t>789</w:t>
            </w:r>
          </w:p>
        </w:tc>
        <w:tc>
          <w:tcPr>
            <w:tcW w:w="787" w:type="dxa"/>
            <w:tcBorders>
              <w:top w:val="nil"/>
              <w:left w:val="nil"/>
              <w:bottom w:val="double" w:sz="6" w:space="0" w:color="auto"/>
              <w:right w:val="single" w:sz="4" w:space="0" w:color="auto"/>
            </w:tcBorders>
            <w:shd w:val="clear" w:color="auto" w:fill="auto"/>
            <w:noWrap/>
            <w:vAlign w:val="center"/>
            <w:hideMark/>
          </w:tcPr>
          <w:p w14:paraId="2E890F3D" w14:textId="3E7EEE08" w:rsidR="00205FD6" w:rsidRPr="00F85178" w:rsidRDefault="00205FD6" w:rsidP="00205FD6">
            <w:pPr>
              <w:spacing w:line="240" w:lineRule="auto"/>
              <w:jc w:val="center"/>
              <w:rPr>
                <w:rFonts w:eastAsia="Times New Roman"/>
                <w:b/>
                <w:bCs/>
                <w:sz w:val="20"/>
                <w:szCs w:val="20"/>
                <w:lang w:eastAsia="cs-CZ"/>
              </w:rPr>
            </w:pPr>
            <w:r w:rsidRPr="00F85178">
              <w:rPr>
                <w:rFonts w:eastAsia="Times New Roman"/>
                <w:b/>
                <w:bCs/>
                <w:sz w:val="20"/>
                <w:szCs w:val="20"/>
                <w:lang w:eastAsia="cs-CZ"/>
              </w:rPr>
              <w:t>-13 %</w:t>
            </w:r>
          </w:p>
        </w:tc>
        <w:tc>
          <w:tcPr>
            <w:tcW w:w="1540" w:type="dxa"/>
            <w:tcBorders>
              <w:top w:val="double" w:sz="6" w:space="0" w:color="auto"/>
              <w:left w:val="nil"/>
              <w:bottom w:val="double" w:sz="6" w:space="0" w:color="auto"/>
              <w:right w:val="nil"/>
            </w:tcBorders>
            <w:shd w:val="clear" w:color="auto" w:fill="auto"/>
            <w:noWrap/>
            <w:vAlign w:val="center"/>
            <w:hideMark/>
          </w:tcPr>
          <w:p w14:paraId="5B1A690E" w14:textId="77777777" w:rsidR="00205FD6" w:rsidRPr="00F85178" w:rsidRDefault="00205FD6" w:rsidP="00DA049B">
            <w:pPr>
              <w:spacing w:line="240" w:lineRule="auto"/>
              <w:jc w:val="center"/>
              <w:rPr>
                <w:rFonts w:eastAsia="Times New Roman"/>
                <w:b/>
                <w:bCs/>
                <w:szCs w:val="24"/>
                <w:lang w:eastAsia="cs-CZ"/>
              </w:rPr>
            </w:pPr>
            <w:r w:rsidRPr="00F85178">
              <w:rPr>
                <w:rFonts w:eastAsia="Times New Roman"/>
                <w:b/>
                <w:bCs/>
                <w:szCs w:val="24"/>
                <w:lang w:eastAsia="cs-CZ"/>
              </w:rPr>
              <w:t>110</w:t>
            </w:r>
            <w:r w:rsidR="00DA049B" w:rsidRPr="00F85178">
              <w:rPr>
                <w:rFonts w:eastAsia="Times New Roman"/>
                <w:b/>
                <w:bCs/>
                <w:szCs w:val="24"/>
                <w:lang w:eastAsia="cs-CZ"/>
              </w:rPr>
              <w:t>,</w:t>
            </w:r>
            <w:r w:rsidRPr="00F85178">
              <w:rPr>
                <w:rFonts w:eastAsia="Times New Roman"/>
                <w:b/>
                <w:bCs/>
                <w:szCs w:val="24"/>
                <w:lang w:eastAsia="cs-CZ"/>
              </w:rPr>
              <w:t>7 %</w:t>
            </w:r>
          </w:p>
        </w:tc>
      </w:tr>
    </w:tbl>
    <w:p w14:paraId="08DC6D78" w14:textId="77777777" w:rsidR="00C32614" w:rsidRPr="00F85178" w:rsidRDefault="00C32614" w:rsidP="00205FD6"/>
    <w:p w14:paraId="0B603B1C" w14:textId="77777777" w:rsidR="000F4C79" w:rsidRPr="00F85178" w:rsidRDefault="000F4C79" w:rsidP="000F4C79">
      <w:pPr>
        <w:pStyle w:val="OdstavecASR"/>
      </w:pPr>
      <w:r w:rsidRPr="00F85178">
        <w:t xml:space="preserve">U šesti z osmi krajských soudů </w:t>
      </w:r>
      <w:r w:rsidR="005713C9" w:rsidRPr="00F85178">
        <w:t xml:space="preserve">i v roce 2018 dále </w:t>
      </w:r>
      <w:r w:rsidRPr="00F85178">
        <w:t>pokračuje klesající trend v počtu nevyřízených věcí. U KS v </w:t>
      </w:r>
      <w:r w:rsidR="005713C9" w:rsidRPr="00F85178">
        <w:t>Ústí nad Labem</w:t>
      </w:r>
      <w:r w:rsidRPr="00F85178">
        <w:t xml:space="preserve"> byla míra vyřizování dokonce více než </w:t>
      </w:r>
      <w:r w:rsidR="005713C9" w:rsidRPr="00F85178">
        <w:t>170 </w:t>
      </w:r>
      <w:r w:rsidRPr="00F85178">
        <w:t xml:space="preserve">%. KS v Ostravě </w:t>
      </w:r>
      <w:r w:rsidR="005713C9" w:rsidRPr="00F85178">
        <w:t xml:space="preserve">zvýšil </w:t>
      </w:r>
      <w:r w:rsidRPr="00F85178">
        <w:t xml:space="preserve">míru vyřizování </w:t>
      </w:r>
      <w:r w:rsidR="005713C9" w:rsidRPr="00F85178">
        <w:t xml:space="preserve">nad </w:t>
      </w:r>
      <w:r w:rsidRPr="00F85178">
        <w:t>100 %</w:t>
      </w:r>
      <w:r w:rsidR="005713C9" w:rsidRPr="00F85178">
        <w:t xml:space="preserve"> (99,51</w:t>
      </w:r>
      <w:r w:rsidR="00CE097C" w:rsidRPr="00F85178">
        <w:t xml:space="preserve"> </w:t>
      </w:r>
      <w:r w:rsidR="005713C9" w:rsidRPr="00F85178">
        <w:t>% v roce 2017)</w:t>
      </w:r>
      <w:r w:rsidR="009329D9" w:rsidRPr="00F85178">
        <w:t xml:space="preserve">. </w:t>
      </w:r>
      <w:r w:rsidR="005713C9" w:rsidRPr="00F85178">
        <w:t xml:space="preserve">KS v Hradci Králové </w:t>
      </w:r>
      <w:r w:rsidR="009329D9" w:rsidRPr="00F85178">
        <w:t>se v míře</w:t>
      </w:r>
      <w:r w:rsidR="005713C9" w:rsidRPr="00F85178">
        <w:t xml:space="preserve"> vyřizování výrazně </w:t>
      </w:r>
      <w:r w:rsidR="009329D9" w:rsidRPr="00F85178">
        <w:t>zhoršil (</w:t>
      </w:r>
      <w:proofErr w:type="gramStart"/>
      <w:r w:rsidR="005713C9" w:rsidRPr="00F85178">
        <w:t>ze</w:t>
      </w:r>
      <w:proofErr w:type="gramEnd"/>
      <w:r w:rsidR="005713C9" w:rsidRPr="00F85178">
        <w:t xml:space="preserve"> 122,25</w:t>
      </w:r>
      <w:r w:rsidR="00CE097C" w:rsidRPr="00F85178">
        <w:t xml:space="preserve"> </w:t>
      </w:r>
      <w:r w:rsidR="005713C9" w:rsidRPr="00F85178">
        <w:t xml:space="preserve">% v roce </w:t>
      </w:r>
      <w:r w:rsidR="009329D9" w:rsidRPr="00F85178">
        <w:t>2017 na 97,2</w:t>
      </w:r>
      <w:r w:rsidR="00CE097C" w:rsidRPr="00F85178">
        <w:t xml:space="preserve"> </w:t>
      </w:r>
      <w:r w:rsidR="009329D9" w:rsidRPr="00F85178">
        <w:t>% v roce 2018), protože v roce 2018 došlo k</w:t>
      </w:r>
      <w:r w:rsidR="003927B7" w:rsidRPr="00F85178">
        <w:t> </w:t>
      </w:r>
      <w:r w:rsidR="009329D9" w:rsidRPr="00F85178">
        <w:t>42% nárůstu nápadu</w:t>
      </w:r>
      <w:r w:rsidR="003927B7" w:rsidRPr="00F85178">
        <w:t>.</w:t>
      </w:r>
    </w:p>
    <w:p w14:paraId="05C86297" w14:textId="77777777" w:rsidR="00090D52" w:rsidRPr="00F85178" w:rsidRDefault="00090D52" w:rsidP="000F4C79">
      <w:pPr>
        <w:pStyle w:val="OdstavecASR"/>
      </w:pPr>
      <w:r w:rsidRPr="00F85178">
        <w:t>Zajímavé je, že situace, kterou v roce 2017 řešil KS v Ústí nad Labem</w:t>
      </w:r>
      <w:r w:rsidR="006E55DC" w:rsidRPr="00F85178">
        <w:t xml:space="preserve"> (skokový nárůst nápadu)</w:t>
      </w:r>
      <w:r w:rsidRPr="00F85178">
        <w:t xml:space="preserve">, se opakuje v roce </w:t>
      </w:r>
      <w:r w:rsidR="006E55DC" w:rsidRPr="00F85178">
        <w:t>2018 u</w:t>
      </w:r>
      <w:r w:rsidRPr="00F85178">
        <w:t> KS v</w:t>
      </w:r>
      <w:r w:rsidR="006E55DC" w:rsidRPr="00F85178">
        <w:t xml:space="preserve"> Hradci Králové a Plzni, </w:t>
      </w:r>
      <w:r w:rsidR="003927B7" w:rsidRPr="00F85178">
        <w:t xml:space="preserve">tedy </w:t>
      </w:r>
      <w:r w:rsidR="006E55DC" w:rsidRPr="00F85178">
        <w:t xml:space="preserve">velký počet návrhů na zrušení </w:t>
      </w:r>
      <w:r w:rsidR="005748EE" w:rsidRPr="00F85178">
        <w:t>a </w:t>
      </w:r>
      <w:r w:rsidR="006E55DC" w:rsidRPr="00F85178">
        <w:t>likvidaci společnosti.</w:t>
      </w:r>
    </w:p>
    <w:p w14:paraId="737ADDEB" w14:textId="77777777" w:rsidR="00C32614" w:rsidRPr="00F85178" w:rsidRDefault="00C32614" w:rsidP="000F4C79">
      <w:pPr>
        <w:pStyle w:val="Nadpis3"/>
        <w:keepNext w:val="0"/>
        <w:rPr>
          <w:color w:val="auto"/>
        </w:rPr>
      </w:pPr>
      <w:bookmarkStart w:id="371" w:name="_Toc515871251"/>
      <w:bookmarkStart w:id="372" w:name="_Toc14076900"/>
      <w:r w:rsidRPr="00F85178">
        <w:rPr>
          <w:color w:val="auto"/>
        </w:rPr>
        <w:t>Disposition time</w:t>
      </w:r>
      <w:bookmarkEnd w:id="371"/>
      <w:bookmarkEnd w:id="372"/>
    </w:p>
    <w:p w14:paraId="4BA080DF" w14:textId="77777777" w:rsidR="000F4C79" w:rsidRPr="00F85178" w:rsidRDefault="000F4C79" w:rsidP="000F4C79">
      <w:pPr>
        <w:pStyle w:val="OdstavecASR"/>
      </w:pPr>
      <w:r w:rsidRPr="00F85178">
        <w:t>Krátký popis způsobu výpočtu a účelu DT je obsažen v </w:t>
      </w:r>
      <w:proofErr w:type="gramStart"/>
      <w:r w:rsidRPr="00F85178">
        <w:t>podkapitole </w:t>
      </w:r>
      <w:r w:rsidRPr="00F85178">
        <w:fldChar w:fldCharType="begin"/>
      </w:r>
      <w:r w:rsidRPr="00F85178">
        <w:instrText xml:space="preserve"> REF _Ref509845712 \r \h </w:instrText>
      </w:r>
      <w:r w:rsidRPr="00F85178">
        <w:fldChar w:fldCharType="separate"/>
      </w:r>
      <w:r w:rsidR="00306940">
        <w:t>2.2.4</w:t>
      </w:r>
      <w:proofErr w:type="gramEnd"/>
      <w:r w:rsidRPr="00F85178">
        <w:fldChar w:fldCharType="end"/>
      </w:r>
      <w:r w:rsidRPr="00F85178">
        <w:t>. U většiny agend krajských soudů se jedná o jediný způsob, jak zohlednit velikost soudu. Počet nevyřízených věcí na soudce totiž nelze použít, neboť tyto údaje nejsou k dispozici.</w:t>
      </w:r>
    </w:p>
    <w:p w14:paraId="677CD8A1" w14:textId="77777777" w:rsidR="000F4C79" w:rsidRPr="00F85178" w:rsidRDefault="000F4C79" w:rsidP="000F4C79">
      <w:pPr>
        <w:pStyle w:val="OdstavecASR"/>
      </w:pPr>
      <w:r w:rsidRPr="00F85178">
        <w:t xml:space="preserve">Od roku 2010 do roku </w:t>
      </w:r>
      <w:r w:rsidR="007C5F24" w:rsidRPr="00F85178">
        <w:t xml:space="preserve">2018 je vývoj DT </w:t>
      </w:r>
      <w:r w:rsidR="003927B7" w:rsidRPr="00F85178">
        <w:t xml:space="preserve">celkem </w:t>
      </w:r>
      <w:r w:rsidR="007C5F24" w:rsidRPr="00F85178">
        <w:t>stabilizovaný okolo hodnoty</w:t>
      </w:r>
      <w:r w:rsidR="00617325" w:rsidRPr="00F85178">
        <w:t xml:space="preserve"> 240 kalendářních </w:t>
      </w:r>
      <w:r w:rsidR="00CE097C" w:rsidRPr="00F85178">
        <w:t xml:space="preserve">dnů </w:t>
      </w:r>
      <w:r w:rsidR="00617325" w:rsidRPr="00F85178">
        <w:t xml:space="preserve">a konkrétní hodnota v daném </w:t>
      </w:r>
      <w:r w:rsidR="00CE097C" w:rsidRPr="00F85178">
        <w:t xml:space="preserve">roce </w:t>
      </w:r>
      <w:r w:rsidR="00617325" w:rsidRPr="00F85178">
        <w:t>vždy závisí na vzájemném poměru a</w:t>
      </w:r>
      <w:r w:rsidR="00440267" w:rsidRPr="00F85178">
        <w:t> </w:t>
      </w:r>
      <w:r w:rsidR="00617325" w:rsidRPr="00F85178">
        <w:t xml:space="preserve">vývoji mezi počtem nevyřízených a vyřízených věcí (pro připomenutí: 240 </w:t>
      </w:r>
      <w:r w:rsidR="00CE097C" w:rsidRPr="00F85178">
        <w:t xml:space="preserve">dnů </w:t>
      </w:r>
      <w:r w:rsidR="00617325" w:rsidRPr="00F85178">
        <w:t xml:space="preserve">je doba, za kterou soud vyřídí všechny </w:t>
      </w:r>
      <w:r w:rsidR="00A22AFD" w:rsidRPr="00F85178">
        <w:t xml:space="preserve">nevyřízené </w:t>
      </w:r>
      <w:r w:rsidR="00617325" w:rsidRPr="00F85178">
        <w:t xml:space="preserve">věci, které u něj v daném roce leží, pokud by pracoval stejným tempem a neměl žádný nový nápad ani obživu věcí – není to tedy průměrná délka řízení – a </w:t>
      </w:r>
      <w:r w:rsidR="00440267" w:rsidRPr="00F85178">
        <w:t xml:space="preserve">DT </w:t>
      </w:r>
      <w:r w:rsidR="00617325" w:rsidRPr="00F85178">
        <w:t>není závislý na velikosti soudu, proto se hodí k vzájemnému srovnávání během let nebo mezi soudy)</w:t>
      </w:r>
      <w:r w:rsidR="003927B7" w:rsidRPr="00F85178">
        <w:t>.</w:t>
      </w:r>
    </w:p>
    <w:p w14:paraId="3B8F8EBA" w14:textId="77777777" w:rsidR="000F4C79" w:rsidRPr="00F85178" w:rsidRDefault="000F4C79" w:rsidP="000F4C79"/>
    <w:p w14:paraId="0D63412D" w14:textId="77777777" w:rsidR="00C32614" w:rsidRPr="00F85178" w:rsidRDefault="00C32614" w:rsidP="00C32614">
      <w:pPr>
        <w:pStyle w:val="Podtitul"/>
        <w:rPr>
          <w:color w:val="auto"/>
        </w:rPr>
      </w:pPr>
      <w:bookmarkStart w:id="373" w:name="_Toc515871384"/>
      <w:bookmarkStart w:id="374" w:name="_Toc11135115"/>
      <w:bookmarkStart w:id="375" w:name="_Toc1383754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54</w:t>
      </w:r>
      <w:r w:rsidRPr="00F85178">
        <w:rPr>
          <w:noProof/>
          <w:color w:val="auto"/>
        </w:rPr>
        <w:fldChar w:fldCharType="end"/>
      </w:r>
      <w:r w:rsidRPr="00F85178">
        <w:rPr>
          <w:color w:val="auto"/>
        </w:rPr>
        <w:t>: KS – DT prvostupňového civilního řízení v letech 2008–</w:t>
      </w:r>
      <w:bookmarkEnd w:id="373"/>
      <w:r w:rsidR="001338F3" w:rsidRPr="00F85178">
        <w:rPr>
          <w:color w:val="auto"/>
        </w:rPr>
        <w:t>2018</w:t>
      </w:r>
      <w:bookmarkEnd w:id="374"/>
      <w:bookmarkEnd w:id="375"/>
    </w:p>
    <w:p w14:paraId="33C81964" w14:textId="77777777" w:rsidR="00C32614" w:rsidRPr="00F85178" w:rsidRDefault="00890295" w:rsidP="00205FD6">
      <w:r>
        <w:rPr>
          <w:noProof/>
          <w:lang w:eastAsia="cs-CZ"/>
        </w:rPr>
        <w:drawing>
          <wp:inline distT="0" distB="0" distL="0" distR="0" wp14:anchorId="04F29FF2" wp14:editId="6AEEB119">
            <wp:extent cx="5118100" cy="3746500"/>
            <wp:effectExtent l="0" t="0" r="0" b="0"/>
            <wp:docPr id="57" name="Obrázek 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7"/>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E82D417" w14:textId="77777777" w:rsidR="00E4288C" w:rsidRPr="00F85178" w:rsidRDefault="00D46D0A" w:rsidP="00D46D0A">
      <w:pPr>
        <w:pStyle w:val="OdstavecASR"/>
      </w:pPr>
      <w:r w:rsidRPr="00F85178">
        <w:t>DT a jeho změny u konkrétních soudů pak plynou z údajů uvedených v předchozí podkapitole. Zdaleka nejvyšší DT u KS Ústí nad Labem</w:t>
      </w:r>
      <w:r w:rsidR="00440267" w:rsidRPr="00F85178">
        <w:t xml:space="preserve"> se</w:t>
      </w:r>
      <w:r w:rsidRPr="00F85178">
        <w:t xml:space="preserve"> oproti roku 201</w:t>
      </w:r>
      <w:r w:rsidR="00440267" w:rsidRPr="00F85178">
        <w:t>7</w:t>
      </w:r>
      <w:r w:rsidRPr="00F85178">
        <w:t xml:space="preserve"> </w:t>
      </w:r>
      <w:r w:rsidR="00440267" w:rsidRPr="00F85178">
        <w:t>snížil</w:t>
      </w:r>
      <w:r w:rsidR="00E37839" w:rsidRPr="00F85178">
        <w:t>o</w:t>
      </w:r>
      <w:r w:rsidR="00440267" w:rsidRPr="00F85178">
        <w:t xml:space="preserve"> o </w:t>
      </w:r>
      <w:r w:rsidR="009D736E" w:rsidRPr="00F85178">
        <w:t xml:space="preserve">více než 100 </w:t>
      </w:r>
      <w:r w:rsidR="001338F3" w:rsidRPr="00F85178">
        <w:t>dnů</w:t>
      </w:r>
      <w:r w:rsidR="00E37839" w:rsidRPr="00F85178">
        <w:t xml:space="preserve">, což je samozřejmě pozitivní vývoj, připomeňme však, že DT v roce 2016 činil u KS Ústí nad Labem 330 kalendářních </w:t>
      </w:r>
      <w:r w:rsidR="001338F3" w:rsidRPr="00F85178">
        <w:t>dnů</w:t>
      </w:r>
      <w:r w:rsidR="003927B7" w:rsidRPr="00F85178">
        <w:t>.</w:t>
      </w:r>
    </w:p>
    <w:p w14:paraId="1C0F4A21" w14:textId="77777777" w:rsidR="00D46D0A" w:rsidRPr="00F85178" w:rsidRDefault="009D736E" w:rsidP="00D46D0A">
      <w:pPr>
        <w:pStyle w:val="OdstavecASR"/>
      </w:pPr>
      <w:r w:rsidRPr="00F85178">
        <w:t xml:space="preserve">Jediným krajským soudem, u kterého došlo k nárůstu DT </w:t>
      </w:r>
      <w:r w:rsidR="00E37839" w:rsidRPr="00F85178">
        <w:t xml:space="preserve">v roce 2018 </w:t>
      </w:r>
      <w:r w:rsidRPr="00F85178">
        <w:t xml:space="preserve">je KS </w:t>
      </w:r>
      <w:r w:rsidR="00E4288C" w:rsidRPr="00F85178">
        <w:t>České Budějovice a </w:t>
      </w:r>
      <w:r w:rsidRPr="00F85178">
        <w:t xml:space="preserve">vyplývá ze způsobu výpočtu </w:t>
      </w:r>
      <w:r w:rsidR="00E4288C" w:rsidRPr="00F85178">
        <w:t xml:space="preserve">DT </w:t>
      </w:r>
      <w:r w:rsidRPr="00F85178">
        <w:t xml:space="preserve">(nevyřízené </w:t>
      </w:r>
      <w:r w:rsidR="003927B7" w:rsidRPr="00F85178">
        <w:t>/</w:t>
      </w:r>
      <w:r w:rsidRPr="00F85178">
        <w:t xml:space="preserve"> vyřízené věci </w:t>
      </w:r>
      <w:r w:rsidR="003927B7" w:rsidRPr="00F85178">
        <w:t>×</w:t>
      </w:r>
      <w:r w:rsidRPr="00F85178">
        <w:t xml:space="preserve"> 365), </w:t>
      </w:r>
      <w:r w:rsidR="0025172A" w:rsidRPr="00F85178">
        <w:t>kdy</w:t>
      </w:r>
      <w:r w:rsidRPr="00F85178">
        <w:t xml:space="preserve"> </w:t>
      </w:r>
      <w:r w:rsidR="00E37839" w:rsidRPr="00F85178">
        <w:t xml:space="preserve">na KS </w:t>
      </w:r>
      <w:r w:rsidR="00E4288C" w:rsidRPr="00F85178">
        <w:t xml:space="preserve">České Budějovice </w:t>
      </w:r>
      <w:r w:rsidR="00E37839" w:rsidRPr="00F85178">
        <w:t>zůstalo přibližně stejně nevyřízených věcí jako v roce 2017, ale vyřídilo se jich o 23</w:t>
      </w:r>
      <w:r w:rsidR="003927B7" w:rsidRPr="00F85178">
        <w:t> </w:t>
      </w:r>
      <w:r w:rsidR="00E37839" w:rsidRPr="00F85178">
        <w:t xml:space="preserve">% méně. Proto </w:t>
      </w:r>
      <w:r w:rsidR="007635D6" w:rsidRPr="00F85178">
        <w:t>se DT zvýšilo ja</w:t>
      </w:r>
      <w:r w:rsidR="00E4288C" w:rsidRPr="00F85178">
        <w:t>ko indikace snížené efektivity</w:t>
      </w:r>
      <w:r w:rsidR="007635D6" w:rsidRPr="00F85178">
        <w:t xml:space="preserve"> vyřizování v roce 2018</w:t>
      </w:r>
      <w:r w:rsidR="00E4288C" w:rsidRPr="00F85178">
        <w:t>, tj. doba k vyřízení všech věcí se zvýšila</w:t>
      </w:r>
      <w:r w:rsidR="007635D6" w:rsidRPr="00F85178">
        <w:t>.</w:t>
      </w:r>
    </w:p>
    <w:p w14:paraId="119B8A51" w14:textId="77777777" w:rsidR="008F7177" w:rsidRPr="00F85178" w:rsidRDefault="008F7177" w:rsidP="003927B7">
      <w:bookmarkStart w:id="376" w:name="_Toc515871470"/>
    </w:p>
    <w:p w14:paraId="1715ECFE" w14:textId="77777777" w:rsidR="00C32614" w:rsidRPr="00F85178" w:rsidRDefault="00C32614" w:rsidP="00C32614">
      <w:pPr>
        <w:pStyle w:val="Podtitul"/>
        <w:rPr>
          <w:color w:val="auto"/>
        </w:rPr>
      </w:pPr>
      <w:bookmarkStart w:id="377" w:name="_Toc11133237"/>
      <w:bookmarkStart w:id="378" w:name="_Toc1383745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35</w:t>
      </w:r>
      <w:r w:rsidRPr="00F85178">
        <w:rPr>
          <w:noProof/>
          <w:color w:val="auto"/>
        </w:rPr>
        <w:fldChar w:fldCharType="end"/>
      </w:r>
      <w:r w:rsidRPr="00F85178">
        <w:rPr>
          <w:color w:val="auto"/>
        </w:rPr>
        <w:t>: KS – DT prvostupňového civilního řízení dle soudů</w:t>
      </w:r>
      <w:bookmarkEnd w:id="376"/>
      <w:bookmarkEnd w:id="377"/>
      <w:bookmarkEnd w:id="378"/>
    </w:p>
    <w:tbl>
      <w:tblPr>
        <w:tblW w:w="5960" w:type="dxa"/>
        <w:tblCellMar>
          <w:left w:w="70" w:type="dxa"/>
          <w:right w:w="70" w:type="dxa"/>
        </w:tblCellMar>
        <w:tblLook w:val="04A0" w:firstRow="1" w:lastRow="0" w:firstColumn="1" w:lastColumn="0" w:noHBand="0" w:noVBand="1"/>
      </w:tblPr>
      <w:tblGrid>
        <w:gridCol w:w="2780"/>
        <w:gridCol w:w="1253"/>
        <w:gridCol w:w="1927"/>
      </w:tblGrid>
      <w:tr w:rsidR="00F85178" w:rsidRPr="00F85178" w14:paraId="620EBFDF" w14:textId="77777777" w:rsidTr="00C3261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3F317C27" w14:textId="77777777" w:rsidR="00C32614" w:rsidRPr="00F85178" w:rsidRDefault="00C32614" w:rsidP="00C32614">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6874C0A1" w14:textId="77777777" w:rsidR="00C32614" w:rsidRPr="00F85178" w:rsidRDefault="00C32614" w:rsidP="00C32614">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5A535A73" w14:textId="77777777" w:rsidTr="00C32614">
        <w:trPr>
          <w:trHeight w:val="330"/>
        </w:trPr>
        <w:tc>
          <w:tcPr>
            <w:tcW w:w="2780" w:type="dxa"/>
            <w:tcBorders>
              <w:top w:val="nil"/>
              <w:left w:val="nil"/>
              <w:bottom w:val="single" w:sz="4" w:space="0" w:color="auto"/>
              <w:right w:val="nil"/>
            </w:tcBorders>
            <w:shd w:val="clear" w:color="auto" w:fill="auto"/>
            <w:noWrap/>
            <w:vAlign w:val="bottom"/>
            <w:hideMark/>
          </w:tcPr>
          <w:p w14:paraId="6AE3B09D"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3BFB78BD"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162</w:t>
            </w:r>
          </w:p>
        </w:tc>
        <w:tc>
          <w:tcPr>
            <w:tcW w:w="1927" w:type="dxa"/>
            <w:tcBorders>
              <w:top w:val="nil"/>
              <w:left w:val="nil"/>
              <w:bottom w:val="single" w:sz="4" w:space="0" w:color="auto"/>
              <w:right w:val="nil"/>
            </w:tcBorders>
            <w:shd w:val="clear" w:color="auto" w:fill="auto"/>
            <w:noWrap/>
            <w:vAlign w:val="center"/>
            <w:hideMark/>
          </w:tcPr>
          <w:p w14:paraId="3953AE52" w14:textId="267E7808"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4CF98333"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4AC1E5BD"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0B975616"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212</w:t>
            </w:r>
          </w:p>
        </w:tc>
        <w:tc>
          <w:tcPr>
            <w:tcW w:w="1927" w:type="dxa"/>
            <w:tcBorders>
              <w:top w:val="nil"/>
              <w:left w:val="nil"/>
              <w:bottom w:val="single" w:sz="4" w:space="0" w:color="auto"/>
              <w:right w:val="nil"/>
            </w:tcBorders>
            <w:shd w:val="clear" w:color="auto" w:fill="auto"/>
            <w:noWrap/>
            <w:vAlign w:val="center"/>
            <w:hideMark/>
          </w:tcPr>
          <w:p w14:paraId="47CE35FA" w14:textId="5CCF9D8D"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440CDA74"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1B2B0B07"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5D52DAAA"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243</w:t>
            </w:r>
          </w:p>
        </w:tc>
        <w:tc>
          <w:tcPr>
            <w:tcW w:w="1927" w:type="dxa"/>
            <w:tcBorders>
              <w:top w:val="nil"/>
              <w:left w:val="nil"/>
              <w:bottom w:val="single" w:sz="4" w:space="0" w:color="auto"/>
              <w:right w:val="nil"/>
            </w:tcBorders>
            <w:shd w:val="clear" w:color="auto" w:fill="auto"/>
            <w:noWrap/>
            <w:vAlign w:val="center"/>
            <w:hideMark/>
          </w:tcPr>
          <w:p w14:paraId="4E9BA4C4" w14:textId="23DC117A"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+19 %</w:t>
            </w:r>
          </w:p>
        </w:tc>
      </w:tr>
      <w:tr w:rsidR="00F85178" w:rsidRPr="00F85178" w14:paraId="269DB8BB"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3C257985"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04B3B3F1"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330</w:t>
            </w:r>
          </w:p>
        </w:tc>
        <w:tc>
          <w:tcPr>
            <w:tcW w:w="1927" w:type="dxa"/>
            <w:tcBorders>
              <w:top w:val="nil"/>
              <w:left w:val="nil"/>
              <w:bottom w:val="single" w:sz="4" w:space="0" w:color="auto"/>
              <w:right w:val="nil"/>
            </w:tcBorders>
            <w:shd w:val="clear" w:color="auto" w:fill="auto"/>
            <w:noWrap/>
            <w:vAlign w:val="center"/>
            <w:hideMark/>
          </w:tcPr>
          <w:p w14:paraId="7D0AE91B" w14:textId="4C973456"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34794E8F"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0BC4A498"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11EB19B6"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600</w:t>
            </w:r>
          </w:p>
        </w:tc>
        <w:tc>
          <w:tcPr>
            <w:tcW w:w="1927" w:type="dxa"/>
            <w:tcBorders>
              <w:top w:val="nil"/>
              <w:left w:val="nil"/>
              <w:bottom w:val="single" w:sz="4" w:space="0" w:color="auto"/>
              <w:right w:val="nil"/>
            </w:tcBorders>
            <w:shd w:val="clear" w:color="auto" w:fill="auto"/>
            <w:noWrap/>
            <w:vAlign w:val="center"/>
            <w:hideMark/>
          </w:tcPr>
          <w:p w14:paraId="03462154" w14:textId="5FBF97DD"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4D8D6AC5"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2CC7A2E3"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01C0AE45"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199</w:t>
            </w:r>
          </w:p>
        </w:tc>
        <w:tc>
          <w:tcPr>
            <w:tcW w:w="1927" w:type="dxa"/>
            <w:tcBorders>
              <w:top w:val="nil"/>
              <w:left w:val="nil"/>
              <w:bottom w:val="single" w:sz="4" w:space="0" w:color="auto"/>
              <w:right w:val="nil"/>
            </w:tcBorders>
            <w:shd w:val="clear" w:color="auto" w:fill="auto"/>
            <w:noWrap/>
            <w:vAlign w:val="center"/>
            <w:hideMark/>
          </w:tcPr>
          <w:p w14:paraId="57EA2B56" w14:textId="5431E435"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5D92016A"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4545E0F5"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24D3E53B"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315</w:t>
            </w:r>
          </w:p>
        </w:tc>
        <w:tc>
          <w:tcPr>
            <w:tcW w:w="1927" w:type="dxa"/>
            <w:tcBorders>
              <w:top w:val="nil"/>
              <w:left w:val="nil"/>
              <w:bottom w:val="single" w:sz="4" w:space="0" w:color="auto"/>
              <w:right w:val="nil"/>
            </w:tcBorders>
            <w:shd w:val="clear" w:color="auto" w:fill="auto"/>
            <w:noWrap/>
            <w:vAlign w:val="center"/>
            <w:hideMark/>
          </w:tcPr>
          <w:p w14:paraId="700DD42F" w14:textId="190CA6D0"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397555CE" w14:textId="77777777" w:rsidTr="00C32614">
        <w:trPr>
          <w:trHeight w:val="330"/>
        </w:trPr>
        <w:tc>
          <w:tcPr>
            <w:tcW w:w="2780" w:type="dxa"/>
            <w:tcBorders>
              <w:top w:val="nil"/>
              <w:left w:val="nil"/>
              <w:bottom w:val="double" w:sz="6" w:space="0" w:color="auto"/>
              <w:right w:val="nil"/>
            </w:tcBorders>
            <w:shd w:val="clear" w:color="auto" w:fill="auto"/>
            <w:noWrap/>
            <w:vAlign w:val="bottom"/>
            <w:hideMark/>
          </w:tcPr>
          <w:p w14:paraId="454D208A"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3AE63097"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166</w:t>
            </w:r>
          </w:p>
        </w:tc>
        <w:tc>
          <w:tcPr>
            <w:tcW w:w="1927" w:type="dxa"/>
            <w:tcBorders>
              <w:top w:val="nil"/>
              <w:left w:val="nil"/>
              <w:bottom w:val="double" w:sz="6" w:space="0" w:color="auto"/>
              <w:right w:val="nil"/>
            </w:tcBorders>
            <w:shd w:val="clear" w:color="auto" w:fill="auto"/>
            <w:noWrap/>
            <w:vAlign w:val="center"/>
            <w:hideMark/>
          </w:tcPr>
          <w:p w14:paraId="2BE2DE42" w14:textId="15684013"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-20 %</w:t>
            </w:r>
          </w:p>
        </w:tc>
      </w:tr>
      <w:tr w:rsidR="00C32614" w:rsidRPr="00F85178" w14:paraId="67769153" w14:textId="77777777" w:rsidTr="00C32614">
        <w:trPr>
          <w:trHeight w:val="345"/>
        </w:trPr>
        <w:tc>
          <w:tcPr>
            <w:tcW w:w="2780" w:type="dxa"/>
            <w:tcBorders>
              <w:top w:val="nil"/>
              <w:left w:val="nil"/>
              <w:bottom w:val="double" w:sz="6" w:space="0" w:color="auto"/>
              <w:right w:val="nil"/>
            </w:tcBorders>
            <w:shd w:val="clear" w:color="auto" w:fill="auto"/>
            <w:noWrap/>
            <w:vAlign w:val="bottom"/>
            <w:hideMark/>
          </w:tcPr>
          <w:p w14:paraId="656992C8" w14:textId="77777777" w:rsidR="00C32614" w:rsidRPr="00F85178" w:rsidRDefault="00C32614" w:rsidP="00C3261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1E30DF6B" w14:textId="77777777" w:rsidR="00C32614" w:rsidRPr="00F85178" w:rsidRDefault="00C32614" w:rsidP="00C32614">
            <w:pPr>
              <w:spacing w:line="240" w:lineRule="auto"/>
              <w:jc w:val="center"/>
              <w:rPr>
                <w:rFonts w:eastAsia="Times New Roman"/>
                <w:b/>
                <w:bCs/>
                <w:szCs w:val="24"/>
                <w:lang w:eastAsia="cs-CZ"/>
              </w:rPr>
            </w:pPr>
            <w:r w:rsidRPr="00F85178">
              <w:rPr>
                <w:rFonts w:eastAsia="Times New Roman"/>
                <w:b/>
                <w:bCs/>
                <w:szCs w:val="24"/>
                <w:lang w:eastAsia="cs-CZ"/>
              </w:rPr>
              <w:t>230</w:t>
            </w:r>
          </w:p>
        </w:tc>
        <w:tc>
          <w:tcPr>
            <w:tcW w:w="1927" w:type="dxa"/>
            <w:tcBorders>
              <w:top w:val="nil"/>
              <w:left w:val="nil"/>
              <w:bottom w:val="double" w:sz="6" w:space="0" w:color="auto"/>
              <w:right w:val="nil"/>
            </w:tcBorders>
            <w:shd w:val="clear" w:color="auto" w:fill="auto"/>
            <w:noWrap/>
            <w:vAlign w:val="center"/>
            <w:hideMark/>
          </w:tcPr>
          <w:p w14:paraId="53F7E0C4" w14:textId="5B6EC974" w:rsidR="00C32614" w:rsidRPr="00F85178" w:rsidRDefault="00C32614" w:rsidP="00C32614">
            <w:pPr>
              <w:spacing w:line="240" w:lineRule="auto"/>
              <w:jc w:val="center"/>
              <w:rPr>
                <w:rFonts w:eastAsia="Times New Roman"/>
                <w:b/>
                <w:bCs/>
                <w:sz w:val="20"/>
                <w:szCs w:val="20"/>
                <w:lang w:eastAsia="cs-CZ"/>
              </w:rPr>
            </w:pPr>
            <w:r w:rsidRPr="00F85178">
              <w:rPr>
                <w:rFonts w:eastAsia="Times New Roman"/>
                <w:b/>
                <w:bCs/>
                <w:sz w:val="20"/>
                <w:szCs w:val="20"/>
                <w:lang w:eastAsia="cs-CZ"/>
              </w:rPr>
              <w:t>-11 %</w:t>
            </w:r>
          </w:p>
        </w:tc>
      </w:tr>
    </w:tbl>
    <w:p w14:paraId="4AB1F9FD" w14:textId="77777777" w:rsidR="00C32614" w:rsidRPr="00F85178" w:rsidRDefault="00C32614" w:rsidP="00205FD6"/>
    <w:p w14:paraId="28D03AC6" w14:textId="77777777" w:rsidR="00C32614" w:rsidRPr="00F85178" w:rsidRDefault="00C32614" w:rsidP="00C32614">
      <w:pPr>
        <w:pStyle w:val="Nadpis3"/>
        <w:rPr>
          <w:color w:val="auto"/>
        </w:rPr>
      </w:pPr>
      <w:bookmarkStart w:id="379" w:name="_Toc14076901"/>
      <w:r w:rsidRPr="00F85178">
        <w:rPr>
          <w:color w:val="auto"/>
        </w:rPr>
        <w:t>Další statistiky</w:t>
      </w:r>
      <w:bookmarkEnd w:id="379"/>
    </w:p>
    <w:p w14:paraId="576B8BEE" w14:textId="77777777" w:rsidR="00D46D0A" w:rsidRPr="00F85178" w:rsidRDefault="00D46D0A" w:rsidP="00D46D0A">
      <w:pPr>
        <w:pStyle w:val="OdstavecASR"/>
      </w:pPr>
      <w:r w:rsidRPr="00F85178">
        <w:t xml:space="preserve">U krajských soudů uvádíme stejné </w:t>
      </w:r>
      <w:r w:rsidRPr="00F85178">
        <w:rPr>
          <w:i/>
        </w:rPr>
        <w:t>další statistiky</w:t>
      </w:r>
      <w:r w:rsidRPr="00F85178">
        <w:t xml:space="preserve"> jako u soudů okresních, tj. míra odvolání, míra změny rozsudku, výši přiznaných nároků a nejběžnější předměty sporu. Díky tomu je tyto statistiky možné porovnat mezi okresními a krajskými soudy.</w:t>
      </w:r>
    </w:p>
    <w:p w14:paraId="53E406AC" w14:textId="2A1B3BF1" w:rsidR="00D46D0A" w:rsidRPr="00F85178" w:rsidRDefault="00D46D0A" w:rsidP="00D46D0A">
      <w:pPr>
        <w:pStyle w:val="OdstavecASR"/>
      </w:pPr>
      <w:r w:rsidRPr="00F85178">
        <w:t xml:space="preserve">Ve srovnání se </w:t>
      </w:r>
      <w:r w:rsidR="00E50379">
        <w:t>s</w:t>
      </w:r>
      <w:r w:rsidR="00E50379" w:rsidRPr="00F85178">
        <w:t xml:space="preserve">tatistickou </w:t>
      </w:r>
      <w:r w:rsidRPr="00F85178">
        <w:t xml:space="preserve">výroční zprávou za rok 2016 byla vypočtená míra odvolání </w:t>
      </w:r>
      <w:r w:rsidR="00677C61" w:rsidRPr="00F85178">
        <w:t>v letech 2017 a 2018</w:t>
      </w:r>
      <w:r w:rsidR="007D4C30" w:rsidRPr="00F85178">
        <w:t xml:space="preserve"> </w:t>
      </w:r>
      <w:r w:rsidRPr="00F85178">
        <w:t xml:space="preserve">ovlivněna především očištěním dat o věci s předmětem sporu </w:t>
      </w:r>
      <w:r w:rsidRPr="00F85178">
        <w:rPr>
          <w:i/>
        </w:rPr>
        <w:t>právní vztahy související se zrušením a likvidací obchodních korporací</w:t>
      </w:r>
      <w:r w:rsidRPr="00F85178">
        <w:t xml:space="preserve"> (viz </w:t>
      </w:r>
      <w:proofErr w:type="gramStart"/>
      <w:r w:rsidRPr="00F85178">
        <w:t xml:space="preserve">podkapitola </w:t>
      </w:r>
      <w:r w:rsidRPr="00F85178">
        <w:fldChar w:fldCharType="begin"/>
      </w:r>
      <w:r w:rsidRPr="00F85178">
        <w:instrText xml:space="preserve"> REF _Ref511302440 \r \h </w:instrText>
      </w:r>
      <w:r w:rsidRPr="00F85178">
        <w:fldChar w:fldCharType="separate"/>
      </w:r>
      <w:r w:rsidR="00306940">
        <w:t>3.2.1</w:t>
      </w:r>
      <w:proofErr w:type="gramEnd"/>
      <w:r w:rsidRPr="00F85178">
        <w:fldChar w:fldCharType="end"/>
      </w:r>
      <w:r w:rsidRPr="00F85178">
        <w:t>)</w:t>
      </w:r>
      <w:r w:rsidR="007D4C30" w:rsidRPr="00F85178">
        <w:t>.</w:t>
      </w:r>
    </w:p>
    <w:p w14:paraId="6DE0CCD3" w14:textId="77777777" w:rsidR="00C32614" w:rsidRPr="00F85178" w:rsidRDefault="00C32614" w:rsidP="00C32614">
      <w:pPr>
        <w:pStyle w:val="Podtitul"/>
        <w:rPr>
          <w:color w:val="auto"/>
        </w:rPr>
      </w:pPr>
      <w:bookmarkStart w:id="380" w:name="_Toc515871471"/>
      <w:bookmarkStart w:id="381" w:name="_Toc11133238"/>
      <w:bookmarkStart w:id="382" w:name="_Toc1383745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36</w:t>
      </w:r>
      <w:r w:rsidRPr="00F85178">
        <w:rPr>
          <w:noProof/>
          <w:color w:val="auto"/>
        </w:rPr>
        <w:fldChar w:fldCharType="end"/>
      </w:r>
      <w:r w:rsidRPr="00F85178">
        <w:rPr>
          <w:color w:val="auto"/>
        </w:rPr>
        <w:t>: KS – míra odvolání dle soudů v civilním řízení</w:t>
      </w:r>
      <w:bookmarkEnd w:id="380"/>
      <w:bookmarkEnd w:id="381"/>
      <w:bookmarkEnd w:id="382"/>
    </w:p>
    <w:tbl>
      <w:tblPr>
        <w:tblW w:w="6300" w:type="dxa"/>
        <w:tblCellMar>
          <w:left w:w="70" w:type="dxa"/>
          <w:right w:w="70" w:type="dxa"/>
        </w:tblCellMar>
        <w:tblLook w:val="04A0" w:firstRow="1" w:lastRow="0" w:firstColumn="1" w:lastColumn="0" w:noHBand="0" w:noVBand="1"/>
      </w:tblPr>
      <w:tblGrid>
        <w:gridCol w:w="2780"/>
        <w:gridCol w:w="1392"/>
        <w:gridCol w:w="2128"/>
      </w:tblGrid>
      <w:tr w:rsidR="00F85178" w:rsidRPr="00F85178" w14:paraId="4D3A96E8" w14:textId="77777777" w:rsidTr="00C32614">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41E9A69" w14:textId="77777777" w:rsidR="00C32614" w:rsidRPr="00F85178" w:rsidRDefault="00C32614" w:rsidP="00C32614">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05168D62" w14:textId="77777777" w:rsidR="00C32614" w:rsidRPr="00F85178" w:rsidRDefault="00C32614" w:rsidP="00BA2312">
            <w:pPr>
              <w:spacing w:line="240" w:lineRule="auto"/>
              <w:jc w:val="center"/>
              <w:rPr>
                <w:rFonts w:eastAsia="Times New Roman"/>
                <w:b/>
                <w:bCs/>
                <w:szCs w:val="24"/>
                <w:lang w:eastAsia="cs-CZ"/>
              </w:rPr>
            </w:pPr>
            <w:r w:rsidRPr="00F85178">
              <w:rPr>
                <w:rFonts w:eastAsia="Times New Roman"/>
                <w:b/>
                <w:bCs/>
                <w:szCs w:val="24"/>
                <w:lang w:eastAsia="cs-CZ"/>
              </w:rPr>
              <w:t>Míra odvolání</w:t>
            </w:r>
          </w:p>
        </w:tc>
      </w:tr>
      <w:tr w:rsidR="00F85178" w:rsidRPr="00F85178" w14:paraId="651FBA90" w14:textId="77777777" w:rsidTr="00C32614">
        <w:trPr>
          <w:trHeight w:val="330"/>
        </w:trPr>
        <w:tc>
          <w:tcPr>
            <w:tcW w:w="2780" w:type="dxa"/>
            <w:tcBorders>
              <w:top w:val="nil"/>
              <w:left w:val="nil"/>
              <w:bottom w:val="single" w:sz="4" w:space="0" w:color="auto"/>
              <w:right w:val="nil"/>
            </w:tcBorders>
            <w:shd w:val="clear" w:color="auto" w:fill="auto"/>
            <w:noWrap/>
            <w:vAlign w:val="bottom"/>
            <w:hideMark/>
          </w:tcPr>
          <w:p w14:paraId="5BBC25DC"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MS Praha</w:t>
            </w:r>
          </w:p>
        </w:tc>
        <w:tc>
          <w:tcPr>
            <w:tcW w:w="1392" w:type="dxa"/>
            <w:tcBorders>
              <w:top w:val="nil"/>
              <w:left w:val="nil"/>
              <w:bottom w:val="single" w:sz="4" w:space="0" w:color="auto"/>
              <w:right w:val="nil"/>
            </w:tcBorders>
            <w:shd w:val="clear" w:color="auto" w:fill="auto"/>
            <w:noWrap/>
            <w:vAlign w:val="bottom"/>
            <w:hideMark/>
          </w:tcPr>
          <w:p w14:paraId="5C05521F"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35,78</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532C4A00" w14:textId="77777777" w:rsidR="00C32614" w:rsidRPr="00F85178" w:rsidRDefault="00C32614" w:rsidP="00135DB1">
            <w:pPr>
              <w:spacing w:line="240" w:lineRule="auto"/>
              <w:jc w:val="center"/>
              <w:rPr>
                <w:rFonts w:eastAsia="Times New Roman"/>
                <w:sz w:val="20"/>
                <w:szCs w:val="20"/>
                <w:lang w:eastAsia="cs-CZ"/>
              </w:rPr>
            </w:pPr>
            <w:r w:rsidRPr="00F85178">
              <w:rPr>
                <w:rFonts w:eastAsia="Times New Roman"/>
                <w:sz w:val="20"/>
                <w:szCs w:val="20"/>
                <w:lang w:eastAsia="cs-CZ"/>
              </w:rPr>
              <w:t>+</w:t>
            </w:r>
            <w:r w:rsidR="00135DB1" w:rsidRPr="00F85178">
              <w:rPr>
                <w:rFonts w:eastAsia="Times New Roman"/>
                <w:sz w:val="20"/>
                <w:szCs w:val="20"/>
                <w:lang w:eastAsia="cs-CZ"/>
              </w:rPr>
              <w:t>5</w:t>
            </w:r>
            <w:r w:rsidRPr="00F85178">
              <w:rPr>
                <w:rFonts w:eastAsia="Times New Roman"/>
                <w:sz w:val="20"/>
                <w:szCs w:val="20"/>
                <w:lang w:eastAsia="cs-CZ"/>
              </w:rPr>
              <w:t>,</w:t>
            </w:r>
            <w:r w:rsidR="00135DB1" w:rsidRPr="00F85178">
              <w:rPr>
                <w:rFonts w:eastAsia="Times New Roman"/>
                <w:sz w:val="20"/>
                <w:szCs w:val="20"/>
                <w:lang w:eastAsia="cs-CZ"/>
              </w:rPr>
              <w:t>8</w:t>
            </w:r>
            <w:r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1181DCF5"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0D451AFB"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Praha</w:t>
            </w:r>
          </w:p>
        </w:tc>
        <w:tc>
          <w:tcPr>
            <w:tcW w:w="1392" w:type="dxa"/>
            <w:tcBorders>
              <w:top w:val="nil"/>
              <w:left w:val="nil"/>
              <w:bottom w:val="single" w:sz="4" w:space="0" w:color="auto"/>
              <w:right w:val="nil"/>
            </w:tcBorders>
            <w:shd w:val="clear" w:color="auto" w:fill="auto"/>
            <w:noWrap/>
            <w:vAlign w:val="bottom"/>
            <w:hideMark/>
          </w:tcPr>
          <w:p w14:paraId="2F28BB8B"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22,20</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48AF8B5A" w14:textId="77777777" w:rsidR="00C32614" w:rsidRPr="00F85178" w:rsidRDefault="00C32614" w:rsidP="00135DB1">
            <w:pPr>
              <w:spacing w:line="240" w:lineRule="auto"/>
              <w:jc w:val="center"/>
              <w:rPr>
                <w:rFonts w:eastAsia="Times New Roman"/>
                <w:sz w:val="20"/>
                <w:szCs w:val="20"/>
                <w:lang w:eastAsia="cs-CZ"/>
              </w:rPr>
            </w:pPr>
            <w:r w:rsidRPr="00F85178">
              <w:rPr>
                <w:rFonts w:eastAsia="Times New Roman"/>
                <w:sz w:val="20"/>
                <w:szCs w:val="20"/>
                <w:lang w:eastAsia="cs-CZ"/>
              </w:rPr>
              <w:t>+</w:t>
            </w:r>
            <w:r w:rsidR="00135DB1" w:rsidRPr="00F85178">
              <w:rPr>
                <w:rFonts w:eastAsia="Times New Roman"/>
                <w:sz w:val="20"/>
                <w:szCs w:val="20"/>
                <w:lang w:eastAsia="cs-CZ"/>
              </w:rPr>
              <w:t>4</w:t>
            </w:r>
            <w:r w:rsidRPr="00F85178">
              <w:rPr>
                <w:rFonts w:eastAsia="Times New Roman"/>
                <w:sz w:val="20"/>
                <w:szCs w:val="20"/>
                <w:lang w:eastAsia="cs-CZ"/>
              </w:rPr>
              <w:t>,</w:t>
            </w:r>
            <w:r w:rsidR="00135DB1" w:rsidRPr="00F85178">
              <w:rPr>
                <w:rFonts w:eastAsia="Times New Roman"/>
                <w:sz w:val="20"/>
                <w:szCs w:val="20"/>
                <w:lang w:eastAsia="cs-CZ"/>
              </w:rPr>
              <w:t>0</w:t>
            </w:r>
            <w:r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06110C14"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3E064DA3"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Č. Budějovice</w:t>
            </w:r>
          </w:p>
        </w:tc>
        <w:tc>
          <w:tcPr>
            <w:tcW w:w="1392" w:type="dxa"/>
            <w:tcBorders>
              <w:top w:val="nil"/>
              <w:left w:val="nil"/>
              <w:bottom w:val="single" w:sz="4" w:space="0" w:color="auto"/>
              <w:right w:val="nil"/>
            </w:tcBorders>
            <w:shd w:val="clear" w:color="auto" w:fill="auto"/>
            <w:noWrap/>
            <w:vAlign w:val="bottom"/>
            <w:hideMark/>
          </w:tcPr>
          <w:p w14:paraId="12DD4D9E"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36,34</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4EF77359" w14:textId="77777777"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+17,0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3C6B8592"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57092093"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Plzeň</w:t>
            </w:r>
          </w:p>
        </w:tc>
        <w:tc>
          <w:tcPr>
            <w:tcW w:w="1392" w:type="dxa"/>
            <w:tcBorders>
              <w:top w:val="nil"/>
              <w:left w:val="nil"/>
              <w:bottom w:val="single" w:sz="4" w:space="0" w:color="auto"/>
              <w:right w:val="nil"/>
            </w:tcBorders>
            <w:shd w:val="clear" w:color="auto" w:fill="auto"/>
            <w:noWrap/>
            <w:vAlign w:val="bottom"/>
            <w:hideMark/>
          </w:tcPr>
          <w:p w14:paraId="143381EB"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18,86</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170BD809" w14:textId="77777777"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w:t>
            </w:r>
            <w:r w:rsidR="00135DB1" w:rsidRPr="00F85178">
              <w:rPr>
                <w:rFonts w:eastAsia="Times New Roman"/>
                <w:sz w:val="20"/>
                <w:szCs w:val="20"/>
                <w:lang w:eastAsia="cs-CZ"/>
              </w:rPr>
              <w:t>3</w:t>
            </w:r>
            <w:r w:rsidR="00BA2312" w:rsidRPr="00F85178">
              <w:rPr>
                <w:rFonts w:eastAsia="Times New Roman"/>
                <w:sz w:val="20"/>
                <w:szCs w:val="20"/>
                <w:lang w:eastAsia="cs-CZ"/>
              </w:rPr>
              <w:t>,</w:t>
            </w:r>
            <w:r w:rsidR="00135DB1" w:rsidRPr="00F85178">
              <w:rPr>
                <w:rFonts w:eastAsia="Times New Roman"/>
                <w:sz w:val="20"/>
                <w:szCs w:val="20"/>
                <w:lang w:eastAsia="cs-CZ"/>
              </w:rPr>
              <w:t>3</w:t>
            </w:r>
            <w:r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5ECDC8B0"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03F003A4"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Ústí n. Labem</w:t>
            </w:r>
          </w:p>
        </w:tc>
        <w:tc>
          <w:tcPr>
            <w:tcW w:w="1392" w:type="dxa"/>
            <w:tcBorders>
              <w:top w:val="nil"/>
              <w:left w:val="nil"/>
              <w:bottom w:val="single" w:sz="4" w:space="0" w:color="auto"/>
              <w:right w:val="nil"/>
            </w:tcBorders>
            <w:shd w:val="clear" w:color="auto" w:fill="auto"/>
            <w:noWrap/>
            <w:vAlign w:val="bottom"/>
            <w:hideMark/>
          </w:tcPr>
          <w:p w14:paraId="29C856A3"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11,12</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05B07D91" w14:textId="77777777" w:rsidR="00C32614" w:rsidRPr="00F85178" w:rsidRDefault="00C32614" w:rsidP="00135DB1">
            <w:pPr>
              <w:spacing w:line="240" w:lineRule="auto"/>
              <w:jc w:val="center"/>
              <w:rPr>
                <w:rFonts w:eastAsia="Times New Roman"/>
                <w:sz w:val="20"/>
                <w:szCs w:val="20"/>
                <w:lang w:eastAsia="cs-CZ"/>
              </w:rPr>
            </w:pPr>
            <w:r w:rsidRPr="00F85178">
              <w:rPr>
                <w:rFonts w:eastAsia="Times New Roman"/>
                <w:sz w:val="20"/>
                <w:szCs w:val="20"/>
                <w:lang w:eastAsia="cs-CZ"/>
              </w:rPr>
              <w:t>-</w:t>
            </w:r>
            <w:r w:rsidR="00135DB1" w:rsidRPr="00F85178">
              <w:rPr>
                <w:rFonts w:eastAsia="Times New Roman"/>
                <w:sz w:val="20"/>
                <w:szCs w:val="20"/>
                <w:lang w:eastAsia="cs-CZ"/>
              </w:rPr>
              <w:t>2</w:t>
            </w:r>
            <w:r w:rsidRPr="00F85178">
              <w:rPr>
                <w:rFonts w:eastAsia="Times New Roman"/>
                <w:sz w:val="20"/>
                <w:szCs w:val="20"/>
                <w:lang w:eastAsia="cs-CZ"/>
              </w:rPr>
              <w:t>,</w:t>
            </w:r>
            <w:r w:rsidR="00135DB1" w:rsidRPr="00F85178">
              <w:rPr>
                <w:rFonts w:eastAsia="Times New Roman"/>
                <w:sz w:val="20"/>
                <w:szCs w:val="20"/>
                <w:lang w:eastAsia="cs-CZ"/>
              </w:rPr>
              <w:t>1</w:t>
            </w:r>
            <w:r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790F4851"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1798FDCD"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Hr. Králové</w:t>
            </w:r>
          </w:p>
        </w:tc>
        <w:tc>
          <w:tcPr>
            <w:tcW w:w="1392" w:type="dxa"/>
            <w:tcBorders>
              <w:top w:val="nil"/>
              <w:left w:val="nil"/>
              <w:bottom w:val="single" w:sz="4" w:space="0" w:color="auto"/>
              <w:right w:val="nil"/>
            </w:tcBorders>
            <w:shd w:val="clear" w:color="auto" w:fill="auto"/>
            <w:noWrap/>
            <w:vAlign w:val="bottom"/>
            <w:hideMark/>
          </w:tcPr>
          <w:p w14:paraId="634D7098"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18,03</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2CE5703B" w14:textId="77777777" w:rsidR="00C32614" w:rsidRPr="00F85178" w:rsidRDefault="00135DB1" w:rsidP="00135DB1">
            <w:pPr>
              <w:spacing w:line="240" w:lineRule="auto"/>
              <w:jc w:val="center"/>
              <w:rPr>
                <w:rFonts w:eastAsia="Times New Roman"/>
                <w:sz w:val="20"/>
                <w:szCs w:val="20"/>
                <w:lang w:eastAsia="cs-CZ"/>
              </w:rPr>
            </w:pPr>
            <w:r w:rsidRPr="00F85178">
              <w:rPr>
                <w:rFonts w:eastAsia="Times New Roman"/>
                <w:sz w:val="20"/>
                <w:szCs w:val="20"/>
                <w:lang w:eastAsia="cs-CZ"/>
              </w:rPr>
              <w:t>-</w:t>
            </w:r>
            <w:r w:rsidR="00C32614" w:rsidRPr="00F85178">
              <w:rPr>
                <w:rFonts w:eastAsia="Times New Roman"/>
                <w:sz w:val="20"/>
                <w:szCs w:val="20"/>
                <w:lang w:eastAsia="cs-CZ"/>
              </w:rPr>
              <w:t>0,</w:t>
            </w:r>
            <w:r w:rsidRPr="00F85178">
              <w:rPr>
                <w:rFonts w:eastAsia="Times New Roman"/>
                <w:sz w:val="20"/>
                <w:szCs w:val="20"/>
                <w:lang w:eastAsia="cs-CZ"/>
              </w:rPr>
              <w:t>9</w:t>
            </w:r>
            <w:r w:rsidR="00C32614"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00C32614" w:rsidRPr="00F85178">
              <w:rPr>
                <w:rFonts w:eastAsia="Times New Roman"/>
                <w:sz w:val="20"/>
                <w:szCs w:val="20"/>
                <w:lang w:eastAsia="cs-CZ"/>
              </w:rPr>
              <w:t>b.</w:t>
            </w:r>
          </w:p>
        </w:tc>
      </w:tr>
      <w:tr w:rsidR="00F85178" w:rsidRPr="00F85178" w14:paraId="50D426DC" w14:textId="77777777" w:rsidTr="00C32614">
        <w:trPr>
          <w:trHeight w:val="315"/>
        </w:trPr>
        <w:tc>
          <w:tcPr>
            <w:tcW w:w="2780" w:type="dxa"/>
            <w:tcBorders>
              <w:top w:val="nil"/>
              <w:left w:val="nil"/>
              <w:bottom w:val="single" w:sz="4" w:space="0" w:color="auto"/>
              <w:right w:val="nil"/>
            </w:tcBorders>
            <w:shd w:val="clear" w:color="auto" w:fill="auto"/>
            <w:noWrap/>
            <w:vAlign w:val="bottom"/>
            <w:hideMark/>
          </w:tcPr>
          <w:p w14:paraId="5A56572A"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Brno</w:t>
            </w:r>
          </w:p>
        </w:tc>
        <w:tc>
          <w:tcPr>
            <w:tcW w:w="1392" w:type="dxa"/>
            <w:tcBorders>
              <w:top w:val="nil"/>
              <w:left w:val="nil"/>
              <w:bottom w:val="single" w:sz="4" w:space="0" w:color="auto"/>
              <w:right w:val="nil"/>
            </w:tcBorders>
            <w:shd w:val="clear" w:color="auto" w:fill="auto"/>
            <w:noWrap/>
            <w:vAlign w:val="bottom"/>
            <w:hideMark/>
          </w:tcPr>
          <w:p w14:paraId="3D5ADD52"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19,88</w:t>
            </w:r>
            <w:r w:rsidR="00135DB1" w:rsidRPr="00F85178">
              <w:rPr>
                <w:rFonts w:eastAsia="Times New Roman"/>
                <w:szCs w:val="24"/>
                <w:lang w:eastAsia="cs-CZ"/>
              </w:rPr>
              <w:t xml:space="preserve"> %</w:t>
            </w:r>
          </w:p>
        </w:tc>
        <w:tc>
          <w:tcPr>
            <w:tcW w:w="2128" w:type="dxa"/>
            <w:tcBorders>
              <w:top w:val="nil"/>
              <w:left w:val="nil"/>
              <w:bottom w:val="single" w:sz="4" w:space="0" w:color="auto"/>
              <w:right w:val="nil"/>
            </w:tcBorders>
            <w:shd w:val="clear" w:color="auto" w:fill="auto"/>
            <w:noWrap/>
            <w:vAlign w:val="center"/>
            <w:hideMark/>
          </w:tcPr>
          <w:p w14:paraId="61E95E51" w14:textId="77777777" w:rsidR="00C32614" w:rsidRPr="00F85178" w:rsidRDefault="00C32614" w:rsidP="00C32614">
            <w:pPr>
              <w:spacing w:line="240" w:lineRule="auto"/>
              <w:jc w:val="center"/>
              <w:rPr>
                <w:rFonts w:eastAsia="Times New Roman"/>
                <w:sz w:val="20"/>
                <w:szCs w:val="20"/>
                <w:lang w:eastAsia="cs-CZ"/>
              </w:rPr>
            </w:pPr>
            <w:r w:rsidRPr="00F85178">
              <w:rPr>
                <w:rFonts w:eastAsia="Times New Roman"/>
                <w:sz w:val="20"/>
                <w:szCs w:val="20"/>
                <w:lang w:eastAsia="cs-CZ"/>
              </w:rPr>
              <w:t>+</w:t>
            </w:r>
            <w:r w:rsidR="00135DB1" w:rsidRPr="00F85178">
              <w:rPr>
                <w:rFonts w:eastAsia="Times New Roman"/>
                <w:sz w:val="20"/>
                <w:szCs w:val="20"/>
                <w:lang w:eastAsia="cs-CZ"/>
              </w:rPr>
              <w:t>6</w:t>
            </w:r>
            <w:r w:rsidRPr="00F85178">
              <w:rPr>
                <w:rFonts w:eastAsia="Times New Roman"/>
                <w:sz w:val="20"/>
                <w:szCs w:val="20"/>
                <w:lang w:eastAsia="cs-CZ"/>
              </w:rPr>
              <w:t>,</w:t>
            </w:r>
            <w:r w:rsidR="00135DB1" w:rsidRPr="00F85178">
              <w:rPr>
                <w:rFonts w:eastAsia="Times New Roman"/>
                <w:sz w:val="20"/>
                <w:szCs w:val="20"/>
                <w:lang w:eastAsia="cs-CZ"/>
              </w:rPr>
              <w:t>1</w:t>
            </w:r>
            <w:r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2060B6CC" w14:textId="77777777" w:rsidTr="00C32614">
        <w:trPr>
          <w:trHeight w:val="330"/>
        </w:trPr>
        <w:tc>
          <w:tcPr>
            <w:tcW w:w="2780" w:type="dxa"/>
            <w:tcBorders>
              <w:top w:val="nil"/>
              <w:left w:val="nil"/>
              <w:bottom w:val="double" w:sz="6" w:space="0" w:color="auto"/>
              <w:right w:val="nil"/>
            </w:tcBorders>
            <w:shd w:val="clear" w:color="auto" w:fill="auto"/>
            <w:noWrap/>
            <w:vAlign w:val="bottom"/>
            <w:hideMark/>
          </w:tcPr>
          <w:p w14:paraId="75E3B32A" w14:textId="77777777" w:rsidR="00C32614" w:rsidRPr="00F85178" w:rsidRDefault="00C32614" w:rsidP="00C32614">
            <w:pPr>
              <w:spacing w:line="240" w:lineRule="auto"/>
              <w:jc w:val="left"/>
              <w:rPr>
                <w:rFonts w:eastAsia="Times New Roman"/>
                <w:szCs w:val="24"/>
                <w:lang w:eastAsia="cs-CZ"/>
              </w:rPr>
            </w:pPr>
            <w:r w:rsidRPr="00F85178">
              <w:rPr>
                <w:rFonts w:eastAsia="Times New Roman"/>
                <w:szCs w:val="24"/>
                <w:lang w:eastAsia="cs-CZ"/>
              </w:rPr>
              <w:t>KS Ostrava</w:t>
            </w:r>
          </w:p>
        </w:tc>
        <w:tc>
          <w:tcPr>
            <w:tcW w:w="1392" w:type="dxa"/>
            <w:tcBorders>
              <w:top w:val="nil"/>
              <w:left w:val="nil"/>
              <w:bottom w:val="double" w:sz="6" w:space="0" w:color="auto"/>
              <w:right w:val="nil"/>
            </w:tcBorders>
            <w:shd w:val="clear" w:color="auto" w:fill="auto"/>
            <w:noWrap/>
            <w:vAlign w:val="bottom"/>
            <w:hideMark/>
          </w:tcPr>
          <w:p w14:paraId="3B5D4C04" w14:textId="77777777" w:rsidR="00C32614" w:rsidRPr="00F85178" w:rsidRDefault="00C32614" w:rsidP="00C32614">
            <w:pPr>
              <w:spacing w:line="240" w:lineRule="auto"/>
              <w:jc w:val="center"/>
              <w:rPr>
                <w:rFonts w:eastAsia="Times New Roman"/>
                <w:szCs w:val="24"/>
                <w:lang w:eastAsia="cs-CZ"/>
              </w:rPr>
            </w:pPr>
            <w:r w:rsidRPr="00F85178">
              <w:rPr>
                <w:rFonts w:eastAsia="Times New Roman"/>
                <w:szCs w:val="24"/>
                <w:lang w:eastAsia="cs-CZ"/>
              </w:rPr>
              <w:t>10,88</w:t>
            </w:r>
            <w:r w:rsidR="00135DB1" w:rsidRPr="00F85178">
              <w:rPr>
                <w:rFonts w:eastAsia="Times New Roman"/>
                <w:szCs w:val="24"/>
                <w:lang w:eastAsia="cs-CZ"/>
              </w:rPr>
              <w:t xml:space="preserve"> %</w:t>
            </w:r>
          </w:p>
        </w:tc>
        <w:tc>
          <w:tcPr>
            <w:tcW w:w="2128" w:type="dxa"/>
            <w:tcBorders>
              <w:top w:val="nil"/>
              <w:left w:val="nil"/>
              <w:bottom w:val="nil"/>
              <w:right w:val="nil"/>
            </w:tcBorders>
            <w:shd w:val="clear" w:color="auto" w:fill="auto"/>
            <w:noWrap/>
            <w:vAlign w:val="center"/>
            <w:hideMark/>
          </w:tcPr>
          <w:p w14:paraId="053A15BD" w14:textId="77777777" w:rsidR="00C32614" w:rsidRPr="00F85178" w:rsidRDefault="00135DB1" w:rsidP="00C32614">
            <w:pPr>
              <w:spacing w:line="240" w:lineRule="auto"/>
              <w:jc w:val="center"/>
              <w:rPr>
                <w:rFonts w:eastAsia="Times New Roman"/>
                <w:sz w:val="20"/>
                <w:szCs w:val="20"/>
                <w:lang w:eastAsia="cs-CZ"/>
              </w:rPr>
            </w:pPr>
            <w:r w:rsidRPr="00F85178">
              <w:rPr>
                <w:rFonts w:eastAsia="Times New Roman"/>
                <w:sz w:val="20"/>
                <w:szCs w:val="20"/>
                <w:lang w:eastAsia="cs-CZ"/>
              </w:rPr>
              <w:t>-</w:t>
            </w:r>
            <w:r w:rsidR="00C32614" w:rsidRPr="00F85178">
              <w:rPr>
                <w:rFonts w:eastAsia="Times New Roman"/>
                <w:sz w:val="20"/>
                <w:szCs w:val="20"/>
                <w:lang w:eastAsia="cs-CZ"/>
              </w:rPr>
              <w:t>0,</w:t>
            </w:r>
            <w:r w:rsidRPr="00F85178">
              <w:rPr>
                <w:rFonts w:eastAsia="Times New Roman"/>
                <w:sz w:val="20"/>
                <w:szCs w:val="20"/>
                <w:lang w:eastAsia="cs-CZ"/>
              </w:rPr>
              <w:t>7</w:t>
            </w:r>
            <w:r w:rsidR="00C32614" w:rsidRPr="00F85178">
              <w:rPr>
                <w:rFonts w:eastAsia="Times New Roman"/>
                <w:sz w:val="20"/>
                <w:szCs w:val="20"/>
                <w:lang w:eastAsia="cs-CZ"/>
              </w:rPr>
              <w:t xml:space="preserve"> p.</w:t>
            </w:r>
            <w:r w:rsidR="00BA2312" w:rsidRPr="00F85178">
              <w:rPr>
                <w:rFonts w:eastAsia="Times New Roman"/>
                <w:sz w:val="20"/>
                <w:szCs w:val="20"/>
                <w:lang w:eastAsia="cs-CZ"/>
              </w:rPr>
              <w:t xml:space="preserve"> </w:t>
            </w:r>
            <w:r w:rsidR="00C32614" w:rsidRPr="00F85178">
              <w:rPr>
                <w:rFonts w:eastAsia="Times New Roman"/>
                <w:sz w:val="20"/>
                <w:szCs w:val="20"/>
                <w:lang w:eastAsia="cs-CZ"/>
              </w:rPr>
              <w:t>b.</w:t>
            </w:r>
          </w:p>
        </w:tc>
      </w:tr>
      <w:tr w:rsidR="00C32614" w:rsidRPr="00F85178" w14:paraId="19ABAB65" w14:textId="77777777" w:rsidTr="00C32614">
        <w:trPr>
          <w:trHeight w:val="345"/>
        </w:trPr>
        <w:tc>
          <w:tcPr>
            <w:tcW w:w="2780" w:type="dxa"/>
            <w:tcBorders>
              <w:top w:val="nil"/>
              <w:left w:val="nil"/>
              <w:bottom w:val="double" w:sz="6" w:space="0" w:color="auto"/>
              <w:right w:val="nil"/>
            </w:tcBorders>
            <w:shd w:val="clear" w:color="auto" w:fill="auto"/>
            <w:noWrap/>
            <w:vAlign w:val="bottom"/>
            <w:hideMark/>
          </w:tcPr>
          <w:p w14:paraId="3951805C" w14:textId="77777777" w:rsidR="00C32614" w:rsidRPr="00F85178" w:rsidRDefault="00C32614" w:rsidP="00C3261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392" w:type="dxa"/>
            <w:tcBorders>
              <w:top w:val="nil"/>
              <w:left w:val="nil"/>
              <w:bottom w:val="double" w:sz="6" w:space="0" w:color="auto"/>
              <w:right w:val="nil"/>
            </w:tcBorders>
            <w:shd w:val="clear" w:color="auto" w:fill="auto"/>
            <w:noWrap/>
            <w:vAlign w:val="bottom"/>
            <w:hideMark/>
          </w:tcPr>
          <w:p w14:paraId="06B61182" w14:textId="77777777" w:rsidR="00C32614" w:rsidRPr="00F85178" w:rsidRDefault="00C32614" w:rsidP="00C32614">
            <w:pPr>
              <w:spacing w:line="240" w:lineRule="auto"/>
              <w:jc w:val="center"/>
              <w:rPr>
                <w:rFonts w:eastAsia="Times New Roman"/>
                <w:b/>
                <w:bCs/>
                <w:szCs w:val="24"/>
                <w:lang w:eastAsia="cs-CZ"/>
              </w:rPr>
            </w:pPr>
            <w:r w:rsidRPr="00F85178">
              <w:rPr>
                <w:rFonts w:eastAsia="Times New Roman"/>
                <w:b/>
                <w:bCs/>
                <w:szCs w:val="24"/>
                <w:lang w:eastAsia="cs-CZ"/>
              </w:rPr>
              <w:t>23,26</w:t>
            </w:r>
            <w:r w:rsidR="00135DB1" w:rsidRPr="00F85178">
              <w:rPr>
                <w:rFonts w:eastAsia="Times New Roman"/>
                <w:b/>
                <w:bCs/>
                <w:szCs w:val="24"/>
                <w:lang w:eastAsia="cs-CZ"/>
              </w:rPr>
              <w:t xml:space="preserve"> %</w:t>
            </w:r>
          </w:p>
        </w:tc>
        <w:tc>
          <w:tcPr>
            <w:tcW w:w="2128" w:type="dxa"/>
            <w:tcBorders>
              <w:top w:val="double" w:sz="6" w:space="0" w:color="auto"/>
              <w:left w:val="nil"/>
              <w:bottom w:val="double" w:sz="6" w:space="0" w:color="auto"/>
              <w:right w:val="nil"/>
            </w:tcBorders>
            <w:shd w:val="clear" w:color="auto" w:fill="auto"/>
            <w:noWrap/>
            <w:vAlign w:val="center"/>
            <w:hideMark/>
          </w:tcPr>
          <w:p w14:paraId="11CA51AA" w14:textId="77777777" w:rsidR="00C32614" w:rsidRPr="00F85178" w:rsidRDefault="00C32614" w:rsidP="00C32614">
            <w:pPr>
              <w:spacing w:line="240" w:lineRule="auto"/>
              <w:jc w:val="center"/>
              <w:rPr>
                <w:rFonts w:eastAsia="Times New Roman"/>
                <w:b/>
                <w:bCs/>
                <w:sz w:val="20"/>
                <w:szCs w:val="20"/>
                <w:lang w:eastAsia="cs-CZ"/>
              </w:rPr>
            </w:pPr>
            <w:r w:rsidRPr="00F85178">
              <w:rPr>
                <w:rFonts w:eastAsia="Times New Roman"/>
                <w:b/>
                <w:bCs/>
                <w:sz w:val="20"/>
                <w:szCs w:val="20"/>
                <w:lang w:eastAsia="cs-CZ"/>
              </w:rPr>
              <w:t>+</w:t>
            </w:r>
            <w:r w:rsidR="00135DB1" w:rsidRPr="00F85178">
              <w:rPr>
                <w:rFonts w:eastAsia="Times New Roman"/>
                <w:b/>
                <w:bCs/>
                <w:sz w:val="20"/>
                <w:szCs w:val="20"/>
                <w:lang w:eastAsia="cs-CZ"/>
              </w:rPr>
              <w:t>4</w:t>
            </w:r>
            <w:r w:rsidRPr="00F85178">
              <w:rPr>
                <w:rFonts w:eastAsia="Times New Roman"/>
                <w:b/>
                <w:bCs/>
                <w:sz w:val="20"/>
                <w:szCs w:val="20"/>
                <w:lang w:eastAsia="cs-CZ"/>
              </w:rPr>
              <w:t>,</w:t>
            </w:r>
            <w:r w:rsidR="00135DB1" w:rsidRPr="00F85178">
              <w:rPr>
                <w:rFonts w:eastAsia="Times New Roman"/>
                <w:b/>
                <w:bCs/>
                <w:sz w:val="20"/>
                <w:szCs w:val="20"/>
                <w:lang w:eastAsia="cs-CZ"/>
              </w:rPr>
              <w:t>1</w:t>
            </w:r>
            <w:r w:rsidRPr="00F85178">
              <w:rPr>
                <w:rFonts w:eastAsia="Times New Roman"/>
                <w:b/>
                <w:bCs/>
                <w:sz w:val="20"/>
                <w:szCs w:val="20"/>
                <w:lang w:eastAsia="cs-CZ"/>
              </w:rPr>
              <w:t xml:space="preserve"> p.</w:t>
            </w:r>
            <w:r w:rsidR="00BA2312" w:rsidRPr="00F85178">
              <w:rPr>
                <w:rFonts w:eastAsia="Times New Roman"/>
                <w:b/>
                <w:bCs/>
                <w:sz w:val="20"/>
                <w:szCs w:val="20"/>
                <w:lang w:eastAsia="cs-CZ"/>
              </w:rPr>
              <w:t xml:space="preserve"> </w:t>
            </w:r>
            <w:r w:rsidRPr="00F85178">
              <w:rPr>
                <w:rFonts w:eastAsia="Times New Roman"/>
                <w:b/>
                <w:bCs/>
                <w:sz w:val="20"/>
                <w:szCs w:val="20"/>
                <w:lang w:eastAsia="cs-CZ"/>
              </w:rPr>
              <w:t>b.</w:t>
            </w:r>
          </w:p>
        </w:tc>
      </w:tr>
    </w:tbl>
    <w:p w14:paraId="69DB03DA" w14:textId="77777777" w:rsidR="00D46D0A" w:rsidRPr="00F85178" w:rsidRDefault="00D46D0A" w:rsidP="00D46D0A">
      <w:pPr>
        <w:pStyle w:val="OdstavecASR"/>
      </w:pPr>
    </w:p>
    <w:p w14:paraId="122FAAF3" w14:textId="77777777" w:rsidR="00D46D0A" w:rsidRPr="00F85178" w:rsidRDefault="004A1B30" w:rsidP="00D46D0A">
      <w:pPr>
        <w:pStyle w:val="OdstavecASR"/>
      </w:pPr>
      <w:r w:rsidRPr="00F85178">
        <w:t>V</w:t>
      </w:r>
      <w:r w:rsidR="00BC14EB" w:rsidRPr="00F85178">
        <w:t> tabulce výše vidíme značné rozdíly mezi jednotlivými soudy. Míra odvolání se skokově zvýšila u</w:t>
      </w:r>
      <w:r w:rsidR="001338F3" w:rsidRPr="00F85178">
        <w:t> </w:t>
      </w:r>
      <w:r w:rsidR="00BC14EB" w:rsidRPr="00F85178">
        <w:t xml:space="preserve">KS České Budějovice, dále se zvýšila u </w:t>
      </w:r>
      <w:r w:rsidR="00BA2312" w:rsidRPr="00F85178">
        <w:t xml:space="preserve">KS Brno a </w:t>
      </w:r>
      <w:r w:rsidR="00BC14EB" w:rsidRPr="00F85178">
        <w:t xml:space="preserve">MS Praha. </w:t>
      </w:r>
      <w:r w:rsidR="006C35DB" w:rsidRPr="00F85178">
        <w:t>Při srovnání s tabulkou 11 vidíme, že</w:t>
      </w:r>
      <w:r w:rsidR="00BC14EB" w:rsidRPr="00F85178">
        <w:t xml:space="preserve"> celková míra odvolání na úrovni </w:t>
      </w:r>
      <w:r w:rsidR="000C6F85" w:rsidRPr="00F85178">
        <w:t>okresních soudů</w:t>
      </w:r>
      <w:r w:rsidR="00BC14EB" w:rsidRPr="00F85178">
        <w:t xml:space="preserve"> zůstala v roce 2018 </w:t>
      </w:r>
      <w:r w:rsidR="006C35DB" w:rsidRPr="00F85178">
        <w:t xml:space="preserve">v zásadě </w:t>
      </w:r>
      <w:r w:rsidR="00BC14EB" w:rsidRPr="00F85178">
        <w:t xml:space="preserve">stejná, </w:t>
      </w:r>
      <w:r w:rsidR="006C35DB" w:rsidRPr="00F85178">
        <w:t xml:space="preserve">zatímco </w:t>
      </w:r>
      <w:r w:rsidR="00BC14EB" w:rsidRPr="00F85178">
        <w:t>u</w:t>
      </w:r>
      <w:r w:rsidR="001338F3" w:rsidRPr="00F85178">
        <w:t> </w:t>
      </w:r>
      <w:r w:rsidR="00BC14EB" w:rsidRPr="00F85178">
        <w:t xml:space="preserve">krajských soudů </w:t>
      </w:r>
      <w:r w:rsidR="006C35DB" w:rsidRPr="00F85178">
        <w:t>je třikrát vyšší</w:t>
      </w:r>
      <w:r w:rsidR="00BA2312" w:rsidRPr="00F85178">
        <w:t xml:space="preserve">. To </w:t>
      </w:r>
      <w:r w:rsidR="006C35DB" w:rsidRPr="00F85178">
        <w:t>souvisí s náročností a závažností vyřizované agendy</w:t>
      </w:r>
      <w:r w:rsidR="00BC14EB" w:rsidRPr="00F85178">
        <w:t xml:space="preserve">. Stále </w:t>
      </w:r>
      <w:r w:rsidR="000C6F85" w:rsidRPr="00F85178">
        <w:t xml:space="preserve">také </w:t>
      </w:r>
      <w:r w:rsidR="00BC14EB" w:rsidRPr="00F85178">
        <w:t xml:space="preserve">platí, že </w:t>
      </w:r>
      <w:r w:rsidR="00D46D0A" w:rsidRPr="00F85178">
        <w:t>relativně nízkou míru odvolání pak mají soudy v Severočeském a Severomoravském kraji</w:t>
      </w:r>
      <w:r w:rsidR="00BC14EB" w:rsidRPr="00F85178">
        <w:t>, u který</w:t>
      </w:r>
      <w:r w:rsidRPr="00F85178">
        <w:t>ch</w:t>
      </w:r>
      <w:r w:rsidR="00BC14EB" w:rsidRPr="00F85178">
        <w:t xml:space="preserve"> se v roce 2018 dále snížila.</w:t>
      </w:r>
    </w:p>
    <w:p w14:paraId="49BDDD35" w14:textId="77777777" w:rsidR="00C32614" w:rsidRPr="00F85178" w:rsidRDefault="00C32614" w:rsidP="00205FD6"/>
    <w:p w14:paraId="13DC052F" w14:textId="77777777" w:rsidR="00DE2792" w:rsidRPr="00F85178" w:rsidRDefault="00DE2792" w:rsidP="00DE2792">
      <w:pPr>
        <w:pStyle w:val="Podtitul"/>
        <w:rPr>
          <w:color w:val="auto"/>
        </w:rPr>
      </w:pPr>
      <w:bookmarkStart w:id="383" w:name="_Toc515871472"/>
      <w:bookmarkStart w:id="384" w:name="_Toc11133239"/>
      <w:bookmarkStart w:id="385" w:name="_Toc13837460"/>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37</w:t>
      </w:r>
      <w:r w:rsidRPr="00F85178">
        <w:rPr>
          <w:noProof/>
          <w:color w:val="auto"/>
        </w:rPr>
        <w:fldChar w:fldCharType="end"/>
      </w:r>
      <w:r w:rsidRPr="00F85178">
        <w:rPr>
          <w:color w:val="auto"/>
        </w:rPr>
        <w:t>: KS – míra změny rozsudku dle soudů v civilním řízení</w:t>
      </w:r>
      <w:bookmarkEnd w:id="383"/>
      <w:bookmarkEnd w:id="384"/>
      <w:bookmarkEnd w:id="385"/>
    </w:p>
    <w:tbl>
      <w:tblPr>
        <w:tblW w:w="6980" w:type="dxa"/>
        <w:tblCellMar>
          <w:left w:w="70" w:type="dxa"/>
          <w:right w:w="70" w:type="dxa"/>
        </w:tblCellMar>
        <w:tblLook w:val="04A0" w:firstRow="1" w:lastRow="0" w:firstColumn="1" w:lastColumn="0" w:noHBand="0" w:noVBand="1"/>
      </w:tblPr>
      <w:tblGrid>
        <w:gridCol w:w="2780"/>
        <w:gridCol w:w="1708"/>
        <w:gridCol w:w="2492"/>
      </w:tblGrid>
      <w:tr w:rsidR="00F85178" w:rsidRPr="00F85178" w14:paraId="48A207DE" w14:textId="77777777" w:rsidTr="00DE2792">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ABFA820" w14:textId="77777777" w:rsidR="00DE2792" w:rsidRPr="00F85178" w:rsidRDefault="00DE2792" w:rsidP="00DE2792">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25A1BB7A" w14:textId="77777777" w:rsidR="00DE2792" w:rsidRPr="00F85178" w:rsidRDefault="00BA2312" w:rsidP="00BA2312">
            <w:pPr>
              <w:spacing w:line="240" w:lineRule="auto"/>
              <w:jc w:val="center"/>
              <w:rPr>
                <w:rFonts w:eastAsia="Times New Roman"/>
                <w:b/>
                <w:bCs/>
                <w:szCs w:val="24"/>
                <w:lang w:eastAsia="cs-CZ"/>
              </w:rPr>
            </w:pPr>
            <w:r w:rsidRPr="00F85178">
              <w:rPr>
                <w:rFonts w:eastAsia="Times New Roman"/>
                <w:b/>
                <w:bCs/>
                <w:szCs w:val="24"/>
                <w:lang w:eastAsia="cs-CZ"/>
              </w:rPr>
              <w:t>Míra změny rozsudku</w:t>
            </w:r>
          </w:p>
        </w:tc>
      </w:tr>
      <w:tr w:rsidR="00F85178" w:rsidRPr="00F85178" w14:paraId="7D437E69" w14:textId="77777777" w:rsidTr="00DE2792">
        <w:trPr>
          <w:trHeight w:val="330"/>
        </w:trPr>
        <w:tc>
          <w:tcPr>
            <w:tcW w:w="2780" w:type="dxa"/>
            <w:tcBorders>
              <w:top w:val="nil"/>
              <w:left w:val="nil"/>
              <w:bottom w:val="single" w:sz="4" w:space="0" w:color="auto"/>
              <w:right w:val="nil"/>
            </w:tcBorders>
            <w:shd w:val="clear" w:color="auto" w:fill="auto"/>
            <w:noWrap/>
            <w:vAlign w:val="bottom"/>
            <w:hideMark/>
          </w:tcPr>
          <w:p w14:paraId="0B14B39B"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MS Praha</w:t>
            </w:r>
          </w:p>
        </w:tc>
        <w:tc>
          <w:tcPr>
            <w:tcW w:w="1708" w:type="dxa"/>
            <w:tcBorders>
              <w:top w:val="nil"/>
              <w:left w:val="nil"/>
              <w:bottom w:val="single" w:sz="4" w:space="0" w:color="auto"/>
              <w:right w:val="nil"/>
            </w:tcBorders>
            <w:shd w:val="clear" w:color="auto" w:fill="auto"/>
            <w:noWrap/>
            <w:vAlign w:val="bottom"/>
            <w:hideMark/>
          </w:tcPr>
          <w:p w14:paraId="343B00A0"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51,70</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5693C042"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+2,4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5840AC0F"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21558B91"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Praha</w:t>
            </w:r>
          </w:p>
        </w:tc>
        <w:tc>
          <w:tcPr>
            <w:tcW w:w="1708" w:type="dxa"/>
            <w:tcBorders>
              <w:top w:val="nil"/>
              <w:left w:val="nil"/>
              <w:bottom w:val="single" w:sz="4" w:space="0" w:color="auto"/>
              <w:right w:val="nil"/>
            </w:tcBorders>
            <w:shd w:val="clear" w:color="auto" w:fill="auto"/>
            <w:noWrap/>
            <w:vAlign w:val="bottom"/>
            <w:hideMark/>
          </w:tcPr>
          <w:p w14:paraId="69D7F23F"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54,84</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1C753A0C"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+1,4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6D5EEB8E"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4415A326"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Č. Budějovice</w:t>
            </w:r>
          </w:p>
        </w:tc>
        <w:tc>
          <w:tcPr>
            <w:tcW w:w="1708" w:type="dxa"/>
            <w:tcBorders>
              <w:top w:val="nil"/>
              <w:left w:val="nil"/>
              <w:bottom w:val="single" w:sz="4" w:space="0" w:color="auto"/>
              <w:right w:val="nil"/>
            </w:tcBorders>
            <w:shd w:val="clear" w:color="auto" w:fill="auto"/>
            <w:noWrap/>
            <w:vAlign w:val="bottom"/>
            <w:hideMark/>
          </w:tcPr>
          <w:p w14:paraId="0D20D1A2"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52,04</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3F16EBC0"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-11,6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561E191F"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6D7F9960"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Plzeň</w:t>
            </w:r>
          </w:p>
        </w:tc>
        <w:tc>
          <w:tcPr>
            <w:tcW w:w="1708" w:type="dxa"/>
            <w:tcBorders>
              <w:top w:val="nil"/>
              <w:left w:val="nil"/>
              <w:bottom w:val="single" w:sz="4" w:space="0" w:color="auto"/>
              <w:right w:val="nil"/>
            </w:tcBorders>
            <w:shd w:val="clear" w:color="auto" w:fill="auto"/>
            <w:noWrap/>
            <w:vAlign w:val="bottom"/>
            <w:hideMark/>
          </w:tcPr>
          <w:p w14:paraId="532BDC34"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48,78</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54AB991F" w14:textId="77777777" w:rsidR="00DE2792" w:rsidRPr="00F85178" w:rsidRDefault="00DE2792" w:rsidP="00BA2312">
            <w:pPr>
              <w:spacing w:line="240" w:lineRule="auto"/>
              <w:jc w:val="center"/>
              <w:rPr>
                <w:rFonts w:eastAsia="Times New Roman"/>
                <w:sz w:val="20"/>
                <w:szCs w:val="20"/>
                <w:lang w:eastAsia="cs-CZ"/>
              </w:rPr>
            </w:pPr>
            <w:r w:rsidRPr="00F85178">
              <w:rPr>
                <w:rFonts w:eastAsia="Times New Roman"/>
                <w:sz w:val="20"/>
                <w:szCs w:val="20"/>
                <w:lang w:eastAsia="cs-CZ"/>
              </w:rPr>
              <w:t>-7,4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45518BA6"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5BB69273"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Ústí n. Labem</w:t>
            </w:r>
          </w:p>
        </w:tc>
        <w:tc>
          <w:tcPr>
            <w:tcW w:w="1708" w:type="dxa"/>
            <w:tcBorders>
              <w:top w:val="nil"/>
              <w:left w:val="nil"/>
              <w:bottom w:val="single" w:sz="4" w:space="0" w:color="auto"/>
              <w:right w:val="nil"/>
            </w:tcBorders>
            <w:shd w:val="clear" w:color="auto" w:fill="auto"/>
            <w:noWrap/>
            <w:vAlign w:val="bottom"/>
            <w:hideMark/>
          </w:tcPr>
          <w:p w14:paraId="061D3DF7"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49,41</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2ADEEDB2"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-0,6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7B457D3A"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64672BCE"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Hr. Králové</w:t>
            </w:r>
          </w:p>
        </w:tc>
        <w:tc>
          <w:tcPr>
            <w:tcW w:w="1708" w:type="dxa"/>
            <w:tcBorders>
              <w:top w:val="nil"/>
              <w:left w:val="nil"/>
              <w:bottom w:val="single" w:sz="4" w:space="0" w:color="auto"/>
              <w:right w:val="nil"/>
            </w:tcBorders>
            <w:shd w:val="clear" w:color="auto" w:fill="auto"/>
            <w:noWrap/>
            <w:vAlign w:val="bottom"/>
            <w:hideMark/>
          </w:tcPr>
          <w:p w14:paraId="65086922"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55,56</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0EB61B64"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-5,7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2DEA7605" w14:textId="77777777" w:rsidTr="00DE2792">
        <w:trPr>
          <w:trHeight w:val="315"/>
        </w:trPr>
        <w:tc>
          <w:tcPr>
            <w:tcW w:w="2780" w:type="dxa"/>
            <w:tcBorders>
              <w:top w:val="nil"/>
              <w:left w:val="nil"/>
              <w:bottom w:val="single" w:sz="4" w:space="0" w:color="auto"/>
              <w:right w:val="nil"/>
            </w:tcBorders>
            <w:shd w:val="clear" w:color="auto" w:fill="auto"/>
            <w:noWrap/>
            <w:vAlign w:val="bottom"/>
            <w:hideMark/>
          </w:tcPr>
          <w:p w14:paraId="33E2193A"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Brno</w:t>
            </w:r>
          </w:p>
        </w:tc>
        <w:tc>
          <w:tcPr>
            <w:tcW w:w="1708" w:type="dxa"/>
            <w:tcBorders>
              <w:top w:val="nil"/>
              <w:left w:val="nil"/>
              <w:bottom w:val="single" w:sz="4" w:space="0" w:color="auto"/>
              <w:right w:val="nil"/>
            </w:tcBorders>
            <w:shd w:val="clear" w:color="auto" w:fill="auto"/>
            <w:noWrap/>
            <w:vAlign w:val="bottom"/>
            <w:hideMark/>
          </w:tcPr>
          <w:p w14:paraId="03EE82FE"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48,12</w:t>
            </w:r>
            <w:r w:rsidR="00BA2312" w:rsidRPr="00F85178">
              <w:rPr>
                <w:rFonts w:eastAsia="Times New Roman"/>
                <w:szCs w:val="24"/>
                <w:lang w:eastAsia="cs-CZ"/>
              </w:rPr>
              <w:t xml:space="preserve"> %</w:t>
            </w:r>
          </w:p>
        </w:tc>
        <w:tc>
          <w:tcPr>
            <w:tcW w:w="2492" w:type="dxa"/>
            <w:tcBorders>
              <w:top w:val="nil"/>
              <w:left w:val="nil"/>
              <w:bottom w:val="single" w:sz="4" w:space="0" w:color="auto"/>
              <w:right w:val="nil"/>
            </w:tcBorders>
            <w:shd w:val="clear" w:color="auto" w:fill="auto"/>
            <w:noWrap/>
            <w:vAlign w:val="center"/>
            <w:hideMark/>
          </w:tcPr>
          <w:p w14:paraId="7023F13C"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+3,9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1E1D8A96" w14:textId="77777777" w:rsidTr="00DE2792">
        <w:trPr>
          <w:trHeight w:val="330"/>
        </w:trPr>
        <w:tc>
          <w:tcPr>
            <w:tcW w:w="2780" w:type="dxa"/>
            <w:tcBorders>
              <w:top w:val="nil"/>
              <w:left w:val="nil"/>
              <w:bottom w:val="double" w:sz="6" w:space="0" w:color="auto"/>
              <w:right w:val="nil"/>
            </w:tcBorders>
            <w:shd w:val="clear" w:color="auto" w:fill="auto"/>
            <w:noWrap/>
            <w:vAlign w:val="bottom"/>
            <w:hideMark/>
          </w:tcPr>
          <w:p w14:paraId="16BE74F6" w14:textId="77777777" w:rsidR="00DE2792" w:rsidRPr="00F85178" w:rsidRDefault="00DE2792" w:rsidP="00DE2792">
            <w:pPr>
              <w:spacing w:line="240" w:lineRule="auto"/>
              <w:jc w:val="left"/>
              <w:rPr>
                <w:rFonts w:eastAsia="Times New Roman"/>
                <w:szCs w:val="24"/>
                <w:lang w:eastAsia="cs-CZ"/>
              </w:rPr>
            </w:pPr>
            <w:r w:rsidRPr="00F85178">
              <w:rPr>
                <w:rFonts w:eastAsia="Times New Roman"/>
                <w:szCs w:val="24"/>
                <w:lang w:eastAsia="cs-CZ"/>
              </w:rPr>
              <w:t>KS Ostrava</w:t>
            </w:r>
          </w:p>
        </w:tc>
        <w:tc>
          <w:tcPr>
            <w:tcW w:w="1708" w:type="dxa"/>
            <w:tcBorders>
              <w:top w:val="nil"/>
              <w:left w:val="nil"/>
              <w:bottom w:val="double" w:sz="6" w:space="0" w:color="auto"/>
              <w:right w:val="nil"/>
            </w:tcBorders>
            <w:shd w:val="clear" w:color="auto" w:fill="auto"/>
            <w:noWrap/>
            <w:vAlign w:val="bottom"/>
            <w:hideMark/>
          </w:tcPr>
          <w:p w14:paraId="2399BE5C" w14:textId="77777777" w:rsidR="00DE2792" w:rsidRPr="00F85178" w:rsidRDefault="00DE2792" w:rsidP="00DE2792">
            <w:pPr>
              <w:spacing w:line="240" w:lineRule="auto"/>
              <w:jc w:val="center"/>
              <w:rPr>
                <w:rFonts w:eastAsia="Times New Roman"/>
                <w:szCs w:val="24"/>
                <w:lang w:eastAsia="cs-CZ"/>
              </w:rPr>
            </w:pPr>
            <w:r w:rsidRPr="00F85178">
              <w:rPr>
                <w:rFonts w:eastAsia="Times New Roman"/>
                <w:szCs w:val="24"/>
                <w:lang w:eastAsia="cs-CZ"/>
              </w:rPr>
              <w:t>47,53</w:t>
            </w:r>
            <w:r w:rsidR="00BA2312" w:rsidRPr="00F85178">
              <w:rPr>
                <w:rFonts w:eastAsia="Times New Roman"/>
                <w:szCs w:val="24"/>
                <w:lang w:eastAsia="cs-CZ"/>
              </w:rPr>
              <w:t xml:space="preserve"> %</w:t>
            </w:r>
          </w:p>
        </w:tc>
        <w:tc>
          <w:tcPr>
            <w:tcW w:w="2492" w:type="dxa"/>
            <w:tcBorders>
              <w:top w:val="nil"/>
              <w:left w:val="nil"/>
              <w:bottom w:val="nil"/>
              <w:right w:val="nil"/>
            </w:tcBorders>
            <w:shd w:val="clear" w:color="auto" w:fill="auto"/>
            <w:noWrap/>
            <w:vAlign w:val="center"/>
            <w:hideMark/>
          </w:tcPr>
          <w:p w14:paraId="5C28A3B7" w14:textId="77777777" w:rsidR="00DE2792" w:rsidRPr="00F85178" w:rsidRDefault="00DE2792" w:rsidP="00DE2792">
            <w:pPr>
              <w:spacing w:line="240" w:lineRule="auto"/>
              <w:jc w:val="center"/>
              <w:rPr>
                <w:rFonts w:eastAsia="Times New Roman"/>
                <w:sz w:val="20"/>
                <w:szCs w:val="20"/>
                <w:lang w:eastAsia="cs-CZ"/>
              </w:rPr>
            </w:pPr>
            <w:r w:rsidRPr="00F85178">
              <w:rPr>
                <w:rFonts w:eastAsia="Times New Roman"/>
                <w:sz w:val="20"/>
                <w:szCs w:val="20"/>
                <w:lang w:eastAsia="cs-CZ"/>
              </w:rPr>
              <w:t>+2,1 p.</w:t>
            </w:r>
            <w:r w:rsidR="00BA2312" w:rsidRPr="00F85178">
              <w:rPr>
                <w:rFonts w:eastAsia="Times New Roman"/>
                <w:sz w:val="20"/>
                <w:szCs w:val="20"/>
                <w:lang w:eastAsia="cs-CZ"/>
              </w:rPr>
              <w:t xml:space="preserve"> </w:t>
            </w:r>
            <w:r w:rsidRPr="00F85178">
              <w:rPr>
                <w:rFonts w:eastAsia="Times New Roman"/>
                <w:sz w:val="20"/>
                <w:szCs w:val="20"/>
                <w:lang w:eastAsia="cs-CZ"/>
              </w:rPr>
              <w:t>b.</w:t>
            </w:r>
          </w:p>
        </w:tc>
      </w:tr>
      <w:tr w:rsidR="00DE2792" w:rsidRPr="00F85178" w14:paraId="2C4E44B3" w14:textId="77777777" w:rsidTr="00DE2792">
        <w:trPr>
          <w:trHeight w:val="345"/>
        </w:trPr>
        <w:tc>
          <w:tcPr>
            <w:tcW w:w="2780" w:type="dxa"/>
            <w:tcBorders>
              <w:top w:val="nil"/>
              <w:left w:val="nil"/>
              <w:bottom w:val="double" w:sz="6" w:space="0" w:color="auto"/>
              <w:right w:val="nil"/>
            </w:tcBorders>
            <w:shd w:val="clear" w:color="auto" w:fill="auto"/>
            <w:noWrap/>
            <w:vAlign w:val="bottom"/>
            <w:hideMark/>
          </w:tcPr>
          <w:p w14:paraId="6E5A4D91" w14:textId="77777777" w:rsidR="00DE2792" w:rsidRPr="00F85178" w:rsidRDefault="00DE2792" w:rsidP="00DE2792">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708" w:type="dxa"/>
            <w:tcBorders>
              <w:top w:val="nil"/>
              <w:left w:val="nil"/>
              <w:bottom w:val="double" w:sz="6" w:space="0" w:color="auto"/>
              <w:right w:val="nil"/>
            </w:tcBorders>
            <w:shd w:val="clear" w:color="auto" w:fill="auto"/>
            <w:noWrap/>
            <w:vAlign w:val="bottom"/>
            <w:hideMark/>
          </w:tcPr>
          <w:p w14:paraId="195EB2E8" w14:textId="77777777" w:rsidR="00DE2792" w:rsidRPr="00F85178" w:rsidRDefault="00DE2792" w:rsidP="00DE2792">
            <w:pPr>
              <w:spacing w:line="240" w:lineRule="auto"/>
              <w:jc w:val="center"/>
              <w:rPr>
                <w:rFonts w:eastAsia="Times New Roman"/>
                <w:b/>
                <w:bCs/>
                <w:szCs w:val="24"/>
                <w:lang w:eastAsia="cs-CZ"/>
              </w:rPr>
            </w:pPr>
            <w:r w:rsidRPr="00F85178">
              <w:rPr>
                <w:rFonts w:eastAsia="Times New Roman"/>
                <w:b/>
                <w:bCs/>
                <w:szCs w:val="24"/>
                <w:lang w:eastAsia="cs-CZ"/>
              </w:rPr>
              <w:t>51,06</w:t>
            </w:r>
            <w:r w:rsidR="00BA2312" w:rsidRPr="00F85178">
              <w:rPr>
                <w:rFonts w:eastAsia="Times New Roman"/>
                <w:b/>
                <w:bCs/>
                <w:szCs w:val="24"/>
                <w:lang w:eastAsia="cs-CZ"/>
              </w:rPr>
              <w:t xml:space="preserve"> %</w:t>
            </w:r>
          </w:p>
        </w:tc>
        <w:tc>
          <w:tcPr>
            <w:tcW w:w="2492" w:type="dxa"/>
            <w:tcBorders>
              <w:top w:val="double" w:sz="6" w:space="0" w:color="auto"/>
              <w:left w:val="nil"/>
              <w:bottom w:val="double" w:sz="6" w:space="0" w:color="auto"/>
              <w:right w:val="nil"/>
            </w:tcBorders>
            <w:shd w:val="clear" w:color="auto" w:fill="auto"/>
            <w:noWrap/>
            <w:vAlign w:val="center"/>
            <w:hideMark/>
          </w:tcPr>
          <w:p w14:paraId="6102323D" w14:textId="77777777" w:rsidR="00DE2792" w:rsidRPr="00F85178" w:rsidRDefault="00DE2792" w:rsidP="00DE2792">
            <w:pPr>
              <w:spacing w:line="240" w:lineRule="auto"/>
              <w:jc w:val="center"/>
              <w:rPr>
                <w:rFonts w:eastAsia="Times New Roman"/>
                <w:b/>
                <w:bCs/>
                <w:sz w:val="20"/>
                <w:szCs w:val="20"/>
                <w:lang w:eastAsia="cs-CZ"/>
              </w:rPr>
            </w:pPr>
            <w:r w:rsidRPr="00F85178">
              <w:rPr>
                <w:rFonts w:eastAsia="Times New Roman"/>
                <w:b/>
                <w:bCs/>
                <w:sz w:val="20"/>
                <w:szCs w:val="20"/>
                <w:lang w:eastAsia="cs-CZ"/>
              </w:rPr>
              <w:t>+0,4 p.</w:t>
            </w:r>
            <w:r w:rsidR="00BA2312" w:rsidRPr="00F85178">
              <w:rPr>
                <w:rFonts w:eastAsia="Times New Roman"/>
                <w:b/>
                <w:bCs/>
                <w:sz w:val="20"/>
                <w:szCs w:val="20"/>
                <w:lang w:eastAsia="cs-CZ"/>
              </w:rPr>
              <w:t xml:space="preserve"> </w:t>
            </w:r>
            <w:r w:rsidRPr="00F85178">
              <w:rPr>
                <w:rFonts w:eastAsia="Times New Roman"/>
                <w:b/>
                <w:bCs/>
                <w:sz w:val="20"/>
                <w:szCs w:val="20"/>
                <w:lang w:eastAsia="cs-CZ"/>
              </w:rPr>
              <w:t>b.</w:t>
            </w:r>
          </w:p>
        </w:tc>
      </w:tr>
    </w:tbl>
    <w:p w14:paraId="51AE4824" w14:textId="77777777" w:rsidR="00DE2792" w:rsidRPr="00F85178" w:rsidRDefault="00DE2792" w:rsidP="00205FD6"/>
    <w:p w14:paraId="26126100" w14:textId="77777777" w:rsidR="00D46D0A" w:rsidRPr="00F85178" w:rsidRDefault="00D46D0A" w:rsidP="00D46D0A">
      <w:pPr>
        <w:pStyle w:val="OdstavecASR"/>
      </w:pPr>
      <w:r w:rsidRPr="00F85178">
        <w:t>Rozdíly mezi jednotlivými soudy v míře změny rozsudku jsou menší než u míry odvolání, přítomny jsou zde ale také. Míra změny rozsudku je také vyšší než u okresních soudů, tentokrát asi o </w:t>
      </w:r>
      <w:r w:rsidR="004B1614" w:rsidRPr="00F85178">
        <w:t>7</w:t>
      </w:r>
      <w:r w:rsidR="00BA2312" w:rsidRPr="00F85178">
        <w:t> </w:t>
      </w:r>
      <w:r w:rsidRPr="00F85178">
        <w:t>procentních bodů.</w:t>
      </w:r>
    </w:p>
    <w:p w14:paraId="2A200143" w14:textId="77777777" w:rsidR="00D46D0A" w:rsidRPr="00F85178" w:rsidRDefault="00D46D0A" w:rsidP="00D46D0A">
      <w:pPr>
        <w:pStyle w:val="OdstavecASR"/>
      </w:pPr>
      <w:r w:rsidRPr="00F85178">
        <w:t xml:space="preserve">Celková míra změny rozsudku je nejvyšší </w:t>
      </w:r>
      <w:r w:rsidR="004B1614" w:rsidRPr="00F85178">
        <w:t xml:space="preserve">u </w:t>
      </w:r>
      <w:r w:rsidR="00BA2312" w:rsidRPr="00F85178">
        <w:t>K</w:t>
      </w:r>
      <w:r w:rsidR="004B1614" w:rsidRPr="00F85178">
        <w:t>rajského soudu v Hradci Králové, následuje KS Praha a České Budějovice. N</w:t>
      </w:r>
      <w:r w:rsidRPr="00F85178">
        <w:t xml:space="preserve">ejnižší </w:t>
      </w:r>
      <w:r w:rsidR="00E70E8E" w:rsidRPr="00F85178">
        <w:t xml:space="preserve">je </w:t>
      </w:r>
      <w:r w:rsidRPr="00F85178">
        <w:t>u KS v Ostravě a </w:t>
      </w:r>
      <w:r w:rsidR="004B1614" w:rsidRPr="00F85178">
        <w:t xml:space="preserve">Brně. </w:t>
      </w:r>
      <w:r w:rsidRPr="00F85178">
        <w:t>Toto plyne především z rozdílů v míře odvolání.</w:t>
      </w:r>
    </w:p>
    <w:p w14:paraId="28DD2D06" w14:textId="77777777" w:rsidR="00D46D0A" w:rsidRPr="00F85178" w:rsidRDefault="00D46D0A" w:rsidP="00D46D0A">
      <w:pPr>
        <w:pStyle w:val="OdstavecASR"/>
      </w:pPr>
      <w:r w:rsidRPr="00F85178">
        <w:t xml:space="preserve">Nakonec ještě krátce porovnáme </w:t>
      </w:r>
      <w:r w:rsidR="001751A8" w:rsidRPr="00F85178">
        <w:t>poslední tři roky</w:t>
      </w:r>
      <w:r w:rsidR="00DC6241" w:rsidRPr="00F85178">
        <w:t>.</w:t>
      </w:r>
      <w:r w:rsidRPr="00F85178">
        <w:t xml:space="preserve"> V roce 2016 byla míra odvolání (dle současné metodiky) 14,07 % a míra změny rozsudku 50,33 %, zatímco v roce 2017 dosáhla míra odvolání 19,20 % a míra změny rozsudku 50,64 %</w:t>
      </w:r>
      <w:r w:rsidR="001751A8" w:rsidRPr="00F85178">
        <w:t xml:space="preserve"> a v roce </w:t>
      </w:r>
      <w:r w:rsidR="00CE65D5" w:rsidRPr="00F85178">
        <w:t>2018 byly hodnoty 23,26</w:t>
      </w:r>
      <w:r w:rsidR="001338F3" w:rsidRPr="00F85178">
        <w:t xml:space="preserve"> </w:t>
      </w:r>
      <w:r w:rsidR="00CE65D5" w:rsidRPr="00F85178">
        <w:t>% a 51,06</w:t>
      </w:r>
      <w:r w:rsidR="001338F3" w:rsidRPr="00F85178">
        <w:t xml:space="preserve"> </w:t>
      </w:r>
      <w:r w:rsidR="00CE65D5" w:rsidRPr="00F85178">
        <w:t>%</w:t>
      </w:r>
      <w:r w:rsidRPr="00F85178">
        <w:t>.</w:t>
      </w:r>
    </w:p>
    <w:p w14:paraId="4815162C" w14:textId="77777777" w:rsidR="001751A8" w:rsidRPr="00F85178" w:rsidRDefault="00D46D0A" w:rsidP="00D46D0A">
      <w:pPr>
        <w:pStyle w:val="OdstavecASR"/>
      </w:pPr>
      <w:r w:rsidRPr="00F85178">
        <w:t xml:space="preserve">Míra celkové změny rozsudku </w:t>
      </w:r>
      <w:r w:rsidR="001751A8" w:rsidRPr="00F85178">
        <w:t>se za celou ČR v posledních třech letech pohybovala následovně</w:t>
      </w:r>
      <w:r w:rsidR="00CE65D5" w:rsidRPr="00F85178">
        <w:t>:</w:t>
      </w:r>
    </w:p>
    <w:p w14:paraId="6C006B66" w14:textId="77777777" w:rsidR="001751A8" w:rsidRPr="00F85178" w:rsidRDefault="001751A8" w:rsidP="00D46D0A">
      <w:pPr>
        <w:pStyle w:val="OdstavecASR"/>
      </w:pPr>
      <w:r w:rsidRPr="00F85178">
        <w:t>2016: 14,07</w:t>
      </w:r>
      <w:r w:rsidR="001338F3" w:rsidRPr="00F85178">
        <w:t xml:space="preserve"> </w:t>
      </w:r>
      <w:r w:rsidRPr="00F85178">
        <w:t xml:space="preserve">% </w:t>
      </w:r>
      <w:r w:rsidR="00DC6241" w:rsidRPr="00F85178">
        <w:t>×</w:t>
      </w:r>
      <w:r w:rsidRPr="00F85178">
        <w:t xml:space="preserve"> 50,33</w:t>
      </w:r>
      <w:r w:rsidR="001338F3" w:rsidRPr="00F85178">
        <w:t xml:space="preserve"> </w:t>
      </w:r>
      <w:r w:rsidRPr="00F85178">
        <w:t>% = 7,08</w:t>
      </w:r>
      <w:r w:rsidR="001338F3" w:rsidRPr="00F85178">
        <w:t xml:space="preserve"> </w:t>
      </w:r>
      <w:r w:rsidRPr="00F85178">
        <w:t>%</w:t>
      </w:r>
    </w:p>
    <w:p w14:paraId="67252AF4" w14:textId="77777777" w:rsidR="001751A8" w:rsidRPr="00F85178" w:rsidRDefault="001751A8" w:rsidP="00D46D0A">
      <w:pPr>
        <w:pStyle w:val="OdstavecASR"/>
      </w:pPr>
      <w:r w:rsidRPr="00F85178">
        <w:t>2017: 19,20</w:t>
      </w:r>
      <w:r w:rsidR="001338F3" w:rsidRPr="00F85178">
        <w:t xml:space="preserve"> </w:t>
      </w:r>
      <w:r w:rsidRPr="00F85178">
        <w:t xml:space="preserve">% </w:t>
      </w:r>
      <w:r w:rsidR="00DC6241" w:rsidRPr="00F85178">
        <w:t>×</w:t>
      </w:r>
      <w:r w:rsidRPr="00F85178">
        <w:t xml:space="preserve"> 50,64</w:t>
      </w:r>
      <w:r w:rsidR="001338F3" w:rsidRPr="00F85178">
        <w:t xml:space="preserve"> </w:t>
      </w:r>
      <w:r w:rsidRPr="00F85178">
        <w:t>% = 9,72</w:t>
      </w:r>
      <w:r w:rsidR="001338F3" w:rsidRPr="00F85178">
        <w:t xml:space="preserve"> </w:t>
      </w:r>
      <w:r w:rsidRPr="00F85178">
        <w:t>%</w:t>
      </w:r>
    </w:p>
    <w:p w14:paraId="17EDB912" w14:textId="77777777" w:rsidR="00CE65D5" w:rsidRPr="00F85178" w:rsidRDefault="001751A8" w:rsidP="00D46D0A">
      <w:pPr>
        <w:pStyle w:val="OdstavecASR"/>
      </w:pPr>
      <w:r w:rsidRPr="00F85178">
        <w:t>2018: 23,26</w:t>
      </w:r>
      <w:r w:rsidR="001338F3" w:rsidRPr="00F85178">
        <w:t xml:space="preserve"> </w:t>
      </w:r>
      <w:r w:rsidRPr="00F85178">
        <w:t xml:space="preserve">% </w:t>
      </w:r>
      <w:r w:rsidR="00DC6241" w:rsidRPr="00F85178">
        <w:t>×</w:t>
      </w:r>
      <w:r w:rsidRPr="00F85178">
        <w:t xml:space="preserve"> 51,06</w:t>
      </w:r>
      <w:r w:rsidR="001338F3" w:rsidRPr="00F85178">
        <w:t xml:space="preserve"> %</w:t>
      </w:r>
      <w:r w:rsidRPr="00F85178">
        <w:t xml:space="preserve"> = 11,87</w:t>
      </w:r>
      <w:r w:rsidR="001338F3" w:rsidRPr="00F85178">
        <w:t xml:space="preserve"> </w:t>
      </w:r>
      <w:r w:rsidRPr="00F85178">
        <w:t>%</w:t>
      </w:r>
    </w:p>
    <w:p w14:paraId="15E1A6A2" w14:textId="77777777" w:rsidR="00CE65D5" w:rsidRPr="00F85178" w:rsidRDefault="00CE65D5" w:rsidP="00D46D0A">
      <w:pPr>
        <w:pStyle w:val="OdstavecASR"/>
      </w:pPr>
      <w:r w:rsidRPr="00F85178">
        <w:t xml:space="preserve">Míra celkové změny rozsudku se tedy za poslední tři roky zvýšila více jak </w:t>
      </w:r>
      <w:r w:rsidR="00874C2C" w:rsidRPr="00F85178">
        <w:t>1,5</w:t>
      </w:r>
      <w:r w:rsidRPr="00F85178">
        <w:t xml:space="preserve">krát. </w:t>
      </w:r>
      <w:r w:rsidR="00B92C9E" w:rsidRPr="00F85178">
        <w:t>Pro připomenutí, t</w:t>
      </w:r>
      <w:r w:rsidRPr="00F85178">
        <w:t>ento ukazatel znam</w:t>
      </w:r>
      <w:r w:rsidR="00C8288A" w:rsidRPr="00F85178">
        <w:t>ená, že</w:t>
      </w:r>
      <w:r w:rsidRPr="00F85178">
        <w:t xml:space="preserve"> téměř </w:t>
      </w:r>
      <w:r w:rsidR="00C8288A" w:rsidRPr="00F85178">
        <w:t xml:space="preserve">u </w:t>
      </w:r>
      <w:r w:rsidRPr="00F85178">
        <w:t>12</w:t>
      </w:r>
      <w:r w:rsidR="00645271" w:rsidRPr="00F85178">
        <w:t xml:space="preserve"> </w:t>
      </w:r>
      <w:r w:rsidRPr="00F85178">
        <w:t xml:space="preserve">% pravomocných rozhodnutí krajských soudů </w:t>
      </w:r>
      <w:r w:rsidR="00B92C9E" w:rsidRPr="00F85178">
        <w:t>v civilních věcech</w:t>
      </w:r>
      <w:r w:rsidRPr="00F85178">
        <w:t xml:space="preserve"> došlo ke změně rozsudku. Při porovnání s okresními soudy </w:t>
      </w:r>
      <w:r w:rsidR="00B92C9E" w:rsidRPr="00F85178">
        <w:t>(viz strana</w:t>
      </w:r>
      <w:r w:rsidR="00DC6241" w:rsidRPr="00F85178">
        <w:t> </w:t>
      </w:r>
      <w:r w:rsidR="00DC6241" w:rsidRPr="00F85178">
        <w:fldChar w:fldCharType="begin"/>
      </w:r>
      <w:r w:rsidR="00DC6241" w:rsidRPr="00F85178">
        <w:instrText xml:space="preserve"> PAGEREF Celkova_mira_zmeny_rozs_OS \h </w:instrText>
      </w:r>
      <w:r w:rsidR="00DC6241" w:rsidRPr="00F85178">
        <w:fldChar w:fldCharType="separate"/>
      </w:r>
      <w:r w:rsidR="00AD732F">
        <w:rPr>
          <w:noProof/>
        </w:rPr>
        <w:t>33</w:t>
      </w:r>
      <w:r w:rsidR="00DC6241" w:rsidRPr="00F85178">
        <w:fldChar w:fldCharType="end"/>
      </w:r>
      <w:r w:rsidR="00B92C9E" w:rsidRPr="00F85178">
        <w:t>) jsou zřejmé</w:t>
      </w:r>
      <w:r w:rsidR="00C8288A" w:rsidRPr="00F85178">
        <w:t xml:space="preserve"> opačné trendy, protože tento ukazatel se na úrovni OS postupně snižuje.</w:t>
      </w:r>
    </w:p>
    <w:p w14:paraId="0CC24615" w14:textId="77777777" w:rsidR="00D46D0A" w:rsidRPr="00F85178" w:rsidRDefault="00D46D0A" w:rsidP="00D46D0A">
      <w:pPr>
        <w:pStyle w:val="OdstavecASR"/>
      </w:pPr>
      <w:r w:rsidRPr="00F85178">
        <w:t>Další tabulka zobrazuje data týkající se výše přiznaných nároků, které byly rozděleny do intervalů. Podíly jednotlivých intervalů uvádíme v procentech. Výše přiznaného nároku představuje částku, kterou soud přiznal žalobci vůči žalovanému.</w:t>
      </w:r>
    </w:p>
    <w:p w14:paraId="14075412" w14:textId="77777777" w:rsidR="00DC6241" w:rsidRPr="00F85178" w:rsidRDefault="00DC6241" w:rsidP="00D46D0A">
      <w:pPr>
        <w:pStyle w:val="OdstavecASR"/>
      </w:pPr>
    </w:p>
    <w:p w14:paraId="7830F21B" w14:textId="77777777" w:rsidR="00DC6241" w:rsidRPr="00F85178" w:rsidRDefault="00DC6241" w:rsidP="00D46D0A">
      <w:pPr>
        <w:pStyle w:val="OdstavecASR"/>
      </w:pPr>
    </w:p>
    <w:p w14:paraId="08C4DF29" w14:textId="77777777" w:rsidR="00DC6241" w:rsidRPr="00F85178" w:rsidRDefault="00DC6241" w:rsidP="00D46D0A">
      <w:pPr>
        <w:pStyle w:val="OdstavecASR"/>
      </w:pPr>
    </w:p>
    <w:p w14:paraId="03B1EA5C" w14:textId="77777777" w:rsidR="00DC6241" w:rsidRPr="00F85178" w:rsidRDefault="00DC6241" w:rsidP="00D46D0A">
      <w:pPr>
        <w:pStyle w:val="OdstavecASR"/>
      </w:pPr>
    </w:p>
    <w:p w14:paraId="5B788351" w14:textId="77777777" w:rsidR="00DC6241" w:rsidRPr="00F85178" w:rsidRDefault="00DC6241" w:rsidP="00D46D0A">
      <w:pPr>
        <w:pStyle w:val="OdstavecASR"/>
      </w:pPr>
    </w:p>
    <w:p w14:paraId="3952A799" w14:textId="77777777" w:rsidR="00B45FB4" w:rsidRPr="00F85178" w:rsidRDefault="00B45FB4" w:rsidP="00B45FB4">
      <w:pPr>
        <w:pStyle w:val="Podtitul"/>
        <w:rPr>
          <w:color w:val="auto"/>
        </w:rPr>
      </w:pPr>
      <w:bookmarkStart w:id="386" w:name="_Toc515871473"/>
      <w:bookmarkStart w:id="387" w:name="_Toc11133240"/>
      <w:bookmarkStart w:id="388" w:name="_Toc13837461"/>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38</w:t>
      </w:r>
      <w:r w:rsidRPr="00F85178">
        <w:rPr>
          <w:noProof/>
          <w:color w:val="auto"/>
        </w:rPr>
        <w:fldChar w:fldCharType="end"/>
      </w:r>
      <w:r w:rsidRPr="00F85178">
        <w:rPr>
          <w:color w:val="auto"/>
        </w:rPr>
        <w:t>: KS – výše přiznaných nároků</w:t>
      </w:r>
      <w:bookmarkEnd w:id="386"/>
      <w:bookmarkEnd w:id="387"/>
      <w:bookmarkEnd w:id="388"/>
    </w:p>
    <w:tbl>
      <w:tblPr>
        <w:tblW w:w="9080" w:type="dxa"/>
        <w:tblCellMar>
          <w:left w:w="70" w:type="dxa"/>
          <w:right w:w="70" w:type="dxa"/>
        </w:tblCellMar>
        <w:tblLook w:val="04A0" w:firstRow="1" w:lastRow="0" w:firstColumn="1" w:lastColumn="0" w:noHBand="0" w:noVBand="1"/>
      </w:tblPr>
      <w:tblGrid>
        <w:gridCol w:w="1960"/>
        <w:gridCol w:w="1278"/>
        <w:gridCol w:w="1883"/>
        <w:gridCol w:w="2092"/>
        <w:gridCol w:w="1867"/>
      </w:tblGrid>
      <w:tr w:rsidR="00F85178" w:rsidRPr="00F85178" w14:paraId="2F94153E" w14:textId="77777777" w:rsidTr="00B45FB4">
        <w:trPr>
          <w:trHeight w:val="330"/>
        </w:trPr>
        <w:tc>
          <w:tcPr>
            <w:tcW w:w="1960" w:type="dxa"/>
            <w:vMerge w:val="restart"/>
            <w:tcBorders>
              <w:top w:val="double" w:sz="6" w:space="0" w:color="auto"/>
              <w:left w:val="nil"/>
              <w:bottom w:val="double" w:sz="6" w:space="0" w:color="000000"/>
              <w:right w:val="nil"/>
            </w:tcBorders>
            <w:shd w:val="clear" w:color="auto" w:fill="auto"/>
            <w:noWrap/>
            <w:vAlign w:val="center"/>
            <w:hideMark/>
          </w:tcPr>
          <w:p w14:paraId="32F46503"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7120" w:type="dxa"/>
            <w:gridSpan w:val="4"/>
            <w:tcBorders>
              <w:top w:val="double" w:sz="6" w:space="0" w:color="auto"/>
              <w:left w:val="nil"/>
              <w:bottom w:val="nil"/>
              <w:right w:val="nil"/>
            </w:tcBorders>
            <w:shd w:val="clear" w:color="auto" w:fill="auto"/>
            <w:noWrap/>
            <w:vAlign w:val="center"/>
            <w:hideMark/>
          </w:tcPr>
          <w:p w14:paraId="64D3E20E"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Výše přiznaného nároku v Kč</w:t>
            </w:r>
          </w:p>
        </w:tc>
      </w:tr>
      <w:tr w:rsidR="00F85178" w:rsidRPr="00F85178" w14:paraId="0CE92C8A" w14:textId="77777777" w:rsidTr="00B45FB4">
        <w:trPr>
          <w:trHeight w:val="330"/>
        </w:trPr>
        <w:tc>
          <w:tcPr>
            <w:tcW w:w="1960" w:type="dxa"/>
            <w:vMerge/>
            <w:tcBorders>
              <w:top w:val="double" w:sz="6" w:space="0" w:color="auto"/>
              <w:left w:val="nil"/>
              <w:bottom w:val="double" w:sz="6" w:space="0" w:color="000000"/>
              <w:right w:val="nil"/>
            </w:tcBorders>
            <w:vAlign w:val="center"/>
            <w:hideMark/>
          </w:tcPr>
          <w:p w14:paraId="5EFFC36A" w14:textId="77777777" w:rsidR="00B45FB4" w:rsidRPr="00F85178" w:rsidRDefault="00B45FB4" w:rsidP="00B45FB4">
            <w:pPr>
              <w:spacing w:line="240" w:lineRule="auto"/>
              <w:jc w:val="left"/>
              <w:rPr>
                <w:rFonts w:eastAsia="Times New Roman"/>
                <w:b/>
                <w:bCs/>
                <w:szCs w:val="24"/>
                <w:lang w:eastAsia="cs-CZ"/>
              </w:rPr>
            </w:pPr>
          </w:p>
        </w:tc>
        <w:tc>
          <w:tcPr>
            <w:tcW w:w="1278" w:type="dxa"/>
            <w:tcBorders>
              <w:top w:val="nil"/>
              <w:left w:val="nil"/>
              <w:bottom w:val="double" w:sz="6" w:space="0" w:color="auto"/>
              <w:right w:val="nil"/>
            </w:tcBorders>
            <w:shd w:val="clear" w:color="auto" w:fill="auto"/>
            <w:noWrap/>
            <w:vAlign w:val="center"/>
            <w:hideMark/>
          </w:tcPr>
          <w:p w14:paraId="14F895D3"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1</w:t>
            </w:r>
            <w:r w:rsidR="00645271" w:rsidRPr="00F85178">
              <w:rPr>
                <w:rFonts w:eastAsia="Times New Roman"/>
                <w:b/>
                <w:bCs/>
                <w:szCs w:val="24"/>
                <w:lang w:eastAsia="cs-CZ"/>
              </w:rPr>
              <w:t>–</w:t>
            </w:r>
            <w:r w:rsidRPr="00F85178">
              <w:rPr>
                <w:rFonts w:eastAsia="Times New Roman"/>
                <w:b/>
                <w:bCs/>
                <w:szCs w:val="24"/>
                <w:lang w:eastAsia="cs-CZ"/>
              </w:rPr>
              <w:t>20 000</w:t>
            </w:r>
          </w:p>
        </w:tc>
        <w:tc>
          <w:tcPr>
            <w:tcW w:w="1883" w:type="dxa"/>
            <w:tcBorders>
              <w:top w:val="nil"/>
              <w:left w:val="nil"/>
              <w:bottom w:val="double" w:sz="6" w:space="0" w:color="auto"/>
              <w:right w:val="nil"/>
            </w:tcBorders>
            <w:shd w:val="clear" w:color="auto" w:fill="auto"/>
            <w:noWrap/>
            <w:vAlign w:val="center"/>
            <w:hideMark/>
          </w:tcPr>
          <w:p w14:paraId="1F986ABD" w14:textId="77777777" w:rsidR="00B45FB4" w:rsidRPr="00F85178" w:rsidRDefault="00B45FB4" w:rsidP="00DC6241">
            <w:pPr>
              <w:spacing w:line="240" w:lineRule="auto"/>
              <w:jc w:val="center"/>
              <w:rPr>
                <w:rFonts w:eastAsia="Times New Roman"/>
                <w:b/>
                <w:bCs/>
                <w:szCs w:val="24"/>
                <w:lang w:eastAsia="cs-CZ"/>
              </w:rPr>
            </w:pPr>
            <w:r w:rsidRPr="00F85178">
              <w:rPr>
                <w:rFonts w:eastAsia="Times New Roman"/>
                <w:b/>
                <w:bCs/>
                <w:szCs w:val="24"/>
                <w:lang w:eastAsia="cs-CZ"/>
              </w:rPr>
              <w:t>20</w:t>
            </w:r>
            <w:r w:rsidR="00DC6241" w:rsidRPr="00F85178">
              <w:rPr>
                <w:rFonts w:eastAsia="Times New Roman"/>
                <w:b/>
                <w:bCs/>
                <w:szCs w:val="24"/>
                <w:lang w:eastAsia="cs-CZ"/>
              </w:rPr>
              <w:t xml:space="preserve"> </w:t>
            </w:r>
            <w:r w:rsidRPr="00F85178">
              <w:rPr>
                <w:rFonts w:eastAsia="Times New Roman"/>
                <w:b/>
                <w:bCs/>
                <w:szCs w:val="24"/>
                <w:lang w:eastAsia="cs-CZ"/>
              </w:rPr>
              <w:t>001</w:t>
            </w:r>
            <w:r w:rsidR="00645271" w:rsidRPr="00F85178">
              <w:rPr>
                <w:rFonts w:eastAsia="Times New Roman"/>
                <w:b/>
                <w:bCs/>
                <w:szCs w:val="24"/>
                <w:lang w:eastAsia="cs-CZ"/>
              </w:rPr>
              <w:t>–</w:t>
            </w:r>
            <w:r w:rsidRPr="00F85178">
              <w:rPr>
                <w:rFonts w:eastAsia="Times New Roman"/>
                <w:b/>
                <w:bCs/>
                <w:szCs w:val="24"/>
                <w:lang w:eastAsia="cs-CZ"/>
              </w:rPr>
              <w:t>50 000</w:t>
            </w:r>
          </w:p>
        </w:tc>
        <w:tc>
          <w:tcPr>
            <w:tcW w:w="2092" w:type="dxa"/>
            <w:tcBorders>
              <w:top w:val="nil"/>
              <w:left w:val="nil"/>
              <w:bottom w:val="double" w:sz="6" w:space="0" w:color="auto"/>
              <w:right w:val="nil"/>
            </w:tcBorders>
            <w:shd w:val="clear" w:color="auto" w:fill="auto"/>
            <w:noWrap/>
            <w:vAlign w:val="center"/>
            <w:hideMark/>
          </w:tcPr>
          <w:p w14:paraId="35439925"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50 001</w:t>
            </w:r>
            <w:r w:rsidR="00645271" w:rsidRPr="00F85178">
              <w:rPr>
                <w:rFonts w:eastAsia="Times New Roman"/>
                <w:b/>
                <w:bCs/>
                <w:szCs w:val="24"/>
                <w:lang w:eastAsia="cs-CZ"/>
              </w:rPr>
              <w:t>–</w:t>
            </w:r>
            <w:r w:rsidRPr="00F85178">
              <w:rPr>
                <w:rFonts w:eastAsia="Times New Roman"/>
                <w:b/>
                <w:bCs/>
                <w:szCs w:val="24"/>
                <w:lang w:eastAsia="cs-CZ"/>
              </w:rPr>
              <w:t>100 000</w:t>
            </w:r>
          </w:p>
        </w:tc>
        <w:tc>
          <w:tcPr>
            <w:tcW w:w="1867" w:type="dxa"/>
            <w:tcBorders>
              <w:top w:val="nil"/>
              <w:left w:val="nil"/>
              <w:bottom w:val="double" w:sz="6" w:space="0" w:color="auto"/>
              <w:right w:val="nil"/>
            </w:tcBorders>
            <w:shd w:val="clear" w:color="auto" w:fill="auto"/>
            <w:noWrap/>
            <w:vAlign w:val="center"/>
            <w:hideMark/>
          </w:tcPr>
          <w:p w14:paraId="7D56FB07" w14:textId="77777777" w:rsidR="00B45FB4" w:rsidRPr="00F85178" w:rsidRDefault="00B45FB4" w:rsidP="00DC6241">
            <w:pPr>
              <w:spacing w:line="240" w:lineRule="auto"/>
              <w:jc w:val="center"/>
              <w:rPr>
                <w:rFonts w:eastAsia="Times New Roman"/>
                <w:b/>
                <w:bCs/>
                <w:szCs w:val="24"/>
                <w:lang w:eastAsia="cs-CZ"/>
              </w:rPr>
            </w:pPr>
            <w:r w:rsidRPr="00F85178">
              <w:rPr>
                <w:rFonts w:eastAsia="Times New Roman"/>
                <w:b/>
                <w:bCs/>
                <w:szCs w:val="24"/>
                <w:lang w:eastAsia="cs-CZ"/>
              </w:rPr>
              <w:t>10</w:t>
            </w:r>
            <w:r w:rsidR="00DC6241" w:rsidRPr="00F85178">
              <w:rPr>
                <w:rFonts w:eastAsia="Times New Roman"/>
                <w:b/>
                <w:bCs/>
                <w:szCs w:val="24"/>
                <w:lang w:eastAsia="cs-CZ"/>
              </w:rPr>
              <w:t>0</w:t>
            </w:r>
            <w:r w:rsidRPr="00F85178">
              <w:rPr>
                <w:rFonts w:eastAsia="Times New Roman"/>
                <w:b/>
                <w:bCs/>
                <w:szCs w:val="24"/>
                <w:lang w:eastAsia="cs-CZ"/>
              </w:rPr>
              <w:t xml:space="preserve"> 00</w:t>
            </w:r>
            <w:r w:rsidR="00DC6241" w:rsidRPr="00F85178">
              <w:rPr>
                <w:rFonts w:eastAsia="Times New Roman"/>
                <w:b/>
                <w:bCs/>
                <w:szCs w:val="24"/>
                <w:lang w:eastAsia="cs-CZ"/>
              </w:rPr>
              <w:t>1</w:t>
            </w:r>
            <w:r w:rsidRPr="00F85178">
              <w:rPr>
                <w:rFonts w:eastAsia="Times New Roman"/>
                <w:b/>
                <w:bCs/>
                <w:szCs w:val="24"/>
                <w:lang w:eastAsia="cs-CZ"/>
              </w:rPr>
              <w:t xml:space="preserve"> a více</w:t>
            </w:r>
          </w:p>
        </w:tc>
      </w:tr>
      <w:tr w:rsidR="00F85178" w:rsidRPr="00F85178" w14:paraId="13EBAE9F" w14:textId="77777777" w:rsidTr="00B45FB4">
        <w:trPr>
          <w:trHeight w:val="330"/>
        </w:trPr>
        <w:tc>
          <w:tcPr>
            <w:tcW w:w="1960" w:type="dxa"/>
            <w:tcBorders>
              <w:top w:val="single" w:sz="4" w:space="0" w:color="auto"/>
              <w:left w:val="nil"/>
              <w:bottom w:val="single" w:sz="4" w:space="0" w:color="auto"/>
              <w:right w:val="nil"/>
            </w:tcBorders>
            <w:shd w:val="clear" w:color="auto" w:fill="auto"/>
            <w:noWrap/>
            <w:vAlign w:val="bottom"/>
            <w:hideMark/>
          </w:tcPr>
          <w:p w14:paraId="685E5A4F"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MS Praha</w:t>
            </w:r>
          </w:p>
        </w:tc>
        <w:tc>
          <w:tcPr>
            <w:tcW w:w="1278" w:type="dxa"/>
            <w:tcBorders>
              <w:top w:val="single" w:sz="4" w:space="0" w:color="auto"/>
              <w:left w:val="nil"/>
              <w:bottom w:val="single" w:sz="4" w:space="0" w:color="auto"/>
              <w:right w:val="nil"/>
            </w:tcBorders>
            <w:shd w:val="clear" w:color="auto" w:fill="auto"/>
            <w:noWrap/>
            <w:vAlign w:val="bottom"/>
            <w:hideMark/>
          </w:tcPr>
          <w:p w14:paraId="06BB810A"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14,90</w:t>
            </w:r>
          </w:p>
        </w:tc>
        <w:tc>
          <w:tcPr>
            <w:tcW w:w="1883" w:type="dxa"/>
            <w:tcBorders>
              <w:top w:val="single" w:sz="4" w:space="0" w:color="auto"/>
              <w:left w:val="nil"/>
              <w:bottom w:val="single" w:sz="4" w:space="0" w:color="auto"/>
              <w:right w:val="nil"/>
            </w:tcBorders>
            <w:shd w:val="clear" w:color="auto" w:fill="auto"/>
            <w:noWrap/>
            <w:vAlign w:val="bottom"/>
            <w:hideMark/>
          </w:tcPr>
          <w:p w14:paraId="6252052B"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10,97</w:t>
            </w:r>
          </w:p>
        </w:tc>
        <w:tc>
          <w:tcPr>
            <w:tcW w:w="2092" w:type="dxa"/>
            <w:tcBorders>
              <w:top w:val="single" w:sz="4" w:space="0" w:color="auto"/>
              <w:left w:val="nil"/>
              <w:bottom w:val="single" w:sz="4" w:space="0" w:color="auto"/>
              <w:right w:val="nil"/>
            </w:tcBorders>
            <w:shd w:val="clear" w:color="auto" w:fill="auto"/>
            <w:noWrap/>
            <w:vAlign w:val="bottom"/>
            <w:hideMark/>
          </w:tcPr>
          <w:p w14:paraId="7F9D26B9"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10,19</w:t>
            </w:r>
          </w:p>
        </w:tc>
        <w:tc>
          <w:tcPr>
            <w:tcW w:w="1867" w:type="dxa"/>
            <w:tcBorders>
              <w:top w:val="single" w:sz="4" w:space="0" w:color="auto"/>
              <w:left w:val="nil"/>
              <w:bottom w:val="single" w:sz="4" w:space="0" w:color="auto"/>
              <w:right w:val="nil"/>
            </w:tcBorders>
            <w:shd w:val="clear" w:color="auto" w:fill="auto"/>
            <w:noWrap/>
            <w:vAlign w:val="bottom"/>
            <w:hideMark/>
          </w:tcPr>
          <w:p w14:paraId="4AE37AD2"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63,95</w:t>
            </w:r>
          </w:p>
        </w:tc>
      </w:tr>
      <w:tr w:rsidR="00F85178" w:rsidRPr="00F85178" w14:paraId="73B1D509"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5396C58E"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Praha</w:t>
            </w:r>
          </w:p>
        </w:tc>
        <w:tc>
          <w:tcPr>
            <w:tcW w:w="1278" w:type="dxa"/>
            <w:tcBorders>
              <w:top w:val="nil"/>
              <w:left w:val="nil"/>
              <w:bottom w:val="single" w:sz="4" w:space="0" w:color="auto"/>
              <w:right w:val="nil"/>
            </w:tcBorders>
            <w:shd w:val="clear" w:color="auto" w:fill="auto"/>
            <w:noWrap/>
            <w:vAlign w:val="bottom"/>
            <w:hideMark/>
          </w:tcPr>
          <w:p w14:paraId="5A25B07A"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18,33</w:t>
            </w:r>
          </w:p>
        </w:tc>
        <w:tc>
          <w:tcPr>
            <w:tcW w:w="1883" w:type="dxa"/>
            <w:tcBorders>
              <w:top w:val="nil"/>
              <w:left w:val="nil"/>
              <w:bottom w:val="single" w:sz="4" w:space="0" w:color="auto"/>
              <w:right w:val="nil"/>
            </w:tcBorders>
            <w:shd w:val="clear" w:color="auto" w:fill="auto"/>
            <w:noWrap/>
            <w:vAlign w:val="bottom"/>
            <w:hideMark/>
          </w:tcPr>
          <w:p w14:paraId="72F014A1"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14,58</w:t>
            </w:r>
          </w:p>
        </w:tc>
        <w:tc>
          <w:tcPr>
            <w:tcW w:w="2092" w:type="dxa"/>
            <w:tcBorders>
              <w:top w:val="nil"/>
              <w:left w:val="nil"/>
              <w:bottom w:val="single" w:sz="4" w:space="0" w:color="auto"/>
              <w:right w:val="nil"/>
            </w:tcBorders>
            <w:shd w:val="clear" w:color="auto" w:fill="auto"/>
            <w:noWrap/>
            <w:vAlign w:val="bottom"/>
            <w:hideMark/>
          </w:tcPr>
          <w:p w14:paraId="7F545C4C"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18,33</w:t>
            </w:r>
          </w:p>
        </w:tc>
        <w:tc>
          <w:tcPr>
            <w:tcW w:w="1867" w:type="dxa"/>
            <w:tcBorders>
              <w:top w:val="nil"/>
              <w:left w:val="nil"/>
              <w:bottom w:val="single" w:sz="4" w:space="0" w:color="auto"/>
              <w:right w:val="nil"/>
            </w:tcBorders>
            <w:shd w:val="clear" w:color="auto" w:fill="auto"/>
            <w:noWrap/>
            <w:vAlign w:val="bottom"/>
            <w:hideMark/>
          </w:tcPr>
          <w:p w14:paraId="6265BA88"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48,75</w:t>
            </w:r>
          </w:p>
        </w:tc>
      </w:tr>
      <w:tr w:rsidR="00F85178" w:rsidRPr="00F85178" w14:paraId="5260E212"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0846AE1D"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Č. Budějovice</w:t>
            </w:r>
          </w:p>
        </w:tc>
        <w:tc>
          <w:tcPr>
            <w:tcW w:w="1278" w:type="dxa"/>
            <w:tcBorders>
              <w:top w:val="nil"/>
              <w:left w:val="nil"/>
              <w:bottom w:val="single" w:sz="4" w:space="0" w:color="auto"/>
              <w:right w:val="nil"/>
            </w:tcBorders>
            <w:shd w:val="clear" w:color="auto" w:fill="auto"/>
            <w:noWrap/>
            <w:vAlign w:val="bottom"/>
            <w:hideMark/>
          </w:tcPr>
          <w:p w14:paraId="1A923B1F"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24,53</w:t>
            </w:r>
          </w:p>
        </w:tc>
        <w:tc>
          <w:tcPr>
            <w:tcW w:w="1883" w:type="dxa"/>
            <w:tcBorders>
              <w:top w:val="nil"/>
              <w:left w:val="nil"/>
              <w:bottom w:val="single" w:sz="4" w:space="0" w:color="auto"/>
              <w:right w:val="nil"/>
            </w:tcBorders>
            <w:shd w:val="clear" w:color="auto" w:fill="auto"/>
            <w:noWrap/>
            <w:vAlign w:val="bottom"/>
            <w:hideMark/>
          </w:tcPr>
          <w:p w14:paraId="76F2CAA8"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11,32</w:t>
            </w:r>
          </w:p>
        </w:tc>
        <w:tc>
          <w:tcPr>
            <w:tcW w:w="2092" w:type="dxa"/>
            <w:tcBorders>
              <w:top w:val="nil"/>
              <w:left w:val="nil"/>
              <w:bottom w:val="single" w:sz="4" w:space="0" w:color="auto"/>
              <w:right w:val="nil"/>
            </w:tcBorders>
            <w:shd w:val="clear" w:color="auto" w:fill="auto"/>
            <w:noWrap/>
            <w:vAlign w:val="bottom"/>
            <w:hideMark/>
          </w:tcPr>
          <w:p w14:paraId="5B558A49"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15,09</w:t>
            </w:r>
          </w:p>
        </w:tc>
        <w:tc>
          <w:tcPr>
            <w:tcW w:w="1867" w:type="dxa"/>
            <w:tcBorders>
              <w:top w:val="nil"/>
              <w:left w:val="nil"/>
              <w:bottom w:val="single" w:sz="4" w:space="0" w:color="auto"/>
              <w:right w:val="nil"/>
            </w:tcBorders>
            <w:shd w:val="clear" w:color="auto" w:fill="auto"/>
            <w:noWrap/>
            <w:vAlign w:val="bottom"/>
            <w:hideMark/>
          </w:tcPr>
          <w:p w14:paraId="7BA70B13"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49,06</w:t>
            </w:r>
          </w:p>
        </w:tc>
      </w:tr>
      <w:tr w:rsidR="00F85178" w:rsidRPr="00F85178" w14:paraId="22ACE76D"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69CDA447"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Plzeň</w:t>
            </w:r>
          </w:p>
        </w:tc>
        <w:tc>
          <w:tcPr>
            <w:tcW w:w="1278" w:type="dxa"/>
            <w:tcBorders>
              <w:top w:val="nil"/>
              <w:left w:val="nil"/>
              <w:bottom w:val="single" w:sz="4" w:space="0" w:color="auto"/>
              <w:right w:val="nil"/>
            </w:tcBorders>
            <w:shd w:val="clear" w:color="auto" w:fill="auto"/>
            <w:noWrap/>
            <w:vAlign w:val="bottom"/>
            <w:hideMark/>
          </w:tcPr>
          <w:p w14:paraId="11242C89"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24,03</w:t>
            </w:r>
          </w:p>
        </w:tc>
        <w:tc>
          <w:tcPr>
            <w:tcW w:w="1883" w:type="dxa"/>
            <w:tcBorders>
              <w:top w:val="nil"/>
              <w:left w:val="nil"/>
              <w:bottom w:val="single" w:sz="4" w:space="0" w:color="auto"/>
              <w:right w:val="nil"/>
            </w:tcBorders>
            <w:shd w:val="clear" w:color="auto" w:fill="auto"/>
            <w:noWrap/>
            <w:vAlign w:val="bottom"/>
            <w:hideMark/>
          </w:tcPr>
          <w:p w14:paraId="33CD3719"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14,84</w:t>
            </w:r>
          </w:p>
        </w:tc>
        <w:tc>
          <w:tcPr>
            <w:tcW w:w="2092" w:type="dxa"/>
            <w:tcBorders>
              <w:top w:val="nil"/>
              <w:left w:val="nil"/>
              <w:bottom w:val="single" w:sz="4" w:space="0" w:color="auto"/>
              <w:right w:val="nil"/>
            </w:tcBorders>
            <w:shd w:val="clear" w:color="auto" w:fill="auto"/>
            <w:noWrap/>
            <w:vAlign w:val="bottom"/>
            <w:hideMark/>
          </w:tcPr>
          <w:p w14:paraId="62C77DD1"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16,25</w:t>
            </w:r>
          </w:p>
        </w:tc>
        <w:tc>
          <w:tcPr>
            <w:tcW w:w="1867" w:type="dxa"/>
            <w:tcBorders>
              <w:top w:val="nil"/>
              <w:left w:val="nil"/>
              <w:bottom w:val="single" w:sz="4" w:space="0" w:color="auto"/>
              <w:right w:val="nil"/>
            </w:tcBorders>
            <w:shd w:val="clear" w:color="auto" w:fill="auto"/>
            <w:noWrap/>
            <w:vAlign w:val="bottom"/>
            <w:hideMark/>
          </w:tcPr>
          <w:p w14:paraId="1A329C8F"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44,88</w:t>
            </w:r>
          </w:p>
        </w:tc>
      </w:tr>
      <w:tr w:rsidR="00F85178" w:rsidRPr="00F85178" w14:paraId="63CF95C8"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5E371364"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Ústí n. Labem</w:t>
            </w:r>
          </w:p>
        </w:tc>
        <w:tc>
          <w:tcPr>
            <w:tcW w:w="1278" w:type="dxa"/>
            <w:tcBorders>
              <w:top w:val="nil"/>
              <w:left w:val="nil"/>
              <w:bottom w:val="single" w:sz="4" w:space="0" w:color="auto"/>
              <w:right w:val="nil"/>
            </w:tcBorders>
            <w:shd w:val="clear" w:color="auto" w:fill="auto"/>
            <w:noWrap/>
            <w:vAlign w:val="bottom"/>
            <w:hideMark/>
          </w:tcPr>
          <w:p w14:paraId="01EFD885"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31,43</w:t>
            </w:r>
          </w:p>
        </w:tc>
        <w:tc>
          <w:tcPr>
            <w:tcW w:w="1883" w:type="dxa"/>
            <w:tcBorders>
              <w:top w:val="nil"/>
              <w:left w:val="nil"/>
              <w:bottom w:val="single" w:sz="4" w:space="0" w:color="auto"/>
              <w:right w:val="nil"/>
            </w:tcBorders>
            <w:shd w:val="clear" w:color="auto" w:fill="auto"/>
            <w:noWrap/>
            <w:vAlign w:val="bottom"/>
            <w:hideMark/>
          </w:tcPr>
          <w:p w14:paraId="69521D16"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25,71</w:t>
            </w:r>
          </w:p>
        </w:tc>
        <w:tc>
          <w:tcPr>
            <w:tcW w:w="2092" w:type="dxa"/>
            <w:tcBorders>
              <w:top w:val="nil"/>
              <w:left w:val="nil"/>
              <w:bottom w:val="single" w:sz="4" w:space="0" w:color="auto"/>
              <w:right w:val="nil"/>
            </w:tcBorders>
            <w:shd w:val="clear" w:color="auto" w:fill="auto"/>
            <w:noWrap/>
            <w:vAlign w:val="bottom"/>
            <w:hideMark/>
          </w:tcPr>
          <w:p w14:paraId="0E32CCBC"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15,16</w:t>
            </w:r>
          </w:p>
        </w:tc>
        <w:tc>
          <w:tcPr>
            <w:tcW w:w="1867" w:type="dxa"/>
            <w:tcBorders>
              <w:top w:val="nil"/>
              <w:left w:val="nil"/>
              <w:bottom w:val="single" w:sz="4" w:space="0" w:color="auto"/>
              <w:right w:val="nil"/>
            </w:tcBorders>
            <w:shd w:val="clear" w:color="auto" w:fill="auto"/>
            <w:noWrap/>
            <w:vAlign w:val="bottom"/>
            <w:hideMark/>
          </w:tcPr>
          <w:p w14:paraId="4DE4F674"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27,69</w:t>
            </w:r>
          </w:p>
        </w:tc>
      </w:tr>
      <w:tr w:rsidR="00F85178" w:rsidRPr="00F85178" w14:paraId="2F14D90E"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2DB20B19"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Hr. Králové</w:t>
            </w:r>
          </w:p>
        </w:tc>
        <w:tc>
          <w:tcPr>
            <w:tcW w:w="1278" w:type="dxa"/>
            <w:tcBorders>
              <w:top w:val="nil"/>
              <w:left w:val="nil"/>
              <w:bottom w:val="single" w:sz="4" w:space="0" w:color="auto"/>
              <w:right w:val="nil"/>
            </w:tcBorders>
            <w:shd w:val="clear" w:color="auto" w:fill="auto"/>
            <w:noWrap/>
            <w:vAlign w:val="bottom"/>
            <w:hideMark/>
          </w:tcPr>
          <w:p w14:paraId="22609813"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49,47</w:t>
            </w:r>
          </w:p>
        </w:tc>
        <w:tc>
          <w:tcPr>
            <w:tcW w:w="1883" w:type="dxa"/>
            <w:tcBorders>
              <w:top w:val="nil"/>
              <w:left w:val="nil"/>
              <w:bottom w:val="single" w:sz="4" w:space="0" w:color="auto"/>
              <w:right w:val="nil"/>
            </w:tcBorders>
            <w:shd w:val="clear" w:color="auto" w:fill="auto"/>
            <w:noWrap/>
            <w:vAlign w:val="bottom"/>
            <w:hideMark/>
          </w:tcPr>
          <w:p w14:paraId="6EB6CA25"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20,93</w:t>
            </w:r>
          </w:p>
        </w:tc>
        <w:tc>
          <w:tcPr>
            <w:tcW w:w="2092" w:type="dxa"/>
            <w:tcBorders>
              <w:top w:val="nil"/>
              <w:left w:val="nil"/>
              <w:bottom w:val="single" w:sz="4" w:space="0" w:color="auto"/>
              <w:right w:val="nil"/>
            </w:tcBorders>
            <w:shd w:val="clear" w:color="auto" w:fill="auto"/>
            <w:noWrap/>
            <w:vAlign w:val="bottom"/>
            <w:hideMark/>
          </w:tcPr>
          <w:p w14:paraId="7575E4F3"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6,98</w:t>
            </w:r>
          </w:p>
        </w:tc>
        <w:tc>
          <w:tcPr>
            <w:tcW w:w="1867" w:type="dxa"/>
            <w:tcBorders>
              <w:top w:val="nil"/>
              <w:left w:val="nil"/>
              <w:bottom w:val="single" w:sz="4" w:space="0" w:color="auto"/>
              <w:right w:val="nil"/>
            </w:tcBorders>
            <w:shd w:val="clear" w:color="auto" w:fill="auto"/>
            <w:noWrap/>
            <w:vAlign w:val="bottom"/>
            <w:hideMark/>
          </w:tcPr>
          <w:p w14:paraId="46DD33B1"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22,62</w:t>
            </w:r>
          </w:p>
        </w:tc>
      </w:tr>
      <w:tr w:rsidR="00F85178" w:rsidRPr="00F85178" w14:paraId="2321BDE0" w14:textId="77777777" w:rsidTr="00B45FB4">
        <w:trPr>
          <w:trHeight w:val="315"/>
        </w:trPr>
        <w:tc>
          <w:tcPr>
            <w:tcW w:w="1960" w:type="dxa"/>
            <w:tcBorders>
              <w:top w:val="nil"/>
              <w:left w:val="nil"/>
              <w:bottom w:val="single" w:sz="4" w:space="0" w:color="auto"/>
              <w:right w:val="nil"/>
            </w:tcBorders>
            <w:shd w:val="clear" w:color="auto" w:fill="auto"/>
            <w:noWrap/>
            <w:vAlign w:val="bottom"/>
            <w:hideMark/>
          </w:tcPr>
          <w:p w14:paraId="4DD7BA10"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Brno</w:t>
            </w:r>
          </w:p>
        </w:tc>
        <w:tc>
          <w:tcPr>
            <w:tcW w:w="1278" w:type="dxa"/>
            <w:tcBorders>
              <w:top w:val="nil"/>
              <w:left w:val="nil"/>
              <w:bottom w:val="single" w:sz="4" w:space="0" w:color="auto"/>
              <w:right w:val="nil"/>
            </w:tcBorders>
            <w:shd w:val="clear" w:color="auto" w:fill="auto"/>
            <w:noWrap/>
            <w:vAlign w:val="bottom"/>
            <w:hideMark/>
          </w:tcPr>
          <w:p w14:paraId="6809D8B1"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25,30</w:t>
            </w:r>
          </w:p>
        </w:tc>
        <w:tc>
          <w:tcPr>
            <w:tcW w:w="1883" w:type="dxa"/>
            <w:tcBorders>
              <w:top w:val="nil"/>
              <w:left w:val="nil"/>
              <w:bottom w:val="single" w:sz="4" w:space="0" w:color="auto"/>
              <w:right w:val="nil"/>
            </w:tcBorders>
            <w:shd w:val="clear" w:color="auto" w:fill="auto"/>
            <w:noWrap/>
            <w:vAlign w:val="bottom"/>
            <w:hideMark/>
          </w:tcPr>
          <w:p w14:paraId="5CCAF92F"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14,67</w:t>
            </w:r>
          </w:p>
        </w:tc>
        <w:tc>
          <w:tcPr>
            <w:tcW w:w="2092" w:type="dxa"/>
            <w:tcBorders>
              <w:top w:val="nil"/>
              <w:left w:val="nil"/>
              <w:bottom w:val="single" w:sz="4" w:space="0" w:color="auto"/>
              <w:right w:val="nil"/>
            </w:tcBorders>
            <w:shd w:val="clear" w:color="auto" w:fill="auto"/>
            <w:noWrap/>
            <w:vAlign w:val="bottom"/>
            <w:hideMark/>
          </w:tcPr>
          <w:p w14:paraId="71C655B7"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9,29</w:t>
            </w:r>
          </w:p>
        </w:tc>
        <w:tc>
          <w:tcPr>
            <w:tcW w:w="1867" w:type="dxa"/>
            <w:tcBorders>
              <w:top w:val="nil"/>
              <w:left w:val="nil"/>
              <w:bottom w:val="single" w:sz="4" w:space="0" w:color="auto"/>
              <w:right w:val="nil"/>
            </w:tcBorders>
            <w:shd w:val="clear" w:color="auto" w:fill="auto"/>
            <w:noWrap/>
            <w:vAlign w:val="bottom"/>
            <w:hideMark/>
          </w:tcPr>
          <w:p w14:paraId="60D33EEC"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50,74</w:t>
            </w:r>
          </w:p>
        </w:tc>
      </w:tr>
      <w:tr w:rsidR="00F85178" w:rsidRPr="00F85178" w14:paraId="11D7FC39" w14:textId="77777777" w:rsidTr="00B45FB4">
        <w:trPr>
          <w:trHeight w:val="330"/>
        </w:trPr>
        <w:tc>
          <w:tcPr>
            <w:tcW w:w="1960" w:type="dxa"/>
            <w:tcBorders>
              <w:top w:val="nil"/>
              <w:left w:val="nil"/>
              <w:bottom w:val="double" w:sz="6" w:space="0" w:color="auto"/>
              <w:right w:val="nil"/>
            </w:tcBorders>
            <w:shd w:val="clear" w:color="auto" w:fill="auto"/>
            <w:noWrap/>
            <w:vAlign w:val="bottom"/>
            <w:hideMark/>
          </w:tcPr>
          <w:p w14:paraId="607E018E" w14:textId="77777777" w:rsidR="00B45FB4" w:rsidRPr="00F85178" w:rsidRDefault="00B45FB4" w:rsidP="00B45FB4">
            <w:pPr>
              <w:spacing w:line="240" w:lineRule="auto"/>
              <w:jc w:val="left"/>
              <w:rPr>
                <w:rFonts w:eastAsia="Times New Roman"/>
                <w:szCs w:val="24"/>
                <w:lang w:eastAsia="cs-CZ"/>
              </w:rPr>
            </w:pPr>
            <w:r w:rsidRPr="00F85178">
              <w:rPr>
                <w:rFonts w:eastAsia="Times New Roman"/>
                <w:szCs w:val="24"/>
                <w:lang w:eastAsia="cs-CZ"/>
              </w:rPr>
              <w:t>KS Ostrava</w:t>
            </w:r>
          </w:p>
        </w:tc>
        <w:tc>
          <w:tcPr>
            <w:tcW w:w="1278" w:type="dxa"/>
            <w:tcBorders>
              <w:top w:val="nil"/>
              <w:left w:val="nil"/>
              <w:bottom w:val="double" w:sz="6" w:space="0" w:color="auto"/>
              <w:right w:val="nil"/>
            </w:tcBorders>
            <w:shd w:val="clear" w:color="auto" w:fill="auto"/>
            <w:noWrap/>
            <w:vAlign w:val="bottom"/>
            <w:hideMark/>
          </w:tcPr>
          <w:p w14:paraId="5D0E93DA"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21,54</w:t>
            </w:r>
          </w:p>
        </w:tc>
        <w:tc>
          <w:tcPr>
            <w:tcW w:w="1883" w:type="dxa"/>
            <w:tcBorders>
              <w:top w:val="nil"/>
              <w:left w:val="nil"/>
              <w:bottom w:val="double" w:sz="6" w:space="0" w:color="auto"/>
              <w:right w:val="nil"/>
            </w:tcBorders>
            <w:shd w:val="clear" w:color="auto" w:fill="auto"/>
            <w:noWrap/>
            <w:vAlign w:val="bottom"/>
            <w:hideMark/>
          </w:tcPr>
          <w:p w14:paraId="134B0849"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25,69</w:t>
            </w:r>
          </w:p>
        </w:tc>
        <w:tc>
          <w:tcPr>
            <w:tcW w:w="2092" w:type="dxa"/>
            <w:tcBorders>
              <w:top w:val="nil"/>
              <w:left w:val="nil"/>
              <w:bottom w:val="double" w:sz="6" w:space="0" w:color="auto"/>
              <w:right w:val="nil"/>
            </w:tcBorders>
            <w:shd w:val="clear" w:color="auto" w:fill="auto"/>
            <w:noWrap/>
            <w:vAlign w:val="bottom"/>
            <w:hideMark/>
          </w:tcPr>
          <w:p w14:paraId="40899630"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12,85</w:t>
            </w:r>
          </w:p>
        </w:tc>
        <w:tc>
          <w:tcPr>
            <w:tcW w:w="1867" w:type="dxa"/>
            <w:tcBorders>
              <w:top w:val="nil"/>
              <w:left w:val="nil"/>
              <w:bottom w:val="double" w:sz="6" w:space="0" w:color="auto"/>
              <w:right w:val="nil"/>
            </w:tcBorders>
            <w:shd w:val="clear" w:color="auto" w:fill="auto"/>
            <w:noWrap/>
            <w:vAlign w:val="bottom"/>
            <w:hideMark/>
          </w:tcPr>
          <w:p w14:paraId="795375B8" w14:textId="77777777" w:rsidR="00B45FB4" w:rsidRPr="00F85178" w:rsidRDefault="00B45FB4" w:rsidP="00B45FB4">
            <w:pPr>
              <w:spacing w:line="240" w:lineRule="auto"/>
              <w:jc w:val="center"/>
              <w:rPr>
                <w:rFonts w:eastAsia="Times New Roman"/>
                <w:szCs w:val="24"/>
                <w:lang w:eastAsia="cs-CZ"/>
              </w:rPr>
            </w:pPr>
            <w:r w:rsidRPr="00F85178">
              <w:rPr>
                <w:rFonts w:eastAsia="Times New Roman"/>
                <w:szCs w:val="24"/>
                <w:lang w:eastAsia="cs-CZ"/>
              </w:rPr>
              <w:t>39,92</w:t>
            </w:r>
          </w:p>
        </w:tc>
      </w:tr>
      <w:tr w:rsidR="00B45FB4" w:rsidRPr="00F85178" w14:paraId="59124F35" w14:textId="77777777" w:rsidTr="00B45FB4">
        <w:trPr>
          <w:trHeight w:val="345"/>
        </w:trPr>
        <w:tc>
          <w:tcPr>
            <w:tcW w:w="1960" w:type="dxa"/>
            <w:tcBorders>
              <w:top w:val="nil"/>
              <w:left w:val="nil"/>
              <w:bottom w:val="double" w:sz="6" w:space="0" w:color="auto"/>
              <w:right w:val="nil"/>
            </w:tcBorders>
            <w:shd w:val="clear" w:color="auto" w:fill="auto"/>
            <w:noWrap/>
            <w:vAlign w:val="bottom"/>
            <w:hideMark/>
          </w:tcPr>
          <w:p w14:paraId="25F3CB3C" w14:textId="77777777" w:rsidR="00B45FB4" w:rsidRPr="00F85178" w:rsidRDefault="00B45FB4" w:rsidP="00B45FB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78" w:type="dxa"/>
            <w:tcBorders>
              <w:top w:val="nil"/>
              <w:left w:val="nil"/>
              <w:bottom w:val="double" w:sz="6" w:space="0" w:color="auto"/>
              <w:right w:val="nil"/>
            </w:tcBorders>
            <w:shd w:val="clear" w:color="auto" w:fill="auto"/>
            <w:noWrap/>
            <w:vAlign w:val="bottom"/>
            <w:hideMark/>
          </w:tcPr>
          <w:p w14:paraId="14C87CF0"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23,69</w:t>
            </w:r>
          </w:p>
        </w:tc>
        <w:tc>
          <w:tcPr>
            <w:tcW w:w="1883" w:type="dxa"/>
            <w:tcBorders>
              <w:top w:val="nil"/>
              <w:left w:val="nil"/>
              <w:bottom w:val="double" w:sz="6" w:space="0" w:color="auto"/>
              <w:right w:val="nil"/>
            </w:tcBorders>
            <w:shd w:val="clear" w:color="auto" w:fill="auto"/>
            <w:noWrap/>
            <w:vAlign w:val="bottom"/>
            <w:hideMark/>
          </w:tcPr>
          <w:p w14:paraId="6A6DC93E"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16,18</w:t>
            </w:r>
          </w:p>
        </w:tc>
        <w:tc>
          <w:tcPr>
            <w:tcW w:w="2092" w:type="dxa"/>
            <w:tcBorders>
              <w:top w:val="nil"/>
              <w:left w:val="nil"/>
              <w:bottom w:val="double" w:sz="6" w:space="0" w:color="auto"/>
              <w:right w:val="nil"/>
            </w:tcBorders>
            <w:shd w:val="clear" w:color="auto" w:fill="auto"/>
            <w:noWrap/>
            <w:vAlign w:val="bottom"/>
            <w:hideMark/>
          </w:tcPr>
          <w:p w14:paraId="10CE495C"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11,48</w:t>
            </w:r>
          </w:p>
        </w:tc>
        <w:tc>
          <w:tcPr>
            <w:tcW w:w="1867" w:type="dxa"/>
            <w:tcBorders>
              <w:top w:val="nil"/>
              <w:left w:val="nil"/>
              <w:bottom w:val="double" w:sz="6" w:space="0" w:color="auto"/>
              <w:right w:val="nil"/>
            </w:tcBorders>
            <w:shd w:val="clear" w:color="auto" w:fill="auto"/>
            <w:noWrap/>
            <w:vAlign w:val="bottom"/>
            <w:hideMark/>
          </w:tcPr>
          <w:p w14:paraId="54E10F3C" w14:textId="77777777" w:rsidR="00B45FB4" w:rsidRPr="00F85178" w:rsidRDefault="00B45FB4" w:rsidP="00B45FB4">
            <w:pPr>
              <w:spacing w:line="240" w:lineRule="auto"/>
              <w:jc w:val="center"/>
              <w:rPr>
                <w:rFonts w:eastAsia="Times New Roman"/>
                <w:b/>
                <w:bCs/>
                <w:szCs w:val="24"/>
                <w:lang w:eastAsia="cs-CZ"/>
              </w:rPr>
            </w:pPr>
            <w:r w:rsidRPr="00F85178">
              <w:rPr>
                <w:rFonts w:eastAsia="Times New Roman"/>
                <w:b/>
                <w:bCs/>
                <w:szCs w:val="24"/>
                <w:lang w:eastAsia="cs-CZ"/>
              </w:rPr>
              <w:t>48,64</w:t>
            </w:r>
          </w:p>
        </w:tc>
      </w:tr>
    </w:tbl>
    <w:p w14:paraId="2E757900" w14:textId="77777777" w:rsidR="00B45FB4" w:rsidRPr="00F85178" w:rsidRDefault="00B45FB4" w:rsidP="00205FD6"/>
    <w:p w14:paraId="6BAFB92F" w14:textId="77777777" w:rsidR="007C1BD8" w:rsidRPr="00F85178" w:rsidRDefault="00D46D0A" w:rsidP="00D46D0A">
      <w:pPr>
        <w:pStyle w:val="OdstavecASR"/>
      </w:pPr>
      <w:r w:rsidRPr="00F85178">
        <w:t>Krajské soudy logicky přiznávají vyšší nároky než soudy okresní</w:t>
      </w:r>
      <w:r w:rsidR="00C50556" w:rsidRPr="00F85178">
        <w:t xml:space="preserve">, což vyplývá z rozdílné náročnosti agendy. Částky </w:t>
      </w:r>
      <w:r w:rsidR="00405556" w:rsidRPr="00F85178">
        <w:t xml:space="preserve">přiznané </w:t>
      </w:r>
      <w:r w:rsidR="00C50556" w:rsidRPr="00F85178">
        <w:t>krajskými soudy</w:t>
      </w:r>
      <w:r w:rsidR="00405556" w:rsidRPr="00F85178">
        <w:t xml:space="preserve"> se </w:t>
      </w:r>
      <w:r w:rsidR="00C50556" w:rsidRPr="00F85178">
        <w:t xml:space="preserve">navíc </w:t>
      </w:r>
      <w:r w:rsidR="00405556" w:rsidRPr="00F85178">
        <w:t>postupně stále více př</w:t>
      </w:r>
      <w:r w:rsidR="007C1BD8" w:rsidRPr="00F85178">
        <w:t>esouvají nad hranici 10</w:t>
      </w:r>
      <w:r w:rsidR="00DC6241" w:rsidRPr="00F85178">
        <w:t>0</w:t>
      </w:r>
      <w:r w:rsidR="007C1BD8" w:rsidRPr="00F85178">
        <w:t> 00</w:t>
      </w:r>
      <w:r w:rsidR="00DC6241" w:rsidRPr="00F85178">
        <w:t>0</w:t>
      </w:r>
      <w:r w:rsidR="007C1BD8" w:rsidRPr="00F85178">
        <w:t xml:space="preserve"> Kč, kdy klesá podíl přiznaných nároků ve všech intervalech, pouze podíl v částkách nad 100 tis. Kč rychle stoupá (z 35</w:t>
      </w:r>
      <w:r w:rsidR="00645271" w:rsidRPr="00F85178">
        <w:t xml:space="preserve"> </w:t>
      </w:r>
      <w:r w:rsidR="007C1BD8" w:rsidRPr="00F85178">
        <w:t>% v roce 2016 na téměř 50</w:t>
      </w:r>
      <w:r w:rsidR="00645271" w:rsidRPr="00F85178">
        <w:t xml:space="preserve"> </w:t>
      </w:r>
      <w:r w:rsidR="007C1BD8" w:rsidRPr="00F85178">
        <w:t>% v roce 2018)</w:t>
      </w:r>
      <w:r w:rsidRPr="00F85178">
        <w:t xml:space="preserve">. </w:t>
      </w:r>
      <w:r w:rsidR="007C1BD8" w:rsidRPr="00F85178">
        <w:t>Je to vidět na srovnání za poslední tři roky</w:t>
      </w:r>
      <w:r w:rsidR="00457C73" w:rsidRPr="00F85178">
        <w:t xml:space="preserve"> v následující tabulce.</w:t>
      </w:r>
    </w:p>
    <w:p w14:paraId="4F602527" w14:textId="1AE0D3D7" w:rsidR="00457C73" w:rsidRPr="00F85178" w:rsidRDefault="00457C73" w:rsidP="00457C73">
      <w:pPr>
        <w:pStyle w:val="Titulek"/>
        <w:keepNext/>
        <w:rPr>
          <w:color w:val="auto"/>
          <w:sz w:val="24"/>
          <w:szCs w:val="24"/>
        </w:rPr>
      </w:pPr>
      <w:bookmarkStart w:id="389" w:name="_Toc11133241"/>
      <w:bookmarkStart w:id="390" w:name="_Toc13837462"/>
      <w:r w:rsidRPr="00F85178">
        <w:rPr>
          <w:color w:val="auto"/>
          <w:sz w:val="24"/>
          <w:szCs w:val="24"/>
        </w:rPr>
        <w:t xml:space="preserve">Tabulka </w:t>
      </w:r>
      <w:r w:rsidR="00470979" w:rsidRPr="00F85178">
        <w:rPr>
          <w:color w:val="auto"/>
          <w:sz w:val="24"/>
          <w:szCs w:val="24"/>
        </w:rPr>
        <w:fldChar w:fldCharType="begin"/>
      </w:r>
      <w:r w:rsidR="00470979" w:rsidRPr="00F85178">
        <w:rPr>
          <w:color w:val="auto"/>
          <w:sz w:val="24"/>
          <w:szCs w:val="24"/>
        </w:rPr>
        <w:instrText xml:space="preserve"> SEQ Tabulka \* ARABIC </w:instrText>
      </w:r>
      <w:r w:rsidR="00470979" w:rsidRPr="00F85178">
        <w:rPr>
          <w:color w:val="auto"/>
          <w:sz w:val="24"/>
          <w:szCs w:val="24"/>
        </w:rPr>
        <w:fldChar w:fldCharType="separate"/>
      </w:r>
      <w:r w:rsidR="00306940">
        <w:rPr>
          <w:noProof/>
          <w:color w:val="auto"/>
          <w:sz w:val="24"/>
          <w:szCs w:val="24"/>
        </w:rPr>
        <w:t>39</w:t>
      </w:r>
      <w:r w:rsidR="00470979" w:rsidRPr="00F85178">
        <w:rPr>
          <w:noProof/>
          <w:color w:val="auto"/>
          <w:sz w:val="24"/>
          <w:szCs w:val="24"/>
        </w:rPr>
        <w:fldChar w:fldCharType="end"/>
      </w:r>
      <w:r w:rsidR="00F85178" w:rsidRPr="00F85178">
        <w:rPr>
          <w:noProof/>
          <w:color w:val="auto"/>
          <w:sz w:val="24"/>
          <w:szCs w:val="24"/>
        </w:rPr>
        <w:t>: KS – výše přiznaných nároků v letech 2016–2018</w:t>
      </w:r>
      <w:bookmarkEnd w:id="389"/>
      <w:bookmarkEnd w:id="390"/>
    </w:p>
    <w:tbl>
      <w:tblPr>
        <w:tblW w:w="7793" w:type="dxa"/>
        <w:tblInd w:w="55" w:type="dxa"/>
        <w:tblLayout w:type="fixed"/>
        <w:tblCellMar>
          <w:left w:w="70" w:type="dxa"/>
          <w:right w:w="70" w:type="dxa"/>
        </w:tblCellMar>
        <w:tblLook w:val="04A0" w:firstRow="1" w:lastRow="0" w:firstColumn="1" w:lastColumn="0" w:noHBand="0" w:noVBand="1"/>
      </w:tblPr>
      <w:tblGrid>
        <w:gridCol w:w="1008"/>
        <w:gridCol w:w="1782"/>
        <w:gridCol w:w="1599"/>
        <w:gridCol w:w="1703"/>
        <w:gridCol w:w="1701"/>
      </w:tblGrid>
      <w:tr w:rsidR="00F85178" w:rsidRPr="00F85178" w14:paraId="56648A2C" w14:textId="77777777" w:rsidTr="00457C73">
        <w:trPr>
          <w:trHeight w:val="204"/>
        </w:trPr>
        <w:tc>
          <w:tcPr>
            <w:tcW w:w="1008" w:type="dxa"/>
            <w:tcBorders>
              <w:top w:val="double" w:sz="4" w:space="0" w:color="auto"/>
              <w:left w:val="nil"/>
              <w:bottom w:val="double" w:sz="4" w:space="0" w:color="auto"/>
            </w:tcBorders>
            <w:shd w:val="clear" w:color="auto" w:fill="auto"/>
            <w:noWrap/>
            <w:vAlign w:val="center"/>
            <w:hideMark/>
          </w:tcPr>
          <w:p w14:paraId="367E245B" w14:textId="77777777" w:rsidR="007C1BD8" w:rsidRPr="00F85178" w:rsidRDefault="00457C73" w:rsidP="00457C73">
            <w:pPr>
              <w:spacing w:line="240" w:lineRule="auto"/>
              <w:jc w:val="center"/>
              <w:rPr>
                <w:rFonts w:eastAsia="Times New Roman"/>
                <w:b/>
                <w:szCs w:val="16"/>
                <w:lang w:eastAsia="cs-CZ"/>
              </w:rPr>
            </w:pPr>
            <w:r w:rsidRPr="00F85178">
              <w:rPr>
                <w:rFonts w:eastAsia="Times New Roman"/>
                <w:b/>
                <w:szCs w:val="16"/>
                <w:lang w:eastAsia="cs-CZ"/>
              </w:rPr>
              <w:t>Rok</w:t>
            </w:r>
          </w:p>
        </w:tc>
        <w:tc>
          <w:tcPr>
            <w:tcW w:w="1782" w:type="dxa"/>
            <w:tcBorders>
              <w:top w:val="double" w:sz="4" w:space="0" w:color="auto"/>
              <w:bottom w:val="double" w:sz="4" w:space="0" w:color="auto"/>
            </w:tcBorders>
            <w:shd w:val="clear" w:color="auto" w:fill="auto"/>
            <w:noWrap/>
            <w:vAlign w:val="center"/>
            <w:hideMark/>
          </w:tcPr>
          <w:p w14:paraId="20459313"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1</w:t>
            </w:r>
            <w:r w:rsidR="00645271" w:rsidRPr="00F85178">
              <w:rPr>
                <w:rFonts w:eastAsia="Times New Roman"/>
                <w:b/>
                <w:bCs/>
                <w:szCs w:val="24"/>
                <w:lang w:eastAsia="cs-CZ"/>
              </w:rPr>
              <w:t>–</w:t>
            </w:r>
            <w:r w:rsidRPr="00F85178">
              <w:rPr>
                <w:rFonts w:eastAsia="Times New Roman"/>
                <w:b/>
                <w:bCs/>
                <w:szCs w:val="16"/>
                <w:lang w:eastAsia="cs-CZ"/>
              </w:rPr>
              <w:t>20 000</w:t>
            </w:r>
          </w:p>
        </w:tc>
        <w:tc>
          <w:tcPr>
            <w:tcW w:w="1599" w:type="dxa"/>
            <w:tcBorders>
              <w:top w:val="double" w:sz="4" w:space="0" w:color="auto"/>
              <w:bottom w:val="double" w:sz="4" w:space="0" w:color="auto"/>
            </w:tcBorders>
            <w:shd w:val="clear" w:color="auto" w:fill="auto"/>
            <w:noWrap/>
            <w:vAlign w:val="center"/>
            <w:hideMark/>
          </w:tcPr>
          <w:p w14:paraId="2827F57A"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20 001</w:t>
            </w:r>
            <w:r w:rsidR="00645271" w:rsidRPr="00F85178">
              <w:rPr>
                <w:rFonts w:eastAsia="Times New Roman"/>
                <w:b/>
                <w:bCs/>
                <w:szCs w:val="24"/>
                <w:lang w:eastAsia="cs-CZ"/>
              </w:rPr>
              <w:t>–</w:t>
            </w:r>
            <w:r w:rsidRPr="00F85178">
              <w:rPr>
                <w:rFonts w:eastAsia="Times New Roman"/>
                <w:b/>
                <w:bCs/>
                <w:szCs w:val="16"/>
                <w:lang w:eastAsia="cs-CZ"/>
              </w:rPr>
              <w:t>50 000</w:t>
            </w:r>
          </w:p>
        </w:tc>
        <w:tc>
          <w:tcPr>
            <w:tcW w:w="1703" w:type="dxa"/>
            <w:tcBorders>
              <w:top w:val="double" w:sz="4" w:space="0" w:color="auto"/>
              <w:bottom w:val="double" w:sz="4" w:space="0" w:color="auto"/>
            </w:tcBorders>
            <w:shd w:val="clear" w:color="auto" w:fill="auto"/>
            <w:noWrap/>
            <w:vAlign w:val="center"/>
            <w:hideMark/>
          </w:tcPr>
          <w:p w14:paraId="20011E4B"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50 001</w:t>
            </w:r>
            <w:r w:rsidR="00645271" w:rsidRPr="00F85178">
              <w:rPr>
                <w:rFonts w:eastAsia="Times New Roman"/>
                <w:b/>
                <w:bCs/>
                <w:szCs w:val="24"/>
                <w:lang w:eastAsia="cs-CZ"/>
              </w:rPr>
              <w:t>–</w:t>
            </w:r>
            <w:r w:rsidRPr="00F85178">
              <w:rPr>
                <w:rFonts w:eastAsia="Times New Roman"/>
                <w:b/>
                <w:bCs/>
                <w:szCs w:val="16"/>
                <w:lang w:eastAsia="cs-CZ"/>
              </w:rPr>
              <w:t>100 000</w:t>
            </w:r>
          </w:p>
        </w:tc>
        <w:tc>
          <w:tcPr>
            <w:tcW w:w="1701" w:type="dxa"/>
            <w:tcBorders>
              <w:top w:val="double" w:sz="4" w:space="0" w:color="auto"/>
              <w:bottom w:val="double" w:sz="4" w:space="0" w:color="auto"/>
              <w:right w:val="nil"/>
            </w:tcBorders>
            <w:shd w:val="clear" w:color="auto" w:fill="auto"/>
            <w:noWrap/>
            <w:vAlign w:val="center"/>
            <w:hideMark/>
          </w:tcPr>
          <w:p w14:paraId="65F3D5F8"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10</w:t>
            </w:r>
            <w:r w:rsidR="00457C73" w:rsidRPr="00F85178">
              <w:rPr>
                <w:rFonts w:eastAsia="Times New Roman"/>
                <w:b/>
                <w:bCs/>
                <w:szCs w:val="16"/>
                <w:lang w:eastAsia="cs-CZ"/>
              </w:rPr>
              <w:t>0</w:t>
            </w:r>
            <w:r w:rsidRPr="00F85178">
              <w:rPr>
                <w:rFonts w:eastAsia="Times New Roman"/>
                <w:b/>
                <w:bCs/>
                <w:szCs w:val="16"/>
                <w:lang w:eastAsia="cs-CZ"/>
              </w:rPr>
              <w:t xml:space="preserve"> 00</w:t>
            </w:r>
            <w:r w:rsidR="00457C73" w:rsidRPr="00F85178">
              <w:rPr>
                <w:rFonts w:eastAsia="Times New Roman"/>
                <w:b/>
                <w:bCs/>
                <w:szCs w:val="16"/>
                <w:lang w:eastAsia="cs-CZ"/>
              </w:rPr>
              <w:t>1</w:t>
            </w:r>
            <w:r w:rsidRPr="00F85178">
              <w:rPr>
                <w:rFonts w:eastAsia="Times New Roman"/>
                <w:b/>
                <w:bCs/>
                <w:szCs w:val="16"/>
                <w:lang w:eastAsia="cs-CZ"/>
              </w:rPr>
              <w:t xml:space="preserve"> a více</w:t>
            </w:r>
          </w:p>
        </w:tc>
      </w:tr>
      <w:tr w:rsidR="00F85178" w:rsidRPr="00F85178" w14:paraId="0517205B" w14:textId="77777777" w:rsidTr="00457C73">
        <w:trPr>
          <w:trHeight w:val="204"/>
        </w:trPr>
        <w:tc>
          <w:tcPr>
            <w:tcW w:w="1008" w:type="dxa"/>
            <w:tcBorders>
              <w:top w:val="double" w:sz="4" w:space="0" w:color="auto"/>
              <w:left w:val="nil"/>
              <w:bottom w:val="single" w:sz="4" w:space="0" w:color="auto"/>
              <w:right w:val="nil"/>
            </w:tcBorders>
            <w:shd w:val="clear" w:color="auto" w:fill="auto"/>
            <w:noWrap/>
            <w:vAlign w:val="center"/>
            <w:hideMark/>
          </w:tcPr>
          <w:p w14:paraId="6A159638"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2016</w:t>
            </w:r>
          </w:p>
        </w:tc>
        <w:tc>
          <w:tcPr>
            <w:tcW w:w="1782" w:type="dxa"/>
            <w:tcBorders>
              <w:top w:val="double" w:sz="4" w:space="0" w:color="auto"/>
              <w:left w:val="nil"/>
              <w:bottom w:val="single" w:sz="4" w:space="0" w:color="auto"/>
              <w:right w:val="nil"/>
            </w:tcBorders>
            <w:shd w:val="clear" w:color="auto" w:fill="auto"/>
            <w:noWrap/>
            <w:vAlign w:val="center"/>
            <w:hideMark/>
          </w:tcPr>
          <w:p w14:paraId="5930D32F"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26,5</w:t>
            </w:r>
          </w:p>
        </w:tc>
        <w:tc>
          <w:tcPr>
            <w:tcW w:w="1599" w:type="dxa"/>
            <w:tcBorders>
              <w:top w:val="double" w:sz="4" w:space="0" w:color="auto"/>
              <w:left w:val="nil"/>
              <w:bottom w:val="single" w:sz="4" w:space="0" w:color="auto"/>
              <w:right w:val="nil"/>
            </w:tcBorders>
            <w:shd w:val="clear" w:color="auto" w:fill="auto"/>
            <w:noWrap/>
            <w:vAlign w:val="center"/>
            <w:hideMark/>
          </w:tcPr>
          <w:p w14:paraId="4122A10B"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21,94</w:t>
            </w:r>
          </w:p>
        </w:tc>
        <w:tc>
          <w:tcPr>
            <w:tcW w:w="1703" w:type="dxa"/>
            <w:tcBorders>
              <w:top w:val="double" w:sz="4" w:space="0" w:color="auto"/>
              <w:left w:val="nil"/>
              <w:bottom w:val="single" w:sz="4" w:space="0" w:color="auto"/>
              <w:right w:val="nil"/>
            </w:tcBorders>
            <w:shd w:val="clear" w:color="auto" w:fill="auto"/>
            <w:noWrap/>
            <w:vAlign w:val="center"/>
            <w:hideMark/>
          </w:tcPr>
          <w:p w14:paraId="6888FD35"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17,59</w:t>
            </w:r>
          </w:p>
        </w:tc>
        <w:tc>
          <w:tcPr>
            <w:tcW w:w="1701" w:type="dxa"/>
            <w:tcBorders>
              <w:top w:val="double" w:sz="4" w:space="0" w:color="auto"/>
              <w:left w:val="nil"/>
              <w:bottom w:val="single" w:sz="4" w:space="0" w:color="auto"/>
              <w:right w:val="nil"/>
            </w:tcBorders>
            <w:shd w:val="clear" w:color="auto" w:fill="auto"/>
            <w:noWrap/>
            <w:vAlign w:val="center"/>
            <w:hideMark/>
          </w:tcPr>
          <w:p w14:paraId="6A66CEC4"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34,42</w:t>
            </w:r>
          </w:p>
        </w:tc>
      </w:tr>
      <w:tr w:rsidR="00F85178" w:rsidRPr="00F85178" w14:paraId="0BBCD414" w14:textId="77777777" w:rsidTr="00457C73">
        <w:trPr>
          <w:trHeight w:val="204"/>
        </w:trPr>
        <w:tc>
          <w:tcPr>
            <w:tcW w:w="1008" w:type="dxa"/>
            <w:tcBorders>
              <w:top w:val="single" w:sz="4" w:space="0" w:color="auto"/>
              <w:left w:val="nil"/>
              <w:bottom w:val="single" w:sz="4" w:space="0" w:color="auto"/>
              <w:right w:val="nil"/>
            </w:tcBorders>
            <w:shd w:val="clear" w:color="auto" w:fill="auto"/>
            <w:noWrap/>
            <w:vAlign w:val="center"/>
            <w:hideMark/>
          </w:tcPr>
          <w:p w14:paraId="6340ECCB"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2017</w:t>
            </w:r>
          </w:p>
        </w:tc>
        <w:tc>
          <w:tcPr>
            <w:tcW w:w="1782" w:type="dxa"/>
            <w:tcBorders>
              <w:top w:val="single" w:sz="4" w:space="0" w:color="auto"/>
              <w:left w:val="nil"/>
              <w:bottom w:val="single" w:sz="4" w:space="0" w:color="auto"/>
              <w:right w:val="nil"/>
            </w:tcBorders>
            <w:shd w:val="clear" w:color="auto" w:fill="auto"/>
            <w:noWrap/>
            <w:vAlign w:val="center"/>
            <w:hideMark/>
          </w:tcPr>
          <w:p w14:paraId="4CC90841"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25,1</w:t>
            </w:r>
            <w:r w:rsidR="00C50556" w:rsidRPr="00F85178">
              <w:rPr>
                <w:rFonts w:eastAsia="Times New Roman"/>
                <w:szCs w:val="16"/>
                <w:lang w:eastAsia="cs-CZ"/>
              </w:rPr>
              <w:t>0</w:t>
            </w:r>
          </w:p>
        </w:tc>
        <w:tc>
          <w:tcPr>
            <w:tcW w:w="1599" w:type="dxa"/>
            <w:tcBorders>
              <w:top w:val="single" w:sz="4" w:space="0" w:color="auto"/>
              <w:left w:val="nil"/>
              <w:bottom w:val="single" w:sz="4" w:space="0" w:color="auto"/>
              <w:right w:val="nil"/>
            </w:tcBorders>
            <w:shd w:val="clear" w:color="auto" w:fill="auto"/>
            <w:noWrap/>
            <w:vAlign w:val="center"/>
            <w:hideMark/>
          </w:tcPr>
          <w:p w14:paraId="574E7DA7"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18,34</w:t>
            </w:r>
          </w:p>
        </w:tc>
        <w:tc>
          <w:tcPr>
            <w:tcW w:w="1703" w:type="dxa"/>
            <w:tcBorders>
              <w:top w:val="single" w:sz="4" w:space="0" w:color="auto"/>
              <w:left w:val="nil"/>
              <w:bottom w:val="single" w:sz="4" w:space="0" w:color="auto"/>
              <w:right w:val="nil"/>
            </w:tcBorders>
            <w:shd w:val="clear" w:color="auto" w:fill="auto"/>
            <w:noWrap/>
            <w:vAlign w:val="center"/>
            <w:hideMark/>
          </w:tcPr>
          <w:p w14:paraId="793759EA"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13,11</w:t>
            </w:r>
          </w:p>
        </w:tc>
        <w:tc>
          <w:tcPr>
            <w:tcW w:w="1701" w:type="dxa"/>
            <w:tcBorders>
              <w:top w:val="single" w:sz="4" w:space="0" w:color="auto"/>
              <w:left w:val="nil"/>
              <w:bottom w:val="single" w:sz="4" w:space="0" w:color="auto"/>
              <w:right w:val="nil"/>
            </w:tcBorders>
            <w:shd w:val="clear" w:color="auto" w:fill="auto"/>
            <w:noWrap/>
            <w:vAlign w:val="center"/>
            <w:hideMark/>
          </w:tcPr>
          <w:p w14:paraId="5B815593"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43,46</w:t>
            </w:r>
          </w:p>
        </w:tc>
      </w:tr>
      <w:tr w:rsidR="00457C73" w:rsidRPr="00F85178" w14:paraId="6E95050F" w14:textId="77777777" w:rsidTr="00457C73">
        <w:trPr>
          <w:trHeight w:val="204"/>
        </w:trPr>
        <w:tc>
          <w:tcPr>
            <w:tcW w:w="1008" w:type="dxa"/>
            <w:tcBorders>
              <w:top w:val="single" w:sz="4" w:space="0" w:color="auto"/>
              <w:left w:val="nil"/>
              <w:bottom w:val="double" w:sz="4" w:space="0" w:color="auto"/>
              <w:right w:val="nil"/>
            </w:tcBorders>
            <w:shd w:val="clear" w:color="auto" w:fill="auto"/>
            <w:noWrap/>
            <w:vAlign w:val="center"/>
            <w:hideMark/>
          </w:tcPr>
          <w:p w14:paraId="6620B76A" w14:textId="77777777" w:rsidR="007C1BD8" w:rsidRPr="00F85178" w:rsidRDefault="007C1BD8" w:rsidP="00457C73">
            <w:pPr>
              <w:spacing w:line="240" w:lineRule="auto"/>
              <w:jc w:val="center"/>
              <w:rPr>
                <w:rFonts w:eastAsia="Times New Roman"/>
                <w:b/>
                <w:bCs/>
                <w:szCs w:val="16"/>
                <w:lang w:eastAsia="cs-CZ"/>
              </w:rPr>
            </w:pPr>
            <w:r w:rsidRPr="00F85178">
              <w:rPr>
                <w:rFonts w:eastAsia="Times New Roman"/>
                <w:b/>
                <w:bCs/>
                <w:szCs w:val="16"/>
                <w:lang w:eastAsia="cs-CZ"/>
              </w:rPr>
              <w:t>2018</w:t>
            </w:r>
          </w:p>
        </w:tc>
        <w:tc>
          <w:tcPr>
            <w:tcW w:w="1782" w:type="dxa"/>
            <w:tcBorders>
              <w:top w:val="single" w:sz="4" w:space="0" w:color="auto"/>
              <w:left w:val="nil"/>
              <w:bottom w:val="double" w:sz="4" w:space="0" w:color="auto"/>
              <w:right w:val="nil"/>
            </w:tcBorders>
            <w:shd w:val="clear" w:color="auto" w:fill="auto"/>
            <w:noWrap/>
            <w:vAlign w:val="center"/>
            <w:hideMark/>
          </w:tcPr>
          <w:p w14:paraId="10294789"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23,69</w:t>
            </w:r>
          </w:p>
        </w:tc>
        <w:tc>
          <w:tcPr>
            <w:tcW w:w="1599" w:type="dxa"/>
            <w:tcBorders>
              <w:top w:val="single" w:sz="4" w:space="0" w:color="auto"/>
              <w:left w:val="nil"/>
              <w:bottom w:val="double" w:sz="4" w:space="0" w:color="auto"/>
              <w:right w:val="nil"/>
            </w:tcBorders>
            <w:shd w:val="clear" w:color="auto" w:fill="auto"/>
            <w:noWrap/>
            <w:vAlign w:val="center"/>
            <w:hideMark/>
          </w:tcPr>
          <w:p w14:paraId="1AAA0712"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16,18</w:t>
            </w:r>
          </w:p>
        </w:tc>
        <w:tc>
          <w:tcPr>
            <w:tcW w:w="1703" w:type="dxa"/>
            <w:tcBorders>
              <w:top w:val="single" w:sz="4" w:space="0" w:color="auto"/>
              <w:left w:val="nil"/>
              <w:bottom w:val="double" w:sz="4" w:space="0" w:color="auto"/>
              <w:right w:val="nil"/>
            </w:tcBorders>
            <w:shd w:val="clear" w:color="auto" w:fill="auto"/>
            <w:noWrap/>
            <w:vAlign w:val="center"/>
            <w:hideMark/>
          </w:tcPr>
          <w:p w14:paraId="07DE0F24"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11,48</w:t>
            </w:r>
          </w:p>
        </w:tc>
        <w:tc>
          <w:tcPr>
            <w:tcW w:w="1701" w:type="dxa"/>
            <w:tcBorders>
              <w:top w:val="single" w:sz="4" w:space="0" w:color="auto"/>
              <w:left w:val="nil"/>
              <w:bottom w:val="double" w:sz="4" w:space="0" w:color="auto"/>
              <w:right w:val="nil"/>
            </w:tcBorders>
            <w:shd w:val="clear" w:color="auto" w:fill="auto"/>
            <w:noWrap/>
            <w:vAlign w:val="center"/>
            <w:hideMark/>
          </w:tcPr>
          <w:p w14:paraId="6CF78422" w14:textId="77777777" w:rsidR="007C1BD8" w:rsidRPr="00F85178" w:rsidRDefault="007C1BD8" w:rsidP="00457C73">
            <w:pPr>
              <w:spacing w:line="240" w:lineRule="auto"/>
              <w:jc w:val="center"/>
              <w:rPr>
                <w:rFonts w:eastAsia="Times New Roman"/>
                <w:szCs w:val="16"/>
                <w:lang w:eastAsia="cs-CZ"/>
              </w:rPr>
            </w:pPr>
            <w:r w:rsidRPr="00F85178">
              <w:rPr>
                <w:rFonts w:eastAsia="Times New Roman"/>
                <w:szCs w:val="16"/>
                <w:lang w:eastAsia="cs-CZ"/>
              </w:rPr>
              <w:t>48,64</w:t>
            </w:r>
          </w:p>
        </w:tc>
      </w:tr>
    </w:tbl>
    <w:p w14:paraId="65F00243" w14:textId="77777777" w:rsidR="007C1BD8" w:rsidRPr="00F85178" w:rsidRDefault="007C1BD8" w:rsidP="00D46D0A">
      <w:pPr>
        <w:pStyle w:val="OdstavecASR"/>
      </w:pPr>
    </w:p>
    <w:p w14:paraId="4393C13F" w14:textId="459BF589" w:rsidR="00C50556" w:rsidRPr="00F85178" w:rsidRDefault="00C50556" w:rsidP="00D46D0A">
      <w:pPr>
        <w:pStyle w:val="OdstavecASR"/>
      </w:pPr>
      <w:r w:rsidRPr="00F85178">
        <w:t>K největšímu přesunu nad hranici 100 tis. dochází logicky u přiznaných částek z intervalu 50 001 Kč</w:t>
      </w:r>
      <w:r w:rsidR="002435C2">
        <w:t xml:space="preserve"> </w:t>
      </w:r>
      <w:r w:rsidR="00645271" w:rsidRPr="00F85178">
        <w:rPr>
          <w:rFonts w:eastAsia="Times New Roman"/>
          <w:b/>
          <w:bCs/>
          <w:szCs w:val="24"/>
          <w:lang w:eastAsia="cs-CZ"/>
        </w:rPr>
        <w:t>–</w:t>
      </w:r>
      <w:r w:rsidR="002435C2">
        <w:rPr>
          <w:rFonts w:eastAsia="Times New Roman"/>
          <w:b/>
          <w:bCs/>
          <w:szCs w:val="24"/>
          <w:lang w:eastAsia="cs-CZ"/>
        </w:rPr>
        <w:t xml:space="preserve"> </w:t>
      </w:r>
      <w:r w:rsidRPr="00F85178">
        <w:t xml:space="preserve">100 000 Kč (pokles podílu o 6,1 </w:t>
      </w:r>
      <w:r w:rsidR="0075107E" w:rsidRPr="00F85178">
        <w:t>p</w:t>
      </w:r>
      <w:r w:rsidR="00457C73" w:rsidRPr="00F85178">
        <w:t>roce</w:t>
      </w:r>
      <w:r w:rsidR="00F36646">
        <w:t>n</w:t>
      </w:r>
      <w:r w:rsidR="00457C73" w:rsidRPr="00F85178">
        <w:t>tního bodu</w:t>
      </w:r>
      <w:r w:rsidRPr="00F85178">
        <w:t xml:space="preserve"> od roku 2016), ale téměř stejný úbytek lze pozorovat i u intervalu 20 001 Kč</w:t>
      </w:r>
      <w:r w:rsidR="00F36646">
        <w:t xml:space="preserve"> </w:t>
      </w:r>
      <w:r w:rsidR="00645271" w:rsidRPr="00F85178">
        <w:rPr>
          <w:rFonts w:eastAsia="Times New Roman"/>
          <w:b/>
          <w:bCs/>
          <w:szCs w:val="24"/>
          <w:lang w:eastAsia="cs-CZ"/>
        </w:rPr>
        <w:t>–</w:t>
      </w:r>
      <w:r w:rsidR="00F36646">
        <w:rPr>
          <w:rFonts w:eastAsia="Times New Roman"/>
          <w:b/>
          <w:bCs/>
          <w:szCs w:val="24"/>
          <w:lang w:eastAsia="cs-CZ"/>
        </w:rPr>
        <w:t xml:space="preserve"> </w:t>
      </w:r>
      <w:r w:rsidRPr="00F85178">
        <w:t>50 000 Kč (</w:t>
      </w:r>
      <w:r w:rsidR="00457C73" w:rsidRPr="00F85178">
        <w:t xml:space="preserve">snížení o </w:t>
      </w:r>
      <w:r w:rsidRPr="00F85178">
        <w:t xml:space="preserve">5,76 </w:t>
      </w:r>
      <w:r w:rsidR="0075107E" w:rsidRPr="00F85178">
        <w:t>p</w:t>
      </w:r>
      <w:r w:rsidR="00457C73" w:rsidRPr="00F85178">
        <w:t xml:space="preserve">rocentního bodu </w:t>
      </w:r>
      <w:r w:rsidRPr="00F85178">
        <w:t>od roku 2016).</w:t>
      </w:r>
    </w:p>
    <w:p w14:paraId="16695FDC" w14:textId="77777777" w:rsidR="00542AC9" w:rsidRPr="00F85178" w:rsidRDefault="00542AC9" w:rsidP="00D46D0A">
      <w:pPr>
        <w:pStyle w:val="OdstavecASR"/>
      </w:pPr>
      <w:r w:rsidRPr="00F85178">
        <w:t>V přiznaných nárocích nad 100 000 Kč dochází v posledních třech letech ke stálému a rychlému nárůstu u MS Praha a KS České Budějovice, což je hlavní důvod růstu tohoto intervalu za celou ČR. U ostatních krajských soudů tento interval roste také, ale různou rychlostí a s rozdílnými výkyvy v konkrétních letech. Výjimkou je KS Hradec Králové, u kterého se</w:t>
      </w:r>
      <w:r w:rsidR="00590E8F" w:rsidRPr="00F85178">
        <w:t xml:space="preserve"> </w:t>
      </w:r>
      <w:r w:rsidRPr="00F85178">
        <w:t xml:space="preserve">počet </w:t>
      </w:r>
      <w:r w:rsidR="00590E8F" w:rsidRPr="00F85178">
        <w:t>přiznaných nároků nad 100 000 Kč v letech 2016–2018 každým rokem snižuje (-4,58</w:t>
      </w:r>
      <w:r w:rsidR="0075107E" w:rsidRPr="00F85178">
        <w:t xml:space="preserve"> p</w:t>
      </w:r>
      <w:r w:rsidR="00806C60" w:rsidRPr="00F85178">
        <w:t>roce</w:t>
      </w:r>
      <w:r w:rsidR="00645271" w:rsidRPr="00F85178">
        <w:t>ntn</w:t>
      </w:r>
      <w:r w:rsidR="00806C60" w:rsidRPr="00F85178">
        <w:t xml:space="preserve">ího bodu </w:t>
      </w:r>
      <w:r w:rsidR="00590E8F" w:rsidRPr="00F85178">
        <w:t xml:space="preserve">v roce 2017 </w:t>
      </w:r>
      <w:r w:rsidR="00806C60" w:rsidRPr="00F85178">
        <w:t xml:space="preserve">oproti roku </w:t>
      </w:r>
      <w:r w:rsidR="00590E8F" w:rsidRPr="00F85178">
        <w:t xml:space="preserve">2016 a -12,55 </w:t>
      </w:r>
      <w:r w:rsidR="0075107E" w:rsidRPr="00F85178">
        <w:t>p</w:t>
      </w:r>
      <w:r w:rsidR="00806C60" w:rsidRPr="00F85178">
        <w:t xml:space="preserve">rocentního bodu </w:t>
      </w:r>
      <w:r w:rsidR="0075107E" w:rsidRPr="00F85178">
        <w:t>v roce</w:t>
      </w:r>
      <w:r w:rsidR="00590E8F" w:rsidRPr="00F85178">
        <w:t xml:space="preserve"> 2018 </w:t>
      </w:r>
      <w:r w:rsidR="00806C60" w:rsidRPr="00F85178">
        <w:t xml:space="preserve">oproti roku </w:t>
      </w:r>
      <w:r w:rsidR="00590E8F" w:rsidRPr="00F85178">
        <w:t>2017)</w:t>
      </w:r>
      <w:r w:rsidR="00EA7BBC" w:rsidRPr="00F85178">
        <w:t>.</w:t>
      </w:r>
    </w:p>
    <w:p w14:paraId="638F49D2" w14:textId="78EE2856" w:rsidR="00D46D0A" w:rsidRPr="00F85178" w:rsidRDefault="00D46D0A" w:rsidP="00D46D0A">
      <w:pPr>
        <w:pStyle w:val="OdstavecASR"/>
      </w:pPr>
      <w:r w:rsidRPr="00F85178">
        <w:t xml:space="preserve">Opět také vidíme poměrně značné rozdíly mezi jednotlivými soudy. Nejvyšší nárok v průměru přiznává MS Praha, což opět plyne z obsahu vyřizované agendy. Mediánový přiznaný nárok je </w:t>
      </w:r>
      <w:r w:rsidR="00856CA5" w:rsidRPr="00F85178">
        <w:t>200</w:t>
      </w:r>
      <w:r w:rsidR="00F36646">
        <w:t> </w:t>
      </w:r>
      <w:r w:rsidR="00856CA5" w:rsidRPr="00F85178">
        <w:t>000</w:t>
      </w:r>
      <w:r w:rsidR="00F36646">
        <w:t xml:space="preserve"> </w:t>
      </w:r>
      <w:r w:rsidRPr="00F85178">
        <w:t>Kč. Nejmenší nároky</w:t>
      </w:r>
      <w:r w:rsidR="00856CA5" w:rsidRPr="00F85178">
        <w:t xml:space="preserve"> byly v roce 2018</w:t>
      </w:r>
      <w:r w:rsidRPr="00F85178">
        <w:t xml:space="preserve"> přiznávány u KS v</w:t>
      </w:r>
      <w:r w:rsidR="00856CA5" w:rsidRPr="00F85178">
        <w:t xml:space="preserve"> Hradci </w:t>
      </w:r>
      <w:r w:rsidR="00EA7BBC" w:rsidRPr="00F85178">
        <w:t>K</w:t>
      </w:r>
      <w:r w:rsidR="00856CA5" w:rsidRPr="00F85178">
        <w:t>rálové</w:t>
      </w:r>
      <w:r w:rsidRPr="00F85178">
        <w:t xml:space="preserve">, kde </w:t>
      </w:r>
      <w:r w:rsidR="00A51808">
        <w:t xml:space="preserve">mediánový přiznaný nárok činil </w:t>
      </w:r>
      <w:r w:rsidR="00856CA5" w:rsidRPr="00F85178">
        <w:t>20 066</w:t>
      </w:r>
      <w:r w:rsidRPr="00F85178">
        <w:t> Kč. Naprostou většinu sporů s výší přiznaného nároku do 20 000 Kč tvoří spory z autorského zákona a spory ze směnek, šeků a jiných cenných papírů.</w:t>
      </w:r>
    </w:p>
    <w:p w14:paraId="0B0FE166" w14:textId="37A9921A" w:rsidR="00D46D0A" w:rsidRPr="00F85178" w:rsidRDefault="00D46D0A" w:rsidP="00D46D0A">
      <w:pPr>
        <w:pStyle w:val="OdstavecASR"/>
      </w:pPr>
      <w:r w:rsidRPr="00F85178">
        <w:t>Poslední tabulka se věnuje nejčastějším předmětům sporů. Je patrné, že předměty sporu se zcela odlišují od sporů, kterými se zabývají okresní soudy. V počtu pravomocně skončených věcí zcela jasně převažují spory ze směnek</w:t>
      </w:r>
      <w:r w:rsidR="00D0253D" w:rsidRPr="00F85178">
        <w:t>, které v</w:t>
      </w:r>
      <w:r w:rsidR="00F2340E">
        <w:t> </w:t>
      </w:r>
      <w:r w:rsidR="00D0253D" w:rsidRPr="00F85178">
        <w:t>roce</w:t>
      </w:r>
      <w:r w:rsidR="00F2340E">
        <w:t xml:space="preserve"> mírně klesly</w:t>
      </w:r>
      <w:r w:rsidR="00D0253D" w:rsidRPr="00F85178">
        <w:t xml:space="preserve"> z podílu 40,61 % </w:t>
      </w:r>
      <w:r w:rsidR="00F2340E">
        <w:t xml:space="preserve">v roce 2017 </w:t>
      </w:r>
      <w:r w:rsidR="00D0253D" w:rsidRPr="00F85178">
        <w:t>na všech civilních sporech</w:t>
      </w:r>
      <w:r w:rsidR="00D3540E" w:rsidRPr="00F85178">
        <w:t xml:space="preserve"> u KS na </w:t>
      </w:r>
      <w:r w:rsidR="00F2340E">
        <w:t>37</w:t>
      </w:r>
      <w:r w:rsidR="00D0253D" w:rsidRPr="00F85178">
        <w:t>,</w:t>
      </w:r>
      <w:r w:rsidR="00F2340E">
        <w:t>41</w:t>
      </w:r>
      <w:r w:rsidR="00645271" w:rsidRPr="00F85178">
        <w:t xml:space="preserve"> </w:t>
      </w:r>
      <w:r w:rsidR="00D0253D" w:rsidRPr="00F85178">
        <w:t>% v roce 2018</w:t>
      </w:r>
      <w:r w:rsidRPr="00F85178">
        <w:t>. Zde je určitá podobnost s okresními soudy, protože se také jedná o úhradu dlužné částky</w:t>
      </w:r>
      <w:r w:rsidR="00D0253D" w:rsidRPr="00F85178">
        <w:t xml:space="preserve"> (u OS tvoří 39 % podíl, viz tabulka 13</w:t>
      </w:r>
      <w:r w:rsidR="00D0253D" w:rsidRPr="00F85178">
        <w:rPr>
          <w:rStyle w:val="Znakapoznpodarou"/>
        </w:rPr>
        <w:footnoteReference w:id="9"/>
      </w:r>
      <w:r w:rsidR="00D0253D" w:rsidRPr="00F85178">
        <w:t>)</w:t>
      </w:r>
      <w:r w:rsidRPr="00F85178">
        <w:t>.</w:t>
      </w:r>
    </w:p>
    <w:p w14:paraId="7B46ACF0" w14:textId="77777777" w:rsidR="00B45FB4" w:rsidRPr="00F85178" w:rsidRDefault="00D46D0A" w:rsidP="00D46D0A">
      <w:pPr>
        <w:pStyle w:val="OdstavecASR"/>
      </w:pPr>
      <w:r w:rsidRPr="00F85178">
        <w:t xml:space="preserve">Mezi relativním zastoupením ostatních předmětů sporu jsou rozdíly </w:t>
      </w:r>
      <w:r w:rsidR="00D3540E" w:rsidRPr="00F85178">
        <w:t>minimální</w:t>
      </w:r>
      <w:r w:rsidRPr="00F85178">
        <w:t>. Kromě zde uvedených předmětů sporů existuje dalších 1</w:t>
      </w:r>
      <w:r w:rsidR="0075107E" w:rsidRPr="00F85178">
        <w:t>6</w:t>
      </w:r>
      <w:r w:rsidRPr="00F85178">
        <w:t xml:space="preserve"> druhů sporů, u kterých bylo v roce 201</w:t>
      </w:r>
      <w:r w:rsidR="007C00FB" w:rsidRPr="00F85178">
        <w:t>8</w:t>
      </w:r>
      <w:r w:rsidRPr="00F85178">
        <w:t xml:space="preserve"> pravomocně skončeno alespoň 100 věcí.</w:t>
      </w:r>
    </w:p>
    <w:p w14:paraId="61657DCE" w14:textId="77777777" w:rsidR="00B45FB4" w:rsidRPr="00F85178" w:rsidRDefault="002E4D0F" w:rsidP="002E4D0F">
      <w:pPr>
        <w:pStyle w:val="Podtitul"/>
        <w:rPr>
          <w:color w:val="auto"/>
        </w:rPr>
      </w:pPr>
      <w:bookmarkStart w:id="391" w:name="_Toc515871474"/>
      <w:bookmarkStart w:id="392" w:name="_Toc11133242"/>
      <w:bookmarkStart w:id="393" w:name="_Toc13837463"/>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40</w:t>
      </w:r>
      <w:r w:rsidRPr="00F85178">
        <w:rPr>
          <w:color w:val="auto"/>
        </w:rPr>
        <w:fldChar w:fldCharType="end"/>
      </w:r>
      <w:r w:rsidRPr="00F85178">
        <w:rPr>
          <w:color w:val="auto"/>
        </w:rPr>
        <w:t>: KS – nejčastější spory v civilním řízení</w:t>
      </w:r>
      <w:bookmarkEnd w:id="391"/>
      <w:bookmarkEnd w:id="392"/>
      <w:bookmarkEnd w:id="393"/>
    </w:p>
    <w:tbl>
      <w:tblPr>
        <w:tblW w:w="6880" w:type="dxa"/>
        <w:tblInd w:w="55" w:type="dxa"/>
        <w:tblCellMar>
          <w:left w:w="0" w:type="dxa"/>
          <w:right w:w="0" w:type="dxa"/>
        </w:tblCellMar>
        <w:tblLook w:val="04A0" w:firstRow="1" w:lastRow="0" w:firstColumn="1" w:lastColumn="0" w:noHBand="0" w:noVBand="1"/>
      </w:tblPr>
      <w:tblGrid>
        <w:gridCol w:w="5820"/>
        <w:gridCol w:w="1060"/>
      </w:tblGrid>
      <w:tr w:rsidR="00F85178" w:rsidRPr="00F85178" w14:paraId="71B6FC84" w14:textId="77777777" w:rsidTr="00457C73">
        <w:trPr>
          <w:trHeight w:val="345"/>
        </w:trPr>
        <w:tc>
          <w:tcPr>
            <w:tcW w:w="582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0D98232D" w14:textId="77777777" w:rsidR="007C00FB" w:rsidRPr="00F85178" w:rsidRDefault="007C00FB">
            <w:pPr>
              <w:spacing w:line="240" w:lineRule="auto"/>
              <w:jc w:val="center"/>
              <w:rPr>
                <w:b/>
                <w:bCs/>
                <w:szCs w:val="24"/>
                <w:lang w:eastAsia="cs-CZ"/>
              </w:rPr>
            </w:pPr>
            <w:r w:rsidRPr="00F85178">
              <w:rPr>
                <w:b/>
                <w:bCs/>
              </w:rPr>
              <w:t>Předmět sporu</w:t>
            </w:r>
          </w:p>
        </w:tc>
        <w:tc>
          <w:tcPr>
            <w:tcW w:w="106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208A38EF" w14:textId="77777777" w:rsidR="007C00FB" w:rsidRPr="00F85178" w:rsidRDefault="007C00FB">
            <w:pPr>
              <w:jc w:val="center"/>
              <w:rPr>
                <w:b/>
                <w:bCs/>
              </w:rPr>
            </w:pPr>
            <w:r w:rsidRPr="00F85178">
              <w:rPr>
                <w:b/>
                <w:bCs/>
              </w:rPr>
              <w:t>Podíl v %</w:t>
            </w:r>
          </w:p>
        </w:tc>
      </w:tr>
      <w:tr w:rsidR="00F85178" w:rsidRPr="00F85178" w14:paraId="2481684C" w14:textId="77777777" w:rsidTr="00457C73">
        <w:trPr>
          <w:trHeight w:val="330"/>
        </w:trPr>
        <w:tc>
          <w:tcPr>
            <w:tcW w:w="0" w:type="auto"/>
            <w:tcBorders>
              <w:top w:val="single" w:sz="4" w:space="0" w:color="auto"/>
              <w:left w:val="nil"/>
              <w:bottom w:val="single" w:sz="4" w:space="0" w:color="auto"/>
              <w:right w:val="nil"/>
            </w:tcBorders>
            <w:shd w:val="clear" w:color="auto" w:fill="auto"/>
            <w:noWrap/>
            <w:tcMar>
              <w:top w:w="15" w:type="dxa"/>
              <w:left w:w="15" w:type="dxa"/>
              <w:bottom w:w="0" w:type="dxa"/>
              <w:right w:w="15" w:type="dxa"/>
            </w:tcMar>
            <w:vAlign w:val="bottom"/>
            <w:hideMark/>
          </w:tcPr>
          <w:p w14:paraId="1402500A" w14:textId="77777777" w:rsidR="007C00FB" w:rsidRPr="00F85178" w:rsidRDefault="007C00FB">
            <w:pPr>
              <w:jc w:val="left"/>
            </w:pPr>
            <w:r w:rsidRPr="00F85178">
              <w:t>Spory ze směnek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37C53B51" w14:textId="77777777" w:rsidR="007C00FB" w:rsidRPr="00F85178" w:rsidRDefault="007C00FB">
            <w:pPr>
              <w:jc w:val="center"/>
            </w:pPr>
            <w:r w:rsidRPr="00F85178">
              <w:t>37,41</w:t>
            </w:r>
          </w:p>
        </w:tc>
      </w:tr>
      <w:tr w:rsidR="00F85178" w:rsidRPr="00F85178" w14:paraId="6688DE2E" w14:textId="77777777" w:rsidTr="00457C7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38AE53B" w14:textId="77777777" w:rsidR="007C00FB" w:rsidRPr="00F85178" w:rsidRDefault="007C00FB">
            <w:pPr>
              <w:jc w:val="left"/>
            </w:pPr>
            <w:r w:rsidRPr="00F85178">
              <w:t>Jiné korporace - zrušení a jmenování likvidátora</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288D60F" w14:textId="77777777" w:rsidR="007C00FB" w:rsidRPr="00F85178" w:rsidRDefault="007C00FB">
            <w:pPr>
              <w:jc w:val="center"/>
            </w:pPr>
            <w:r w:rsidRPr="00F85178">
              <w:t>10,09</w:t>
            </w:r>
          </w:p>
        </w:tc>
      </w:tr>
      <w:tr w:rsidR="00F85178" w:rsidRPr="00F85178" w14:paraId="587612B3" w14:textId="77777777" w:rsidTr="00457C73">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2BC077A9" w14:textId="77777777" w:rsidR="007C00FB" w:rsidRPr="00F85178" w:rsidRDefault="007C00FB">
            <w:pPr>
              <w:jc w:val="left"/>
            </w:pPr>
            <w:r w:rsidRPr="00F85178">
              <w:t>Spory z prodeje zboží v obchodě, zaplacení kupní ceny</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11BB45EB" w14:textId="77777777" w:rsidR="007C00FB" w:rsidRPr="00F85178" w:rsidRDefault="007C00FB">
            <w:pPr>
              <w:jc w:val="center"/>
            </w:pPr>
            <w:r w:rsidRPr="00F85178">
              <w:t>3,06</w:t>
            </w:r>
          </w:p>
        </w:tc>
      </w:tr>
      <w:tr w:rsidR="00F85178" w:rsidRPr="00F85178" w14:paraId="6B033CAE" w14:textId="77777777" w:rsidTr="00457C73">
        <w:trPr>
          <w:trHeight w:val="630"/>
        </w:trPr>
        <w:tc>
          <w:tcPr>
            <w:tcW w:w="58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44B83E0F" w14:textId="77777777" w:rsidR="007C00FB" w:rsidRPr="00F85178" w:rsidRDefault="007C00FB">
            <w:pPr>
              <w:jc w:val="left"/>
            </w:pPr>
            <w:r w:rsidRPr="00F85178">
              <w:t>Jednání shromáždění společenství vlastníků jednotek a sporů z toho vzniklých</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center"/>
            <w:hideMark/>
          </w:tcPr>
          <w:p w14:paraId="6B31A7E7" w14:textId="77777777" w:rsidR="007C00FB" w:rsidRPr="00F85178" w:rsidRDefault="007C00FB">
            <w:pPr>
              <w:jc w:val="center"/>
            </w:pPr>
            <w:r w:rsidRPr="00F85178">
              <w:t>2,91</w:t>
            </w:r>
          </w:p>
        </w:tc>
      </w:tr>
      <w:tr w:rsidR="00F85178" w:rsidRPr="00F85178" w14:paraId="01B82963" w14:textId="77777777" w:rsidTr="00457C73">
        <w:trPr>
          <w:trHeight w:val="630"/>
        </w:trPr>
        <w:tc>
          <w:tcPr>
            <w:tcW w:w="5820" w:type="dxa"/>
            <w:tcBorders>
              <w:top w:val="nil"/>
              <w:left w:val="nil"/>
              <w:bottom w:val="single" w:sz="4" w:space="0" w:color="auto"/>
              <w:right w:val="nil"/>
            </w:tcBorders>
            <w:shd w:val="clear" w:color="auto" w:fill="auto"/>
            <w:tcMar>
              <w:top w:w="15" w:type="dxa"/>
              <w:left w:w="15" w:type="dxa"/>
              <w:bottom w:w="0" w:type="dxa"/>
              <w:right w:w="15" w:type="dxa"/>
            </w:tcMar>
            <w:vAlign w:val="bottom"/>
            <w:hideMark/>
          </w:tcPr>
          <w:p w14:paraId="763BD179" w14:textId="77777777" w:rsidR="007C00FB" w:rsidRPr="00F85178" w:rsidRDefault="007C00FB">
            <w:pPr>
              <w:jc w:val="left"/>
            </w:pPr>
            <w:r w:rsidRPr="00F85178">
              <w:t>Společnosti s ručením omezeným - právní vztahy související se zrušením podle § 105 ZVR</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FE00F4E" w14:textId="77777777" w:rsidR="007C00FB" w:rsidRPr="00F85178" w:rsidRDefault="007C00FB">
            <w:pPr>
              <w:jc w:val="center"/>
            </w:pPr>
            <w:r w:rsidRPr="00F85178">
              <w:t>1,94</w:t>
            </w:r>
          </w:p>
        </w:tc>
      </w:tr>
      <w:tr w:rsidR="00F85178" w:rsidRPr="00F85178" w14:paraId="6CCEAE01" w14:textId="77777777" w:rsidTr="00457C73">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11186CCC" w14:textId="77777777" w:rsidR="007C00FB" w:rsidRPr="00F85178" w:rsidRDefault="007C00FB">
            <w:pPr>
              <w:jc w:val="left"/>
            </w:pPr>
            <w:r w:rsidRPr="00F85178">
              <w:t>Autorský zákon - spory vycházející z kolektivní správy práv</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1127991" w14:textId="77777777" w:rsidR="007C00FB" w:rsidRPr="00F85178" w:rsidRDefault="007C00FB">
            <w:pPr>
              <w:jc w:val="center"/>
            </w:pPr>
            <w:r w:rsidRPr="00F85178">
              <w:t>1,72</w:t>
            </w:r>
          </w:p>
        </w:tc>
      </w:tr>
    </w:tbl>
    <w:p w14:paraId="4FF63FCB" w14:textId="77777777" w:rsidR="002E4D0F" w:rsidRPr="00F85178" w:rsidRDefault="007C00FB">
      <w:pPr>
        <w:spacing w:line="240" w:lineRule="auto"/>
        <w:jc w:val="left"/>
      </w:pPr>
      <w:r w:rsidRPr="00F85178">
        <w:t xml:space="preserve"> </w:t>
      </w:r>
      <w:r w:rsidR="002E4D0F" w:rsidRPr="00F85178">
        <w:br w:type="page"/>
      </w:r>
    </w:p>
    <w:p w14:paraId="34FA2A16" w14:textId="77777777" w:rsidR="002E4D0F" w:rsidRPr="00F85178" w:rsidRDefault="002E4D0F" w:rsidP="002E4D0F">
      <w:pPr>
        <w:pStyle w:val="Nadpis2"/>
      </w:pPr>
      <w:bookmarkStart w:id="394" w:name="_Toc515871253"/>
      <w:bookmarkStart w:id="395" w:name="_Toc14076902"/>
      <w:r w:rsidRPr="00F85178">
        <w:t>Civilní odvolací agenda</w:t>
      </w:r>
      <w:bookmarkEnd w:id="394"/>
      <w:bookmarkEnd w:id="395"/>
    </w:p>
    <w:p w14:paraId="7C2D5193" w14:textId="77777777" w:rsidR="00D46D0A" w:rsidRPr="00F85178" w:rsidRDefault="00D46D0A" w:rsidP="00D46D0A">
      <w:pPr>
        <w:pStyle w:val="OdstavecASR"/>
      </w:pPr>
      <w:r w:rsidRPr="00F85178">
        <w:t>Odvolací civilní agenda je ve výkazech vedena pod označením Co a zahrnuje širokou škálu věcí. Jedná se o všechny druhy civilního řízení, ve kterých bylo podáno odvolání proti rozhodnutí soudů prvního stupně, včetně odvolání proti rozhodnutí soudního exekutora. Do agendy Co tedy spadají i odvolání ve věcech, které nejsou v </w:t>
      </w:r>
      <w:proofErr w:type="gramStart"/>
      <w:r w:rsidRPr="00F85178">
        <w:t>kapitolách </w:t>
      </w:r>
      <w:r w:rsidR="007C2863" w:rsidRPr="00F85178">
        <w:fldChar w:fldCharType="begin"/>
      </w:r>
      <w:r w:rsidR="007C2863" w:rsidRPr="00F85178">
        <w:instrText xml:space="preserve"> REF _Ref9425277 \r \h </w:instrText>
      </w:r>
      <w:r w:rsidR="007C2863" w:rsidRPr="00F85178">
        <w:fldChar w:fldCharType="separate"/>
      </w:r>
      <w:r w:rsidR="00306940">
        <w:t>2.2</w:t>
      </w:r>
      <w:r w:rsidR="007C2863" w:rsidRPr="00F85178">
        <w:fldChar w:fldCharType="end"/>
      </w:r>
      <w:r w:rsidRPr="00F85178">
        <w:t xml:space="preserve"> a </w:t>
      </w:r>
      <w:r w:rsidRPr="00F85178">
        <w:fldChar w:fldCharType="begin"/>
      </w:r>
      <w:r w:rsidRPr="00F85178">
        <w:instrText xml:space="preserve"> REF _Ref511307913 \r \h </w:instrText>
      </w:r>
      <w:r w:rsidR="00D3540E" w:rsidRPr="00F85178">
        <w:rPr>
          <w:highlight w:val="yellow"/>
        </w:rPr>
        <w:instrText xml:space="preserve"> \* MERGEFORMAT </w:instrText>
      </w:r>
      <w:r w:rsidRPr="00F85178">
        <w:fldChar w:fldCharType="separate"/>
      </w:r>
      <w:r w:rsidR="00306940">
        <w:t>2.5</w:t>
      </w:r>
      <w:r w:rsidRPr="00F85178">
        <w:fldChar w:fldCharType="end"/>
      </w:r>
      <w:r w:rsidRPr="00F85178">
        <w:t xml:space="preserve"> zahrnuty</w:t>
      </w:r>
      <w:proofErr w:type="gramEnd"/>
      <w:r w:rsidRPr="00F85178">
        <w:t>. Podkapitoly, které se zabývají vyřizováním věcí a DT, zkoumají celý rejstřík Co. U délky řízení to není možné, protože do statistických listů jsou zaneseny pouze pravomocně skončené věci v hlavních agendách. Uvedené délky řízení se tedy týkají pouze věcí agendy C u okresních soudů, v nichž bylo podáno odvolání. Data byla očištěna stejným způsobem jako u civilní agendy u okresních soudů. Data ze statistických listů se týkají pouze odvolání, která byla podána v meritu věci.</w:t>
      </w:r>
    </w:p>
    <w:p w14:paraId="719F6E75" w14:textId="77777777" w:rsidR="002E4D0F" w:rsidRPr="00F85178" w:rsidRDefault="002E4D0F" w:rsidP="002E4D0F">
      <w:pPr>
        <w:pStyle w:val="Nadpis3"/>
        <w:rPr>
          <w:color w:val="auto"/>
        </w:rPr>
      </w:pPr>
      <w:bookmarkStart w:id="396" w:name="_Toc515871254"/>
      <w:bookmarkStart w:id="397" w:name="_Toc14076903"/>
      <w:r w:rsidRPr="00F85178">
        <w:rPr>
          <w:color w:val="auto"/>
        </w:rPr>
        <w:t>Délka řízení</w:t>
      </w:r>
      <w:bookmarkEnd w:id="396"/>
      <w:bookmarkEnd w:id="397"/>
    </w:p>
    <w:p w14:paraId="0C5D7AAA" w14:textId="77777777" w:rsidR="00D46D0A" w:rsidRPr="00F85178" w:rsidRDefault="00D46D0A" w:rsidP="00D46D0A">
      <w:pPr>
        <w:pStyle w:val="OdstavecASR"/>
      </w:pPr>
      <w:r w:rsidRPr="00F85178">
        <w:t>Jedná se o délku řízení v kalendářních dnech ode dne nápadu u odvolacího soudu do dne vyřízení věci odvolacím soudem. Délky řízení jsou výrazně nižší než délky řízení prvostupňové agendy u OS</w:t>
      </w:r>
      <w:r w:rsidR="00D3540E" w:rsidRPr="00F85178">
        <w:t>, ale díky razantnímu snižování délek řízení u OS to již není</w:t>
      </w:r>
      <w:r w:rsidR="00382787" w:rsidRPr="00F85178">
        <w:t xml:space="preserve"> v případě průměrné hodnoty </w:t>
      </w:r>
      <w:r w:rsidR="00D3540E" w:rsidRPr="00F85178">
        <w:t>3,6násobek jako v roce 2014, ale dvojnásobek v roce 2018</w:t>
      </w:r>
      <w:r w:rsidRPr="00F85178">
        <w:t xml:space="preserve">. </w:t>
      </w:r>
      <w:r w:rsidR="00D3540E" w:rsidRPr="00F85178">
        <w:t>Násobný rozdíl je</w:t>
      </w:r>
      <w:r w:rsidRPr="00F85178">
        <w:t xml:space="preserve"> dán tím, že pro odvolací soud je většinou jednodušší rozhodnout, než je to pro soud prvostupňový. Soud přezkoumává rozhodnutí OS pouze v mezích podaného odvolání a až na výjimky nezjišťuje skutkový stav.</w:t>
      </w:r>
    </w:p>
    <w:p w14:paraId="79377E7B" w14:textId="77777777" w:rsidR="002E4D0F" w:rsidRPr="00F85178" w:rsidRDefault="006E7E43" w:rsidP="006E7E43">
      <w:pPr>
        <w:pStyle w:val="Podtitul"/>
        <w:rPr>
          <w:color w:val="auto"/>
        </w:rPr>
      </w:pPr>
      <w:bookmarkStart w:id="398" w:name="_Toc515871385"/>
      <w:bookmarkStart w:id="399" w:name="_Toc11135116"/>
      <w:bookmarkStart w:id="400" w:name="_Toc1383754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55</w:t>
      </w:r>
      <w:r w:rsidRPr="00F85178">
        <w:rPr>
          <w:noProof/>
          <w:color w:val="auto"/>
        </w:rPr>
        <w:fldChar w:fldCharType="end"/>
      </w:r>
      <w:r w:rsidRPr="00F85178">
        <w:rPr>
          <w:color w:val="auto"/>
        </w:rPr>
        <w:t>: KS – délka odvolacího civilního řízení v letech 2010–201</w:t>
      </w:r>
      <w:bookmarkEnd w:id="398"/>
      <w:r w:rsidRPr="00F85178">
        <w:rPr>
          <w:color w:val="auto"/>
        </w:rPr>
        <w:t>8</w:t>
      </w:r>
      <w:bookmarkEnd w:id="399"/>
      <w:bookmarkEnd w:id="400"/>
    </w:p>
    <w:p w14:paraId="60FC33C3" w14:textId="77777777" w:rsidR="006E7E43" w:rsidRPr="00F85178" w:rsidRDefault="00890295" w:rsidP="00205FD6">
      <w:r>
        <w:rPr>
          <w:noProof/>
          <w:lang w:eastAsia="cs-CZ"/>
        </w:rPr>
        <w:drawing>
          <wp:inline distT="0" distB="0" distL="0" distR="0" wp14:anchorId="620CF009" wp14:editId="25616F19">
            <wp:extent cx="5118100" cy="3746500"/>
            <wp:effectExtent l="0" t="0" r="0" b="0"/>
            <wp:docPr id="58" name="Obrázek 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8"/>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65A9C14" w14:textId="77777777" w:rsidR="00D46D0A" w:rsidRPr="00F85178" w:rsidRDefault="00D46D0A" w:rsidP="00D46D0A">
      <w:pPr>
        <w:pStyle w:val="OdstavecASR"/>
      </w:pPr>
      <w:r w:rsidRPr="00F85178">
        <w:t xml:space="preserve">Od roku 2013 jsou délky řízení velmi stabilní a poměrně nízké. Odvolání proti věcem z rejstříků C okresních soudů lze tedy z hlediska délek řízení označit za stabilní a celkem bezproblémovou agendu. </w:t>
      </w:r>
      <w:r w:rsidR="00CC3F71" w:rsidRPr="00F85178">
        <w:t>Pro hodnocení nárůstu hodnot v roce 2018 bude třeba vyčkat vývoje v dalších letech</w:t>
      </w:r>
      <w:r w:rsidRPr="00F85178">
        <w:t>.</w:t>
      </w:r>
    </w:p>
    <w:p w14:paraId="1D2275BF" w14:textId="77777777" w:rsidR="000E7594" w:rsidRPr="00F85178" w:rsidRDefault="000E7594" w:rsidP="00205FD6"/>
    <w:p w14:paraId="4E0BE8FE" w14:textId="77777777" w:rsidR="000E7594" w:rsidRPr="00F85178" w:rsidRDefault="000E7594" w:rsidP="000E7594">
      <w:pPr>
        <w:pStyle w:val="Podtitul"/>
        <w:rPr>
          <w:color w:val="auto"/>
        </w:rPr>
      </w:pPr>
      <w:bookmarkStart w:id="401" w:name="_Toc515871475"/>
      <w:bookmarkStart w:id="402" w:name="_Toc11133243"/>
      <w:bookmarkStart w:id="403" w:name="_Toc1383746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41</w:t>
      </w:r>
      <w:r w:rsidRPr="00F85178">
        <w:rPr>
          <w:noProof/>
          <w:color w:val="auto"/>
        </w:rPr>
        <w:fldChar w:fldCharType="end"/>
      </w:r>
      <w:r w:rsidRPr="00F85178">
        <w:rPr>
          <w:color w:val="auto"/>
        </w:rPr>
        <w:t>: KS – délky odvolacího civilního řízení dle soudů</w:t>
      </w:r>
      <w:bookmarkEnd w:id="401"/>
      <w:bookmarkEnd w:id="402"/>
      <w:bookmarkEnd w:id="403"/>
    </w:p>
    <w:tbl>
      <w:tblPr>
        <w:tblW w:w="7520" w:type="dxa"/>
        <w:tblCellMar>
          <w:left w:w="70" w:type="dxa"/>
          <w:right w:w="70" w:type="dxa"/>
        </w:tblCellMar>
        <w:tblLook w:val="04A0" w:firstRow="1" w:lastRow="0" w:firstColumn="1" w:lastColumn="0" w:noHBand="0" w:noVBand="1"/>
      </w:tblPr>
      <w:tblGrid>
        <w:gridCol w:w="2480"/>
        <w:gridCol w:w="662"/>
        <w:gridCol w:w="1018"/>
        <w:gridCol w:w="662"/>
        <w:gridCol w:w="1018"/>
        <w:gridCol w:w="662"/>
        <w:gridCol w:w="1018"/>
      </w:tblGrid>
      <w:tr w:rsidR="00F85178" w:rsidRPr="00F85178" w14:paraId="37246019" w14:textId="77777777" w:rsidTr="000E759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9F6327D" w14:textId="37BF3AA9" w:rsidR="000E7594" w:rsidRPr="00F85178" w:rsidRDefault="00F2120F" w:rsidP="000E7594">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34FBB390"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3F679D67" w14:textId="77777777" w:rsidTr="000E7594">
        <w:trPr>
          <w:trHeight w:val="330"/>
        </w:trPr>
        <w:tc>
          <w:tcPr>
            <w:tcW w:w="2480" w:type="dxa"/>
            <w:vMerge/>
            <w:tcBorders>
              <w:top w:val="double" w:sz="6" w:space="0" w:color="auto"/>
              <w:left w:val="nil"/>
              <w:bottom w:val="double" w:sz="6" w:space="0" w:color="000000"/>
              <w:right w:val="nil"/>
            </w:tcBorders>
            <w:vAlign w:val="center"/>
            <w:hideMark/>
          </w:tcPr>
          <w:p w14:paraId="09876F2F" w14:textId="77777777" w:rsidR="000E7594" w:rsidRPr="00F85178" w:rsidRDefault="000E7594" w:rsidP="000E7594">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nil"/>
            </w:tcBorders>
            <w:shd w:val="clear" w:color="auto" w:fill="auto"/>
            <w:noWrap/>
            <w:vAlign w:val="center"/>
            <w:hideMark/>
          </w:tcPr>
          <w:p w14:paraId="2BC11838"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8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9CAF463"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6A0E3DD9"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40AB68EA" w14:textId="77777777" w:rsidTr="000E759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50E3DA8"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MS Praha</w:t>
            </w:r>
          </w:p>
        </w:tc>
        <w:tc>
          <w:tcPr>
            <w:tcW w:w="662" w:type="dxa"/>
            <w:tcBorders>
              <w:top w:val="single" w:sz="4" w:space="0" w:color="auto"/>
              <w:left w:val="nil"/>
              <w:bottom w:val="single" w:sz="4" w:space="0" w:color="auto"/>
              <w:right w:val="nil"/>
            </w:tcBorders>
            <w:shd w:val="clear" w:color="auto" w:fill="auto"/>
            <w:noWrap/>
            <w:vAlign w:val="bottom"/>
            <w:hideMark/>
          </w:tcPr>
          <w:p w14:paraId="0E600337"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82</w:t>
            </w:r>
          </w:p>
        </w:tc>
        <w:tc>
          <w:tcPr>
            <w:tcW w:w="1018" w:type="dxa"/>
            <w:tcBorders>
              <w:top w:val="single" w:sz="4" w:space="0" w:color="auto"/>
              <w:left w:val="nil"/>
              <w:bottom w:val="single" w:sz="4" w:space="0" w:color="auto"/>
              <w:right w:val="nil"/>
            </w:tcBorders>
            <w:shd w:val="clear" w:color="auto" w:fill="auto"/>
            <w:noWrap/>
            <w:vAlign w:val="center"/>
            <w:hideMark/>
          </w:tcPr>
          <w:p w14:paraId="14681CC4" w14:textId="2E55C997"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662" w:type="dxa"/>
            <w:tcBorders>
              <w:top w:val="nil"/>
              <w:left w:val="single" w:sz="4" w:space="0" w:color="auto"/>
              <w:bottom w:val="single" w:sz="4" w:space="0" w:color="auto"/>
              <w:right w:val="nil"/>
            </w:tcBorders>
            <w:shd w:val="clear" w:color="auto" w:fill="auto"/>
            <w:noWrap/>
            <w:vAlign w:val="bottom"/>
            <w:hideMark/>
          </w:tcPr>
          <w:p w14:paraId="79243F20"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62</w:t>
            </w:r>
          </w:p>
        </w:tc>
        <w:tc>
          <w:tcPr>
            <w:tcW w:w="1018" w:type="dxa"/>
            <w:tcBorders>
              <w:top w:val="nil"/>
              <w:left w:val="nil"/>
              <w:bottom w:val="single" w:sz="4" w:space="0" w:color="auto"/>
              <w:right w:val="single" w:sz="4" w:space="0" w:color="auto"/>
            </w:tcBorders>
            <w:shd w:val="clear" w:color="auto" w:fill="auto"/>
            <w:noWrap/>
            <w:vAlign w:val="center"/>
            <w:hideMark/>
          </w:tcPr>
          <w:p w14:paraId="7E96AA1A" w14:textId="2C236180"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+9 %</w:t>
            </w:r>
          </w:p>
        </w:tc>
        <w:tc>
          <w:tcPr>
            <w:tcW w:w="662" w:type="dxa"/>
            <w:tcBorders>
              <w:top w:val="single" w:sz="4" w:space="0" w:color="auto"/>
              <w:left w:val="nil"/>
              <w:bottom w:val="single" w:sz="4" w:space="0" w:color="auto"/>
              <w:right w:val="nil"/>
            </w:tcBorders>
            <w:shd w:val="clear" w:color="auto" w:fill="auto"/>
            <w:noWrap/>
            <w:vAlign w:val="bottom"/>
            <w:hideMark/>
          </w:tcPr>
          <w:p w14:paraId="7508B4D5"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152</w:t>
            </w:r>
          </w:p>
        </w:tc>
        <w:tc>
          <w:tcPr>
            <w:tcW w:w="1018" w:type="dxa"/>
            <w:tcBorders>
              <w:top w:val="single" w:sz="4" w:space="0" w:color="auto"/>
              <w:left w:val="nil"/>
              <w:bottom w:val="single" w:sz="4" w:space="0" w:color="auto"/>
              <w:right w:val="nil"/>
            </w:tcBorders>
            <w:shd w:val="clear" w:color="auto" w:fill="auto"/>
            <w:noWrap/>
            <w:vAlign w:val="center"/>
            <w:hideMark/>
          </w:tcPr>
          <w:p w14:paraId="6A0E464A" w14:textId="646040F4"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-1 %</w:t>
            </w:r>
          </w:p>
        </w:tc>
      </w:tr>
      <w:tr w:rsidR="00F85178" w:rsidRPr="00F85178" w14:paraId="69FB3D5E"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0AE49F4B"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Praha</w:t>
            </w:r>
          </w:p>
        </w:tc>
        <w:tc>
          <w:tcPr>
            <w:tcW w:w="662" w:type="dxa"/>
            <w:tcBorders>
              <w:top w:val="nil"/>
              <w:left w:val="nil"/>
              <w:bottom w:val="single" w:sz="4" w:space="0" w:color="auto"/>
              <w:right w:val="nil"/>
            </w:tcBorders>
            <w:shd w:val="clear" w:color="auto" w:fill="auto"/>
            <w:noWrap/>
            <w:vAlign w:val="bottom"/>
            <w:hideMark/>
          </w:tcPr>
          <w:p w14:paraId="7FBFC241"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85</w:t>
            </w:r>
          </w:p>
        </w:tc>
        <w:tc>
          <w:tcPr>
            <w:tcW w:w="1018" w:type="dxa"/>
            <w:tcBorders>
              <w:top w:val="nil"/>
              <w:left w:val="nil"/>
              <w:bottom w:val="single" w:sz="4" w:space="0" w:color="auto"/>
              <w:right w:val="nil"/>
            </w:tcBorders>
            <w:shd w:val="clear" w:color="auto" w:fill="auto"/>
            <w:noWrap/>
            <w:vAlign w:val="center"/>
            <w:hideMark/>
          </w:tcPr>
          <w:p w14:paraId="7A8C38C9" w14:textId="5BA8C3D7"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+20 %</w:t>
            </w:r>
          </w:p>
        </w:tc>
        <w:tc>
          <w:tcPr>
            <w:tcW w:w="662" w:type="dxa"/>
            <w:tcBorders>
              <w:top w:val="nil"/>
              <w:left w:val="single" w:sz="4" w:space="0" w:color="auto"/>
              <w:bottom w:val="single" w:sz="4" w:space="0" w:color="auto"/>
              <w:right w:val="nil"/>
            </w:tcBorders>
            <w:shd w:val="clear" w:color="auto" w:fill="auto"/>
            <w:noWrap/>
            <w:vAlign w:val="bottom"/>
            <w:hideMark/>
          </w:tcPr>
          <w:p w14:paraId="706B7CEA"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55</w:t>
            </w:r>
          </w:p>
        </w:tc>
        <w:tc>
          <w:tcPr>
            <w:tcW w:w="1018" w:type="dxa"/>
            <w:tcBorders>
              <w:top w:val="nil"/>
              <w:left w:val="nil"/>
              <w:bottom w:val="single" w:sz="4" w:space="0" w:color="auto"/>
              <w:right w:val="single" w:sz="4" w:space="0" w:color="auto"/>
            </w:tcBorders>
            <w:shd w:val="clear" w:color="auto" w:fill="auto"/>
            <w:noWrap/>
            <w:vAlign w:val="center"/>
            <w:hideMark/>
          </w:tcPr>
          <w:p w14:paraId="66A40D9F" w14:textId="746E068A"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+12 %</w:t>
            </w:r>
          </w:p>
        </w:tc>
        <w:tc>
          <w:tcPr>
            <w:tcW w:w="662" w:type="dxa"/>
            <w:tcBorders>
              <w:top w:val="nil"/>
              <w:left w:val="nil"/>
              <w:bottom w:val="single" w:sz="4" w:space="0" w:color="auto"/>
              <w:right w:val="nil"/>
            </w:tcBorders>
            <w:shd w:val="clear" w:color="auto" w:fill="auto"/>
            <w:noWrap/>
            <w:vAlign w:val="bottom"/>
            <w:hideMark/>
          </w:tcPr>
          <w:p w14:paraId="3EAB8D44"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169</w:t>
            </w:r>
          </w:p>
        </w:tc>
        <w:tc>
          <w:tcPr>
            <w:tcW w:w="1018" w:type="dxa"/>
            <w:tcBorders>
              <w:top w:val="nil"/>
              <w:left w:val="nil"/>
              <w:bottom w:val="single" w:sz="4" w:space="0" w:color="auto"/>
              <w:right w:val="nil"/>
            </w:tcBorders>
            <w:shd w:val="clear" w:color="auto" w:fill="auto"/>
            <w:noWrap/>
            <w:vAlign w:val="center"/>
            <w:hideMark/>
          </w:tcPr>
          <w:p w14:paraId="565730E2" w14:textId="3BFDCA81"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+17 %</w:t>
            </w:r>
          </w:p>
        </w:tc>
      </w:tr>
      <w:tr w:rsidR="00F85178" w:rsidRPr="00F85178" w14:paraId="4843F52B"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666E353C"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Č. Budějovice</w:t>
            </w:r>
          </w:p>
        </w:tc>
        <w:tc>
          <w:tcPr>
            <w:tcW w:w="662" w:type="dxa"/>
            <w:tcBorders>
              <w:top w:val="nil"/>
              <w:left w:val="nil"/>
              <w:bottom w:val="single" w:sz="4" w:space="0" w:color="auto"/>
              <w:right w:val="nil"/>
            </w:tcBorders>
            <w:shd w:val="clear" w:color="auto" w:fill="auto"/>
            <w:noWrap/>
            <w:vAlign w:val="bottom"/>
            <w:hideMark/>
          </w:tcPr>
          <w:p w14:paraId="2CFD22D4"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66</w:t>
            </w:r>
          </w:p>
        </w:tc>
        <w:tc>
          <w:tcPr>
            <w:tcW w:w="1018" w:type="dxa"/>
            <w:tcBorders>
              <w:top w:val="nil"/>
              <w:left w:val="nil"/>
              <w:bottom w:val="single" w:sz="4" w:space="0" w:color="auto"/>
              <w:right w:val="nil"/>
            </w:tcBorders>
            <w:shd w:val="clear" w:color="auto" w:fill="auto"/>
            <w:noWrap/>
            <w:vAlign w:val="center"/>
            <w:hideMark/>
          </w:tcPr>
          <w:p w14:paraId="062DE54D" w14:textId="124E7FC6"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-18 %</w:t>
            </w:r>
          </w:p>
        </w:tc>
        <w:tc>
          <w:tcPr>
            <w:tcW w:w="662" w:type="dxa"/>
            <w:tcBorders>
              <w:top w:val="nil"/>
              <w:left w:val="single" w:sz="4" w:space="0" w:color="auto"/>
              <w:bottom w:val="single" w:sz="4" w:space="0" w:color="auto"/>
              <w:right w:val="nil"/>
            </w:tcBorders>
            <w:shd w:val="clear" w:color="auto" w:fill="auto"/>
            <w:noWrap/>
            <w:vAlign w:val="bottom"/>
            <w:hideMark/>
          </w:tcPr>
          <w:p w14:paraId="29C27CFC"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48</w:t>
            </w:r>
          </w:p>
        </w:tc>
        <w:tc>
          <w:tcPr>
            <w:tcW w:w="1018" w:type="dxa"/>
            <w:tcBorders>
              <w:top w:val="nil"/>
              <w:left w:val="nil"/>
              <w:bottom w:val="single" w:sz="4" w:space="0" w:color="auto"/>
              <w:right w:val="single" w:sz="4" w:space="0" w:color="auto"/>
            </w:tcBorders>
            <w:shd w:val="clear" w:color="auto" w:fill="auto"/>
            <w:noWrap/>
            <w:vAlign w:val="center"/>
            <w:hideMark/>
          </w:tcPr>
          <w:p w14:paraId="2541AA5D" w14:textId="6888784A"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-2 %</w:t>
            </w:r>
          </w:p>
        </w:tc>
        <w:tc>
          <w:tcPr>
            <w:tcW w:w="662" w:type="dxa"/>
            <w:tcBorders>
              <w:top w:val="nil"/>
              <w:left w:val="nil"/>
              <w:bottom w:val="single" w:sz="4" w:space="0" w:color="auto"/>
              <w:right w:val="nil"/>
            </w:tcBorders>
            <w:shd w:val="clear" w:color="auto" w:fill="auto"/>
            <w:noWrap/>
            <w:vAlign w:val="bottom"/>
            <w:hideMark/>
          </w:tcPr>
          <w:p w14:paraId="63316AF4"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128</w:t>
            </w:r>
          </w:p>
        </w:tc>
        <w:tc>
          <w:tcPr>
            <w:tcW w:w="1018" w:type="dxa"/>
            <w:tcBorders>
              <w:top w:val="nil"/>
              <w:left w:val="nil"/>
              <w:bottom w:val="single" w:sz="4" w:space="0" w:color="auto"/>
              <w:right w:val="nil"/>
            </w:tcBorders>
            <w:shd w:val="clear" w:color="auto" w:fill="auto"/>
            <w:noWrap/>
            <w:vAlign w:val="center"/>
            <w:hideMark/>
          </w:tcPr>
          <w:p w14:paraId="79E1032E" w14:textId="567B92E9"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+2 %</w:t>
            </w:r>
          </w:p>
        </w:tc>
      </w:tr>
      <w:tr w:rsidR="00F85178" w:rsidRPr="00F85178" w14:paraId="621A85B5"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72215D64"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Plzeň</w:t>
            </w:r>
          </w:p>
        </w:tc>
        <w:tc>
          <w:tcPr>
            <w:tcW w:w="662" w:type="dxa"/>
            <w:tcBorders>
              <w:top w:val="nil"/>
              <w:left w:val="nil"/>
              <w:bottom w:val="single" w:sz="4" w:space="0" w:color="auto"/>
              <w:right w:val="nil"/>
            </w:tcBorders>
            <w:shd w:val="clear" w:color="auto" w:fill="auto"/>
            <w:noWrap/>
            <w:vAlign w:val="bottom"/>
            <w:hideMark/>
          </w:tcPr>
          <w:p w14:paraId="0508BF51"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79</w:t>
            </w:r>
          </w:p>
        </w:tc>
        <w:tc>
          <w:tcPr>
            <w:tcW w:w="1018" w:type="dxa"/>
            <w:tcBorders>
              <w:top w:val="nil"/>
              <w:left w:val="nil"/>
              <w:bottom w:val="single" w:sz="4" w:space="0" w:color="auto"/>
              <w:right w:val="nil"/>
            </w:tcBorders>
            <w:shd w:val="clear" w:color="auto" w:fill="auto"/>
            <w:noWrap/>
            <w:vAlign w:val="center"/>
            <w:hideMark/>
          </w:tcPr>
          <w:p w14:paraId="3BA02ED0" w14:textId="5DBFE14A"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+5 %</w:t>
            </w:r>
          </w:p>
        </w:tc>
        <w:tc>
          <w:tcPr>
            <w:tcW w:w="662" w:type="dxa"/>
            <w:tcBorders>
              <w:top w:val="nil"/>
              <w:left w:val="single" w:sz="4" w:space="0" w:color="auto"/>
              <w:bottom w:val="single" w:sz="4" w:space="0" w:color="auto"/>
              <w:right w:val="nil"/>
            </w:tcBorders>
            <w:shd w:val="clear" w:color="auto" w:fill="auto"/>
            <w:noWrap/>
            <w:vAlign w:val="bottom"/>
            <w:hideMark/>
          </w:tcPr>
          <w:p w14:paraId="0B30B7BC"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56</w:t>
            </w:r>
          </w:p>
        </w:tc>
        <w:tc>
          <w:tcPr>
            <w:tcW w:w="1018" w:type="dxa"/>
            <w:tcBorders>
              <w:top w:val="nil"/>
              <w:left w:val="nil"/>
              <w:bottom w:val="single" w:sz="4" w:space="0" w:color="auto"/>
              <w:right w:val="single" w:sz="4" w:space="0" w:color="auto"/>
            </w:tcBorders>
            <w:shd w:val="clear" w:color="auto" w:fill="auto"/>
            <w:noWrap/>
            <w:vAlign w:val="center"/>
            <w:hideMark/>
          </w:tcPr>
          <w:p w14:paraId="6705566D" w14:textId="2532BC43"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+12 %</w:t>
            </w:r>
          </w:p>
        </w:tc>
        <w:tc>
          <w:tcPr>
            <w:tcW w:w="662" w:type="dxa"/>
            <w:tcBorders>
              <w:top w:val="nil"/>
              <w:left w:val="nil"/>
              <w:bottom w:val="single" w:sz="4" w:space="0" w:color="auto"/>
              <w:right w:val="nil"/>
            </w:tcBorders>
            <w:shd w:val="clear" w:color="auto" w:fill="auto"/>
            <w:noWrap/>
            <w:vAlign w:val="bottom"/>
            <w:hideMark/>
          </w:tcPr>
          <w:p w14:paraId="52D1771A"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153</w:t>
            </w:r>
          </w:p>
        </w:tc>
        <w:tc>
          <w:tcPr>
            <w:tcW w:w="1018" w:type="dxa"/>
            <w:tcBorders>
              <w:top w:val="nil"/>
              <w:left w:val="nil"/>
              <w:bottom w:val="single" w:sz="4" w:space="0" w:color="auto"/>
              <w:right w:val="nil"/>
            </w:tcBorders>
            <w:shd w:val="clear" w:color="auto" w:fill="auto"/>
            <w:noWrap/>
            <w:vAlign w:val="center"/>
            <w:hideMark/>
          </w:tcPr>
          <w:p w14:paraId="48D302AD" w14:textId="266D0ACB"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+0 %</w:t>
            </w:r>
          </w:p>
        </w:tc>
      </w:tr>
      <w:tr w:rsidR="00F85178" w:rsidRPr="00F85178" w14:paraId="6ACA5790"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2E8848F2"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Ústí n. Labem</w:t>
            </w:r>
          </w:p>
        </w:tc>
        <w:tc>
          <w:tcPr>
            <w:tcW w:w="662" w:type="dxa"/>
            <w:tcBorders>
              <w:top w:val="nil"/>
              <w:left w:val="nil"/>
              <w:bottom w:val="single" w:sz="4" w:space="0" w:color="auto"/>
              <w:right w:val="nil"/>
            </w:tcBorders>
            <w:shd w:val="clear" w:color="auto" w:fill="auto"/>
            <w:noWrap/>
            <w:vAlign w:val="bottom"/>
            <w:hideMark/>
          </w:tcPr>
          <w:p w14:paraId="3D633DBC"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202</w:t>
            </w:r>
          </w:p>
        </w:tc>
        <w:tc>
          <w:tcPr>
            <w:tcW w:w="1018" w:type="dxa"/>
            <w:tcBorders>
              <w:top w:val="nil"/>
              <w:left w:val="nil"/>
              <w:bottom w:val="single" w:sz="4" w:space="0" w:color="auto"/>
              <w:right w:val="nil"/>
            </w:tcBorders>
            <w:shd w:val="clear" w:color="auto" w:fill="auto"/>
            <w:noWrap/>
            <w:vAlign w:val="center"/>
            <w:hideMark/>
          </w:tcPr>
          <w:p w14:paraId="23443CA0" w14:textId="4043C6EB"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+20 %</w:t>
            </w:r>
          </w:p>
        </w:tc>
        <w:tc>
          <w:tcPr>
            <w:tcW w:w="662" w:type="dxa"/>
            <w:tcBorders>
              <w:top w:val="nil"/>
              <w:left w:val="single" w:sz="4" w:space="0" w:color="auto"/>
              <w:bottom w:val="single" w:sz="4" w:space="0" w:color="auto"/>
              <w:right w:val="nil"/>
            </w:tcBorders>
            <w:shd w:val="clear" w:color="auto" w:fill="auto"/>
            <w:noWrap/>
            <w:vAlign w:val="bottom"/>
            <w:hideMark/>
          </w:tcPr>
          <w:p w14:paraId="0BD68C1D"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133</w:t>
            </w:r>
          </w:p>
        </w:tc>
        <w:tc>
          <w:tcPr>
            <w:tcW w:w="1018" w:type="dxa"/>
            <w:tcBorders>
              <w:top w:val="nil"/>
              <w:left w:val="nil"/>
              <w:bottom w:val="single" w:sz="4" w:space="0" w:color="auto"/>
              <w:right w:val="single" w:sz="4" w:space="0" w:color="auto"/>
            </w:tcBorders>
            <w:shd w:val="clear" w:color="auto" w:fill="auto"/>
            <w:noWrap/>
            <w:vAlign w:val="center"/>
            <w:hideMark/>
          </w:tcPr>
          <w:p w14:paraId="40C9DAAD" w14:textId="0332EF8E"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+12 %</w:t>
            </w:r>
          </w:p>
        </w:tc>
        <w:tc>
          <w:tcPr>
            <w:tcW w:w="662" w:type="dxa"/>
            <w:tcBorders>
              <w:top w:val="nil"/>
              <w:left w:val="nil"/>
              <w:bottom w:val="single" w:sz="4" w:space="0" w:color="auto"/>
              <w:right w:val="nil"/>
            </w:tcBorders>
            <w:shd w:val="clear" w:color="auto" w:fill="auto"/>
            <w:noWrap/>
            <w:vAlign w:val="bottom"/>
            <w:hideMark/>
          </w:tcPr>
          <w:p w14:paraId="1AD6E3C9"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386</w:t>
            </w:r>
          </w:p>
        </w:tc>
        <w:tc>
          <w:tcPr>
            <w:tcW w:w="1018" w:type="dxa"/>
            <w:tcBorders>
              <w:top w:val="nil"/>
              <w:left w:val="nil"/>
              <w:bottom w:val="single" w:sz="4" w:space="0" w:color="auto"/>
              <w:right w:val="nil"/>
            </w:tcBorders>
            <w:shd w:val="clear" w:color="auto" w:fill="auto"/>
            <w:noWrap/>
            <w:vAlign w:val="center"/>
            <w:hideMark/>
          </w:tcPr>
          <w:p w14:paraId="40ED4DB1" w14:textId="541CC751"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+15 %</w:t>
            </w:r>
          </w:p>
        </w:tc>
      </w:tr>
      <w:tr w:rsidR="00F85178" w:rsidRPr="00F85178" w14:paraId="6FE35D72"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6F8E2E77"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Hr. Králové</w:t>
            </w:r>
          </w:p>
        </w:tc>
        <w:tc>
          <w:tcPr>
            <w:tcW w:w="662" w:type="dxa"/>
            <w:tcBorders>
              <w:top w:val="nil"/>
              <w:left w:val="nil"/>
              <w:bottom w:val="single" w:sz="4" w:space="0" w:color="auto"/>
              <w:right w:val="nil"/>
            </w:tcBorders>
            <w:shd w:val="clear" w:color="auto" w:fill="auto"/>
            <w:noWrap/>
            <w:vAlign w:val="bottom"/>
            <w:hideMark/>
          </w:tcPr>
          <w:p w14:paraId="3C996E83"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87</w:t>
            </w:r>
          </w:p>
        </w:tc>
        <w:tc>
          <w:tcPr>
            <w:tcW w:w="1018" w:type="dxa"/>
            <w:tcBorders>
              <w:top w:val="nil"/>
              <w:left w:val="nil"/>
              <w:bottom w:val="single" w:sz="4" w:space="0" w:color="auto"/>
              <w:right w:val="nil"/>
            </w:tcBorders>
            <w:shd w:val="clear" w:color="auto" w:fill="auto"/>
            <w:noWrap/>
            <w:vAlign w:val="center"/>
            <w:hideMark/>
          </w:tcPr>
          <w:p w14:paraId="653164FD" w14:textId="6F175920"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-3 %</w:t>
            </w:r>
          </w:p>
        </w:tc>
        <w:tc>
          <w:tcPr>
            <w:tcW w:w="662" w:type="dxa"/>
            <w:tcBorders>
              <w:top w:val="nil"/>
              <w:left w:val="single" w:sz="4" w:space="0" w:color="auto"/>
              <w:bottom w:val="single" w:sz="4" w:space="0" w:color="auto"/>
              <w:right w:val="nil"/>
            </w:tcBorders>
            <w:shd w:val="clear" w:color="auto" w:fill="auto"/>
            <w:noWrap/>
            <w:vAlign w:val="bottom"/>
            <w:hideMark/>
          </w:tcPr>
          <w:p w14:paraId="32FC301A"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64</w:t>
            </w:r>
          </w:p>
        </w:tc>
        <w:tc>
          <w:tcPr>
            <w:tcW w:w="1018" w:type="dxa"/>
            <w:tcBorders>
              <w:top w:val="nil"/>
              <w:left w:val="nil"/>
              <w:bottom w:val="single" w:sz="4" w:space="0" w:color="auto"/>
              <w:right w:val="single" w:sz="4" w:space="0" w:color="auto"/>
            </w:tcBorders>
            <w:shd w:val="clear" w:color="auto" w:fill="auto"/>
            <w:noWrap/>
            <w:vAlign w:val="center"/>
            <w:hideMark/>
          </w:tcPr>
          <w:p w14:paraId="0FCE2865" w14:textId="6DC30447"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+2 %</w:t>
            </w:r>
          </w:p>
        </w:tc>
        <w:tc>
          <w:tcPr>
            <w:tcW w:w="662" w:type="dxa"/>
            <w:tcBorders>
              <w:top w:val="nil"/>
              <w:left w:val="nil"/>
              <w:bottom w:val="single" w:sz="4" w:space="0" w:color="auto"/>
              <w:right w:val="nil"/>
            </w:tcBorders>
            <w:shd w:val="clear" w:color="auto" w:fill="auto"/>
            <w:noWrap/>
            <w:vAlign w:val="bottom"/>
            <w:hideMark/>
          </w:tcPr>
          <w:p w14:paraId="72F06116"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163</w:t>
            </w:r>
          </w:p>
        </w:tc>
        <w:tc>
          <w:tcPr>
            <w:tcW w:w="1018" w:type="dxa"/>
            <w:tcBorders>
              <w:top w:val="nil"/>
              <w:left w:val="nil"/>
              <w:bottom w:val="single" w:sz="4" w:space="0" w:color="auto"/>
              <w:right w:val="nil"/>
            </w:tcBorders>
            <w:shd w:val="clear" w:color="auto" w:fill="auto"/>
            <w:noWrap/>
            <w:vAlign w:val="center"/>
            <w:hideMark/>
          </w:tcPr>
          <w:p w14:paraId="0AC98441" w14:textId="6D88081C"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+7 %</w:t>
            </w:r>
          </w:p>
        </w:tc>
      </w:tr>
      <w:tr w:rsidR="00F85178" w:rsidRPr="00F85178" w14:paraId="263B3536" w14:textId="77777777" w:rsidTr="000E7594">
        <w:trPr>
          <w:trHeight w:val="315"/>
        </w:trPr>
        <w:tc>
          <w:tcPr>
            <w:tcW w:w="2480" w:type="dxa"/>
            <w:tcBorders>
              <w:top w:val="nil"/>
              <w:left w:val="nil"/>
              <w:bottom w:val="single" w:sz="4" w:space="0" w:color="auto"/>
              <w:right w:val="nil"/>
            </w:tcBorders>
            <w:shd w:val="clear" w:color="auto" w:fill="auto"/>
            <w:noWrap/>
            <w:vAlign w:val="bottom"/>
            <w:hideMark/>
          </w:tcPr>
          <w:p w14:paraId="0084C239"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Brno</w:t>
            </w:r>
          </w:p>
        </w:tc>
        <w:tc>
          <w:tcPr>
            <w:tcW w:w="662" w:type="dxa"/>
            <w:tcBorders>
              <w:top w:val="nil"/>
              <w:left w:val="nil"/>
              <w:bottom w:val="single" w:sz="4" w:space="0" w:color="auto"/>
              <w:right w:val="nil"/>
            </w:tcBorders>
            <w:shd w:val="clear" w:color="auto" w:fill="auto"/>
            <w:noWrap/>
            <w:vAlign w:val="bottom"/>
            <w:hideMark/>
          </w:tcPr>
          <w:p w14:paraId="001BB617"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290</w:t>
            </w:r>
          </w:p>
        </w:tc>
        <w:tc>
          <w:tcPr>
            <w:tcW w:w="1018" w:type="dxa"/>
            <w:tcBorders>
              <w:top w:val="nil"/>
              <w:left w:val="nil"/>
              <w:bottom w:val="single" w:sz="4" w:space="0" w:color="auto"/>
              <w:right w:val="nil"/>
            </w:tcBorders>
            <w:shd w:val="clear" w:color="auto" w:fill="auto"/>
            <w:noWrap/>
            <w:vAlign w:val="center"/>
            <w:hideMark/>
          </w:tcPr>
          <w:p w14:paraId="4225385E" w14:textId="16ABFECE"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+10 %</w:t>
            </w:r>
          </w:p>
        </w:tc>
        <w:tc>
          <w:tcPr>
            <w:tcW w:w="662" w:type="dxa"/>
            <w:tcBorders>
              <w:top w:val="nil"/>
              <w:left w:val="single" w:sz="4" w:space="0" w:color="auto"/>
              <w:bottom w:val="single" w:sz="4" w:space="0" w:color="auto"/>
              <w:right w:val="nil"/>
            </w:tcBorders>
            <w:shd w:val="clear" w:color="auto" w:fill="auto"/>
            <w:noWrap/>
            <w:vAlign w:val="bottom"/>
            <w:hideMark/>
          </w:tcPr>
          <w:p w14:paraId="28F05357"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189</w:t>
            </w:r>
          </w:p>
        </w:tc>
        <w:tc>
          <w:tcPr>
            <w:tcW w:w="1018" w:type="dxa"/>
            <w:tcBorders>
              <w:top w:val="nil"/>
              <w:left w:val="nil"/>
              <w:bottom w:val="single" w:sz="4" w:space="0" w:color="auto"/>
              <w:right w:val="single" w:sz="4" w:space="0" w:color="auto"/>
            </w:tcBorders>
            <w:shd w:val="clear" w:color="auto" w:fill="auto"/>
            <w:noWrap/>
            <w:vAlign w:val="center"/>
            <w:hideMark/>
          </w:tcPr>
          <w:p w14:paraId="26B9EEDF" w14:textId="5F5AD636"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+1 %</w:t>
            </w:r>
          </w:p>
        </w:tc>
        <w:tc>
          <w:tcPr>
            <w:tcW w:w="662" w:type="dxa"/>
            <w:tcBorders>
              <w:top w:val="nil"/>
              <w:left w:val="nil"/>
              <w:bottom w:val="single" w:sz="4" w:space="0" w:color="auto"/>
              <w:right w:val="nil"/>
            </w:tcBorders>
            <w:shd w:val="clear" w:color="auto" w:fill="auto"/>
            <w:noWrap/>
            <w:vAlign w:val="bottom"/>
            <w:hideMark/>
          </w:tcPr>
          <w:p w14:paraId="460DB8AE"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594</w:t>
            </w:r>
          </w:p>
        </w:tc>
        <w:tc>
          <w:tcPr>
            <w:tcW w:w="1018" w:type="dxa"/>
            <w:tcBorders>
              <w:top w:val="nil"/>
              <w:left w:val="nil"/>
              <w:bottom w:val="single" w:sz="4" w:space="0" w:color="auto"/>
              <w:right w:val="nil"/>
            </w:tcBorders>
            <w:shd w:val="clear" w:color="auto" w:fill="auto"/>
            <w:noWrap/>
            <w:vAlign w:val="center"/>
            <w:hideMark/>
          </w:tcPr>
          <w:p w14:paraId="1772B29F" w14:textId="3AD8CA5B"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+18 %</w:t>
            </w:r>
          </w:p>
        </w:tc>
      </w:tr>
      <w:tr w:rsidR="00F85178" w:rsidRPr="00F85178" w14:paraId="7740C712" w14:textId="77777777" w:rsidTr="000E7594">
        <w:trPr>
          <w:trHeight w:val="330"/>
        </w:trPr>
        <w:tc>
          <w:tcPr>
            <w:tcW w:w="2480" w:type="dxa"/>
            <w:tcBorders>
              <w:top w:val="nil"/>
              <w:left w:val="nil"/>
              <w:bottom w:val="double" w:sz="6" w:space="0" w:color="auto"/>
              <w:right w:val="nil"/>
            </w:tcBorders>
            <w:shd w:val="clear" w:color="auto" w:fill="auto"/>
            <w:noWrap/>
            <w:vAlign w:val="bottom"/>
            <w:hideMark/>
          </w:tcPr>
          <w:p w14:paraId="48751BFA" w14:textId="77777777" w:rsidR="000E7594" w:rsidRPr="00F85178" w:rsidRDefault="000E7594" w:rsidP="000E7594">
            <w:pPr>
              <w:spacing w:line="240" w:lineRule="auto"/>
              <w:jc w:val="left"/>
              <w:rPr>
                <w:rFonts w:eastAsia="Times New Roman"/>
                <w:szCs w:val="24"/>
                <w:lang w:eastAsia="cs-CZ"/>
              </w:rPr>
            </w:pPr>
            <w:r w:rsidRPr="00F85178">
              <w:rPr>
                <w:rFonts w:eastAsia="Times New Roman"/>
                <w:szCs w:val="24"/>
                <w:lang w:eastAsia="cs-CZ"/>
              </w:rPr>
              <w:t>KS Ostrava</w:t>
            </w:r>
          </w:p>
        </w:tc>
        <w:tc>
          <w:tcPr>
            <w:tcW w:w="662" w:type="dxa"/>
            <w:tcBorders>
              <w:top w:val="nil"/>
              <w:left w:val="nil"/>
              <w:bottom w:val="double" w:sz="6" w:space="0" w:color="auto"/>
              <w:right w:val="nil"/>
            </w:tcBorders>
            <w:shd w:val="clear" w:color="auto" w:fill="auto"/>
            <w:noWrap/>
            <w:vAlign w:val="bottom"/>
            <w:hideMark/>
          </w:tcPr>
          <w:p w14:paraId="4FBF2AF9"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106</w:t>
            </w:r>
          </w:p>
        </w:tc>
        <w:tc>
          <w:tcPr>
            <w:tcW w:w="1018" w:type="dxa"/>
            <w:tcBorders>
              <w:top w:val="nil"/>
              <w:left w:val="nil"/>
              <w:bottom w:val="double" w:sz="6" w:space="0" w:color="auto"/>
              <w:right w:val="nil"/>
            </w:tcBorders>
            <w:shd w:val="clear" w:color="auto" w:fill="auto"/>
            <w:noWrap/>
            <w:vAlign w:val="center"/>
            <w:hideMark/>
          </w:tcPr>
          <w:p w14:paraId="73E07489" w14:textId="29D7DEC0"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+7 %</w:t>
            </w:r>
          </w:p>
        </w:tc>
        <w:tc>
          <w:tcPr>
            <w:tcW w:w="662" w:type="dxa"/>
            <w:tcBorders>
              <w:top w:val="nil"/>
              <w:left w:val="single" w:sz="4" w:space="0" w:color="auto"/>
              <w:bottom w:val="double" w:sz="6" w:space="0" w:color="auto"/>
              <w:right w:val="nil"/>
            </w:tcBorders>
            <w:shd w:val="clear" w:color="auto" w:fill="auto"/>
            <w:noWrap/>
            <w:vAlign w:val="bottom"/>
            <w:hideMark/>
          </w:tcPr>
          <w:p w14:paraId="04E3A30F"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64</w:t>
            </w:r>
          </w:p>
        </w:tc>
        <w:tc>
          <w:tcPr>
            <w:tcW w:w="1018" w:type="dxa"/>
            <w:tcBorders>
              <w:top w:val="nil"/>
              <w:left w:val="nil"/>
              <w:bottom w:val="double" w:sz="6" w:space="0" w:color="auto"/>
              <w:right w:val="single" w:sz="4" w:space="0" w:color="auto"/>
            </w:tcBorders>
            <w:shd w:val="clear" w:color="auto" w:fill="auto"/>
            <w:noWrap/>
            <w:vAlign w:val="center"/>
            <w:hideMark/>
          </w:tcPr>
          <w:p w14:paraId="2BF33085" w14:textId="59892F7C"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-6 %</w:t>
            </w:r>
          </w:p>
        </w:tc>
        <w:tc>
          <w:tcPr>
            <w:tcW w:w="662" w:type="dxa"/>
            <w:tcBorders>
              <w:top w:val="nil"/>
              <w:left w:val="nil"/>
              <w:bottom w:val="double" w:sz="6" w:space="0" w:color="auto"/>
              <w:right w:val="nil"/>
            </w:tcBorders>
            <w:shd w:val="clear" w:color="auto" w:fill="auto"/>
            <w:noWrap/>
            <w:vAlign w:val="bottom"/>
            <w:hideMark/>
          </w:tcPr>
          <w:p w14:paraId="2B992F64" w14:textId="77777777" w:rsidR="000E7594" w:rsidRPr="00F85178" w:rsidRDefault="000E7594" w:rsidP="000E7594">
            <w:pPr>
              <w:spacing w:line="240" w:lineRule="auto"/>
              <w:jc w:val="center"/>
              <w:rPr>
                <w:rFonts w:eastAsia="Times New Roman"/>
                <w:szCs w:val="24"/>
                <w:lang w:eastAsia="cs-CZ"/>
              </w:rPr>
            </w:pPr>
            <w:r w:rsidRPr="00F85178">
              <w:rPr>
                <w:rFonts w:eastAsia="Times New Roman"/>
                <w:szCs w:val="24"/>
                <w:lang w:eastAsia="cs-CZ"/>
              </w:rPr>
              <w:t>229</w:t>
            </w:r>
          </w:p>
        </w:tc>
        <w:tc>
          <w:tcPr>
            <w:tcW w:w="1018" w:type="dxa"/>
            <w:tcBorders>
              <w:top w:val="nil"/>
              <w:left w:val="nil"/>
              <w:bottom w:val="double" w:sz="6" w:space="0" w:color="auto"/>
              <w:right w:val="nil"/>
            </w:tcBorders>
            <w:shd w:val="clear" w:color="auto" w:fill="auto"/>
            <w:noWrap/>
            <w:vAlign w:val="center"/>
            <w:hideMark/>
          </w:tcPr>
          <w:p w14:paraId="2EBBD756" w14:textId="7EEF89AD" w:rsidR="000E7594" w:rsidRPr="00F85178" w:rsidRDefault="000E7594" w:rsidP="000E7594">
            <w:pPr>
              <w:spacing w:line="240" w:lineRule="auto"/>
              <w:jc w:val="right"/>
              <w:rPr>
                <w:rFonts w:eastAsia="Times New Roman"/>
                <w:sz w:val="20"/>
                <w:szCs w:val="20"/>
                <w:lang w:eastAsia="cs-CZ"/>
              </w:rPr>
            </w:pPr>
            <w:r w:rsidRPr="00F85178">
              <w:rPr>
                <w:rFonts w:eastAsia="Times New Roman"/>
                <w:sz w:val="20"/>
                <w:szCs w:val="20"/>
                <w:lang w:eastAsia="cs-CZ"/>
              </w:rPr>
              <w:t>+10 %</w:t>
            </w:r>
          </w:p>
        </w:tc>
      </w:tr>
      <w:tr w:rsidR="000E7594" w:rsidRPr="00F85178" w14:paraId="3272ADE2" w14:textId="77777777" w:rsidTr="000E7594">
        <w:trPr>
          <w:trHeight w:val="345"/>
        </w:trPr>
        <w:tc>
          <w:tcPr>
            <w:tcW w:w="2480" w:type="dxa"/>
            <w:tcBorders>
              <w:top w:val="nil"/>
              <w:left w:val="nil"/>
              <w:bottom w:val="double" w:sz="6" w:space="0" w:color="auto"/>
              <w:right w:val="nil"/>
            </w:tcBorders>
            <w:shd w:val="clear" w:color="auto" w:fill="auto"/>
            <w:noWrap/>
            <w:vAlign w:val="bottom"/>
            <w:hideMark/>
          </w:tcPr>
          <w:p w14:paraId="0B21ECA9" w14:textId="77777777" w:rsidR="000E7594" w:rsidRPr="00F85178" w:rsidRDefault="000E7594" w:rsidP="000E759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62" w:type="dxa"/>
            <w:tcBorders>
              <w:top w:val="nil"/>
              <w:left w:val="nil"/>
              <w:bottom w:val="double" w:sz="6" w:space="0" w:color="auto"/>
              <w:right w:val="nil"/>
            </w:tcBorders>
            <w:shd w:val="clear" w:color="auto" w:fill="auto"/>
            <w:noWrap/>
            <w:vAlign w:val="bottom"/>
            <w:hideMark/>
          </w:tcPr>
          <w:p w14:paraId="2F80D142"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132</w:t>
            </w:r>
          </w:p>
        </w:tc>
        <w:tc>
          <w:tcPr>
            <w:tcW w:w="1018" w:type="dxa"/>
            <w:tcBorders>
              <w:top w:val="nil"/>
              <w:left w:val="nil"/>
              <w:bottom w:val="double" w:sz="6" w:space="0" w:color="auto"/>
              <w:right w:val="nil"/>
            </w:tcBorders>
            <w:shd w:val="clear" w:color="auto" w:fill="auto"/>
            <w:noWrap/>
            <w:vAlign w:val="center"/>
            <w:hideMark/>
          </w:tcPr>
          <w:p w14:paraId="7BE89DDA" w14:textId="4681A5B0" w:rsidR="000E7594" w:rsidRPr="00F85178" w:rsidRDefault="000E7594" w:rsidP="000E7594">
            <w:pPr>
              <w:spacing w:line="240" w:lineRule="auto"/>
              <w:jc w:val="right"/>
              <w:rPr>
                <w:rFonts w:eastAsia="Times New Roman"/>
                <w:b/>
                <w:bCs/>
                <w:sz w:val="20"/>
                <w:szCs w:val="20"/>
                <w:lang w:eastAsia="cs-CZ"/>
              </w:rPr>
            </w:pPr>
            <w:r w:rsidRPr="00F85178">
              <w:rPr>
                <w:rFonts w:eastAsia="Times New Roman"/>
                <w:b/>
                <w:bCs/>
                <w:sz w:val="20"/>
                <w:szCs w:val="20"/>
                <w:lang w:eastAsia="cs-CZ"/>
              </w:rPr>
              <w:t>+7 %</w:t>
            </w:r>
          </w:p>
        </w:tc>
        <w:tc>
          <w:tcPr>
            <w:tcW w:w="662" w:type="dxa"/>
            <w:tcBorders>
              <w:top w:val="nil"/>
              <w:left w:val="single" w:sz="4" w:space="0" w:color="auto"/>
              <w:bottom w:val="double" w:sz="6" w:space="0" w:color="auto"/>
              <w:right w:val="nil"/>
            </w:tcBorders>
            <w:shd w:val="clear" w:color="auto" w:fill="auto"/>
            <w:noWrap/>
            <w:vAlign w:val="bottom"/>
            <w:hideMark/>
          </w:tcPr>
          <w:p w14:paraId="25FC9BF9"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71</w:t>
            </w:r>
          </w:p>
        </w:tc>
        <w:tc>
          <w:tcPr>
            <w:tcW w:w="1018" w:type="dxa"/>
            <w:tcBorders>
              <w:top w:val="nil"/>
              <w:left w:val="nil"/>
              <w:bottom w:val="double" w:sz="6" w:space="0" w:color="auto"/>
              <w:right w:val="single" w:sz="4" w:space="0" w:color="auto"/>
            </w:tcBorders>
            <w:shd w:val="clear" w:color="auto" w:fill="auto"/>
            <w:noWrap/>
            <w:vAlign w:val="center"/>
            <w:hideMark/>
          </w:tcPr>
          <w:p w14:paraId="66F868F6" w14:textId="76BE23E1" w:rsidR="000E7594" w:rsidRPr="00F85178" w:rsidRDefault="000E7594" w:rsidP="000E7594">
            <w:pPr>
              <w:spacing w:line="240" w:lineRule="auto"/>
              <w:jc w:val="right"/>
              <w:rPr>
                <w:rFonts w:eastAsia="Times New Roman"/>
                <w:b/>
                <w:bCs/>
                <w:sz w:val="20"/>
                <w:szCs w:val="20"/>
                <w:lang w:eastAsia="cs-CZ"/>
              </w:rPr>
            </w:pPr>
            <w:r w:rsidRPr="00F85178">
              <w:rPr>
                <w:rFonts w:eastAsia="Times New Roman"/>
                <w:b/>
                <w:bCs/>
                <w:sz w:val="20"/>
                <w:szCs w:val="20"/>
                <w:lang w:eastAsia="cs-CZ"/>
              </w:rPr>
              <w:t>+1 %</w:t>
            </w:r>
          </w:p>
        </w:tc>
        <w:tc>
          <w:tcPr>
            <w:tcW w:w="662" w:type="dxa"/>
            <w:tcBorders>
              <w:top w:val="nil"/>
              <w:left w:val="nil"/>
              <w:bottom w:val="double" w:sz="6" w:space="0" w:color="auto"/>
              <w:right w:val="nil"/>
            </w:tcBorders>
            <w:shd w:val="clear" w:color="auto" w:fill="auto"/>
            <w:noWrap/>
            <w:vAlign w:val="bottom"/>
            <w:hideMark/>
          </w:tcPr>
          <w:p w14:paraId="62DF8679" w14:textId="77777777" w:rsidR="000E7594" w:rsidRPr="00F85178" w:rsidRDefault="000E7594" w:rsidP="000E7594">
            <w:pPr>
              <w:spacing w:line="240" w:lineRule="auto"/>
              <w:jc w:val="center"/>
              <w:rPr>
                <w:rFonts w:eastAsia="Times New Roman"/>
                <w:b/>
                <w:bCs/>
                <w:szCs w:val="24"/>
                <w:lang w:eastAsia="cs-CZ"/>
              </w:rPr>
            </w:pPr>
            <w:r w:rsidRPr="00F85178">
              <w:rPr>
                <w:rFonts w:eastAsia="Times New Roman"/>
                <w:b/>
                <w:bCs/>
                <w:szCs w:val="24"/>
                <w:lang w:eastAsia="cs-CZ"/>
              </w:rPr>
              <w:t>288</w:t>
            </w:r>
          </w:p>
        </w:tc>
        <w:tc>
          <w:tcPr>
            <w:tcW w:w="1018" w:type="dxa"/>
            <w:tcBorders>
              <w:top w:val="nil"/>
              <w:left w:val="nil"/>
              <w:bottom w:val="double" w:sz="6" w:space="0" w:color="auto"/>
              <w:right w:val="nil"/>
            </w:tcBorders>
            <w:shd w:val="clear" w:color="auto" w:fill="auto"/>
            <w:noWrap/>
            <w:vAlign w:val="center"/>
            <w:hideMark/>
          </w:tcPr>
          <w:p w14:paraId="3436B962" w14:textId="777371DC" w:rsidR="000E7594" w:rsidRPr="00F85178" w:rsidRDefault="000E7594" w:rsidP="000E7594">
            <w:pPr>
              <w:spacing w:line="240" w:lineRule="auto"/>
              <w:jc w:val="right"/>
              <w:rPr>
                <w:rFonts w:eastAsia="Times New Roman"/>
                <w:b/>
                <w:bCs/>
                <w:sz w:val="20"/>
                <w:szCs w:val="20"/>
                <w:lang w:eastAsia="cs-CZ"/>
              </w:rPr>
            </w:pPr>
            <w:r w:rsidRPr="00F85178">
              <w:rPr>
                <w:rFonts w:eastAsia="Times New Roman"/>
                <w:b/>
                <w:bCs/>
                <w:sz w:val="20"/>
                <w:szCs w:val="20"/>
                <w:lang w:eastAsia="cs-CZ"/>
              </w:rPr>
              <w:t>+11 %</w:t>
            </w:r>
          </w:p>
        </w:tc>
      </w:tr>
    </w:tbl>
    <w:p w14:paraId="7485834D" w14:textId="77777777" w:rsidR="000E7594" w:rsidRPr="00F85178" w:rsidRDefault="000E7594" w:rsidP="00205FD6"/>
    <w:p w14:paraId="410B16C3" w14:textId="77777777" w:rsidR="006F3D6D" w:rsidRPr="00F85178" w:rsidRDefault="006F3D6D" w:rsidP="006F3D6D">
      <w:pPr>
        <w:pStyle w:val="OdstavecASR"/>
      </w:pPr>
      <w:r w:rsidRPr="00F85178">
        <w:t>V tabulce pak vidíme, že</w:t>
      </w:r>
      <w:r w:rsidR="00B83BD2" w:rsidRPr="00F85178">
        <w:t xml:space="preserve"> nejvyšší délky odvolacího civilního řízení vykazuje KS Brno (a to již několik let při ročních kladný</w:t>
      </w:r>
      <w:r w:rsidR="00EA72BB" w:rsidRPr="00F85178">
        <w:t>ch</w:t>
      </w:r>
      <w:r w:rsidR="00B83BD2" w:rsidRPr="00F85178">
        <w:t xml:space="preserve"> i záporných výkyvech), KS Ústí nad Labem se zhoršuje stabilně</w:t>
      </w:r>
      <w:r w:rsidR="00767423" w:rsidRPr="00F85178">
        <w:t xml:space="preserve"> s vysokým nárůstem v roce 2018 (2016: 158 </w:t>
      </w:r>
      <w:r w:rsidR="00AB35DB" w:rsidRPr="00F85178">
        <w:t>dnů</w:t>
      </w:r>
      <w:r w:rsidR="00767423" w:rsidRPr="00F85178">
        <w:t xml:space="preserve">, 2017: 169 </w:t>
      </w:r>
      <w:r w:rsidR="00AB35DB" w:rsidRPr="00F85178">
        <w:t>dnů</w:t>
      </w:r>
      <w:r w:rsidR="00767423" w:rsidRPr="00F85178">
        <w:t xml:space="preserve">, 2018: 202 </w:t>
      </w:r>
      <w:r w:rsidR="00AB35DB" w:rsidRPr="00F85178">
        <w:t>dnů</w:t>
      </w:r>
      <w:r w:rsidR="00767423" w:rsidRPr="00F85178">
        <w:t>).</w:t>
      </w:r>
      <w:r w:rsidR="005B4145" w:rsidRPr="00F85178">
        <w:t xml:space="preserve"> </w:t>
      </w:r>
      <w:r w:rsidRPr="00F85178">
        <w:t xml:space="preserve">Za pozornost </w:t>
      </w:r>
      <w:r w:rsidR="005B4145" w:rsidRPr="00F85178">
        <w:t xml:space="preserve">dále </w:t>
      </w:r>
      <w:r w:rsidRPr="00F85178">
        <w:t>stojí vývoj KS Č. Budějovice, u kterého v roce 2017 délka odvolacího civilního řízení v porovnání s rokem 2016 markantně narostla</w:t>
      </w:r>
      <w:r w:rsidR="00CC3F71" w:rsidRPr="00F85178">
        <w:t xml:space="preserve">, aby se následně vrátila </w:t>
      </w:r>
      <w:r w:rsidR="00B83BD2" w:rsidRPr="00F85178">
        <w:t xml:space="preserve">částečně </w:t>
      </w:r>
      <w:r w:rsidR="00CC3F71" w:rsidRPr="00F85178">
        <w:t>zpět</w:t>
      </w:r>
      <w:r w:rsidR="00B83BD2" w:rsidRPr="00F85178">
        <w:t xml:space="preserve"> (53 </w:t>
      </w:r>
      <w:r w:rsidR="002F430C" w:rsidRPr="00F85178">
        <w:t xml:space="preserve">dnů </w:t>
      </w:r>
      <w:r w:rsidR="00B83BD2" w:rsidRPr="00F85178">
        <w:t>v roce 2016)</w:t>
      </w:r>
      <w:r w:rsidRPr="00F85178">
        <w:t>.</w:t>
      </w:r>
    </w:p>
    <w:p w14:paraId="6174FEFE" w14:textId="77777777" w:rsidR="000E7594" w:rsidRPr="00F85178" w:rsidRDefault="005B4145" w:rsidP="00025474">
      <w:pPr>
        <w:pStyle w:val="OdstavecASR"/>
      </w:pPr>
      <w:r w:rsidRPr="00F85178">
        <w:t>Jelikož jihomoravský krajský soud dlo</w:t>
      </w:r>
      <w:r w:rsidR="002F430C" w:rsidRPr="00F85178">
        <w:t>u</w:t>
      </w:r>
      <w:r w:rsidRPr="00F85178">
        <w:t xml:space="preserve">hodobě vykazuje nejdelší civilní odvolací řízení, tak jsme se spolu s ním </w:t>
      </w:r>
      <w:r w:rsidR="00D20521" w:rsidRPr="00F85178">
        <w:t>na to zaměřil</w:t>
      </w:r>
      <w:r w:rsidR="002F430C" w:rsidRPr="00F85178">
        <w:t>i</w:t>
      </w:r>
      <w:r w:rsidRPr="00F85178">
        <w:t xml:space="preserve"> </w:t>
      </w:r>
      <w:r w:rsidR="002F430C" w:rsidRPr="00F85178">
        <w:t xml:space="preserve">více </w:t>
      </w:r>
      <w:r w:rsidRPr="00F85178">
        <w:t>do hloubky. Přitom bylo zjištěno</w:t>
      </w:r>
      <w:r w:rsidR="00786981" w:rsidRPr="00F85178">
        <w:t xml:space="preserve">, že KS Brno postupuje </w:t>
      </w:r>
      <w:r w:rsidR="005238C7" w:rsidRPr="00F85178">
        <w:t xml:space="preserve">v určitém případě, který nastane v rámci odvolacího řízení, </w:t>
      </w:r>
      <w:r w:rsidR="00786981" w:rsidRPr="00F85178">
        <w:t xml:space="preserve">odlišně od ostatních krajských soudů. </w:t>
      </w:r>
      <w:r w:rsidR="005238C7" w:rsidRPr="00F85178">
        <w:t xml:space="preserve">Tato odlišnost však spočívá </w:t>
      </w:r>
      <w:r w:rsidR="00421FA6" w:rsidRPr="00F85178">
        <w:t xml:space="preserve">převážně </w:t>
      </w:r>
      <w:r w:rsidR="005238C7" w:rsidRPr="00F85178">
        <w:t>v</w:t>
      </w:r>
      <w:r w:rsidR="00421FA6" w:rsidRPr="00F85178">
        <w:t> administrativním postupu a ne v jeho rozhodovací činnosti.</w:t>
      </w:r>
    </w:p>
    <w:p w14:paraId="60675367" w14:textId="77777777" w:rsidR="000E7594" w:rsidRPr="00F85178" w:rsidRDefault="00825B97" w:rsidP="00825B97">
      <w:pPr>
        <w:pStyle w:val="Podtitul"/>
        <w:rPr>
          <w:color w:val="auto"/>
        </w:rPr>
      </w:pPr>
      <w:bookmarkStart w:id="404" w:name="_Toc515871386"/>
      <w:bookmarkStart w:id="405" w:name="_Toc11135117"/>
      <w:bookmarkStart w:id="406" w:name="_Toc1383754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56</w:t>
      </w:r>
      <w:r w:rsidRPr="00F85178">
        <w:rPr>
          <w:color w:val="auto"/>
        </w:rPr>
        <w:fldChar w:fldCharType="end"/>
      </w:r>
      <w:r w:rsidRPr="00F85178">
        <w:rPr>
          <w:color w:val="auto"/>
        </w:rPr>
        <w:t>: KS – distribuce délek odvolacího civilního řízení</w:t>
      </w:r>
      <w:bookmarkEnd w:id="404"/>
      <w:bookmarkEnd w:id="405"/>
      <w:bookmarkEnd w:id="406"/>
    </w:p>
    <w:p w14:paraId="76F77D4B" w14:textId="77777777" w:rsidR="00825B97" w:rsidRPr="00F85178" w:rsidRDefault="00890295" w:rsidP="00205FD6">
      <w:r>
        <w:rPr>
          <w:noProof/>
          <w:lang w:eastAsia="cs-CZ"/>
        </w:rPr>
        <w:drawing>
          <wp:inline distT="0" distB="0" distL="0" distR="0" wp14:anchorId="25EFE627" wp14:editId="7F5D385C">
            <wp:extent cx="5118100" cy="3746500"/>
            <wp:effectExtent l="0" t="0" r="0" b="0"/>
            <wp:docPr id="59" name="Obrázek 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09"/>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F8E8F26" w14:textId="77777777" w:rsidR="004F6913" w:rsidRPr="00F85178" w:rsidRDefault="00EA72BB" w:rsidP="004F6913">
      <w:pPr>
        <w:pStyle w:val="OdstavecASR"/>
      </w:pPr>
      <w:r w:rsidRPr="00F85178">
        <w:t xml:space="preserve">Podívejme se ještě na rozložení délek odvolacích řízení pomocí histogramu. </w:t>
      </w:r>
      <w:r w:rsidR="004A4F21" w:rsidRPr="00F85178">
        <w:t>Připomínáme</w:t>
      </w:r>
      <w:r w:rsidRPr="00F85178">
        <w:t xml:space="preserve">, že stejně jako u okresních soudů je šířka jednoho intervalu (sloupce) 25 dnů. Pro lepší přehlednost uvádíme všechny délky řízení delší než 800 dnů v jednom sloupci (na grafu nejvíce vpravo). </w:t>
      </w:r>
      <w:r w:rsidR="004F6913" w:rsidRPr="00F85178">
        <w:t>Z</w:t>
      </w:r>
      <w:r w:rsidR="004A4F21" w:rsidRPr="00F85178">
        <w:t> </w:t>
      </w:r>
      <w:r w:rsidR="004F6913" w:rsidRPr="00F85178">
        <w:t>histogramu pak můžeme opět vyčíst další informace o délkách řízení. Například:</w:t>
      </w:r>
    </w:p>
    <w:p w14:paraId="6B1663AB" w14:textId="77777777" w:rsidR="004F6913" w:rsidRPr="00F85178" w:rsidRDefault="004F6913" w:rsidP="004F6913">
      <w:pPr>
        <w:pStyle w:val="Odstavecseseznamem"/>
        <w:numPr>
          <w:ilvl w:val="0"/>
          <w:numId w:val="24"/>
        </w:numPr>
      </w:pPr>
      <w:r w:rsidRPr="00F85178">
        <w:t>Více než 35 % věcí je vyřízeno do 50 dnů</w:t>
      </w:r>
      <w:r w:rsidR="00EA72BB" w:rsidRPr="00F85178">
        <w:t>, stejně jako v roce 2017</w:t>
      </w:r>
      <w:r w:rsidR="00056976" w:rsidRPr="00F85178">
        <w:t xml:space="preserve"> s tím, že se snížil počet odvolání vyřízených v prvních 25 dnech</w:t>
      </w:r>
      <w:r w:rsidRPr="00F85178">
        <w:t>.</w:t>
      </w:r>
    </w:p>
    <w:p w14:paraId="0A191F0D" w14:textId="77777777" w:rsidR="0032015B" w:rsidRDefault="004A4F21" w:rsidP="004F6913">
      <w:pPr>
        <w:pStyle w:val="Odstavecseseznamem"/>
        <w:numPr>
          <w:ilvl w:val="0"/>
          <w:numId w:val="24"/>
        </w:numPr>
      </w:pPr>
      <w:r w:rsidRPr="00F85178">
        <w:t>U o</w:t>
      </w:r>
      <w:r w:rsidR="00056976" w:rsidRPr="00F85178">
        <w:t>dvolací</w:t>
      </w:r>
      <w:r w:rsidRPr="00F85178">
        <w:t>ch</w:t>
      </w:r>
      <w:r w:rsidR="00056976" w:rsidRPr="00F85178">
        <w:t xml:space="preserve"> řízení delší než 800 kalendářních </w:t>
      </w:r>
      <w:r w:rsidR="002F430C" w:rsidRPr="00F85178">
        <w:t xml:space="preserve">dnů </w:t>
      </w:r>
      <w:r w:rsidRPr="00F85178">
        <w:t>zůstává stav také stejný jako v roce 2017</w:t>
      </w:r>
      <w:r w:rsidR="00056976" w:rsidRPr="00F85178">
        <w:t>,</w:t>
      </w:r>
      <w:r w:rsidRPr="00F85178">
        <w:t xml:space="preserve"> tj. </w:t>
      </w:r>
      <w:r w:rsidR="00056976" w:rsidRPr="00F85178">
        <w:t>4</w:t>
      </w:r>
      <w:r w:rsidR="002F430C" w:rsidRPr="00F85178">
        <w:t xml:space="preserve"> </w:t>
      </w:r>
      <w:r w:rsidR="00056976" w:rsidRPr="00F85178">
        <w:t>% všech odvolání v civilním řízení u KS</w:t>
      </w:r>
      <w:r w:rsidRPr="00F85178">
        <w:t xml:space="preserve"> trvá déle než 800 kalendářních </w:t>
      </w:r>
      <w:r w:rsidR="002F430C" w:rsidRPr="00F85178">
        <w:t>dnů</w:t>
      </w:r>
      <w:r w:rsidR="00056976" w:rsidRPr="00F85178">
        <w:t>.</w:t>
      </w:r>
    </w:p>
    <w:p w14:paraId="2913E4F0" w14:textId="13825590" w:rsidR="004F6913" w:rsidRPr="00F85178" w:rsidRDefault="004F6913" w:rsidP="004F6913">
      <w:pPr>
        <w:pStyle w:val="Odstavecseseznamem"/>
        <w:numPr>
          <w:ilvl w:val="0"/>
          <w:numId w:val="24"/>
        </w:numPr>
      </w:pPr>
      <w:r w:rsidRPr="00F85178">
        <w:t>Relativní četnost délek řízení téměř vždy klesá s přibývající délkou řízení.</w:t>
      </w:r>
    </w:p>
    <w:p w14:paraId="7B429391" w14:textId="77777777" w:rsidR="00813833" w:rsidRPr="00F85178" w:rsidRDefault="00813833" w:rsidP="00421FA6">
      <w:pPr>
        <w:pStyle w:val="Nadpis3"/>
        <w:rPr>
          <w:color w:val="auto"/>
        </w:rPr>
      </w:pPr>
      <w:bookmarkStart w:id="407" w:name="_Toc515871255"/>
      <w:bookmarkStart w:id="408" w:name="_Toc14076904"/>
      <w:r w:rsidRPr="00F85178">
        <w:rPr>
          <w:color w:val="auto"/>
        </w:rPr>
        <w:t>Vyřizování věcí</w:t>
      </w:r>
      <w:bookmarkEnd w:id="407"/>
      <w:bookmarkEnd w:id="408"/>
    </w:p>
    <w:p w14:paraId="44240D59" w14:textId="77777777" w:rsidR="004F6913" w:rsidRPr="00F85178" w:rsidRDefault="004F6913" w:rsidP="004F6913">
      <w:pPr>
        <w:pStyle w:val="OdstavecASR"/>
      </w:pPr>
      <w:r w:rsidRPr="00F85178">
        <w:t>Jak jsme uvedli již dříve, data o vyřizování věcí zahrnují více agend než údaje o délce řízení.</w:t>
      </w:r>
    </w:p>
    <w:p w14:paraId="3620E9EC" w14:textId="77777777" w:rsidR="00813833" w:rsidRPr="00F85178" w:rsidRDefault="00813833" w:rsidP="00813833">
      <w:pPr>
        <w:pStyle w:val="Podtitul"/>
        <w:rPr>
          <w:color w:val="auto"/>
        </w:rPr>
      </w:pPr>
      <w:bookmarkStart w:id="409" w:name="_Toc515871387"/>
      <w:bookmarkStart w:id="410" w:name="_Toc11135118"/>
      <w:bookmarkStart w:id="411" w:name="_Toc1383755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57</w:t>
      </w:r>
      <w:r w:rsidRPr="00F85178">
        <w:rPr>
          <w:noProof/>
          <w:color w:val="auto"/>
        </w:rPr>
        <w:fldChar w:fldCharType="end"/>
      </w:r>
      <w:r w:rsidRPr="00F85178">
        <w:rPr>
          <w:color w:val="auto"/>
        </w:rPr>
        <w:t>: KS – vyřizování odvolacích civilních věcí v letech 2008–201</w:t>
      </w:r>
      <w:bookmarkEnd w:id="409"/>
      <w:r w:rsidRPr="00F85178">
        <w:rPr>
          <w:color w:val="auto"/>
        </w:rPr>
        <w:t>8</w:t>
      </w:r>
      <w:bookmarkEnd w:id="410"/>
      <w:bookmarkEnd w:id="411"/>
    </w:p>
    <w:p w14:paraId="27BACD5D" w14:textId="77777777" w:rsidR="004F5ACB" w:rsidRPr="00F85178" w:rsidRDefault="00890295" w:rsidP="00205FD6">
      <w:r>
        <w:rPr>
          <w:noProof/>
          <w:lang w:eastAsia="cs-CZ"/>
        </w:rPr>
        <w:drawing>
          <wp:inline distT="0" distB="0" distL="0" distR="0" wp14:anchorId="36482B97" wp14:editId="09BD179A">
            <wp:extent cx="5118100" cy="3746500"/>
            <wp:effectExtent l="0" t="0" r="0" b="0"/>
            <wp:docPr id="60" name="Obrázek 3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0"/>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7A6EFB1" w14:textId="77777777" w:rsidR="0032015B" w:rsidRDefault="004F6913" w:rsidP="004F6913">
      <w:pPr>
        <w:pStyle w:val="OdstavecASR"/>
      </w:pPr>
      <w:r w:rsidRPr="00F85178">
        <w:t>V časové řadě registrujeme nárůst v počtu napadlých a vyřízených věcí v roce 2012. Následoval postupný pokles na hodnoty před rokem 2012. V roce 2018 došlo k poklesu na nejnižší hodnoty za sledované období. Logicky se nabízí hypotéza, že vývoj nápadu v agendě Co by měl za předpokladu konstantní míry odvolání do značné míry kopírovat vývoj prvostupňových vyřízených civilních věcí u okresních soudů. Tento předpoklad ale pro data v této zprávě příliš neplatí. Lze to vysvětlit již dříve popsanou skutečností, že do rejstříku Co nespadají jen odvolání v rejstříku C (který zkoumáme v </w:t>
      </w:r>
      <w:proofErr w:type="gramStart"/>
      <w:r w:rsidRPr="00F85178">
        <w:t>kapitole </w:t>
      </w:r>
      <w:r w:rsidR="00BF434E" w:rsidRPr="00F85178">
        <w:fldChar w:fldCharType="begin"/>
      </w:r>
      <w:r w:rsidR="00BF434E" w:rsidRPr="00F85178">
        <w:instrText xml:space="preserve"> REF _Ref9425277 \r \h </w:instrText>
      </w:r>
      <w:r w:rsidR="00BF434E" w:rsidRPr="00F85178">
        <w:fldChar w:fldCharType="separate"/>
      </w:r>
      <w:r w:rsidR="00306940">
        <w:t>2.2</w:t>
      </w:r>
      <w:r w:rsidR="00BF434E" w:rsidRPr="00F85178">
        <w:fldChar w:fldCharType="end"/>
      </w:r>
      <w:r w:rsidRPr="00F85178">
        <w:t>), ale</w:t>
      </w:r>
      <w:proofErr w:type="gramEnd"/>
      <w:r w:rsidRPr="00F85178">
        <w:t xml:space="preserve"> i odvolání ve všech ostatních věcech, které jsou vyřizovány na civilním úseku okresních soudů.</w:t>
      </w:r>
    </w:p>
    <w:p w14:paraId="7B3B4B7C" w14:textId="00C8EFDF" w:rsidR="004F6913" w:rsidRPr="00F85178" w:rsidRDefault="004F6913" w:rsidP="004F6913">
      <w:pPr>
        <w:pStyle w:val="OdstavecASR"/>
      </w:pPr>
      <w:r w:rsidRPr="00F85178">
        <w:t xml:space="preserve">Důležitým zjištěním je především to, že počet vyřízených věcí je v posledních letech </w:t>
      </w:r>
      <w:r w:rsidR="00B7689C" w:rsidRPr="00F85178">
        <w:t xml:space="preserve">vždy mírně </w:t>
      </w:r>
      <w:r w:rsidRPr="00F85178">
        <w:t>vyšší než počet příchozích. Počet nevyřízených věcí tedy pomalu, ale jistě klesá.</w:t>
      </w:r>
    </w:p>
    <w:p w14:paraId="2CCBC950" w14:textId="77777777" w:rsidR="004F6913" w:rsidRDefault="00FF408C" w:rsidP="004F6913">
      <w:pPr>
        <w:pStyle w:val="OdstavecASR"/>
      </w:pPr>
      <w:r w:rsidRPr="00F85178">
        <w:t xml:space="preserve">To platí s tím, že každý rok se vyskytne krajský soud, u kterého toto </w:t>
      </w:r>
      <w:r w:rsidR="00DB3B2E" w:rsidRPr="00F85178">
        <w:t>konstatování</w:t>
      </w:r>
      <w:r w:rsidRPr="00F85178">
        <w:t xml:space="preserve"> není zcela na</w:t>
      </w:r>
      <w:r w:rsidR="00DB3B2E" w:rsidRPr="00F85178">
        <w:t>plněno. V</w:t>
      </w:r>
      <w:r w:rsidRPr="00F85178">
        <w:t xml:space="preserve">ariabilitu u jednotlivých KS je proto </w:t>
      </w:r>
      <w:r w:rsidR="00A22AFD" w:rsidRPr="00F85178">
        <w:t>potřebné</w:t>
      </w:r>
      <w:r w:rsidRPr="00F85178">
        <w:t xml:space="preserve"> zkoumat v delších časových řadách</w:t>
      </w:r>
      <w:r w:rsidR="00AA7BB3" w:rsidRPr="00F85178">
        <w:t>. Č</w:t>
      </w:r>
      <w:r w:rsidRPr="00F85178">
        <w:t xml:space="preserve">init závěry z ojedinělého ročního </w:t>
      </w:r>
      <w:r w:rsidR="00DB3B2E" w:rsidRPr="00F85178">
        <w:t>výkyvu</w:t>
      </w:r>
      <w:r w:rsidRPr="00F85178">
        <w:t xml:space="preserve"> není korektní.</w:t>
      </w:r>
      <w:r w:rsidR="00A22AFD" w:rsidRPr="00F85178">
        <w:t xml:space="preserve"> Přesto </w:t>
      </w:r>
      <w:r w:rsidR="00AA7BB3" w:rsidRPr="00F85178">
        <w:t xml:space="preserve">se </w:t>
      </w:r>
      <w:r w:rsidR="00A22AFD" w:rsidRPr="00F85178">
        <w:t>ale v přehledu za</w:t>
      </w:r>
      <w:r w:rsidR="00AA7BB3" w:rsidRPr="00F85178">
        <w:t xml:space="preserve"> rok</w:t>
      </w:r>
      <w:r w:rsidR="00A22AFD" w:rsidRPr="00F85178">
        <w:t xml:space="preserve"> 2018 výrazně vyděluje KS Ostrava s nárůstem nápadu o téměř čtvrtinu, který nebyl zvládnut</w:t>
      </w:r>
      <w:r w:rsidR="00733D54" w:rsidRPr="00F85178">
        <w:t>,</w:t>
      </w:r>
      <w:r w:rsidR="00A22AFD" w:rsidRPr="00F85178">
        <w:t xml:space="preserve"> a proto došlo k výraznému nárůstu nevyřízených věcí na více než dvojnásobek. To se následn</w:t>
      </w:r>
      <w:r w:rsidR="00733D54" w:rsidRPr="00F85178">
        <w:t>ě odráží v hodnotách ukazatelů míra vyřizování a d</w:t>
      </w:r>
      <w:r w:rsidR="00A22AFD" w:rsidRPr="00F85178">
        <w:t>isposition time.</w:t>
      </w:r>
    </w:p>
    <w:p w14:paraId="20F6BFE1" w14:textId="77777777" w:rsidR="007B040C" w:rsidRDefault="007B040C" w:rsidP="004F6913">
      <w:pPr>
        <w:pStyle w:val="OdstavecASR"/>
      </w:pPr>
    </w:p>
    <w:p w14:paraId="352BEEF5" w14:textId="77777777" w:rsidR="007B040C" w:rsidRDefault="007B040C" w:rsidP="004F6913">
      <w:pPr>
        <w:pStyle w:val="OdstavecASR"/>
      </w:pPr>
    </w:p>
    <w:p w14:paraId="717B0D22" w14:textId="77777777" w:rsidR="007B040C" w:rsidRDefault="007B040C" w:rsidP="004F6913">
      <w:pPr>
        <w:pStyle w:val="OdstavecASR"/>
      </w:pPr>
    </w:p>
    <w:p w14:paraId="18B3D348" w14:textId="77777777" w:rsidR="007B040C" w:rsidRPr="00F85178" w:rsidRDefault="007B040C" w:rsidP="004F6913">
      <w:pPr>
        <w:pStyle w:val="OdstavecASR"/>
      </w:pPr>
    </w:p>
    <w:p w14:paraId="45BD236F" w14:textId="77777777" w:rsidR="004F5ACB" w:rsidRPr="00F85178" w:rsidRDefault="004F5ACB" w:rsidP="004F5ACB">
      <w:pPr>
        <w:pStyle w:val="Podtitul"/>
        <w:rPr>
          <w:color w:val="auto"/>
        </w:rPr>
      </w:pPr>
      <w:bookmarkStart w:id="412" w:name="_Toc515871476"/>
      <w:bookmarkStart w:id="413" w:name="_Toc11133244"/>
      <w:bookmarkStart w:id="414" w:name="_Toc1383746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42</w:t>
      </w:r>
      <w:r w:rsidRPr="00F85178">
        <w:rPr>
          <w:noProof/>
          <w:color w:val="auto"/>
        </w:rPr>
        <w:fldChar w:fldCharType="end"/>
      </w:r>
      <w:r w:rsidRPr="00F85178">
        <w:rPr>
          <w:color w:val="auto"/>
        </w:rPr>
        <w:t>: KS – vyřizování odvolacích civilních věcí dle soudů</w:t>
      </w:r>
      <w:bookmarkEnd w:id="412"/>
      <w:bookmarkEnd w:id="413"/>
      <w:bookmarkEnd w:id="414"/>
    </w:p>
    <w:tbl>
      <w:tblPr>
        <w:tblW w:w="9260" w:type="dxa"/>
        <w:tblCellMar>
          <w:left w:w="70" w:type="dxa"/>
          <w:right w:w="70" w:type="dxa"/>
        </w:tblCellMar>
        <w:tblLook w:val="04A0" w:firstRow="1" w:lastRow="0" w:firstColumn="1" w:lastColumn="0" w:noHBand="0" w:noVBand="1"/>
      </w:tblPr>
      <w:tblGrid>
        <w:gridCol w:w="2020"/>
        <w:gridCol w:w="1034"/>
        <w:gridCol w:w="895"/>
        <w:gridCol w:w="1033"/>
        <w:gridCol w:w="783"/>
        <w:gridCol w:w="911"/>
        <w:gridCol w:w="1044"/>
        <w:gridCol w:w="1540"/>
      </w:tblGrid>
      <w:tr w:rsidR="00F85178" w:rsidRPr="00F85178" w14:paraId="54AEEF0D" w14:textId="77777777" w:rsidTr="004F5AC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4052E99" w14:textId="6B88AA8C" w:rsidR="004F5ACB" w:rsidRPr="00F85178" w:rsidRDefault="00F2120F" w:rsidP="004F5ACB">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700" w:type="dxa"/>
            <w:gridSpan w:val="6"/>
            <w:tcBorders>
              <w:top w:val="double" w:sz="6" w:space="0" w:color="auto"/>
              <w:left w:val="nil"/>
              <w:bottom w:val="nil"/>
              <w:right w:val="single" w:sz="4" w:space="0" w:color="000000"/>
            </w:tcBorders>
            <w:shd w:val="clear" w:color="auto" w:fill="auto"/>
            <w:noWrap/>
            <w:vAlign w:val="center"/>
            <w:hideMark/>
          </w:tcPr>
          <w:p w14:paraId="55D94BD1" w14:textId="77777777"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0C3E7F86" w14:textId="77777777"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1BF79E30" w14:textId="77777777" w:rsidTr="004F5ACB">
        <w:trPr>
          <w:trHeight w:val="330"/>
        </w:trPr>
        <w:tc>
          <w:tcPr>
            <w:tcW w:w="2020" w:type="dxa"/>
            <w:vMerge/>
            <w:tcBorders>
              <w:top w:val="double" w:sz="6" w:space="0" w:color="auto"/>
              <w:left w:val="nil"/>
              <w:bottom w:val="double" w:sz="6" w:space="0" w:color="000000"/>
              <w:right w:val="nil"/>
            </w:tcBorders>
            <w:vAlign w:val="center"/>
            <w:hideMark/>
          </w:tcPr>
          <w:p w14:paraId="5615A87A" w14:textId="77777777" w:rsidR="004F5ACB" w:rsidRPr="00F85178" w:rsidRDefault="004F5ACB" w:rsidP="004F5ACB">
            <w:pPr>
              <w:spacing w:line="240" w:lineRule="auto"/>
              <w:jc w:val="left"/>
              <w:rPr>
                <w:rFonts w:eastAsia="Times New Roman"/>
                <w:b/>
                <w:bCs/>
                <w:szCs w:val="24"/>
                <w:lang w:eastAsia="cs-CZ"/>
              </w:rPr>
            </w:pPr>
          </w:p>
        </w:tc>
        <w:tc>
          <w:tcPr>
            <w:tcW w:w="1929" w:type="dxa"/>
            <w:gridSpan w:val="2"/>
            <w:tcBorders>
              <w:top w:val="nil"/>
              <w:left w:val="nil"/>
              <w:bottom w:val="double" w:sz="6" w:space="0" w:color="auto"/>
              <w:right w:val="nil"/>
            </w:tcBorders>
            <w:shd w:val="clear" w:color="auto" w:fill="auto"/>
            <w:noWrap/>
            <w:vAlign w:val="center"/>
            <w:hideMark/>
          </w:tcPr>
          <w:p w14:paraId="17ED3999" w14:textId="77777777"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1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02C75DEE" w14:textId="77777777"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955" w:type="dxa"/>
            <w:gridSpan w:val="2"/>
            <w:tcBorders>
              <w:top w:val="nil"/>
              <w:left w:val="nil"/>
              <w:bottom w:val="double" w:sz="6" w:space="0" w:color="auto"/>
              <w:right w:val="single" w:sz="4" w:space="0" w:color="000000"/>
            </w:tcBorders>
            <w:shd w:val="clear" w:color="auto" w:fill="auto"/>
            <w:noWrap/>
            <w:vAlign w:val="center"/>
            <w:hideMark/>
          </w:tcPr>
          <w:p w14:paraId="356B218B" w14:textId="77777777"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69F2A02C" w14:textId="77777777" w:rsidR="004F5ACB" w:rsidRPr="00F85178" w:rsidRDefault="004F5ACB" w:rsidP="004F5ACB">
            <w:pPr>
              <w:spacing w:line="240" w:lineRule="auto"/>
              <w:jc w:val="left"/>
              <w:rPr>
                <w:rFonts w:eastAsia="Times New Roman"/>
                <w:b/>
                <w:bCs/>
                <w:szCs w:val="24"/>
                <w:lang w:eastAsia="cs-CZ"/>
              </w:rPr>
            </w:pPr>
          </w:p>
        </w:tc>
      </w:tr>
      <w:tr w:rsidR="00F85178" w:rsidRPr="00F85178" w14:paraId="7573F40F" w14:textId="77777777" w:rsidTr="004F5AC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57C67FD"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MS Praha</w:t>
            </w:r>
          </w:p>
        </w:tc>
        <w:tc>
          <w:tcPr>
            <w:tcW w:w="1034" w:type="dxa"/>
            <w:tcBorders>
              <w:top w:val="single" w:sz="4" w:space="0" w:color="auto"/>
              <w:left w:val="nil"/>
              <w:bottom w:val="single" w:sz="4" w:space="0" w:color="auto"/>
              <w:right w:val="nil"/>
            </w:tcBorders>
            <w:shd w:val="clear" w:color="auto" w:fill="auto"/>
            <w:noWrap/>
            <w:vAlign w:val="bottom"/>
            <w:hideMark/>
          </w:tcPr>
          <w:p w14:paraId="10AE1281"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13 440</w:t>
            </w:r>
          </w:p>
        </w:tc>
        <w:tc>
          <w:tcPr>
            <w:tcW w:w="895" w:type="dxa"/>
            <w:tcBorders>
              <w:top w:val="single" w:sz="4" w:space="0" w:color="auto"/>
              <w:left w:val="nil"/>
              <w:bottom w:val="single" w:sz="4" w:space="0" w:color="auto"/>
              <w:right w:val="nil"/>
            </w:tcBorders>
            <w:shd w:val="clear" w:color="auto" w:fill="auto"/>
            <w:noWrap/>
            <w:vAlign w:val="center"/>
            <w:hideMark/>
          </w:tcPr>
          <w:p w14:paraId="01089E2F" w14:textId="22E40055"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033" w:type="dxa"/>
            <w:tcBorders>
              <w:top w:val="single" w:sz="4" w:space="0" w:color="auto"/>
              <w:left w:val="single" w:sz="4" w:space="0" w:color="auto"/>
              <w:bottom w:val="single" w:sz="4" w:space="0" w:color="auto"/>
              <w:right w:val="nil"/>
            </w:tcBorders>
            <w:shd w:val="clear" w:color="auto" w:fill="auto"/>
            <w:noWrap/>
            <w:vAlign w:val="bottom"/>
            <w:hideMark/>
          </w:tcPr>
          <w:p w14:paraId="42A910D8"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13 912</w:t>
            </w:r>
          </w:p>
        </w:tc>
        <w:tc>
          <w:tcPr>
            <w:tcW w:w="783" w:type="dxa"/>
            <w:tcBorders>
              <w:top w:val="single" w:sz="4" w:space="0" w:color="auto"/>
              <w:left w:val="nil"/>
              <w:bottom w:val="single" w:sz="4" w:space="0" w:color="auto"/>
              <w:right w:val="single" w:sz="4" w:space="0" w:color="auto"/>
            </w:tcBorders>
            <w:shd w:val="clear" w:color="auto" w:fill="auto"/>
            <w:noWrap/>
            <w:vAlign w:val="center"/>
            <w:hideMark/>
          </w:tcPr>
          <w:p w14:paraId="6AF808E8" w14:textId="1FED76A7"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11" w:type="dxa"/>
            <w:tcBorders>
              <w:top w:val="single" w:sz="4" w:space="0" w:color="auto"/>
              <w:left w:val="nil"/>
              <w:bottom w:val="single" w:sz="4" w:space="0" w:color="auto"/>
              <w:right w:val="nil"/>
            </w:tcBorders>
            <w:shd w:val="clear" w:color="auto" w:fill="auto"/>
            <w:noWrap/>
            <w:vAlign w:val="bottom"/>
            <w:hideMark/>
          </w:tcPr>
          <w:p w14:paraId="487A9ACD"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1 502</w:t>
            </w:r>
          </w:p>
        </w:tc>
        <w:tc>
          <w:tcPr>
            <w:tcW w:w="1044" w:type="dxa"/>
            <w:tcBorders>
              <w:top w:val="single" w:sz="4" w:space="0" w:color="auto"/>
              <w:left w:val="nil"/>
              <w:bottom w:val="single" w:sz="4" w:space="0" w:color="auto"/>
              <w:right w:val="single" w:sz="4" w:space="0" w:color="auto"/>
            </w:tcBorders>
            <w:shd w:val="clear" w:color="auto" w:fill="auto"/>
            <w:noWrap/>
            <w:vAlign w:val="center"/>
            <w:hideMark/>
          </w:tcPr>
          <w:p w14:paraId="22918151" w14:textId="73ED99DD"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-24 %</w:t>
            </w:r>
          </w:p>
        </w:tc>
        <w:tc>
          <w:tcPr>
            <w:tcW w:w="1540" w:type="dxa"/>
            <w:tcBorders>
              <w:top w:val="nil"/>
              <w:left w:val="nil"/>
              <w:bottom w:val="single" w:sz="4" w:space="0" w:color="auto"/>
              <w:right w:val="nil"/>
            </w:tcBorders>
            <w:shd w:val="clear" w:color="auto" w:fill="auto"/>
            <w:noWrap/>
            <w:vAlign w:val="center"/>
            <w:hideMark/>
          </w:tcPr>
          <w:p w14:paraId="431AC7E8"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103</w:t>
            </w:r>
            <w:r w:rsidR="00AA7BB3" w:rsidRPr="00F85178">
              <w:rPr>
                <w:rFonts w:eastAsia="Times New Roman"/>
                <w:szCs w:val="24"/>
                <w:lang w:eastAsia="cs-CZ"/>
              </w:rPr>
              <w:t>,</w:t>
            </w:r>
            <w:r w:rsidRPr="00F85178">
              <w:rPr>
                <w:rFonts w:eastAsia="Times New Roman"/>
                <w:szCs w:val="24"/>
                <w:lang w:eastAsia="cs-CZ"/>
              </w:rPr>
              <w:t>5 %</w:t>
            </w:r>
          </w:p>
        </w:tc>
      </w:tr>
      <w:tr w:rsidR="00F85178" w:rsidRPr="00F85178" w14:paraId="0B25EE61"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7C66C90C"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Praha</w:t>
            </w:r>
          </w:p>
        </w:tc>
        <w:tc>
          <w:tcPr>
            <w:tcW w:w="1034" w:type="dxa"/>
            <w:tcBorders>
              <w:top w:val="nil"/>
              <w:left w:val="nil"/>
              <w:bottom w:val="single" w:sz="4" w:space="0" w:color="auto"/>
              <w:right w:val="nil"/>
            </w:tcBorders>
            <w:shd w:val="clear" w:color="auto" w:fill="auto"/>
            <w:noWrap/>
            <w:vAlign w:val="bottom"/>
            <w:hideMark/>
          </w:tcPr>
          <w:p w14:paraId="0E3BDD41" w14:textId="4EA9DDCF"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6</w:t>
            </w:r>
            <w:r w:rsidR="00BD177B">
              <w:rPr>
                <w:rFonts w:eastAsia="Times New Roman"/>
                <w:szCs w:val="24"/>
                <w:lang w:eastAsia="cs-CZ"/>
              </w:rPr>
              <w:t xml:space="preserve"> </w:t>
            </w:r>
            <w:r w:rsidRPr="00F85178">
              <w:rPr>
                <w:rFonts w:eastAsia="Times New Roman"/>
                <w:szCs w:val="24"/>
                <w:lang w:eastAsia="cs-CZ"/>
              </w:rPr>
              <w:t>356</w:t>
            </w:r>
          </w:p>
        </w:tc>
        <w:tc>
          <w:tcPr>
            <w:tcW w:w="895" w:type="dxa"/>
            <w:tcBorders>
              <w:top w:val="nil"/>
              <w:left w:val="nil"/>
              <w:bottom w:val="single" w:sz="4" w:space="0" w:color="auto"/>
              <w:right w:val="nil"/>
            </w:tcBorders>
            <w:shd w:val="clear" w:color="auto" w:fill="auto"/>
            <w:noWrap/>
            <w:vAlign w:val="center"/>
            <w:hideMark/>
          </w:tcPr>
          <w:p w14:paraId="29A3BEE3" w14:textId="7D34B223"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033" w:type="dxa"/>
            <w:tcBorders>
              <w:top w:val="nil"/>
              <w:left w:val="single" w:sz="4" w:space="0" w:color="auto"/>
              <w:bottom w:val="single" w:sz="4" w:space="0" w:color="auto"/>
              <w:right w:val="nil"/>
            </w:tcBorders>
            <w:shd w:val="clear" w:color="auto" w:fill="auto"/>
            <w:noWrap/>
            <w:vAlign w:val="bottom"/>
            <w:hideMark/>
          </w:tcPr>
          <w:p w14:paraId="09DECDC1" w14:textId="1AADA478"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6</w:t>
            </w:r>
            <w:r w:rsidR="00BD177B">
              <w:rPr>
                <w:rFonts w:eastAsia="Times New Roman"/>
                <w:szCs w:val="24"/>
                <w:lang w:eastAsia="cs-CZ"/>
              </w:rPr>
              <w:t xml:space="preserve"> </w:t>
            </w:r>
            <w:r w:rsidRPr="00F85178">
              <w:rPr>
                <w:rFonts w:eastAsia="Times New Roman"/>
                <w:szCs w:val="24"/>
                <w:lang w:eastAsia="cs-CZ"/>
              </w:rPr>
              <w:t>375</w:t>
            </w:r>
          </w:p>
        </w:tc>
        <w:tc>
          <w:tcPr>
            <w:tcW w:w="783" w:type="dxa"/>
            <w:tcBorders>
              <w:top w:val="nil"/>
              <w:left w:val="nil"/>
              <w:bottom w:val="single" w:sz="4" w:space="0" w:color="auto"/>
              <w:right w:val="single" w:sz="4" w:space="0" w:color="auto"/>
            </w:tcBorders>
            <w:shd w:val="clear" w:color="auto" w:fill="auto"/>
            <w:noWrap/>
            <w:vAlign w:val="center"/>
            <w:hideMark/>
          </w:tcPr>
          <w:p w14:paraId="43881CEF" w14:textId="69A2D67C"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911" w:type="dxa"/>
            <w:tcBorders>
              <w:top w:val="nil"/>
              <w:left w:val="nil"/>
              <w:bottom w:val="single" w:sz="4" w:space="0" w:color="auto"/>
              <w:right w:val="nil"/>
            </w:tcBorders>
            <w:shd w:val="clear" w:color="auto" w:fill="auto"/>
            <w:noWrap/>
            <w:vAlign w:val="bottom"/>
            <w:hideMark/>
          </w:tcPr>
          <w:p w14:paraId="57CAE306"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595</w:t>
            </w:r>
          </w:p>
        </w:tc>
        <w:tc>
          <w:tcPr>
            <w:tcW w:w="1044" w:type="dxa"/>
            <w:tcBorders>
              <w:top w:val="nil"/>
              <w:left w:val="nil"/>
              <w:bottom w:val="single" w:sz="4" w:space="0" w:color="auto"/>
              <w:right w:val="single" w:sz="4" w:space="0" w:color="auto"/>
            </w:tcBorders>
            <w:shd w:val="clear" w:color="auto" w:fill="auto"/>
            <w:noWrap/>
            <w:vAlign w:val="center"/>
            <w:hideMark/>
          </w:tcPr>
          <w:p w14:paraId="1D745418" w14:textId="270B30EF"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12CADA50"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100</w:t>
            </w:r>
            <w:r w:rsidR="00AA7BB3" w:rsidRPr="00F85178">
              <w:rPr>
                <w:rFonts w:eastAsia="Times New Roman"/>
                <w:szCs w:val="24"/>
                <w:lang w:eastAsia="cs-CZ"/>
              </w:rPr>
              <w:t>,</w:t>
            </w:r>
            <w:r w:rsidRPr="00F85178">
              <w:rPr>
                <w:rFonts w:eastAsia="Times New Roman"/>
                <w:szCs w:val="24"/>
                <w:lang w:eastAsia="cs-CZ"/>
              </w:rPr>
              <w:t>3 %</w:t>
            </w:r>
          </w:p>
        </w:tc>
      </w:tr>
      <w:tr w:rsidR="00F85178" w:rsidRPr="00F85178" w14:paraId="1D36152D"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4936C55F"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Č. Budějovice</w:t>
            </w:r>
          </w:p>
        </w:tc>
        <w:tc>
          <w:tcPr>
            <w:tcW w:w="1034" w:type="dxa"/>
            <w:tcBorders>
              <w:top w:val="nil"/>
              <w:left w:val="nil"/>
              <w:bottom w:val="single" w:sz="4" w:space="0" w:color="auto"/>
              <w:right w:val="nil"/>
            </w:tcBorders>
            <w:shd w:val="clear" w:color="auto" w:fill="auto"/>
            <w:noWrap/>
            <w:vAlign w:val="bottom"/>
            <w:hideMark/>
          </w:tcPr>
          <w:p w14:paraId="553EA7F3" w14:textId="64363E09"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2</w:t>
            </w:r>
            <w:r w:rsidR="00BD177B">
              <w:rPr>
                <w:rFonts w:eastAsia="Times New Roman"/>
                <w:szCs w:val="24"/>
                <w:lang w:eastAsia="cs-CZ"/>
              </w:rPr>
              <w:t xml:space="preserve"> </w:t>
            </w:r>
            <w:r w:rsidRPr="00F85178">
              <w:rPr>
                <w:rFonts w:eastAsia="Times New Roman"/>
                <w:szCs w:val="24"/>
                <w:lang w:eastAsia="cs-CZ"/>
              </w:rPr>
              <w:t>234</w:t>
            </w:r>
          </w:p>
        </w:tc>
        <w:tc>
          <w:tcPr>
            <w:tcW w:w="895" w:type="dxa"/>
            <w:tcBorders>
              <w:top w:val="nil"/>
              <w:left w:val="nil"/>
              <w:bottom w:val="single" w:sz="4" w:space="0" w:color="auto"/>
              <w:right w:val="nil"/>
            </w:tcBorders>
            <w:shd w:val="clear" w:color="auto" w:fill="auto"/>
            <w:noWrap/>
            <w:vAlign w:val="center"/>
            <w:hideMark/>
          </w:tcPr>
          <w:p w14:paraId="5FBDF855" w14:textId="73610B26"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033" w:type="dxa"/>
            <w:tcBorders>
              <w:top w:val="nil"/>
              <w:left w:val="single" w:sz="4" w:space="0" w:color="auto"/>
              <w:bottom w:val="single" w:sz="4" w:space="0" w:color="auto"/>
              <w:right w:val="nil"/>
            </w:tcBorders>
            <w:shd w:val="clear" w:color="auto" w:fill="auto"/>
            <w:noWrap/>
            <w:vAlign w:val="bottom"/>
            <w:hideMark/>
          </w:tcPr>
          <w:p w14:paraId="15ECB3AB" w14:textId="21429195"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2</w:t>
            </w:r>
            <w:r w:rsidR="00BD177B">
              <w:rPr>
                <w:rFonts w:eastAsia="Times New Roman"/>
                <w:szCs w:val="24"/>
                <w:lang w:eastAsia="cs-CZ"/>
              </w:rPr>
              <w:t xml:space="preserve"> </w:t>
            </w:r>
            <w:r w:rsidRPr="00F85178">
              <w:rPr>
                <w:rFonts w:eastAsia="Times New Roman"/>
                <w:szCs w:val="24"/>
                <w:lang w:eastAsia="cs-CZ"/>
              </w:rPr>
              <w:t>244</w:t>
            </w:r>
          </w:p>
        </w:tc>
        <w:tc>
          <w:tcPr>
            <w:tcW w:w="783" w:type="dxa"/>
            <w:tcBorders>
              <w:top w:val="nil"/>
              <w:left w:val="nil"/>
              <w:bottom w:val="single" w:sz="4" w:space="0" w:color="auto"/>
              <w:right w:val="single" w:sz="4" w:space="0" w:color="auto"/>
            </w:tcBorders>
            <w:shd w:val="clear" w:color="auto" w:fill="auto"/>
            <w:noWrap/>
            <w:vAlign w:val="center"/>
            <w:hideMark/>
          </w:tcPr>
          <w:p w14:paraId="34B551FB" w14:textId="6CF5B833"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911" w:type="dxa"/>
            <w:tcBorders>
              <w:top w:val="nil"/>
              <w:left w:val="nil"/>
              <w:bottom w:val="single" w:sz="4" w:space="0" w:color="auto"/>
              <w:right w:val="nil"/>
            </w:tcBorders>
            <w:shd w:val="clear" w:color="auto" w:fill="auto"/>
            <w:noWrap/>
            <w:vAlign w:val="bottom"/>
            <w:hideMark/>
          </w:tcPr>
          <w:p w14:paraId="2B16E021"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249</w:t>
            </w:r>
          </w:p>
        </w:tc>
        <w:tc>
          <w:tcPr>
            <w:tcW w:w="1044" w:type="dxa"/>
            <w:tcBorders>
              <w:top w:val="nil"/>
              <w:left w:val="nil"/>
              <w:bottom w:val="single" w:sz="4" w:space="0" w:color="auto"/>
              <w:right w:val="single" w:sz="4" w:space="0" w:color="auto"/>
            </w:tcBorders>
            <w:shd w:val="clear" w:color="auto" w:fill="auto"/>
            <w:noWrap/>
            <w:vAlign w:val="center"/>
            <w:hideMark/>
          </w:tcPr>
          <w:p w14:paraId="27A11294" w14:textId="29A85F0F"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69528145"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100</w:t>
            </w:r>
            <w:r w:rsidR="00AA7BB3" w:rsidRPr="00F85178">
              <w:rPr>
                <w:rFonts w:eastAsia="Times New Roman"/>
                <w:szCs w:val="24"/>
                <w:lang w:eastAsia="cs-CZ"/>
              </w:rPr>
              <w:t>,</w:t>
            </w:r>
            <w:r w:rsidRPr="00F85178">
              <w:rPr>
                <w:rFonts w:eastAsia="Times New Roman"/>
                <w:szCs w:val="24"/>
                <w:lang w:eastAsia="cs-CZ"/>
              </w:rPr>
              <w:t>4 %</w:t>
            </w:r>
          </w:p>
        </w:tc>
      </w:tr>
      <w:tr w:rsidR="00F85178" w:rsidRPr="00F85178" w14:paraId="4F055912"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3ED72269"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Plzeň</w:t>
            </w:r>
          </w:p>
        </w:tc>
        <w:tc>
          <w:tcPr>
            <w:tcW w:w="1034" w:type="dxa"/>
            <w:tcBorders>
              <w:top w:val="nil"/>
              <w:left w:val="nil"/>
              <w:bottom w:val="single" w:sz="4" w:space="0" w:color="auto"/>
              <w:right w:val="nil"/>
            </w:tcBorders>
            <w:shd w:val="clear" w:color="auto" w:fill="auto"/>
            <w:noWrap/>
            <w:vAlign w:val="bottom"/>
            <w:hideMark/>
          </w:tcPr>
          <w:p w14:paraId="5E4FDF6C" w14:textId="50EFA5D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3</w:t>
            </w:r>
            <w:r w:rsidR="00BD177B">
              <w:rPr>
                <w:rFonts w:eastAsia="Times New Roman"/>
                <w:szCs w:val="24"/>
                <w:lang w:eastAsia="cs-CZ"/>
              </w:rPr>
              <w:t xml:space="preserve"> </w:t>
            </w:r>
            <w:r w:rsidRPr="00F85178">
              <w:rPr>
                <w:rFonts w:eastAsia="Times New Roman"/>
                <w:szCs w:val="24"/>
                <w:lang w:eastAsia="cs-CZ"/>
              </w:rPr>
              <w:t>722</w:t>
            </w:r>
          </w:p>
        </w:tc>
        <w:tc>
          <w:tcPr>
            <w:tcW w:w="895" w:type="dxa"/>
            <w:tcBorders>
              <w:top w:val="nil"/>
              <w:left w:val="nil"/>
              <w:bottom w:val="single" w:sz="4" w:space="0" w:color="auto"/>
              <w:right w:val="nil"/>
            </w:tcBorders>
            <w:shd w:val="clear" w:color="auto" w:fill="auto"/>
            <w:noWrap/>
            <w:vAlign w:val="center"/>
            <w:hideMark/>
          </w:tcPr>
          <w:p w14:paraId="393B24CD" w14:textId="3B5396E5"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1033" w:type="dxa"/>
            <w:tcBorders>
              <w:top w:val="nil"/>
              <w:left w:val="single" w:sz="4" w:space="0" w:color="auto"/>
              <w:bottom w:val="single" w:sz="4" w:space="0" w:color="auto"/>
              <w:right w:val="nil"/>
            </w:tcBorders>
            <w:shd w:val="clear" w:color="auto" w:fill="auto"/>
            <w:noWrap/>
            <w:vAlign w:val="bottom"/>
            <w:hideMark/>
          </w:tcPr>
          <w:p w14:paraId="2CFF9BE6" w14:textId="5DE46A91"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3</w:t>
            </w:r>
            <w:r w:rsidR="00BD177B">
              <w:rPr>
                <w:rFonts w:eastAsia="Times New Roman"/>
                <w:szCs w:val="24"/>
                <w:lang w:eastAsia="cs-CZ"/>
              </w:rPr>
              <w:t xml:space="preserve"> </w:t>
            </w:r>
            <w:r w:rsidRPr="00F85178">
              <w:rPr>
                <w:rFonts w:eastAsia="Times New Roman"/>
                <w:szCs w:val="24"/>
                <w:lang w:eastAsia="cs-CZ"/>
              </w:rPr>
              <w:t>735</w:t>
            </w:r>
          </w:p>
        </w:tc>
        <w:tc>
          <w:tcPr>
            <w:tcW w:w="783" w:type="dxa"/>
            <w:tcBorders>
              <w:top w:val="nil"/>
              <w:left w:val="nil"/>
              <w:bottom w:val="single" w:sz="4" w:space="0" w:color="auto"/>
              <w:right w:val="single" w:sz="4" w:space="0" w:color="auto"/>
            </w:tcBorders>
            <w:shd w:val="clear" w:color="auto" w:fill="auto"/>
            <w:noWrap/>
            <w:vAlign w:val="center"/>
            <w:hideMark/>
          </w:tcPr>
          <w:p w14:paraId="650C8EB5" w14:textId="10D09DDF"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-24 %</w:t>
            </w:r>
          </w:p>
        </w:tc>
        <w:tc>
          <w:tcPr>
            <w:tcW w:w="911" w:type="dxa"/>
            <w:tcBorders>
              <w:top w:val="nil"/>
              <w:left w:val="nil"/>
              <w:bottom w:val="single" w:sz="4" w:space="0" w:color="auto"/>
              <w:right w:val="nil"/>
            </w:tcBorders>
            <w:shd w:val="clear" w:color="auto" w:fill="auto"/>
            <w:noWrap/>
            <w:vAlign w:val="bottom"/>
            <w:hideMark/>
          </w:tcPr>
          <w:p w14:paraId="2DCBB2E3"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376</w:t>
            </w:r>
          </w:p>
        </w:tc>
        <w:tc>
          <w:tcPr>
            <w:tcW w:w="1044" w:type="dxa"/>
            <w:tcBorders>
              <w:top w:val="nil"/>
              <w:left w:val="nil"/>
              <w:bottom w:val="single" w:sz="4" w:space="0" w:color="auto"/>
              <w:right w:val="single" w:sz="4" w:space="0" w:color="auto"/>
            </w:tcBorders>
            <w:shd w:val="clear" w:color="auto" w:fill="auto"/>
            <w:noWrap/>
            <w:vAlign w:val="center"/>
            <w:hideMark/>
          </w:tcPr>
          <w:p w14:paraId="7A9A6EFA" w14:textId="2E451CD9"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1540" w:type="dxa"/>
            <w:tcBorders>
              <w:top w:val="nil"/>
              <w:left w:val="nil"/>
              <w:bottom w:val="single" w:sz="4" w:space="0" w:color="auto"/>
              <w:right w:val="nil"/>
            </w:tcBorders>
            <w:shd w:val="clear" w:color="auto" w:fill="auto"/>
            <w:noWrap/>
            <w:vAlign w:val="center"/>
            <w:hideMark/>
          </w:tcPr>
          <w:p w14:paraId="11A055B9"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100</w:t>
            </w:r>
            <w:r w:rsidR="00AA7BB3" w:rsidRPr="00F85178">
              <w:rPr>
                <w:rFonts w:eastAsia="Times New Roman"/>
                <w:szCs w:val="24"/>
                <w:lang w:eastAsia="cs-CZ"/>
              </w:rPr>
              <w:t>,</w:t>
            </w:r>
            <w:r w:rsidRPr="00F85178">
              <w:rPr>
                <w:rFonts w:eastAsia="Times New Roman"/>
                <w:szCs w:val="24"/>
                <w:lang w:eastAsia="cs-CZ"/>
              </w:rPr>
              <w:t>3 %</w:t>
            </w:r>
          </w:p>
        </w:tc>
      </w:tr>
      <w:tr w:rsidR="00F85178" w:rsidRPr="00F85178" w14:paraId="451B9363"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1B36F097"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Ústí n. Labem</w:t>
            </w:r>
          </w:p>
        </w:tc>
        <w:tc>
          <w:tcPr>
            <w:tcW w:w="1034" w:type="dxa"/>
            <w:tcBorders>
              <w:top w:val="nil"/>
              <w:left w:val="nil"/>
              <w:bottom w:val="single" w:sz="4" w:space="0" w:color="auto"/>
              <w:right w:val="nil"/>
            </w:tcBorders>
            <w:shd w:val="clear" w:color="auto" w:fill="auto"/>
            <w:noWrap/>
            <w:vAlign w:val="bottom"/>
            <w:hideMark/>
          </w:tcPr>
          <w:p w14:paraId="25B89DA9" w14:textId="09B9E240"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5</w:t>
            </w:r>
            <w:r w:rsidR="00BD177B">
              <w:rPr>
                <w:rFonts w:eastAsia="Times New Roman"/>
                <w:szCs w:val="24"/>
                <w:lang w:eastAsia="cs-CZ"/>
              </w:rPr>
              <w:t xml:space="preserve"> </w:t>
            </w:r>
            <w:r w:rsidRPr="00F85178">
              <w:rPr>
                <w:rFonts w:eastAsia="Times New Roman"/>
                <w:szCs w:val="24"/>
                <w:lang w:eastAsia="cs-CZ"/>
              </w:rPr>
              <w:t>163</w:t>
            </w:r>
          </w:p>
        </w:tc>
        <w:tc>
          <w:tcPr>
            <w:tcW w:w="895" w:type="dxa"/>
            <w:tcBorders>
              <w:top w:val="nil"/>
              <w:left w:val="nil"/>
              <w:bottom w:val="single" w:sz="4" w:space="0" w:color="auto"/>
              <w:right w:val="nil"/>
            </w:tcBorders>
            <w:shd w:val="clear" w:color="auto" w:fill="auto"/>
            <w:noWrap/>
            <w:vAlign w:val="center"/>
            <w:hideMark/>
          </w:tcPr>
          <w:p w14:paraId="368516D7" w14:textId="2C708A73"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-18 %</w:t>
            </w:r>
          </w:p>
        </w:tc>
        <w:tc>
          <w:tcPr>
            <w:tcW w:w="1033" w:type="dxa"/>
            <w:tcBorders>
              <w:top w:val="nil"/>
              <w:left w:val="single" w:sz="4" w:space="0" w:color="auto"/>
              <w:bottom w:val="single" w:sz="4" w:space="0" w:color="auto"/>
              <w:right w:val="nil"/>
            </w:tcBorders>
            <w:shd w:val="clear" w:color="auto" w:fill="auto"/>
            <w:noWrap/>
            <w:vAlign w:val="bottom"/>
            <w:hideMark/>
          </w:tcPr>
          <w:p w14:paraId="2ACA03A8" w14:textId="70A8B6D0"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5</w:t>
            </w:r>
            <w:r w:rsidR="00BD177B">
              <w:rPr>
                <w:rFonts w:eastAsia="Times New Roman"/>
                <w:szCs w:val="24"/>
                <w:lang w:eastAsia="cs-CZ"/>
              </w:rPr>
              <w:t xml:space="preserve"> </w:t>
            </w:r>
            <w:r w:rsidRPr="00F85178">
              <w:rPr>
                <w:rFonts w:eastAsia="Times New Roman"/>
                <w:szCs w:val="24"/>
                <w:lang w:eastAsia="cs-CZ"/>
              </w:rPr>
              <w:t>713</w:t>
            </w:r>
          </w:p>
        </w:tc>
        <w:tc>
          <w:tcPr>
            <w:tcW w:w="783" w:type="dxa"/>
            <w:tcBorders>
              <w:top w:val="nil"/>
              <w:left w:val="nil"/>
              <w:bottom w:val="single" w:sz="4" w:space="0" w:color="auto"/>
              <w:right w:val="single" w:sz="4" w:space="0" w:color="auto"/>
            </w:tcBorders>
            <w:shd w:val="clear" w:color="auto" w:fill="auto"/>
            <w:noWrap/>
            <w:vAlign w:val="center"/>
            <w:hideMark/>
          </w:tcPr>
          <w:p w14:paraId="22FB1DCC" w14:textId="747C1A8B"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-19 %</w:t>
            </w:r>
          </w:p>
        </w:tc>
        <w:tc>
          <w:tcPr>
            <w:tcW w:w="911" w:type="dxa"/>
            <w:tcBorders>
              <w:top w:val="nil"/>
              <w:left w:val="nil"/>
              <w:bottom w:val="single" w:sz="4" w:space="0" w:color="auto"/>
              <w:right w:val="nil"/>
            </w:tcBorders>
            <w:shd w:val="clear" w:color="auto" w:fill="auto"/>
            <w:noWrap/>
            <w:vAlign w:val="bottom"/>
            <w:hideMark/>
          </w:tcPr>
          <w:p w14:paraId="16B2E5D1" w14:textId="23DAEB5F"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w:t>
            </w:r>
            <w:r w:rsidR="00BD177B">
              <w:rPr>
                <w:rFonts w:eastAsia="Times New Roman"/>
                <w:szCs w:val="24"/>
                <w:lang w:eastAsia="cs-CZ"/>
              </w:rPr>
              <w:t xml:space="preserve"> </w:t>
            </w:r>
            <w:r w:rsidRPr="00F85178">
              <w:rPr>
                <w:rFonts w:eastAsia="Times New Roman"/>
                <w:szCs w:val="24"/>
                <w:lang w:eastAsia="cs-CZ"/>
              </w:rPr>
              <w:t>142</w:t>
            </w:r>
          </w:p>
        </w:tc>
        <w:tc>
          <w:tcPr>
            <w:tcW w:w="1044" w:type="dxa"/>
            <w:tcBorders>
              <w:top w:val="nil"/>
              <w:left w:val="nil"/>
              <w:bottom w:val="single" w:sz="4" w:space="0" w:color="auto"/>
              <w:right w:val="single" w:sz="4" w:space="0" w:color="auto"/>
            </w:tcBorders>
            <w:shd w:val="clear" w:color="auto" w:fill="auto"/>
            <w:noWrap/>
            <w:vAlign w:val="center"/>
            <w:hideMark/>
          </w:tcPr>
          <w:p w14:paraId="68273A12" w14:textId="58132C3F"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-33 %</w:t>
            </w:r>
          </w:p>
        </w:tc>
        <w:tc>
          <w:tcPr>
            <w:tcW w:w="1540" w:type="dxa"/>
            <w:tcBorders>
              <w:top w:val="nil"/>
              <w:left w:val="nil"/>
              <w:bottom w:val="single" w:sz="4" w:space="0" w:color="auto"/>
              <w:right w:val="nil"/>
            </w:tcBorders>
            <w:shd w:val="clear" w:color="auto" w:fill="auto"/>
            <w:noWrap/>
            <w:vAlign w:val="center"/>
            <w:hideMark/>
          </w:tcPr>
          <w:p w14:paraId="43EBB8C1"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110</w:t>
            </w:r>
            <w:r w:rsidR="00AA7BB3" w:rsidRPr="00F85178">
              <w:rPr>
                <w:rFonts w:eastAsia="Times New Roman"/>
                <w:szCs w:val="24"/>
                <w:lang w:eastAsia="cs-CZ"/>
              </w:rPr>
              <w:t>,</w:t>
            </w:r>
            <w:r w:rsidRPr="00F85178">
              <w:rPr>
                <w:rFonts w:eastAsia="Times New Roman"/>
                <w:szCs w:val="24"/>
                <w:lang w:eastAsia="cs-CZ"/>
              </w:rPr>
              <w:t>7 %</w:t>
            </w:r>
          </w:p>
        </w:tc>
      </w:tr>
      <w:tr w:rsidR="00F85178" w:rsidRPr="00F85178" w14:paraId="26CFB5C9"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4DF21D8C"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Hr. Králové</w:t>
            </w:r>
          </w:p>
        </w:tc>
        <w:tc>
          <w:tcPr>
            <w:tcW w:w="1034" w:type="dxa"/>
            <w:tcBorders>
              <w:top w:val="nil"/>
              <w:left w:val="nil"/>
              <w:bottom w:val="single" w:sz="4" w:space="0" w:color="auto"/>
              <w:right w:val="nil"/>
            </w:tcBorders>
            <w:shd w:val="clear" w:color="auto" w:fill="auto"/>
            <w:noWrap/>
            <w:vAlign w:val="bottom"/>
            <w:hideMark/>
          </w:tcPr>
          <w:p w14:paraId="5C6462DE" w14:textId="10164ED3"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4</w:t>
            </w:r>
            <w:r w:rsidR="00BD177B">
              <w:rPr>
                <w:rFonts w:eastAsia="Times New Roman"/>
                <w:szCs w:val="24"/>
                <w:lang w:eastAsia="cs-CZ"/>
              </w:rPr>
              <w:t xml:space="preserve"> </w:t>
            </w:r>
            <w:r w:rsidRPr="00F85178">
              <w:rPr>
                <w:rFonts w:eastAsia="Times New Roman"/>
                <w:szCs w:val="24"/>
                <w:lang w:eastAsia="cs-CZ"/>
              </w:rPr>
              <w:t>352</w:t>
            </w:r>
          </w:p>
        </w:tc>
        <w:tc>
          <w:tcPr>
            <w:tcW w:w="895" w:type="dxa"/>
            <w:tcBorders>
              <w:top w:val="nil"/>
              <w:left w:val="nil"/>
              <w:bottom w:val="single" w:sz="4" w:space="0" w:color="auto"/>
              <w:right w:val="nil"/>
            </w:tcBorders>
            <w:shd w:val="clear" w:color="auto" w:fill="auto"/>
            <w:noWrap/>
            <w:vAlign w:val="center"/>
            <w:hideMark/>
          </w:tcPr>
          <w:p w14:paraId="1231C4C7" w14:textId="72956080"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33" w:type="dxa"/>
            <w:tcBorders>
              <w:top w:val="nil"/>
              <w:left w:val="single" w:sz="4" w:space="0" w:color="auto"/>
              <w:bottom w:val="single" w:sz="4" w:space="0" w:color="auto"/>
              <w:right w:val="nil"/>
            </w:tcBorders>
            <w:shd w:val="clear" w:color="auto" w:fill="auto"/>
            <w:noWrap/>
            <w:vAlign w:val="bottom"/>
            <w:hideMark/>
          </w:tcPr>
          <w:p w14:paraId="1A56CFE0" w14:textId="29ABA05A"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4</w:t>
            </w:r>
            <w:r w:rsidR="00BD177B">
              <w:rPr>
                <w:rFonts w:eastAsia="Times New Roman"/>
                <w:szCs w:val="24"/>
                <w:lang w:eastAsia="cs-CZ"/>
              </w:rPr>
              <w:t xml:space="preserve"> </w:t>
            </w:r>
            <w:r w:rsidRPr="00F85178">
              <w:rPr>
                <w:rFonts w:eastAsia="Times New Roman"/>
                <w:szCs w:val="24"/>
                <w:lang w:eastAsia="cs-CZ"/>
              </w:rPr>
              <w:t>412</w:t>
            </w:r>
          </w:p>
        </w:tc>
        <w:tc>
          <w:tcPr>
            <w:tcW w:w="783" w:type="dxa"/>
            <w:tcBorders>
              <w:top w:val="nil"/>
              <w:left w:val="nil"/>
              <w:bottom w:val="single" w:sz="4" w:space="0" w:color="auto"/>
              <w:right w:val="single" w:sz="4" w:space="0" w:color="auto"/>
            </w:tcBorders>
            <w:shd w:val="clear" w:color="auto" w:fill="auto"/>
            <w:noWrap/>
            <w:vAlign w:val="center"/>
            <w:hideMark/>
          </w:tcPr>
          <w:p w14:paraId="0F718617" w14:textId="67A3F2C1"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11" w:type="dxa"/>
            <w:tcBorders>
              <w:top w:val="nil"/>
              <w:left w:val="nil"/>
              <w:bottom w:val="single" w:sz="4" w:space="0" w:color="auto"/>
              <w:right w:val="nil"/>
            </w:tcBorders>
            <w:shd w:val="clear" w:color="auto" w:fill="auto"/>
            <w:noWrap/>
            <w:vAlign w:val="bottom"/>
            <w:hideMark/>
          </w:tcPr>
          <w:p w14:paraId="1131DF4C"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441</w:t>
            </w:r>
          </w:p>
        </w:tc>
        <w:tc>
          <w:tcPr>
            <w:tcW w:w="1044" w:type="dxa"/>
            <w:tcBorders>
              <w:top w:val="nil"/>
              <w:left w:val="nil"/>
              <w:bottom w:val="single" w:sz="4" w:space="0" w:color="auto"/>
              <w:right w:val="single" w:sz="4" w:space="0" w:color="auto"/>
            </w:tcBorders>
            <w:shd w:val="clear" w:color="auto" w:fill="auto"/>
            <w:noWrap/>
            <w:vAlign w:val="center"/>
            <w:hideMark/>
          </w:tcPr>
          <w:p w14:paraId="41503044" w14:textId="17A4B174"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540" w:type="dxa"/>
            <w:tcBorders>
              <w:top w:val="nil"/>
              <w:left w:val="nil"/>
              <w:bottom w:val="single" w:sz="4" w:space="0" w:color="auto"/>
              <w:right w:val="nil"/>
            </w:tcBorders>
            <w:shd w:val="clear" w:color="auto" w:fill="auto"/>
            <w:noWrap/>
            <w:vAlign w:val="center"/>
            <w:hideMark/>
          </w:tcPr>
          <w:p w14:paraId="3C586962"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101</w:t>
            </w:r>
            <w:r w:rsidR="00AA7BB3" w:rsidRPr="00F85178">
              <w:rPr>
                <w:rFonts w:eastAsia="Times New Roman"/>
                <w:szCs w:val="24"/>
                <w:lang w:eastAsia="cs-CZ"/>
              </w:rPr>
              <w:t>,</w:t>
            </w:r>
            <w:r w:rsidRPr="00F85178">
              <w:rPr>
                <w:rFonts w:eastAsia="Times New Roman"/>
                <w:szCs w:val="24"/>
                <w:lang w:eastAsia="cs-CZ"/>
              </w:rPr>
              <w:t>4 %</w:t>
            </w:r>
          </w:p>
        </w:tc>
      </w:tr>
      <w:tr w:rsidR="00F85178" w:rsidRPr="00F85178" w14:paraId="27DEA02F" w14:textId="77777777" w:rsidTr="004F5ACB">
        <w:trPr>
          <w:trHeight w:val="315"/>
        </w:trPr>
        <w:tc>
          <w:tcPr>
            <w:tcW w:w="2020" w:type="dxa"/>
            <w:tcBorders>
              <w:top w:val="nil"/>
              <w:left w:val="nil"/>
              <w:bottom w:val="single" w:sz="4" w:space="0" w:color="auto"/>
              <w:right w:val="nil"/>
            </w:tcBorders>
            <w:shd w:val="clear" w:color="auto" w:fill="auto"/>
            <w:noWrap/>
            <w:vAlign w:val="bottom"/>
            <w:hideMark/>
          </w:tcPr>
          <w:p w14:paraId="097DAA0D"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Brno</w:t>
            </w:r>
          </w:p>
        </w:tc>
        <w:tc>
          <w:tcPr>
            <w:tcW w:w="1034" w:type="dxa"/>
            <w:tcBorders>
              <w:top w:val="nil"/>
              <w:left w:val="nil"/>
              <w:bottom w:val="single" w:sz="4" w:space="0" w:color="auto"/>
              <w:right w:val="nil"/>
            </w:tcBorders>
            <w:shd w:val="clear" w:color="auto" w:fill="auto"/>
            <w:noWrap/>
            <w:vAlign w:val="bottom"/>
            <w:hideMark/>
          </w:tcPr>
          <w:p w14:paraId="34F179E2" w14:textId="17BCD0C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8</w:t>
            </w:r>
            <w:r w:rsidR="00BD177B">
              <w:rPr>
                <w:rFonts w:eastAsia="Times New Roman"/>
                <w:szCs w:val="24"/>
                <w:lang w:eastAsia="cs-CZ"/>
              </w:rPr>
              <w:t xml:space="preserve"> </w:t>
            </w:r>
            <w:r w:rsidRPr="00F85178">
              <w:rPr>
                <w:rFonts w:eastAsia="Times New Roman"/>
                <w:szCs w:val="24"/>
                <w:lang w:eastAsia="cs-CZ"/>
              </w:rPr>
              <w:t>777</w:t>
            </w:r>
          </w:p>
        </w:tc>
        <w:tc>
          <w:tcPr>
            <w:tcW w:w="895" w:type="dxa"/>
            <w:tcBorders>
              <w:top w:val="nil"/>
              <w:left w:val="nil"/>
              <w:bottom w:val="single" w:sz="4" w:space="0" w:color="auto"/>
              <w:right w:val="nil"/>
            </w:tcBorders>
            <w:shd w:val="clear" w:color="auto" w:fill="auto"/>
            <w:noWrap/>
            <w:vAlign w:val="center"/>
            <w:hideMark/>
          </w:tcPr>
          <w:p w14:paraId="2EDD9FAE" w14:textId="243872BA"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033" w:type="dxa"/>
            <w:tcBorders>
              <w:top w:val="nil"/>
              <w:left w:val="single" w:sz="4" w:space="0" w:color="auto"/>
              <w:bottom w:val="single" w:sz="4" w:space="0" w:color="auto"/>
              <w:right w:val="nil"/>
            </w:tcBorders>
            <w:shd w:val="clear" w:color="auto" w:fill="auto"/>
            <w:noWrap/>
            <w:vAlign w:val="bottom"/>
            <w:hideMark/>
          </w:tcPr>
          <w:p w14:paraId="0743A21E" w14:textId="778ACA53"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9</w:t>
            </w:r>
            <w:r w:rsidR="00BD177B">
              <w:rPr>
                <w:rFonts w:eastAsia="Times New Roman"/>
                <w:szCs w:val="24"/>
                <w:lang w:eastAsia="cs-CZ"/>
              </w:rPr>
              <w:t xml:space="preserve"> </w:t>
            </w:r>
            <w:r w:rsidRPr="00F85178">
              <w:rPr>
                <w:rFonts w:eastAsia="Times New Roman"/>
                <w:szCs w:val="24"/>
                <w:lang w:eastAsia="cs-CZ"/>
              </w:rPr>
              <w:t>453</w:t>
            </w:r>
          </w:p>
        </w:tc>
        <w:tc>
          <w:tcPr>
            <w:tcW w:w="783" w:type="dxa"/>
            <w:tcBorders>
              <w:top w:val="nil"/>
              <w:left w:val="nil"/>
              <w:bottom w:val="single" w:sz="4" w:space="0" w:color="auto"/>
              <w:right w:val="single" w:sz="4" w:space="0" w:color="auto"/>
            </w:tcBorders>
            <w:shd w:val="clear" w:color="auto" w:fill="auto"/>
            <w:noWrap/>
            <w:vAlign w:val="center"/>
            <w:hideMark/>
          </w:tcPr>
          <w:p w14:paraId="48AF0C73" w14:textId="24961D44"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11" w:type="dxa"/>
            <w:tcBorders>
              <w:top w:val="nil"/>
              <w:left w:val="nil"/>
              <w:bottom w:val="single" w:sz="4" w:space="0" w:color="auto"/>
              <w:right w:val="nil"/>
            </w:tcBorders>
            <w:shd w:val="clear" w:color="auto" w:fill="auto"/>
            <w:noWrap/>
            <w:vAlign w:val="bottom"/>
            <w:hideMark/>
          </w:tcPr>
          <w:p w14:paraId="7E7D706A" w14:textId="79B2E4C3"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3</w:t>
            </w:r>
            <w:r w:rsidR="00BD177B">
              <w:rPr>
                <w:rFonts w:eastAsia="Times New Roman"/>
                <w:szCs w:val="24"/>
                <w:lang w:eastAsia="cs-CZ"/>
              </w:rPr>
              <w:t xml:space="preserve"> </w:t>
            </w:r>
            <w:r w:rsidRPr="00F85178">
              <w:rPr>
                <w:rFonts w:eastAsia="Times New Roman"/>
                <w:szCs w:val="24"/>
                <w:lang w:eastAsia="cs-CZ"/>
              </w:rPr>
              <w:t>587</w:t>
            </w:r>
          </w:p>
        </w:tc>
        <w:tc>
          <w:tcPr>
            <w:tcW w:w="1044" w:type="dxa"/>
            <w:tcBorders>
              <w:top w:val="nil"/>
              <w:left w:val="nil"/>
              <w:bottom w:val="single" w:sz="4" w:space="0" w:color="auto"/>
              <w:right w:val="single" w:sz="4" w:space="0" w:color="auto"/>
            </w:tcBorders>
            <w:shd w:val="clear" w:color="auto" w:fill="auto"/>
            <w:noWrap/>
            <w:vAlign w:val="center"/>
            <w:hideMark/>
          </w:tcPr>
          <w:p w14:paraId="2D4E8E24" w14:textId="2DED8F6C"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1540" w:type="dxa"/>
            <w:tcBorders>
              <w:top w:val="nil"/>
              <w:left w:val="nil"/>
              <w:bottom w:val="single" w:sz="4" w:space="0" w:color="auto"/>
              <w:right w:val="nil"/>
            </w:tcBorders>
            <w:shd w:val="clear" w:color="auto" w:fill="auto"/>
            <w:noWrap/>
            <w:vAlign w:val="center"/>
            <w:hideMark/>
          </w:tcPr>
          <w:p w14:paraId="39AFC9D4" w14:textId="77777777"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107</w:t>
            </w:r>
            <w:r w:rsidR="00AA7BB3" w:rsidRPr="00F85178">
              <w:rPr>
                <w:rFonts w:eastAsia="Times New Roman"/>
                <w:szCs w:val="24"/>
                <w:lang w:eastAsia="cs-CZ"/>
              </w:rPr>
              <w:t>,</w:t>
            </w:r>
            <w:r w:rsidRPr="00F85178">
              <w:rPr>
                <w:rFonts w:eastAsia="Times New Roman"/>
                <w:szCs w:val="24"/>
                <w:lang w:eastAsia="cs-CZ"/>
              </w:rPr>
              <w:t>7 %</w:t>
            </w:r>
          </w:p>
        </w:tc>
      </w:tr>
      <w:tr w:rsidR="00F85178" w:rsidRPr="00F85178" w14:paraId="7AB9DE70" w14:textId="77777777" w:rsidTr="004F5ACB">
        <w:trPr>
          <w:trHeight w:val="330"/>
        </w:trPr>
        <w:tc>
          <w:tcPr>
            <w:tcW w:w="2020" w:type="dxa"/>
            <w:tcBorders>
              <w:top w:val="nil"/>
              <w:left w:val="nil"/>
              <w:bottom w:val="double" w:sz="6" w:space="0" w:color="auto"/>
              <w:right w:val="nil"/>
            </w:tcBorders>
            <w:shd w:val="clear" w:color="auto" w:fill="auto"/>
            <w:noWrap/>
            <w:vAlign w:val="bottom"/>
            <w:hideMark/>
          </w:tcPr>
          <w:p w14:paraId="22B40092" w14:textId="77777777" w:rsidR="004F5ACB" w:rsidRPr="00F85178" w:rsidRDefault="004F5ACB" w:rsidP="004F5ACB">
            <w:pPr>
              <w:spacing w:line="240" w:lineRule="auto"/>
              <w:jc w:val="left"/>
              <w:rPr>
                <w:rFonts w:eastAsia="Times New Roman"/>
                <w:szCs w:val="24"/>
                <w:lang w:eastAsia="cs-CZ"/>
              </w:rPr>
            </w:pPr>
            <w:r w:rsidRPr="00F85178">
              <w:rPr>
                <w:rFonts w:eastAsia="Times New Roman"/>
                <w:szCs w:val="24"/>
                <w:lang w:eastAsia="cs-CZ"/>
              </w:rPr>
              <w:t>KS Ostrava</w:t>
            </w:r>
          </w:p>
        </w:tc>
        <w:tc>
          <w:tcPr>
            <w:tcW w:w="1034" w:type="dxa"/>
            <w:tcBorders>
              <w:top w:val="nil"/>
              <w:left w:val="nil"/>
              <w:bottom w:val="double" w:sz="6" w:space="0" w:color="auto"/>
              <w:right w:val="nil"/>
            </w:tcBorders>
            <w:shd w:val="clear" w:color="auto" w:fill="auto"/>
            <w:noWrap/>
            <w:vAlign w:val="bottom"/>
            <w:hideMark/>
          </w:tcPr>
          <w:p w14:paraId="6E869E2E" w14:textId="490C4F68"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10</w:t>
            </w:r>
            <w:r w:rsidR="00BD177B">
              <w:rPr>
                <w:rFonts w:eastAsia="Times New Roman"/>
                <w:szCs w:val="24"/>
                <w:lang w:eastAsia="cs-CZ"/>
              </w:rPr>
              <w:t xml:space="preserve"> </w:t>
            </w:r>
            <w:r w:rsidRPr="00F85178">
              <w:rPr>
                <w:rFonts w:eastAsia="Times New Roman"/>
                <w:szCs w:val="24"/>
                <w:lang w:eastAsia="cs-CZ"/>
              </w:rPr>
              <w:t>129</w:t>
            </w:r>
          </w:p>
        </w:tc>
        <w:tc>
          <w:tcPr>
            <w:tcW w:w="895" w:type="dxa"/>
            <w:tcBorders>
              <w:top w:val="nil"/>
              <w:left w:val="nil"/>
              <w:bottom w:val="double" w:sz="6" w:space="0" w:color="auto"/>
              <w:right w:val="nil"/>
            </w:tcBorders>
            <w:shd w:val="clear" w:color="auto" w:fill="auto"/>
            <w:noWrap/>
            <w:vAlign w:val="center"/>
            <w:hideMark/>
          </w:tcPr>
          <w:p w14:paraId="3D6F2CF1" w14:textId="0DA3F449"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+24 %</w:t>
            </w:r>
          </w:p>
        </w:tc>
        <w:tc>
          <w:tcPr>
            <w:tcW w:w="1033" w:type="dxa"/>
            <w:tcBorders>
              <w:top w:val="nil"/>
              <w:left w:val="single" w:sz="4" w:space="0" w:color="auto"/>
              <w:bottom w:val="double" w:sz="6" w:space="0" w:color="auto"/>
              <w:right w:val="nil"/>
            </w:tcBorders>
            <w:shd w:val="clear" w:color="auto" w:fill="auto"/>
            <w:noWrap/>
            <w:vAlign w:val="bottom"/>
            <w:hideMark/>
          </w:tcPr>
          <w:p w14:paraId="6D1BF87C" w14:textId="4028B83D"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8</w:t>
            </w:r>
            <w:r w:rsidR="00BD177B">
              <w:rPr>
                <w:rFonts w:eastAsia="Times New Roman"/>
                <w:szCs w:val="24"/>
                <w:lang w:eastAsia="cs-CZ"/>
              </w:rPr>
              <w:t xml:space="preserve"> </w:t>
            </w:r>
            <w:r w:rsidRPr="00F85178">
              <w:rPr>
                <w:rFonts w:eastAsia="Times New Roman"/>
                <w:szCs w:val="24"/>
                <w:lang w:eastAsia="cs-CZ"/>
              </w:rPr>
              <w:t>877</w:t>
            </w:r>
          </w:p>
        </w:tc>
        <w:tc>
          <w:tcPr>
            <w:tcW w:w="783" w:type="dxa"/>
            <w:tcBorders>
              <w:top w:val="nil"/>
              <w:left w:val="nil"/>
              <w:bottom w:val="double" w:sz="6" w:space="0" w:color="auto"/>
              <w:right w:val="single" w:sz="4" w:space="0" w:color="auto"/>
            </w:tcBorders>
            <w:shd w:val="clear" w:color="auto" w:fill="auto"/>
            <w:noWrap/>
            <w:vAlign w:val="center"/>
            <w:hideMark/>
          </w:tcPr>
          <w:p w14:paraId="65188C34" w14:textId="65DF4406"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911" w:type="dxa"/>
            <w:tcBorders>
              <w:top w:val="nil"/>
              <w:left w:val="nil"/>
              <w:bottom w:val="double" w:sz="6" w:space="0" w:color="auto"/>
              <w:right w:val="nil"/>
            </w:tcBorders>
            <w:shd w:val="clear" w:color="auto" w:fill="auto"/>
            <w:noWrap/>
            <w:vAlign w:val="bottom"/>
            <w:hideMark/>
          </w:tcPr>
          <w:p w14:paraId="79C79B1A" w14:textId="5D7388FB" w:rsidR="004F5ACB" w:rsidRPr="00F85178" w:rsidRDefault="004F5ACB" w:rsidP="004F5ACB">
            <w:pPr>
              <w:spacing w:line="240" w:lineRule="auto"/>
              <w:jc w:val="center"/>
              <w:rPr>
                <w:rFonts w:eastAsia="Times New Roman"/>
                <w:szCs w:val="24"/>
                <w:lang w:eastAsia="cs-CZ"/>
              </w:rPr>
            </w:pPr>
            <w:r w:rsidRPr="00F85178">
              <w:rPr>
                <w:rFonts w:eastAsia="Times New Roman"/>
                <w:szCs w:val="24"/>
                <w:lang w:eastAsia="cs-CZ"/>
              </w:rPr>
              <w:t>2</w:t>
            </w:r>
            <w:r w:rsidR="00BD177B">
              <w:rPr>
                <w:rFonts w:eastAsia="Times New Roman"/>
                <w:szCs w:val="24"/>
                <w:lang w:eastAsia="cs-CZ"/>
              </w:rPr>
              <w:t xml:space="preserve"> </w:t>
            </w:r>
            <w:r w:rsidRPr="00F85178">
              <w:rPr>
                <w:rFonts w:eastAsia="Times New Roman"/>
                <w:szCs w:val="24"/>
                <w:lang w:eastAsia="cs-CZ"/>
              </w:rPr>
              <w:t>361</w:t>
            </w:r>
          </w:p>
        </w:tc>
        <w:tc>
          <w:tcPr>
            <w:tcW w:w="1044" w:type="dxa"/>
            <w:tcBorders>
              <w:top w:val="nil"/>
              <w:left w:val="nil"/>
              <w:bottom w:val="double" w:sz="6" w:space="0" w:color="auto"/>
              <w:right w:val="single" w:sz="4" w:space="0" w:color="auto"/>
            </w:tcBorders>
            <w:shd w:val="clear" w:color="auto" w:fill="auto"/>
            <w:noWrap/>
            <w:vAlign w:val="center"/>
            <w:hideMark/>
          </w:tcPr>
          <w:p w14:paraId="79962A14" w14:textId="41417A2A" w:rsidR="004F5ACB" w:rsidRPr="00F85178" w:rsidRDefault="004F5ACB" w:rsidP="004F5ACB">
            <w:pPr>
              <w:spacing w:line="240" w:lineRule="auto"/>
              <w:jc w:val="center"/>
              <w:rPr>
                <w:rFonts w:eastAsia="Times New Roman"/>
                <w:sz w:val="20"/>
                <w:szCs w:val="20"/>
                <w:lang w:eastAsia="cs-CZ"/>
              </w:rPr>
            </w:pPr>
            <w:r w:rsidRPr="00F85178">
              <w:rPr>
                <w:rFonts w:eastAsia="Times New Roman"/>
                <w:sz w:val="20"/>
                <w:szCs w:val="20"/>
                <w:lang w:eastAsia="cs-CZ"/>
              </w:rPr>
              <w:t>+112 %</w:t>
            </w:r>
          </w:p>
        </w:tc>
        <w:tc>
          <w:tcPr>
            <w:tcW w:w="1540" w:type="dxa"/>
            <w:tcBorders>
              <w:top w:val="nil"/>
              <w:left w:val="nil"/>
              <w:bottom w:val="nil"/>
              <w:right w:val="nil"/>
            </w:tcBorders>
            <w:shd w:val="clear" w:color="auto" w:fill="auto"/>
            <w:noWrap/>
            <w:vAlign w:val="center"/>
            <w:hideMark/>
          </w:tcPr>
          <w:p w14:paraId="10D9485D" w14:textId="77777777" w:rsidR="004F5ACB" w:rsidRPr="00F85178" w:rsidRDefault="004F5ACB">
            <w:pPr>
              <w:spacing w:line="240" w:lineRule="auto"/>
              <w:jc w:val="center"/>
              <w:rPr>
                <w:rFonts w:eastAsia="Times New Roman"/>
                <w:szCs w:val="24"/>
                <w:lang w:eastAsia="cs-CZ"/>
              </w:rPr>
            </w:pPr>
            <w:r w:rsidRPr="00F85178">
              <w:rPr>
                <w:rFonts w:eastAsia="Times New Roman"/>
                <w:szCs w:val="24"/>
                <w:lang w:eastAsia="cs-CZ"/>
              </w:rPr>
              <w:t>87</w:t>
            </w:r>
            <w:r w:rsidR="00AA7BB3" w:rsidRPr="00F85178">
              <w:rPr>
                <w:rFonts w:eastAsia="Times New Roman"/>
                <w:szCs w:val="24"/>
                <w:lang w:eastAsia="cs-CZ"/>
              </w:rPr>
              <w:t>,</w:t>
            </w:r>
            <w:r w:rsidRPr="00F85178">
              <w:rPr>
                <w:rFonts w:eastAsia="Times New Roman"/>
                <w:szCs w:val="24"/>
                <w:lang w:eastAsia="cs-CZ"/>
              </w:rPr>
              <w:t>6 %</w:t>
            </w:r>
          </w:p>
        </w:tc>
      </w:tr>
      <w:tr w:rsidR="004F5ACB" w:rsidRPr="00F85178" w14:paraId="76932FF0" w14:textId="77777777" w:rsidTr="004F5ACB">
        <w:trPr>
          <w:trHeight w:val="345"/>
        </w:trPr>
        <w:tc>
          <w:tcPr>
            <w:tcW w:w="2020" w:type="dxa"/>
            <w:tcBorders>
              <w:top w:val="nil"/>
              <w:left w:val="nil"/>
              <w:bottom w:val="double" w:sz="6" w:space="0" w:color="auto"/>
              <w:right w:val="nil"/>
            </w:tcBorders>
            <w:shd w:val="clear" w:color="auto" w:fill="auto"/>
            <w:noWrap/>
            <w:vAlign w:val="bottom"/>
            <w:hideMark/>
          </w:tcPr>
          <w:p w14:paraId="479779E7" w14:textId="77777777" w:rsidR="004F5ACB" w:rsidRPr="00F85178" w:rsidRDefault="004F5ACB" w:rsidP="004F5ACB">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34" w:type="dxa"/>
            <w:tcBorders>
              <w:top w:val="nil"/>
              <w:left w:val="nil"/>
              <w:bottom w:val="double" w:sz="6" w:space="0" w:color="auto"/>
              <w:right w:val="nil"/>
            </w:tcBorders>
            <w:shd w:val="clear" w:color="auto" w:fill="auto"/>
            <w:noWrap/>
            <w:vAlign w:val="bottom"/>
            <w:hideMark/>
          </w:tcPr>
          <w:p w14:paraId="192C7FA4" w14:textId="1FE604D5"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54</w:t>
            </w:r>
            <w:r w:rsidR="00BD177B">
              <w:rPr>
                <w:rFonts w:eastAsia="Times New Roman"/>
                <w:b/>
                <w:bCs/>
                <w:szCs w:val="24"/>
                <w:lang w:eastAsia="cs-CZ"/>
              </w:rPr>
              <w:t xml:space="preserve"> </w:t>
            </w:r>
            <w:r w:rsidRPr="00F85178">
              <w:rPr>
                <w:rFonts w:eastAsia="Times New Roman"/>
                <w:b/>
                <w:bCs/>
                <w:szCs w:val="24"/>
                <w:lang w:eastAsia="cs-CZ"/>
              </w:rPr>
              <w:t>173</w:t>
            </w:r>
          </w:p>
        </w:tc>
        <w:tc>
          <w:tcPr>
            <w:tcW w:w="895" w:type="dxa"/>
            <w:tcBorders>
              <w:top w:val="nil"/>
              <w:left w:val="nil"/>
              <w:bottom w:val="double" w:sz="6" w:space="0" w:color="auto"/>
              <w:right w:val="nil"/>
            </w:tcBorders>
            <w:shd w:val="clear" w:color="auto" w:fill="auto"/>
            <w:noWrap/>
            <w:vAlign w:val="center"/>
            <w:hideMark/>
          </w:tcPr>
          <w:p w14:paraId="5B297F8F" w14:textId="07F86AE3" w:rsidR="004F5ACB" w:rsidRPr="00F85178" w:rsidRDefault="004F5ACB" w:rsidP="004F5ACB">
            <w:pPr>
              <w:spacing w:line="240" w:lineRule="auto"/>
              <w:jc w:val="center"/>
              <w:rPr>
                <w:rFonts w:eastAsia="Times New Roman"/>
                <w:b/>
                <w:bCs/>
                <w:sz w:val="20"/>
                <w:szCs w:val="20"/>
                <w:lang w:eastAsia="cs-CZ"/>
              </w:rPr>
            </w:pPr>
            <w:r w:rsidRPr="00F85178">
              <w:rPr>
                <w:rFonts w:eastAsia="Times New Roman"/>
                <w:b/>
                <w:bCs/>
                <w:sz w:val="20"/>
                <w:szCs w:val="20"/>
                <w:lang w:eastAsia="cs-CZ"/>
              </w:rPr>
              <w:t>-7 %</w:t>
            </w:r>
          </w:p>
        </w:tc>
        <w:tc>
          <w:tcPr>
            <w:tcW w:w="1033" w:type="dxa"/>
            <w:tcBorders>
              <w:top w:val="nil"/>
              <w:left w:val="single" w:sz="4" w:space="0" w:color="auto"/>
              <w:bottom w:val="double" w:sz="6" w:space="0" w:color="auto"/>
              <w:right w:val="nil"/>
            </w:tcBorders>
            <w:shd w:val="clear" w:color="auto" w:fill="auto"/>
            <w:noWrap/>
            <w:vAlign w:val="bottom"/>
            <w:hideMark/>
          </w:tcPr>
          <w:p w14:paraId="620F67A4" w14:textId="6121B471"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54</w:t>
            </w:r>
            <w:r w:rsidR="00BD177B">
              <w:rPr>
                <w:rFonts w:eastAsia="Times New Roman"/>
                <w:b/>
                <w:bCs/>
                <w:szCs w:val="24"/>
                <w:lang w:eastAsia="cs-CZ"/>
              </w:rPr>
              <w:t xml:space="preserve"> </w:t>
            </w:r>
            <w:r w:rsidRPr="00F85178">
              <w:rPr>
                <w:rFonts w:eastAsia="Times New Roman"/>
                <w:b/>
                <w:bCs/>
                <w:szCs w:val="24"/>
                <w:lang w:eastAsia="cs-CZ"/>
              </w:rPr>
              <w:t>721</w:t>
            </w:r>
          </w:p>
        </w:tc>
        <w:tc>
          <w:tcPr>
            <w:tcW w:w="783" w:type="dxa"/>
            <w:tcBorders>
              <w:top w:val="nil"/>
              <w:left w:val="nil"/>
              <w:bottom w:val="double" w:sz="6" w:space="0" w:color="auto"/>
              <w:right w:val="single" w:sz="4" w:space="0" w:color="auto"/>
            </w:tcBorders>
            <w:shd w:val="clear" w:color="auto" w:fill="auto"/>
            <w:noWrap/>
            <w:vAlign w:val="center"/>
            <w:hideMark/>
          </w:tcPr>
          <w:p w14:paraId="0407DE7E" w14:textId="602940D5" w:rsidR="004F5ACB" w:rsidRPr="00F85178" w:rsidRDefault="004F5ACB" w:rsidP="004F5ACB">
            <w:pPr>
              <w:spacing w:line="240" w:lineRule="auto"/>
              <w:jc w:val="center"/>
              <w:rPr>
                <w:rFonts w:eastAsia="Times New Roman"/>
                <w:b/>
                <w:bCs/>
                <w:sz w:val="20"/>
                <w:szCs w:val="20"/>
                <w:lang w:eastAsia="cs-CZ"/>
              </w:rPr>
            </w:pPr>
            <w:r w:rsidRPr="00F85178">
              <w:rPr>
                <w:rFonts w:eastAsia="Times New Roman"/>
                <w:b/>
                <w:bCs/>
                <w:sz w:val="20"/>
                <w:szCs w:val="20"/>
                <w:lang w:eastAsia="cs-CZ"/>
              </w:rPr>
              <w:t>-8 %</w:t>
            </w:r>
          </w:p>
        </w:tc>
        <w:tc>
          <w:tcPr>
            <w:tcW w:w="911" w:type="dxa"/>
            <w:tcBorders>
              <w:top w:val="nil"/>
              <w:left w:val="nil"/>
              <w:bottom w:val="double" w:sz="6" w:space="0" w:color="auto"/>
              <w:right w:val="nil"/>
            </w:tcBorders>
            <w:shd w:val="clear" w:color="auto" w:fill="auto"/>
            <w:noWrap/>
            <w:vAlign w:val="bottom"/>
            <w:hideMark/>
          </w:tcPr>
          <w:p w14:paraId="3CEF2811" w14:textId="73B3120F" w:rsidR="004F5ACB" w:rsidRPr="00F85178" w:rsidRDefault="004F5ACB" w:rsidP="004F5ACB">
            <w:pPr>
              <w:spacing w:line="240" w:lineRule="auto"/>
              <w:jc w:val="center"/>
              <w:rPr>
                <w:rFonts w:eastAsia="Times New Roman"/>
                <w:b/>
                <w:bCs/>
                <w:szCs w:val="24"/>
                <w:lang w:eastAsia="cs-CZ"/>
              </w:rPr>
            </w:pPr>
            <w:r w:rsidRPr="00F85178">
              <w:rPr>
                <w:rFonts w:eastAsia="Times New Roman"/>
                <w:b/>
                <w:bCs/>
                <w:szCs w:val="24"/>
                <w:lang w:eastAsia="cs-CZ"/>
              </w:rPr>
              <w:t>10</w:t>
            </w:r>
            <w:r w:rsidR="00BD177B">
              <w:rPr>
                <w:rFonts w:eastAsia="Times New Roman"/>
                <w:b/>
                <w:bCs/>
                <w:szCs w:val="24"/>
                <w:lang w:eastAsia="cs-CZ"/>
              </w:rPr>
              <w:t xml:space="preserve"> </w:t>
            </w:r>
            <w:r w:rsidRPr="00F85178">
              <w:rPr>
                <w:rFonts w:eastAsia="Times New Roman"/>
                <w:b/>
                <w:bCs/>
                <w:szCs w:val="24"/>
                <w:lang w:eastAsia="cs-CZ"/>
              </w:rPr>
              <w:t>253</w:t>
            </w:r>
          </w:p>
        </w:tc>
        <w:tc>
          <w:tcPr>
            <w:tcW w:w="1044" w:type="dxa"/>
            <w:tcBorders>
              <w:top w:val="nil"/>
              <w:left w:val="nil"/>
              <w:bottom w:val="double" w:sz="6" w:space="0" w:color="auto"/>
              <w:right w:val="single" w:sz="4" w:space="0" w:color="auto"/>
            </w:tcBorders>
            <w:shd w:val="clear" w:color="auto" w:fill="auto"/>
            <w:noWrap/>
            <w:vAlign w:val="center"/>
            <w:hideMark/>
          </w:tcPr>
          <w:p w14:paraId="3DE0F908" w14:textId="29A91854" w:rsidR="004F5ACB" w:rsidRPr="00F85178" w:rsidRDefault="004F5ACB" w:rsidP="004F5ACB">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1540" w:type="dxa"/>
            <w:tcBorders>
              <w:top w:val="double" w:sz="6" w:space="0" w:color="auto"/>
              <w:left w:val="nil"/>
              <w:bottom w:val="double" w:sz="6" w:space="0" w:color="auto"/>
              <w:right w:val="nil"/>
            </w:tcBorders>
            <w:shd w:val="clear" w:color="auto" w:fill="auto"/>
            <w:noWrap/>
            <w:vAlign w:val="center"/>
            <w:hideMark/>
          </w:tcPr>
          <w:p w14:paraId="7ABE6E1C" w14:textId="77777777" w:rsidR="004F5ACB" w:rsidRPr="00F85178" w:rsidRDefault="004F5ACB">
            <w:pPr>
              <w:spacing w:line="240" w:lineRule="auto"/>
              <w:jc w:val="center"/>
              <w:rPr>
                <w:rFonts w:eastAsia="Times New Roman"/>
                <w:b/>
                <w:bCs/>
                <w:szCs w:val="24"/>
                <w:lang w:eastAsia="cs-CZ"/>
              </w:rPr>
            </w:pPr>
            <w:r w:rsidRPr="00F85178">
              <w:rPr>
                <w:rFonts w:eastAsia="Times New Roman"/>
                <w:b/>
                <w:bCs/>
                <w:szCs w:val="24"/>
                <w:lang w:eastAsia="cs-CZ"/>
              </w:rPr>
              <w:t>101</w:t>
            </w:r>
            <w:r w:rsidR="00AA7BB3" w:rsidRPr="00F85178">
              <w:rPr>
                <w:rFonts w:eastAsia="Times New Roman"/>
                <w:b/>
                <w:bCs/>
                <w:szCs w:val="24"/>
                <w:lang w:eastAsia="cs-CZ"/>
              </w:rPr>
              <w:t>,</w:t>
            </w:r>
            <w:r w:rsidRPr="00F85178">
              <w:rPr>
                <w:rFonts w:eastAsia="Times New Roman"/>
                <w:b/>
                <w:bCs/>
                <w:szCs w:val="24"/>
                <w:lang w:eastAsia="cs-CZ"/>
              </w:rPr>
              <w:t>0 %</w:t>
            </w:r>
          </w:p>
        </w:tc>
      </w:tr>
    </w:tbl>
    <w:p w14:paraId="07A30F7D" w14:textId="77777777" w:rsidR="00825B97" w:rsidRPr="00F85178" w:rsidRDefault="00825B97" w:rsidP="00205FD6"/>
    <w:p w14:paraId="1595E749" w14:textId="77777777" w:rsidR="004F5ACB" w:rsidRPr="00F85178" w:rsidRDefault="004F5ACB" w:rsidP="004F5ACB">
      <w:pPr>
        <w:pStyle w:val="Nadpis3"/>
        <w:rPr>
          <w:color w:val="auto"/>
        </w:rPr>
      </w:pPr>
      <w:bookmarkStart w:id="415" w:name="_Toc515871256"/>
      <w:bookmarkStart w:id="416" w:name="_Toc14076905"/>
      <w:r w:rsidRPr="00F85178">
        <w:rPr>
          <w:color w:val="auto"/>
        </w:rPr>
        <w:t>Disposition time</w:t>
      </w:r>
      <w:bookmarkEnd w:id="415"/>
      <w:bookmarkEnd w:id="416"/>
    </w:p>
    <w:p w14:paraId="0EDA8F1C" w14:textId="77777777" w:rsidR="0032015B" w:rsidRDefault="00DB3B2E" w:rsidP="004F6913">
      <w:pPr>
        <w:pStyle w:val="OdstavecASR"/>
      </w:pPr>
      <w:r w:rsidRPr="00F85178">
        <w:t>Připomeňme, že se jedná o ukazatel efektivnosti vyřizování věcí a vyjadřuje</w:t>
      </w:r>
      <w:r w:rsidR="00062D6B" w:rsidRPr="00F85178">
        <w:t>,</w:t>
      </w:r>
      <w:r w:rsidRPr="00F85178">
        <w:t xml:space="preserve"> za kolik dní by daný soud vyřídil </w:t>
      </w:r>
      <w:r w:rsidR="00A22AFD" w:rsidRPr="00F85178">
        <w:t xml:space="preserve">nevyřízené </w:t>
      </w:r>
      <w:r w:rsidRPr="00F85178">
        <w:t xml:space="preserve">věci již ležící na </w:t>
      </w:r>
      <w:r w:rsidR="00A22AFD" w:rsidRPr="00F85178">
        <w:t>soudu, pokud</w:t>
      </w:r>
      <w:r w:rsidRPr="00F85178">
        <w:t xml:space="preserve"> by neměl žádný </w:t>
      </w:r>
      <w:r w:rsidR="00A22AFD" w:rsidRPr="00F85178">
        <w:t xml:space="preserve">nový </w:t>
      </w:r>
      <w:r w:rsidRPr="00F85178">
        <w:t>nápad a pracoval stejným tempem.</w:t>
      </w:r>
    </w:p>
    <w:p w14:paraId="6B72473B" w14:textId="1A461D31" w:rsidR="004F6913" w:rsidRPr="00F85178" w:rsidRDefault="00DB3B2E" w:rsidP="004F6913">
      <w:pPr>
        <w:pStyle w:val="OdstavecASR"/>
      </w:pPr>
      <w:r w:rsidRPr="00F85178">
        <w:t xml:space="preserve">DT se </w:t>
      </w:r>
      <w:r w:rsidR="00062D6B" w:rsidRPr="00F85178">
        <w:t>v letech 2017–2018</w:t>
      </w:r>
      <w:r w:rsidRPr="00F85178">
        <w:t xml:space="preserve"> </w:t>
      </w:r>
      <w:r w:rsidR="00062D6B" w:rsidRPr="00F85178">
        <w:t>mírně prodlužoval</w:t>
      </w:r>
      <w:r w:rsidRPr="00F85178">
        <w:t>, což je způsobeno</w:t>
      </w:r>
      <w:r w:rsidR="00062D6B" w:rsidRPr="00F85178">
        <w:t xml:space="preserve"> tím, že rychlé vyřizování věcí se neodráží ve stejně rychlém ubývání nevyřízených věcí v daném roce</w:t>
      </w:r>
      <w:r w:rsidRPr="00F85178">
        <w:t xml:space="preserve">. </w:t>
      </w:r>
      <w:r w:rsidR="00733D54" w:rsidRPr="00F85178">
        <w:t>S</w:t>
      </w:r>
      <w:r w:rsidR="004F6913" w:rsidRPr="00F85178">
        <w:t>tejně jako v ostatních agendách existují v odvolací civilní agendě u krajských soudů velké rozdíly mezi soudy</w:t>
      </w:r>
      <w:r w:rsidR="00733D54" w:rsidRPr="00F85178">
        <w:t xml:space="preserve"> a také v rámci soudu lze v časových řadách registrovat více či méně pravidelné odchylky</w:t>
      </w:r>
      <w:r w:rsidR="004F6913" w:rsidRPr="00F85178">
        <w:t xml:space="preserve">. </w:t>
      </w:r>
      <w:r w:rsidR="00733D54" w:rsidRPr="00F85178">
        <w:t>Závěrem lze konstatovat, že d</w:t>
      </w:r>
      <w:r w:rsidR="004F6913" w:rsidRPr="00F85178">
        <w:t xml:space="preserve">élky řízení i DT </w:t>
      </w:r>
      <w:r w:rsidR="00733D54" w:rsidRPr="00F85178">
        <w:t xml:space="preserve">u odvolací civilní agendy u krajských soudů </w:t>
      </w:r>
      <w:r w:rsidR="004F6913" w:rsidRPr="00F85178">
        <w:t xml:space="preserve">jsou v průměru nízké a agenda je z tohoto hlediska poměrně bezproblémová. Určité problémy mají </w:t>
      </w:r>
      <w:r w:rsidR="00733D54" w:rsidRPr="00F85178">
        <w:t xml:space="preserve">dlouhodobě </w:t>
      </w:r>
      <w:r w:rsidR="004F6913" w:rsidRPr="00F85178">
        <w:t>pouze KS Brno a KS Ústí nad Labem,</w:t>
      </w:r>
      <w:r w:rsidR="00745EAF" w:rsidRPr="00F85178">
        <w:t xml:space="preserve"> kde </w:t>
      </w:r>
      <w:r w:rsidR="00AA7BB3" w:rsidRPr="00F85178">
        <w:t xml:space="preserve">je úroveň </w:t>
      </w:r>
      <w:r w:rsidR="00745EAF" w:rsidRPr="00F85178">
        <w:t>DT násobně vyšší než u ostatních krajských soudů.</w:t>
      </w:r>
      <w:r w:rsidR="004F6913" w:rsidRPr="00F85178">
        <w:t xml:space="preserve"> </w:t>
      </w:r>
      <w:r w:rsidR="00B11D20" w:rsidRPr="00F85178">
        <w:t>U těchto soudů se ale situace zlepšuje. Jak již plyne z předchozí kapitoly, velký nárůst v DT vykázal KS Ostrava.</w:t>
      </w:r>
    </w:p>
    <w:p w14:paraId="1A238BA3" w14:textId="77777777" w:rsidR="004F5ACB" w:rsidRPr="00F85178" w:rsidRDefault="004F5ACB" w:rsidP="004F5ACB">
      <w:pPr>
        <w:pStyle w:val="Podtitul"/>
        <w:rPr>
          <w:color w:val="auto"/>
        </w:rPr>
      </w:pPr>
      <w:bookmarkStart w:id="417" w:name="_Toc515871388"/>
      <w:bookmarkStart w:id="418" w:name="_Toc11135119"/>
      <w:bookmarkStart w:id="419" w:name="_Toc1383755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58</w:t>
      </w:r>
      <w:r w:rsidRPr="00F85178">
        <w:rPr>
          <w:noProof/>
          <w:color w:val="auto"/>
        </w:rPr>
        <w:fldChar w:fldCharType="end"/>
      </w:r>
      <w:r w:rsidRPr="00F85178">
        <w:rPr>
          <w:color w:val="auto"/>
        </w:rPr>
        <w:t>: KS – DT odvolacího civilního řízení v letech 2008–201</w:t>
      </w:r>
      <w:bookmarkEnd w:id="417"/>
      <w:r w:rsidRPr="00F85178">
        <w:rPr>
          <w:color w:val="auto"/>
        </w:rPr>
        <w:t>8</w:t>
      </w:r>
      <w:bookmarkEnd w:id="418"/>
      <w:bookmarkEnd w:id="419"/>
    </w:p>
    <w:p w14:paraId="60B0A097" w14:textId="77777777" w:rsidR="001431C9" w:rsidRPr="00F85178" w:rsidRDefault="00890295" w:rsidP="00205FD6">
      <w:r>
        <w:rPr>
          <w:noProof/>
          <w:lang w:eastAsia="cs-CZ"/>
        </w:rPr>
        <w:drawing>
          <wp:inline distT="0" distB="0" distL="0" distR="0" wp14:anchorId="363F16F5" wp14:editId="2D608EB2">
            <wp:extent cx="5118100" cy="3746500"/>
            <wp:effectExtent l="0" t="0" r="0" b="0"/>
            <wp:docPr id="61" name="Obrázek 3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1"/>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30D996B" w14:textId="77777777" w:rsidR="004F5ACB" w:rsidRPr="00F85178" w:rsidRDefault="001431C9" w:rsidP="00B11D20">
      <w:pPr>
        <w:pStyle w:val="Podtitul"/>
        <w:rPr>
          <w:color w:val="auto"/>
        </w:rPr>
      </w:pPr>
      <w:bookmarkStart w:id="420" w:name="_Toc515871477"/>
      <w:bookmarkStart w:id="421" w:name="_Toc11133245"/>
      <w:bookmarkStart w:id="422" w:name="_Toc13837466"/>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43</w:t>
      </w:r>
      <w:r w:rsidR="00D842DE" w:rsidRPr="00F85178">
        <w:rPr>
          <w:noProof/>
          <w:color w:val="auto"/>
        </w:rPr>
        <w:fldChar w:fldCharType="end"/>
      </w:r>
      <w:r w:rsidRPr="00F85178">
        <w:rPr>
          <w:color w:val="auto"/>
        </w:rPr>
        <w:t>: KS – DT v civilním odvolacím řízení dle soudů</w:t>
      </w:r>
      <w:bookmarkEnd w:id="420"/>
      <w:bookmarkEnd w:id="421"/>
      <w:bookmarkEnd w:id="422"/>
    </w:p>
    <w:tbl>
      <w:tblPr>
        <w:tblW w:w="5960" w:type="dxa"/>
        <w:tblCellMar>
          <w:left w:w="70" w:type="dxa"/>
          <w:right w:w="70" w:type="dxa"/>
        </w:tblCellMar>
        <w:tblLook w:val="04A0" w:firstRow="1" w:lastRow="0" w:firstColumn="1" w:lastColumn="0" w:noHBand="0" w:noVBand="1"/>
      </w:tblPr>
      <w:tblGrid>
        <w:gridCol w:w="2780"/>
        <w:gridCol w:w="1253"/>
        <w:gridCol w:w="1927"/>
      </w:tblGrid>
      <w:tr w:rsidR="00F85178" w:rsidRPr="00F85178" w14:paraId="56F3DD93" w14:textId="77777777" w:rsidTr="001431C9">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6BC39288" w14:textId="77777777" w:rsidR="001431C9" w:rsidRPr="00F85178" w:rsidRDefault="001431C9" w:rsidP="001431C9">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48D96491" w14:textId="77777777" w:rsidR="001431C9" w:rsidRPr="00F85178" w:rsidRDefault="001431C9" w:rsidP="001431C9">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2AC76A97" w14:textId="77777777" w:rsidTr="001431C9">
        <w:trPr>
          <w:trHeight w:val="330"/>
        </w:trPr>
        <w:tc>
          <w:tcPr>
            <w:tcW w:w="2780" w:type="dxa"/>
            <w:tcBorders>
              <w:top w:val="nil"/>
              <w:left w:val="nil"/>
              <w:bottom w:val="single" w:sz="4" w:space="0" w:color="auto"/>
              <w:right w:val="nil"/>
            </w:tcBorders>
            <w:shd w:val="clear" w:color="auto" w:fill="auto"/>
            <w:noWrap/>
            <w:vAlign w:val="bottom"/>
            <w:hideMark/>
          </w:tcPr>
          <w:p w14:paraId="64883481"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58532C7A"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39</w:t>
            </w:r>
          </w:p>
        </w:tc>
        <w:tc>
          <w:tcPr>
            <w:tcW w:w="1927" w:type="dxa"/>
            <w:tcBorders>
              <w:top w:val="nil"/>
              <w:left w:val="nil"/>
              <w:bottom w:val="single" w:sz="4" w:space="0" w:color="auto"/>
              <w:right w:val="nil"/>
            </w:tcBorders>
            <w:shd w:val="clear" w:color="auto" w:fill="auto"/>
            <w:noWrap/>
            <w:vAlign w:val="center"/>
            <w:hideMark/>
          </w:tcPr>
          <w:p w14:paraId="09DE2894" w14:textId="57170609"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-18 %</w:t>
            </w:r>
          </w:p>
        </w:tc>
      </w:tr>
      <w:tr w:rsidR="00F85178" w:rsidRPr="00F85178" w14:paraId="568850F5"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3F50FEDE"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214E6696"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34</w:t>
            </w:r>
          </w:p>
        </w:tc>
        <w:tc>
          <w:tcPr>
            <w:tcW w:w="1927" w:type="dxa"/>
            <w:tcBorders>
              <w:top w:val="nil"/>
              <w:left w:val="nil"/>
              <w:bottom w:val="single" w:sz="4" w:space="0" w:color="auto"/>
              <w:right w:val="nil"/>
            </w:tcBorders>
            <w:shd w:val="clear" w:color="auto" w:fill="auto"/>
            <w:noWrap/>
            <w:vAlign w:val="center"/>
            <w:hideMark/>
          </w:tcPr>
          <w:p w14:paraId="57C25D76" w14:textId="294F77F7"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65566CC7"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46969FB8"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1B7A3215"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41</w:t>
            </w:r>
          </w:p>
        </w:tc>
        <w:tc>
          <w:tcPr>
            <w:tcW w:w="1927" w:type="dxa"/>
            <w:tcBorders>
              <w:top w:val="nil"/>
              <w:left w:val="nil"/>
              <w:bottom w:val="single" w:sz="4" w:space="0" w:color="auto"/>
              <w:right w:val="nil"/>
            </w:tcBorders>
            <w:shd w:val="clear" w:color="auto" w:fill="auto"/>
            <w:noWrap/>
            <w:vAlign w:val="center"/>
            <w:hideMark/>
          </w:tcPr>
          <w:p w14:paraId="39E01A1C" w14:textId="68B9F966"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3E02E547"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3F97E882"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41BF9161"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37</w:t>
            </w:r>
          </w:p>
        </w:tc>
        <w:tc>
          <w:tcPr>
            <w:tcW w:w="1927" w:type="dxa"/>
            <w:tcBorders>
              <w:top w:val="nil"/>
              <w:left w:val="nil"/>
              <w:bottom w:val="single" w:sz="4" w:space="0" w:color="auto"/>
              <w:right w:val="nil"/>
            </w:tcBorders>
            <w:shd w:val="clear" w:color="auto" w:fill="auto"/>
            <w:noWrap/>
            <w:vAlign w:val="center"/>
            <w:hideMark/>
          </w:tcPr>
          <w:p w14:paraId="6D38FB05" w14:textId="41A1A083"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+26 %</w:t>
            </w:r>
          </w:p>
        </w:tc>
      </w:tr>
      <w:tr w:rsidR="00F85178" w:rsidRPr="00F85178" w14:paraId="6FA36703"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1022B561"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1E9502E3"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73</w:t>
            </w:r>
          </w:p>
        </w:tc>
        <w:tc>
          <w:tcPr>
            <w:tcW w:w="1927" w:type="dxa"/>
            <w:tcBorders>
              <w:top w:val="nil"/>
              <w:left w:val="nil"/>
              <w:bottom w:val="single" w:sz="4" w:space="0" w:color="auto"/>
              <w:right w:val="nil"/>
            </w:tcBorders>
            <w:shd w:val="clear" w:color="auto" w:fill="auto"/>
            <w:noWrap/>
            <w:vAlign w:val="center"/>
            <w:hideMark/>
          </w:tcPr>
          <w:p w14:paraId="559C7E3A" w14:textId="70978EFD"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-17 %</w:t>
            </w:r>
          </w:p>
        </w:tc>
      </w:tr>
      <w:tr w:rsidR="00F85178" w:rsidRPr="00F85178" w14:paraId="7575B3A9"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6AB3C62A"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0DC61EA4"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36</w:t>
            </w:r>
          </w:p>
        </w:tc>
        <w:tc>
          <w:tcPr>
            <w:tcW w:w="1927" w:type="dxa"/>
            <w:tcBorders>
              <w:top w:val="nil"/>
              <w:left w:val="nil"/>
              <w:bottom w:val="single" w:sz="4" w:space="0" w:color="auto"/>
              <w:right w:val="nil"/>
            </w:tcBorders>
            <w:shd w:val="clear" w:color="auto" w:fill="auto"/>
            <w:noWrap/>
            <w:vAlign w:val="center"/>
            <w:hideMark/>
          </w:tcPr>
          <w:p w14:paraId="049223D7" w14:textId="0155721B"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32B4A141" w14:textId="77777777" w:rsidTr="001431C9">
        <w:trPr>
          <w:trHeight w:val="315"/>
        </w:trPr>
        <w:tc>
          <w:tcPr>
            <w:tcW w:w="2780" w:type="dxa"/>
            <w:tcBorders>
              <w:top w:val="nil"/>
              <w:left w:val="nil"/>
              <w:bottom w:val="single" w:sz="4" w:space="0" w:color="auto"/>
              <w:right w:val="nil"/>
            </w:tcBorders>
            <w:shd w:val="clear" w:color="auto" w:fill="auto"/>
            <w:noWrap/>
            <w:vAlign w:val="bottom"/>
            <w:hideMark/>
          </w:tcPr>
          <w:p w14:paraId="3F7A6251"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551A8415"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139</w:t>
            </w:r>
          </w:p>
        </w:tc>
        <w:tc>
          <w:tcPr>
            <w:tcW w:w="1927" w:type="dxa"/>
            <w:tcBorders>
              <w:top w:val="nil"/>
              <w:left w:val="nil"/>
              <w:bottom w:val="single" w:sz="4" w:space="0" w:color="auto"/>
              <w:right w:val="nil"/>
            </w:tcBorders>
            <w:shd w:val="clear" w:color="auto" w:fill="auto"/>
            <w:noWrap/>
            <w:vAlign w:val="center"/>
            <w:hideMark/>
          </w:tcPr>
          <w:p w14:paraId="7549FE7B" w14:textId="46072264"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4B33368C" w14:textId="77777777" w:rsidTr="001431C9">
        <w:trPr>
          <w:trHeight w:val="330"/>
        </w:trPr>
        <w:tc>
          <w:tcPr>
            <w:tcW w:w="2780" w:type="dxa"/>
            <w:tcBorders>
              <w:top w:val="nil"/>
              <w:left w:val="nil"/>
              <w:bottom w:val="double" w:sz="6" w:space="0" w:color="auto"/>
              <w:right w:val="nil"/>
            </w:tcBorders>
            <w:shd w:val="clear" w:color="auto" w:fill="auto"/>
            <w:noWrap/>
            <w:vAlign w:val="bottom"/>
            <w:hideMark/>
          </w:tcPr>
          <w:p w14:paraId="569B1C18" w14:textId="77777777" w:rsidR="001431C9" w:rsidRPr="00F85178" w:rsidRDefault="001431C9" w:rsidP="001431C9">
            <w:pPr>
              <w:spacing w:line="240" w:lineRule="auto"/>
              <w:jc w:val="left"/>
              <w:rPr>
                <w:rFonts w:eastAsia="Times New Roman"/>
                <w:szCs w:val="24"/>
                <w:lang w:eastAsia="cs-CZ"/>
              </w:rPr>
            </w:pPr>
            <w:r w:rsidRPr="00F85178">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1791AAA0" w14:textId="77777777" w:rsidR="001431C9" w:rsidRPr="00F85178" w:rsidRDefault="001431C9" w:rsidP="001431C9">
            <w:pPr>
              <w:spacing w:line="240" w:lineRule="auto"/>
              <w:jc w:val="center"/>
              <w:rPr>
                <w:rFonts w:eastAsia="Times New Roman"/>
                <w:szCs w:val="24"/>
                <w:lang w:eastAsia="cs-CZ"/>
              </w:rPr>
            </w:pPr>
            <w:r w:rsidRPr="00F85178">
              <w:rPr>
                <w:rFonts w:eastAsia="Times New Roman"/>
                <w:szCs w:val="24"/>
                <w:lang w:eastAsia="cs-CZ"/>
              </w:rPr>
              <w:t>97</w:t>
            </w:r>
          </w:p>
        </w:tc>
        <w:tc>
          <w:tcPr>
            <w:tcW w:w="1927" w:type="dxa"/>
            <w:tcBorders>
              <w:top w:val="nil"/>
              <w:left w:val="nil"/>
              <w:bottom w:val="double" w:sz="6" w:space="0" w:color="auto"/>
              <w:right w:val="nil"/>
            </w:tcBorders>
            <w:shd w:val="clear" w:color="auto" w:fill="auto"/>
            <w:noWrap/>
            <w:vAlign w:val="center"/>
            <w:hideMark/>
          </w:tcPr>
          <w:p w14:paraId="4A4B70CD" w14:textId="1ABF3318" w:rsidR="001431C9" w:rsidRPr="00F85178" w:rsidRDefault="001431C9" w:rsidP="001431C9">
            <w:pPr>
              <w:spacing w:line="240" w:lineRule="auto"/>
              <w:jc w:val="center"/>
              <w:rPr>
                <w:rFonts w:eastAsia="Times New Roman"/>
                <w:sz w:val="20"/>
                <w:szCs w:val="20"/>
                <w:lang w:eastAsia="cs-CZ"/>
              </w:rPr>
            </w:pPr>
            <w:r w:rsidRPr="00F85178">
              <w:rPr>
                <w:rFonts w:eastAsia="Times New Roman"/>
                <w:sz w:val="20"/>
                <w:szCs w:val="20"/>
                <w:lang w:eastAsia="cs-CZ"/>
              </w:rPr>
              <w:t>+99 %</w:t>
            </w:r>
          </w:p>
        </w:tc>
      </w:tr>
      <w:tr w:rsidR="001431C9" w:rsidRPr="00F85178" w14:paraId="06378D15" w14:textId="77777777" w:rsidTr="001431C9">
        <w:trPr>
          <w:trHeight w:val="345"/>
        </w:trPr>
        <w:tc>
          <w:tcPr>
            <w:tcW w:w="2780" w:type="dxa"/>
            <w:tcBorders>
              <w:top w:val="nil"/>
              <w:left w:val="nil"/>
              <w:bottom w:val="double" w:sz="6" w:space="0" w:color="auto"/>
              <w:right w:val="nil"/>
            </w:tcBorders>
            <w:shd w:val="clear" w:color="auto" w:fill="auto"/>
            <w:noWrap/>
            <w:vAlign w:val="bottom"/>
            <w:hideMark/>
          </w:tcPr>
          <w:p w14:paraId="06C07D0B" w14:textId="77777777" w:rsidR="001431C9" w:rsidRPr="00F85178" w:rsidRDefault="001431C9" w:rsidP="001431C9">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2189BCDB" w14:textId="77777777" w:rsidR="001431C9" w:rsidRPr="00F85178" w:rsidRDefault="001431C9" w:rsidP="001431C9">
            <w:pPr>
              <w:spacing w:line="240" w:lineRule="auto"/>
              <w:jc w:val="center"/>
              <w:rPr>
                <w:rFonts w:eastAsia="Times New Roman"/>
                <w:b/>
                <w:bCs/>
                <w:szCs w:val="24"/>
                <w:lang w:eastAsia="cs-CZ"/>
              </w:rPr>
            </w:pPr>
            <w:r w:rsidRPr="00F85178">
              <w:rPr>
                <w:rFonts w:eastAsia="Times New Roman"/>
                <w:b/>
                <w:bCs/>
                <w:szCs w:val="24"/>
                <w:lang w:eastAsia="cs-CZ"/>
              </w:rPr>
              <w:t>68</w:t>
            </w:r>
          </w:p>
        </w:tc>
        <w:tc>
          <w:tcPr>
            <w:tcW w:w="1927" w:type="dxa"/>
            <w:tcBorders>
              <w:top w:val="nil"/>
              <w:left w:val="nil"/>
              <w:bottom w:val="double" w:sz="6" w:space="0" w:color="auto"/>
              <w:right w:val="nil"/>
            </w:tcBorders>
            <w:shd w:val="clear" w:color="auto" w:fill="auto"/>
            <w:noWrap/>
            <w:vAlign w:val="center"/>
            <w:hideMark/>
          </w:tcPr>
          <w:p w14:paraId="3C1ED754" w14:textId="3417D9B7" w:rsidR="001431C9" w:rsidRPr="00F85178" w:rsidRDefault="001431C9" w:rsidP="001431C9">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r>
    </w:tbl>
    <w:p w14:paraId="1C2C10C2" w14:textId="77777777" w:rsidR="001431C9" w:rsidRPr="00F85178" w:rsidRDefault="001431C9" w:rsidP="00205FD6"/>
    <w:p w14:paraId="618BA9CE" w14:textId="77777777" w:rsidR="00D024B3" w:rsidRPr="00F85178" w:rsidRDefault="00D024B3">
      <w:pPr>
        <w:spacing w:line="240" w:lineRule="auto"/>
        <w:jc w:val="left"/>
      </w:pPr>
      <w:r w:rsidRPr="00F85178">
        <w:br w:type="page"/>
      </w:r>
    </w:p>
    <w:p w14:paraId="45FE410B" w14:textId="77777777" w:rsidR="00D024B3" w:rsidRPr="00F85178" w:rsidRDefault="00D024B3" w:rsidP="00D024B3">
      <w:pPr>
        <w:pStyle w:val="Nadpis2"/>
      </w:pPr>
      <w:bookmarkStart w:id="423" w:name="_Toc515871257"/>
      <w:bookmarkStart w:id="424" w:name="_Toc14076906"/>
      <w:r w:rsidRPr="00F85178">
        <w:t>Trestní prvostupňová agenda</w:t>
      </w:r>
      <w:bookmarkEnd w:id="423"/>
      <w:bookmarkEnd w:id="424"/>
    </w:p>
    <w:p w14:paraId="46120A7A" w14:textId="77777777" w:rsidR="004F6913" w:rsidRPr="00F85178" w:rsidRDefault="004F6913" w:rsidP="004F6913">
      <w:pPr>
        <w:pStyle w:val="OdstavecASR"/>
      </w:pPr>
      <w:r w:rsidRPr="00F85178">
        <w:t>Situace v prvostupňové trestní agendě je z hlediska statistického sledování jednoduchá. Zkoumáme hlavní trestní agendu – rejstříky T a Tm. K žádným významným změnám ve vedení statistik v trestní agendě nedošlo a nemusíme se tedy obávat zkreslení v časových řadách. Na rozdíl od OS také není nutné očišťovat data o věci vyřízené trestním příkazem. KS totiž vyřizují výrazně složitější agendu, a věci trestním příkazem proto téměř nerozhodují. Podle trestního řádu koná krajský soud v prvním stupni řízení o trestných činech, pokud za ně zákon stanoví trest odnětí svobody, jehož dolní hranice činí nejméně pět let, nebo pokud za ně lze uložit výjimečný trest, a dále o vymezených trestných činech.</w:t>
      </w:r>
    </w:p>
    <w:p w14:paraId="3D28CF19" w14:textId="77777777" w:rsidR="00D024B3" w:rsidRPr="00F85178" w:rsidRDefault="00D024B3" w:rsidP="00D024B3">
      <w:pPr>
        <w:pStyle w:val="Nadpis3"/>
        <w:rPr>
          <w:color w:val="auto"/>
        </w:rPr>
      </w:pPr>
      <w:bookmarkStart w:id="425" w:name="_Toc515871258"/>
      <w:bookmarkStart w:id="426" w:name="_Toc14076907"/>
      <w:r w:rsidRPr="00F85178">
        <w:rPr>
          <w:color w:val="auto"/>
        </w:rPr>
        <w:t>Délka řízení</w:t>
      </w:r>
      <w:bookmarkEnd w:id="425"/>
      <w:bookmarkEnd w:id="426"/>
    </w:p>
    <w:p w14:paraId="619DD7AF" w14:textId="77777777" w:rsidR="00D024B3" w:rsidRPr="00F85178" w:rsidRDefault="00D024B3" w:rsidP="00D024B3">
      <w:pPr>
        <w:pStyle w:val="Podtitul"/>
        <w:rPr>
          <w:color w:val="auto"/>
        </w:rPr>
      </w:pPr>
      <w:bookmarkStart w:id="427" w:name="_Toc515871389"/>
      <w:bookmarkStart w:id="428" w:name="_Toc11135120"/>
      <w:bookmarkStart w:id="429" w:name="_Toc13837552"/>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59</w:t>
      </w:r>
      <w:r w:rsidRPr="00F85178">
        <w:rPr>
          <w:noProof/>
          <w:color w:val="auto"/>
        </w:rPr>
        <w:fldChar w:fldCharType="end"/>
      </w:r>
      <w:r w:rsidRPr="00F85178">
        <w:rPr>
          <w:color w:val="auto"/>
        </w:rPr>
        <w:t>: KS – délka prvostupňového trestního řízení v letech 2008–</w:t>
      </w:r>
      <w:bookmarkEnd w:id="427"/>
      <w:r w:rsidR="00AA7BB3" w:rsidRPr="00F85178">
        <w:rPr>
          <w:color w:val="auto"/>
        </w:rPr>
        <w:t>2018</w:t>
      </w:r>
      <w:bookmarkEnd w:id="428"/>
      <w:bookmarkEnd w:id="429"/>
    </w:p>
    <w:p w14:paraId="7F683A19" w14:textId="77777777" w:rsidR="001431C9" w:rsidRPr="00F85178" w:rsidRDefault="00890295" w:rsidP="00205FD6">
      <w:r>
        <w:rPr>
          <w:noProof/>
          <w:lang w:eastAsia="cs-CZ"/>
        </w:rPr>
        <w:drawing>
          <wp:inline distT="0" distB="0" distL="0" distR="0" wp14:anchorId="6C4F0666" wp14:editId="2EB558B0">
            <wp:extent cx="5118100" cy="3746500"/>
            <wp:effectExtent l="0" t="0" r="0" b="0"/>
            <wp:docPr id="62" name="Obrázek 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2"/>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C89D601" w14:textId="77777777" w:rsidR="004F6913" w:rsidRPr="00F85178" w:rsidRDefault="004F6913" w:rsidP="004F6913">
      <w:pPr>
        <w:pStyle w:val="OdstavecASR"/>
      </w:pPr>
      <w:r w:rsidRPr="00F85178">
        <w:t>Z grafu je patrné, že délky řízení jsou z dlouhodobého hlediska poměrně stabilní – není zde přítomný žádný dlouhodobý trend. V </w:t>
      </w:r>
      <w:r w:rsidR="0044720E" w:rsidRPr="00F85178">
        <w:t xml:space="preserve">letech </w:t>
      </w:r>
      <w:r w:rsidRPr="00F85178">
        <w:t>2017</w:t>
      </w:r>
      <w:r w:rsidR="0044720E" w:rsidRPr="00F85178">
        <w:t xml:space="preserve"> a 2018</w:t>
      </w:r>
      <w:r w:rsidRPr="00F85178">
        <w:t xml:space="preserve"> ale poměrně výrazně vzrostl průměr a </w:t>
      </w:r>
      <w:r w:rsidR="00127F70" w:rsidRPr="00F85178">
        <w:t>velmi dra</w:t>
      </w:r>
      <w:r w:rsidR="0044720E" w:rsidRPr="00F85178">
        <w:t xml:space="preserve">maticky </w:t>
      </w:r>
      <w:r w:rsidRPr="00F85178">
        <w:t>také devadesátý percentil, který po několika letech přestal klesat.</w:t>
      </w:r>
    </w:p>
    <w:p w14:paraId="2EE3C732" w14:textId="77777777" w:rsidR="00127F70" w:rsidRPr="00F85178" w:rsidRDefault="004F6913" w:rsidP="004F6913">
      <w:pPr>
        <w:pStyle w:val="OdstavecASR"/>
      </w:pPr>
      <w:r w:rsidRPr="00F85178">
        <w:t xml:space="preserve">Délky řízení jsou u krajských soudů výrazně vyšší než u soudů okresních. Vzhledem ke složitosti vyřizované agendy je to zcela logický výsledek. </w:t>
      </w:r>
      <w:r w:rsidR="00127F70" w:rsidRPr="00F85178">
        <w:t>Vývoj délek řízení není pro konkrétní krajské soudy</w:t>
      </w:r>
      <w:r w:rsidR="00AA7BB3" w:rsidRPr="00F85178">
        <w:t xml:space="preserve"> jednotný</w:t>
      </w:r>
      <w:r w:rsidR="00127F70" w:rsidRPr="00F85178">
        <w:t>, takže hodnoty za celou ČR v grafu 59 jsou výsledkem několika protichůdných tendencí.</w:t>
      </w:r>
    </w:p>
    <w:p w14:paraId="735D930A" w14:textId="77777777" w:rsidR="004F6913" w:rsidRPr="00F85178" w:rsidRDefault="00127F70" w:rsidP="004F6913">
      <w:pPr>
        <w:pStyle w:val="OdstavecASR"/>
      </w:pPr>
      <w:r w:rsidRPr="00F85178">
        <w:t>Jako znepokojivý se může jevit vývoj délek řízení např. u MS Praha</w:t>
      </w:r>
      <w:r w:rsidR="00E75190" w:rsidRPr="00F85178">
        <w:t>, KS Brno</w:t>
      </w:r>
      <w:r w:rsidRPr="00F85178">
        <w:t xml:space="preserve"> </w:t>
      </w:r>
      <w:r w:rsidR="002B0512" w:rsidRPr="00F85178">
        <w:t>a KS Ostrava, u </w:t>
      </w:r>
      <w:r w:rsidRPr="00F85178">
        <w:t xml:space="preserve">kterých v běhu let dochází k výraznému nárůstu délek řízení. </w:t>
      </w:r>
      <w:r w:rsidR="002B0512" w:rsidRPr="00F85178">
        <w:t>Opačný vývoj v posledních třech letech lze pozorovat u </w:t>
      </w:r>
      <w:r w:rsidR="00E75190" w:rsidRPr="00F85178">
        <w:t>KS </w:t>
      </w:r>
      <w:r w:rsidRPr="00F85178">
        <w:t xml:space="preserve">Praha nebo KS </w:t>
      </w:r>
      <w:r w:rsidR="00E75190" w:rsidRPr="00F85178">
        <w:t>Hradec Králové.</w:t>
      </w:r>
      <w:r w:rsidRPr="00F85178">
        <w:t xml:space="preserve"> </w:t>
      </w:r>
      <w:r w:rsidR="0044720E" w:rsidRPr="00F85178">
        <w:t xml:space="preserve">Jako na houpačce se zdá být vývoj délek řízení </w:t>
      </w:r>
      <w:r w:rsidR="002B0512" w:rsidRPr="00F85178">
        <w:t xml:space="preserve">v těchto letech </w:t>
      </w:r>
      <w:r w:rsidR="0044720E" w:rsidRPr="00F85178">
        <w:t>u</w:t>
      </w:r>
      <w:r w:rsidR="004F6913" w:rsidRPr="00F85178">
        <w:t xml:space="preserve"> KS České Budějovice</w:t>
      </w:r>
      <w:r w:rsidRPr="00F85178">
        <w:t xml:space="preserve"> nebo KS Plzeň</w:t>
      </w:r>
      <w:r w:rsidR="004F6913" w:rsidRPr="00F85178">
        <w:t>.</w:t>
      </w:r>
    </w:p>
    <w:p w14:paraId="67DEEA94" w14:textId="77777777" w:rsidR="004F6913" w:rsidRPr="00F85178" w:rsidRDefault="00E75190" w:rsidP="004F6913">
      <w:pPr>
        <w:pStyle w:val="OdstavecASR"/>
      </w:pPr>
      <w:r w:rsidRPr="00F85178">
        <w:t>Rychlé změny délek řízení u jednotlivých soudů</w:t>
      </w:r>
      <w:r w:rsidR="004F6913" w:rsidRPr="00F85178">
        <w:t xml:space="preserve"> j</w:t>
      </w:r>
      <w:r w:rsidR="00B11D20" w:rsidRPr="00F85178">
        <w:t>sou</w:t>
      </w:r>
      <w:r w:rsidR="004F6913" w:rsidRPr="00F85178">
        <w:t xml:space="preserve"> dán</w:t>
      </w:r>
      <w:r w:rsidR="00B11D20" w:rsidRPr="00F85178">
        <w:t>y</w:t>
      </w:r>
      <w:r w:rsidR="004F6913" w:rsidRPr="00F85178">
        <w:t xml:space="preserve"> malým počtem pozorování. Vliv má také to, že všechny kauzy jsou náročné na vyřízení (ve srovnání s OS), ale v náročnosti jednotlivých případů existují významné rozdíly. Změny se </w:t>
      </w:r>
      <w:r w:rsidRPr="00F85178">
        <w:t xml:space="preserve">v minulosti </w:t>
      </w:r>
      <w:r w:rsidR="004F6913" w:rsidRPr="00F85178">
        <w:t xml:space="preserve">vzájemně obvykle </w:t>
      </w:r>
      <w:r w:rsidR="00E17097" w:rsidRPr="00F85178">
        <w:t>vykompenzoval</w:t>
      </w:r>
      <w:r w:rsidR="003E4633" w:rsidRPr="00F85178">
        <w:t>y</w:t>
      </w:r>
      <w:r w:rsidR="004F6913" w:rsidRPr="00F85178">
        <w:t xml:space="preserve">, takže změny v celorepublikové délce řízení </w:t>
      </w:r>
      <w:r w:rsidR="00E17097" w:rsidRPr="00F85178">
        <w:t xml:space="preserve">nebyly </w:t>
      </w:r>
      <w:r w:rsidR="004F6913" w:rsidRPr="00F85178">
        <w:t>tak významné.</w:t>
      </w:r>
      <w:r w:rsidR="00E17097" w:rsidRPr="00F85178">
        <w:t xml:space="preserve"> </w:t>
      </w:r>
      <w:r w:rsidR="00B11D20" w:rsidRPr="00F85178">
        <w:t>J</w:t>
      </w:r>
      <w:r w:rsidR="00E17097" w:rsidRPr="00F85178">
        <w:t xml:space="preserve">e tedy potřebné </w:t>
      </w:r>
      <w:r w:rsidR="00B11D20" w:rsidRPr="00F85178">
        <w:t>počkat na další data</w:t>
      </w:r>
      <w:r w:rsidR="00E17097" w:rsidRPr="00F85178">
        <w:t>, aby bylo jasnější</w:t>
      </w:r>
      <w:r w:rsidR="003E4633" w:rsidRPr="00F85178">
        <w:t>m,</w:t>
      </w:r>
      <w:r w:rsidR="00E17097" w:rsidRPr="00F85178">
        <w:t xml:space="preserve"> zda jde o výkyv</w:t>
      </w:r>
      <w:r w:rsidR="00475FE9" w:rsidRPr="00F85178">
        <w:t>,</w:t>
      </w:r>
      <w:r w:rsidR="00E17097" w:rsidRPr="00F85178">
        <w:t xml:space="preserve"> nebo dlouhodobější trend.</w:t>
      </w:r>
    </w:p>
    <w:p w14:paraId="6DDA2B05" w14:textId="77777777" w:rsidR="00577AF4" w:rsidRPr="00F85178" w:rsidRDefault="00577AF4" w:rsidP="00577AF4">
      <w:pPr>
        <w:pStyle w:val="Podtitul"/>
        <w:rPr>
          <w:color w:val="auto"/>
        </w:rPr>
      </w:pPr>
      <w:bookmarkStart w:id="430" w:name="_Toc515871478"/>
      <w:bookmarkStart w:id="431" w:name="_Toc11133246"/>
      <w:bookmarkStart w:id="432" w:name="_Toc1383746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44</w:t>
      </w:r>
      <w:r w:rsidRPr="00F85178">
        <w:rPr>
          <w:noProof/>
          <w:color w:val="auto"/>
        </w:rPr>
        <w:fldChar w:fldCharType="end"/>
      </w:r>
      <w:r w:rsidRPr="00F85178">
        <w:rPr>
          <w:color w:val="auto"/>
        </w:rPr>
        <w:t>: KS – délky prvostupňového trestního řízení dle soudů</w:t>
      </w:r>
      <w:bookmarkEnd w:id="430"/>
      <w:bookmarkEnd w:id="431"/>
      <w:bookmarkEnd w:id="432"/>
    </w:p>
    <w:tbl>
      <w:tblPr>
        <w:tblW w:w="7520" w:type="dxa"/>
        <w:tblCellMar>
          <w:left w:w="70" w:type="dxa"/>
          <w:right w:w="70" w:type="dxa"/>
        </w:tblCellMar>
        <w:tblLook w:val="04A0" w:firstRow="1" w:lastRow="0" w:firstColumn="1" w:lastColumn="0" w:noHBand="0" w:noVBand="1"/>
      </w:tblPr>
      <w:tblGrid>
        <w:gridCol w:w="2480"/>
        <w:gridCol w:w="617"/>
        <w:gridCol w:w="948"/>
        <w:gridCol w:w="617"/>
        <w:gridCol w:w="948"/>
        <w:gridCol w:w="804"/>
        <w:gridCol w:w="1106"/>
      </w:tblGrid>
      <w:tr w:rsidR="00F85178" w:rsidRPr="00F85178" w14:paraId="40A53E10" w14:textId="77777777" w:rsidTr="00577AF4">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5B1574D" w14:textId="111C1D13" w:rsidR="00577AF4" w:rsidRPr="00F85178" w:rsidRDefault="00F2120F" w:rsidP="00577AF4">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5F6F01CF"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0A00F0E4" w14:textId="77777777" w:rsidTr="00577AF4">
        <w:trPr>
          <w:trHeight w:val="330"/>
        </w:trPr>
        <w:tc>
          <w:tcPr>
            <w:tcW w:w="2480" w:type="dxa"/>
            <w:vMerge/>
            <w:tcBorders>
              <w:top w:val="double" w:sz="6" w:space="0" w:color="auto"/>
              <w:left w:val="nil"/>
              <w:bottom w:val="double" w:sz="6" w:space="0" w:color="000000"/>
              <w:right w:val="nil"/>
            </w:tcBorders>
            <w:vAlign w:val="center"/>
            <w:hideMark/>
          </w:tcPr>
          <w:p w14:paraId="1E4AB9D1" w14:textId="77777777" w:rsidR="00577AF4" w:rsidRPr="00F85178" w:rsidRDefault="00577AF4" w:rsidP="00577AF4">
            <w:pPr>
              <w:spacing w:line="240" w:lineRule="auto"/>
              <w:jc w:val="left"/>
              <w:rPr>
                <w:rFonts w:eastAsia="Times New Roman"/>
                <w:b/>
                <w:bCs/>
                <w:szCs w:val="24"/>
                <w:lang w:eastAsia="cs-CZ"/>
              </w:rPr>
            </w:pPr>
          </w:p>
        </w:tc>
        <w:tc>
          <w:tcPr>
            <w:tcW w:w="1565" w:type="dxa"/>
            <w:gridSpan w:val="2"/>
            <w:tcBorders>
              <w:top w:val="nil"/>
              <w:left w:val="nil"/>
              <w:bottom w:val="double" w:sz="6" w:space="0" w:color="auto"/>
              <w:right w:val="nil"/>
            </w:tcBorders>
            <w:shd w:val="clear" w:color="auto" w:fill="auto"/>
            <w:noWrap/>
            <w:vAlign w:val="center"/>
            <w:hideMark/>
          </w:tcPr>
          <w:p w14:paraId="33C73DC6"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56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D99AD44"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910" w:type="dxa"/>
            <w:gridSpan w:val="2"/>
            <w:tcBorders>
              <w:top w:val="nil"/>
              <w:left w:val="nil"/>
              <w:bottom w:val="double" w:sz="6" w:space="0" w:color="auto"/>
              <w:right w:val="nil"/>
            </w:tcBorders>
            <w:shd w:val="clear" w:color="auto" w:fill="auto"/>
            <w:noWrap/>
            <w:vAlign w:val="center"/>
            <w:hideMark/>
          </w:tcPr>
          <w:p w14:paraId="0B990FD4"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7A3FD01B" w14:textId="77777777" w:rsidTr="00577AF4">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1260922"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MS Praha</w:t>
            </w:r>
          </w:p>
        </w:tc>
        <w:tc>
          <w:tcPr>
            <w:tcW w:w="617" w:type="dxa"/>
            <w:tcBorders>
              <w:top w:val="single" w:sz="4" w:space="0" w:color="auto"/>
              <w:left w:val="nil"/>
              <w:bottom w:val="single" w:sz="4" w:space="0" w:color="auto"/>
              <w:right w:val="nil"/>
            </w:tcBorders>
            <w:shd w:val="clear" w:color="auto" w:fill="auto"/>
            <w:noWrap/>
            <w:vAlign w:val="bottom"/>
            <w:hideMark/>
          </w:tcPr>
          <w:p w14:paraId="0B3940EF"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624</w:t>
            </w:r>
          </w:p>
        </w:tc>
        <w:tc>
          <w:tcPr>
            <w:tcW w:w="948" w:type="dxa"/>
            <w:tcBorders>
              <w:top w:val="single" w:sz="4" w:space="0" w:color="auto"/>
              <w:left w:val="nil"/>
              <w:bottom w:val="single" w:sz="4" w:space="0" w:color="auto"/>
              <w:right w:val="nil"/>
            </w:tcBorders>
            <w:shd w:val="clear" w:color="auto" w:fill="auto"/>
            <w:noWrap/>
            <w:vAlign w:val="center"/>
            <w:hideMark/>
          </w:tcPr>
          <w:p w14:paraId="2E7CD3A9"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617" w:type="dxa"/>
            <w:tcBorders>
              <w:top w:val="nil"/>
              <w:left w:val="single" w:sz="4" w:space="0" w:color="auto"/>
              <w:bottom w:val="single" w:sz="4" w:space="0" w:color="auto"/>
              <w:right w:val="nil"/>
            </w:tcBorders>
            <w:shd w:val="clear" w:color="auto" w:fill="auto"/>
            <w:noWrap/>
            <w:vAlign w:val="bottom"/>
            <w:hideMark/>
          </w:tcPr>
          <w:p w14:paraId="05D0D523"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364</w:t>
            </w:r>
          </w:p>
        </w:tc>
        <w:tc>
          <w:tcPr>
            <w:tcW w:w="948" w:type="dxa"/>
            <w:tcBorders>
              <w:top w:val="nil"/>
              <w:left w:val="nil"/>
              <w:bottom w:val="single" w:sz="4" w:space="0" w:color="auto"/>
              <w:right w:val="single" w:sz="4" w:space="0" w:color="auto"/>
            </w:tcBorders>
            <w:shd w:val="clear" w:color="auto" w:fill="auto"/>
            <w:noWrap/>
            <w:vAlign w:val="center"/>
            <w:hideMark/>
          </w:tcPr>
          <w:p w14:paraId="378D51EB"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804" w:type="dxa"/>
            <w:tcBorders>
              <w:top w:val="single" w:sz="4" w:space="0" w:color="auto"/>
              <w:left w:val="nil"/>
              <w:bottom w:val="single" w:sz="4" w:space="0" w:color="auto"/>
              <w:right w:val="nil"/>
            </w:tcBorders>
            <w:shd w:val="clear" w:color="auto" w:fill="auto"/>
            <w:noWrap/>
            <w:vAlign w:val="bottom"/>
            <w:hideMark/>
          </w:tcPr>
          <w:p w14:paraId="438C72AC"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w:t>
            </w:r>
            <w:r w:rsidR="00475FE9" w:rsidRPr="00F85178">
              <w:rPr>
                <w:rFonts w:eastAsia="Times New Roman"/>
                <w:szCs w:val="24"/>
                <w:lang w:eastAsia="cs-CZ"/>
              </w:rPr>
              <w:t xml:space="preserve"> </w:t>
            </w:r>
            <w:r w:rsidRPr="00F85178">
              <w:rPr>
                <w:rFonts w:eastAsia="Times New Roman"/>
                <w:szCs w:val="24"/>
                <w:lang w:eastAsia="cs-CZ"/>
              </w:rPr>
              <w:t>392</w:t>
            </w:r>
          </w:p>
        </w:tc>
        <w:tc>
          <w:tcPr>
            <w:tcW w:w="1106" w:type="dxa"/>
            <w:tcBorders>
              <w:top w:val="single" w:sz="4" w:space="0" w:color="auto"/>
              <w:left w:val="nil"/>
              <w:bottom w:val="single" w:sz="4" w:space="0" w:color="auto"/>
              <w:right w:val="nil"/>
            </w:tcBorders>
            <w:shd w:val="clear" w:color="auto" w:fill="auto"/>
            <w:noWrap/>
            <w:vAlign w:val="center"/>
            <w:hideMark/>
          </w:tcPr>
          <w:p w14:paraId="7E180334"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+46 %</w:t>
            </w:r>
          </w:p>
        </w:tc>
      </w:tr>
      <w:tr w:rsidR="00F85178" w:rsidRPr="00F85178" w14:paraId="65A68051"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7D1FA380"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Praha</w:t>
            </w:r>
          </w:p>
        </w:tc>
        <w:tc>
          <w:tcPr>
            <w:tcW w:w="617" w:type="dxa"/>
            <w:tcBorders>
              <w:top w:val="nil"/>
              <w:left w:val="nil"/>
              <w:bottom w:val="single" w:sz="4" w:space="0" w:color="auto"/>
              <w:right w:val="nil"/>
            </w:tcBorders>
            <w:shd w:val="clear" w:color="auto" w:fill="auto"/>
            <w:noWrap/>
            <w:vAlign w:val="bottom"/>
            <w:hideMark/>
          </w:tcPr>
          <w:p w14:paraId="41D063E7"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211</w:t>
            </w:r>
          </w:p>
        </w:tc>
        <w:tc>
          <w:tcPr>
            <w:tcW w:w="948" w:type="dxa"/>
            <w:tcBorders>
              <w:top w:val="nil"/>
              <w:left w:val="nil"/>
              <w:bottom w:val="single" w:sz="4" w:space="0" w:color="auto"/>
              <w:right w:val="nil"/>
            </w:tcBorders>
            <w:shd w:val="clear" w:color="auto" w:fill="auto"/>
            <w:noWrap/>
            <w:vAlign w:val="center"/>
            <w:hideMark/>
          </w:tcPr>
          <w:p w14:paraId="72957F3D"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-26 %</w:t>
            </w:r>
          </w:p>
        </w:tc>
        <w:tc>
          <w:tcPr>
            <w:tcW w:w="617" w:type="dxa"/>
            <w:tcBorders>
              <w:top w:val="nil"/>
              <w:left w:val="single" w:sz="4" w:space="0" w:color="auto"/>
              <w:bottom w:val="single" w:sz="4" w:space="0" w:color="auto"/>
              <w:right w:val="nil"/>
            </w:tcBorders>
            <w:shd w:val="clear" w:color="auto" w:fill="auto"/>
            <w:noWrap/>
            <w:vAlign w:val="bottom"/>
            <w:hideMark/>
          </w:tcPr>
          <w:p w14:paraId="6C3F3DB2"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118</w:t>
            </w:r>
          </w:p>
        </w:tc>
        <w:tc>
          <w:tcPr>
            <w:tcW w:w="948" w:type="dxa"/>
            <w:tcBorders>
              <w:top w:val="nil"/>
              <w:left w:val="nil"/>
              <w:bottom w:val="single" w:sz="4" w:space="0" w:color="auto"/>
              <w:right w:val="single" w:sz="4" w:space="0" w:color="auto"/>
            </w:tcBorders>
            <w:shd w:val="clear" w:color="auto" w:fill="auto"/>
            <w:noWrap/>
            <w:vAlign w:val="center"/>
            <w:hideMark/>
          </w:tcPr>
          <w:p w14:paraId="512EBD4A"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804" w:type="dxa"/>
            <w:tcBorders>
              <w:top w:val="nil"/>
              <w:left w:val="nil"/>
              <w:bottom w:val="single" w:sz="4" w:space="0" w:color="auto"/>
              <w:right w:val="nil"/>
            </w:tcBorders>
            <w:shd w:val="clear" w:color="auto" w:fill="auto"/>
            <w:noWrap/>
            <w:vAlign w:val="bottom"/>
            <w:hideMark/>
          </w:tcPr>
          <w:p w14:paraId="0920A1D1"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358</w:t>
            </w:r>
          </w:p>
        </w:tc>
        <w:tc>
          <w:tcPr>
            <w:tcW w:w="1106" w:type="dxa"/>
            <w:tcBorders>
              <w:top w:val="nil"/>
              <w:left w:val="nil"/>
              <w:bottom w:val="single" w:sz="4" w:space="0" w:color="auto"/>
              <w:right w:val="nil"/>
            </w:tcBorders>
            <w:shd w:val="clear" w:color="auto" w:fill="auto"/>
            <w:noWrap/>
            <w:vAlign w:val="center"/>
            <w:hideMark/>
          </w:tcPr>
          <w:p w14:paraId="43EC91E9"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-49 %</w:t>
            </w:r>
          </w:p>
        </w:tc>
      </w:tr>
      <w:tr w:rsidR="00F85178" w:rsidRPr="00F85178" w14:paraId="1B6E7F62"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3F959A1D"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Č. Budějovice</w:t>
            </w:r>
          </w:p>
        </w:tc>
        <w:tc>
          <w:tcPr>
            <w:tcW w:w="617" w:type="dxa"/>
            <w:tcBorders>
              <w:top w:val="nil"/>
              <w:left w:val="nil"/>
              <w:bottom w:val="single" w:sz="4" w:space="0" w:color="auto"/>
              <w:right w:val="nil"/>
            </w:tcBorders>
            <w:shd w:val="clear" w:color="auto" w:fill="auto"/>
            <w:noWrap/>
            <w:vAlign w:val="bottom"/>
            <w:hideMark/>
          </w:tcPr>
          <w:p w14:paraId="69461995"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375</w:t>
            </w:r>
          </w:p>
        </w:tc>
        <w:tc>
          <w:tcPr>
            <w:tcW w:w="948" w:type="dxa"/>
            <w:tcBorders>
              <w:top w:val="nil"/>
              <w:left w:val="nil"/>
              <w:bottom w:val="single" w:sz="4" w:space="0" w:color="auto"/>
              <w:right w:val="nil"/>
            </w:tcBorders>
            <w:shd w:val="clear" w:color="auto" w:fill="auto"/>
            <w:noWrap/>
            <w:vAlign w:val="center"/>
            <w:hideMark/>
          </w:tcPr>
          <w:p w14:paraId="41505B2C"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-54 %</w:t>
            </w:r>
          </w:p>
        </w:tc>
        <w:tc>
          <w:tcPr>
            <w:tcW w:w="617" w:type="dxa"/>
            <w:tcBorders>
              <w:top w:val="nil"/>
              <w:left w:val="single" w:sz="4" w:space="0" w:color="auto"/>
              <w:bottom w:val="single" w:sz="4" w:space="0" w:color="auto"/>
              <w:right w:val="nil"/>
            </w:tcBorders>
            <w:shd w:val="clear" w:color="auto" w:fill="auto"/>
            <w:noWrap/>
            <w:vAlign w:val="bottom"/>
            <w:hideMark/>
          </w:tcPr>
          <w:p w14:paraId="42C66BFE"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167</w:t>
            </w:r>
          </w:p>
        </w:tc>
        <w:tc>
          <w:tcPr>
            <w:tcW w:w="948" w:type="dxa"/>
            <w:tcBorders>
              <w:top w:val="nil"/>
              <w:left w:val="nil"/>
              <w:bottom w:val="single" w:sz="4" w:space="0" w:color="auto"/>
              <w:right w:val="single" w:sz="4" w:space="0" w:color="auto"/>
            </w:tcBorders>
            <w:shd w:val="clear" w:color="auto" w:fill="auto"/>
            <w:noWrap/>
            <w:vAlign w:val="center"/>
            <w:hideMark/>
          </w:tcPr>
          <w:p w14:paraId="5129D447"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-83 %</w:t>
            </w:r>
          </w:p>
        </w:tc>
        <w:tc>
          <w:tcPr>
            <w:tcW w:w="804" w:type="dxa"/>
            <w:tcBorders>
              <w:top w:val="nil"/>
              <w:left w:val="nil"/>
              <w:bottom w:val="single" w:sz="4" w:space="0" w:color="auto"/>
              <w:right w:val="nil"/>
            </w:tcBorders>
            <w:shd w:val="clear" w:color="auto" w:fill="auto"/>
            <w:noWrap/>
            <w:vAlign w:val="bottom"/>
            <w:hideMark/>
          </w:tcPr>
          <w:p w14:paraId="4CC17BF0"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w:t>
            </w:r>
            <w:r w:rsidR="00475FE9" w:rsidRPr="00F85178">
              <w:rPr>
                <w:rFonts w:eastAsia="Times New Roman"/>
                <w:szCs w:val="24"/>
                <w:lang w:eastAsia="cs-CZ"/>
              </w:rPr>
              <w:t xml:space="preserve"> </w:t>
            </w:r>
            <w:r w:rsidRPr="00F85178">
              <w:rPr>
                <w:rFonts w:eastAsia="Times New Roman"/>
                <w:szCs w:val="24"/>
                <w:lang w:eastAsia="cs-CZ"/>
              </w:rPr>
              <w:t>122</w:t>
            </w:r>
          </w:p>
        </w:tc>
        <w:tc>
          <w:tcPr>
            <w:tcW w:w="1106" w:type="dxa"/>
            <w:tcBorders>
              <w:top w:val="nil"/>
              <w:left w:val="nil"/>
              <w:bottom w:val="single" w:sz="4" w:space="0" w:color="auto"/>
              <w:right w:val="nil"/>
            </w:tcBorders>
            <w:shd w:val="clear" w:color="auto" w:fill="auto"/>
            <w:noWrap/>
            <w:vAlign w:val="center"/>
            <w:hideMark/>
          </w:tcPr>
          <w:p w14:paraId="35BC7F5A"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716612CB"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7919845A"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Plzeň</w:t>
            </w:r>
          </w:p>
        </w:tc>
        <w:tc>
          <w:tcPr>
            <w:tcW w:w="617" w:type="dxa"/>
            <w:tcBorders>
              <w:top w:val="nil"/>
              <w:left w:val="nil"/>
              <w:bottom w:val="single" w:sz="4" w:space="0" w:color="auto"/>
              <w:right w:val="nil"/>
            </w:tcBorders>
            <w:shd w:val="clear" w:color="auto" w:fill="auto"/>
            <w:noWrap/>
            <w:vAlign w:val="bottom"/>
            <w:hideMark/>
          </w:tcPr>
          <w:p w14:paraId="62F761E9"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559</w:t>
            </w:r>
          </w:p>
        </w:tc>
        <w:tc>
          <w:tcPr>
            <w:tcW w:w="948" w:type="dxa"/>
            <w:tcBorders>
              <w:top w:val="nil"/>
              <w:left w:val="nil"/>
              <w:bottom w:val="single" w:sz="4" w:space="0" w:color="auto"/>
              <w:right w:val="nil"/>
            </w:tcBorders>
            <w:shd w:val="clear" w:color="auto" w:fill="auto"/>
            <w:noWrap/>
            <w:vAlign w:val="center"/>
            <w:hideMark/>
          </w:tcPr>
          <w:p w14:paraId="4774132B"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+36 %</w:t>
            </w:r>
          </w:p>
        </w:tc>
        <w:tc>
          <w:tcPr>
            <w:tcW w:w="617" w:type="dxa"/>
            <w:tcBorders>
              <w:top w:val="nil"/>
              <w:left w:val="single" w:sz="4" w:space="0" w:color="auto"/>
              <w:bottom w:val="single" w:sz="4" w:space="0" w:color="auto"/>
              <w:right w:val="nil"/>
            </w:tcBorders>
            <w:shd w:val="clear" w:color="auto" w:fill="auto"/>
            <w:noWrap/>
            <w:vAlign w:val="bottom"/>
            <w:hideMark/>
          </w:tcPr>
          <w:p w14:paraId="4B102533"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285</w:t>
            </w:r>
          </w:p>
        </w:tc>
        <w:tc>
          <w:tcPr>
            <w:tcW w:w="948" w:type="dxa"/>
            <w:tcBorders>
              <w:top w:val="nil"/>
              <w:left w:val="nil"/>
              <w:bottom w:val="single" w:sz="4" w:space="0" w:color="auto"/>
              <w:right w:val="single" w:sz="4" w:space="0" w:color="auto"/>
            </w:tcBorders>
            <w:shd w:val="clear" w:color="auto" w:fill="auto"/>
            <w:noWrap/>
            <w:vAlign w:val="center"/>
            <w:hideMark/>
          </w:tcPr>
          <w:p w14:paraId="456FE16E"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+45 %</w:t>
            </w:r>
          </w:p>
        </w:tc>
        <w:tc>
          <w:tcPr>
            <w:tcW w:w="804" w:type="dxa"/>
            <w:tcBorders>
              <w:top w:val="nil"/>
              <w:left w:val="nil"/>
              <w:bottom w:val="single" w:sz="4" w:space="0" w:color="auto"/>
              <w:right w:val="nil"/>
            </w:tcBorders>
            <w:shd w:val="clear" w:color="auto" w:fill="auto"/>
            <w:noWrap/>
            <w:vAlign w:val="bottom"/>
            <w:hideMark/>
          </w:tcPr>
          <w:p w14:paraId="702812DF"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w:t>
            </w:r>
            <w:r w:rsidR="00475FE9" w:rsidRPr="00F85178">
              <w:rPr>
                <w:rFonts w:eastAsia="Times New Roman"/>
                <w:szCs w:val="24"/>
                <w:lang w:eastAsia="cs-CZ"/>
              </w:rPr>
              <w:t xml:space="preserve"> </w:t>
            </w:r>
            <w:r w:rsidRPr="00F85178">
              <w:rPr>
                <w:rFonts w:eastAsia="Times New Roman"/>
                <w:szCs w:val="24"/>
                <w:lang w:eastAsia="cs-CZ"/>
              </w:rPr>
              <w:t>444</w:t>
            </w:r>
          </w:p>
        </w:tc>
        <w:tc>
          <w:tcPr>
            <w:tcW w:w="1106" w:type="dxa"/>
            <w:tcBorders>
              <w:top w:val="nil"/>
              <w:left w:val="nil"/>
              <w:bottom w:val="single" w:sz="4" w:space="0" w:color="auto"/>
              <w:right w:val="nil"/>
            </w:tcBorders>
            <w:shd w:val="clear" w:color="auto" w:fill="auto"/>
            <w:noWrap/>
            <w:vAlign w:val="center"/>
            <w:hideMark/>
          </w:tcPr>
          <w:p w14:paraId="4C68F404"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+21 %</w:t>
            </w:r>
          </w:p>
        </w:tc>
      </w:tr>
      <w:tr w:rsidR="00F85178" w:rsidRPr="00F85178" w14:paraId="19C399F1"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73EBF1AD"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Ústí n. Labem</w:t>
            </w:r>
          </w:p>
        </w:tc>
        <w:tc>
          <w:tcPr>
            <w:tcW w:w="617" w:type="dxa"/>
            <w:tcBorders>
              <w:top w:val="nil"/>
              <w:left w:val="nil"/>
              <w:bottom w:val="single" w:sz="4" w:space="0" w:color="auto"/>
              <w:right w:val="nil"/>
            </w:tcBorders>
            <w:shd w:val="clear" w:color="auto" w:fill="auto"/>
            <w:noWrap/>
            <w:vAlign w:val="bottom"/>
            <w:hideMark/>
          </w:tcPr>
          <w:p w14:paraId="3DA36479"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566</w:t>
            </w:r>
          </w:p>
        </w:tc>
        <w:tc>
          <w:tcPr>
            <w:tcW w:w="948" w:type="dxa"/>
            <w:tcBorders>
              <w:top w:val="nil"/>
              <w:left w:val="nil"/>
              <w:bottom w:val="single" w:sz="4" w:space="0" w:color="auto"/>
              <w:right w:val="nil"/>
            </w:tcBorders>
            <w:shd w:val="clear" w:color="auto" w:fill="auto"/>
            <w:noWrap/>
            <w:vAlign w:val="center"/>
            <w:hideMark/>
          </w:tcPr>
          <w:p w14:paraId="40523BB7"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+36 %</w:t>
            </w:r>
          </w:p>
        </w:tc>
        <w:tc>
          <w:tcPr>
            <w:tcW w:w="617" w:type="dxa"/>
            <w:tcBorders>
              <w:top w:val="nil"/>
              <w:left w:val="single" w:sz="4" w:space="0" w:color="auto"/>
              <w:bottom w:val="single" w:sz="4" w:space="0" w:color="auto"/>
              <w:right w:val="nil"/>
            </w:tcBorders>
            <w:shd w:val="clear" w:color="auto" w:fill="auto"/>
            <w:noWrap/>
            <w:vAlign w:val="bottom"/>
            <w:hideMark/>
          </w:tcPr>
          <w:p w14:paraId="2DC9B971"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324</w:t>
            </w:r>
          </w:p>
        </w:tc>
        <w:tc>
          <w:tcPr>
            <w:tcW w:w="948" w:type="dxa"/>
            <w:tcBorders>
              <w:top w:val="nil"/>
              <w:left w:val="nil"/>
              <w:bottom w:val="single" w:sz="4" w:space="0" w:color="auto"/>
              <w:right w:val="single" w:sz="4" w:space="0" w:color="auto"/>
            </w:tcBorders>
            <w:shd w:val="clear" w:color="auto" w:fill="auto"/>
            <w:noWrap/>
            <w:vAlign w:val="center"/>
            <w:hideMark/>
          </w:tcPr>
          <w:p w14:paraId="2EDBF559"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+32 %</w:t>
            </w:r>
          </w:p>
        </w:tc>
        <w:tc>
          <w:tcPr>
            <w:tcW w:w="804" w:type="dxa"/>
            <w:tcBorders>
              <w:top w:val="nil"/>
              <w:left w:val="nil"/>
              <w:bottom w:val="single" w:sz="4" w:space="0" w:color="auto"/>
              <w:right w:val="nil"/>
            </w:tcBorders>
            <w:shd w:val="clear" w:color="auto" w:fill="auto"/>
            <w:noWrap/>
            <w:vAlign w:val="bottom"/>
            <w:hideMark/>
          </w:tcPr>
          <w:p w14:paraId="4760343E"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w:t>
            </w:r>
            <w:r w:rsidR="00475FE9" w:rsidRPr="00F85178">
              <w:rPr>
                <w:rFonts w:eastAsia="Times New Roman"/>
                <w:szCs w:val="24"/>
                <w:lang w:eastAsia="cs-CZ"/>
              </w:rPr>
              <w:t xml:space="preserve"> </w:t>
            </w:r>
            <w:r w:rsidRPr="00F85178">
              <w:rPr>
                <w:rFonts w:eastAsia="Times New Roman"/>
                <w:szCs w:val="24"/>
                <w:lang w:eastAsia="cs-CZ"/>
              </w:rPr>
              <w:t>673</w:t>
            </w:r>
          </w:p>
        </w:tc>
        <w:tc>
          <w:tcPr>
            <w:tcW w:w="1106" w:type="dxa"/>
            <w:tcBorders>
              <w:top w:val="nil"/>
              <w:left w:val="nil"/>
              <w:bottom w:val="single" w:sz="4" w:space="0" w:color="auto"/>
              <w:right w:val="nil"/>
            </w:tcBorders>
            <w:shd w:val="clear" w:color="auto" w:fill="auto"/>
            <w:noWrap/>
            <w:vAlign w:val="center"/>
            <w:hideMark/>
          </w:tcPr>
          <w:p w14:paraId="50C1115A"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+144 %</w:t>
            </w:r>
          </w:p>
        </w:tc>
      </w:tr>
      <w:tr w:rsidR="00F85178" w:rsidRPr="00F85178" w14:paraId="5F1D7B22"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7FF569C5"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Hr. Králové</w:t>
            </w:r>
          </w:p>
        </w:tc>
        <w:tc>
          <w:tcPr>
            <w:tcW w:w="617" w:type="dxa"/>
            <w:tcBorders>
              <w:top w:val="nil"/>
              <w:left w:val="nil"/>
              <w:bottom w:val="single" w:sz="4" w:space="0" w:color="auto"/>
              <w:right w:val="nil"/>
            </w:tcBorders>
            <w:shd w:val="clear" w:color="auto" w:fill="auto"/>
            <w:noWrap/>
            <w:vAlign w:val="bottom"/>
            <w:hideMark/>
          </w:tcPr>
          <w:p w14:paraId="04E7A5C1"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328</w:t>
            </w:r>
          </w:p>
        </w:tc>
        <w:tc>
          <w:tcPr>
            <w:tcW w:w="948" w:type="dxa"/>
            <w:tcBorders>
              <w:top w:val="nil"/>
              <w:left w:val="nil"/>
              <w:bottom w:val="single" w:sz="4" w:space="0" w:color="auto"/>
              <w:right w:val="nil"/>
            </w:tcBorders>
            <w:shd w:val="clear" w:color="auto" w:fill="auto"/>
            <w:noWrap/>
            <w:vAlign w:val="center"/>
            <w:hideMark/>
          </w:tcPr>
          <w:p w14:paraId="45CE81E7"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617" w:type="dxa"/>
            <w:tcBorders>
              <w:top w:val="nil"/>
              <w:left w:val="single" w:sz="4" w:space="0" w:color="auto"/>
              <w:bottom w:val="single" w:sz="4" w:space="0" w:color="auto"/>
              <w:right w:val="nil"/>
            </w:tcBorders>
            <w:shd w:val="clear" w:color="auto" w:fill="auto"/>
            <w:noWrap/>
            <w:vAlign w:val="bottom"/>
            <w:hideMark/>
          </w:tcPr>
          <w:p w14:paraId="1E5A5BE1"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131</w:t>
            </w:r>
          </w:p>
        </w:tc>
        <w:tc>
          <w:tcPr>
            <w:tcW w:w="948" w:type="dxa"/>
            <w:tcBorders>
              <w:top w:val="nil"/>
              <w:left w:val="nil"/>
              <w:bottom w:val="single" w:sz="4" w:space="0" w:color="auto"/>
              <w:right w:val="single" w:sz="4" w:space="0" w:color="auto"/>
            </w:tcBorders>
            <w:shd w:val="clear" w:color="auto" w:fill="auto"/>
            <w:noWrap/>
            <w:vAlign w:val="center"/>
            <w:hideMark/>
          </w:tcPr>
          <w:p w14:paraId="0B837BDE"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804" w:type="dxa"/>
            <w:tcBorders>
              <w:top w:val="nil"/>
              <w:left w:val="nil"/>
              <w:bottom w:val="single" w:sz="4" w:space="0" w:color="auto"/>
              <w:right w:val="nil"/>
            </w:tcBorders>
            <w:shd w:val="clear" w:color="auto" w:fill="auto"/>
            <w:noWrap/>
            <w:vAlign w:val="bottom"/>
            <w:hideMark/>
          </w:tcPr>
          <w:p w14:paraId="4E339ECE"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725</w:t>
            </w:r>
          </w:p>
        </w:tc>
        <w:tc>
          <w:tcPr>
            <w:tcW w:w="1106" w:type="dxa"/>
            <w:tcBorders>
              <w:top w:val="nil"/>
              <w:left w:val="nil"/>
              <w:bottom w:val="single" w:sz="4" w:space="0" w:color="auto"/>
              <w:right w:val="nil"/>
            </w:tcBorders>
            <w:shd w:val="clear" w:color="auto" w:fill="auto"/>
            <w:noWrap/>
            <w:vAlign w:val="center"/>
            <w:hideMark/>
          </w:tcPr>
          <w:p w14:paraId="2D6036A7"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-35 %</w:t>
            </w:r>
          </w:p>
        </w:tc>
      </w:tr>
      <w:tr w:rsidR="00F85178" w:rsidRPr="00F85178" w14:paraId="13329F48" w14:textId="77777777" w:rsidTr="00577AF4">
        <w:trPr>
          <w:trHeight w:val="315"/>
        </w:trPr>
        <w:tc>
          <w:tcPr>
            <w:tcW w:w="2480" w:type="dxa"/>
            <w:tcBorders>
              <w:top w:val="nil"/>
              <w:left w:val="nil"/>
              <w:bottom w:val="single" w:sz="4" w:space="0" w:color="auto"/>
              <w:right w:val="nil"/>
            </w:tcBorders>
            <w:shd w:val="clear" w:color="auto" w:fill="auto"/>
            <w:noWrap/>
            <w:vAlign w:val="bottom"/>
            <w:hideMark/>
          </w:tcPr>
          <w:p w14:paraId="0909B8B9"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Brno</w:t>
            </w:r>
          </w:p>
        </w:tc>
        <w:tc>
          <w:tcPr>
            <w:tcW w:w="617" w:type="dxa"/>
            <w:tcBorders>
              <w:top w:val="nil"/>
              <w:left w:val="nil"/>
              <w:bottom w:val="single" w:sz="4" w:space="0" w:color="auto"/>
              <w:right w:val="nil"/>
            </w:tcBorders>
            <w:shd w:val="clear" w:color="auto" w:fill="auto"/>
            <w:noWrap/>
            <w:vAlign w:val="bottom"/>
            <w:hideMark/>
          </w:tcPr>
          <w:p w14:paraId="55003DDD"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449</w:t>
            </w:r>
          </w:p>
        </w:tc>
        <w:tc>
          <w:tcPr>
            <w:tcW w:w="948" w:type="dxa"/>
            <w:tcBorders>
              <w:top w:val="nil"/>
              <w:left w:val="nil"/>
              <w:bottom w:val="single" w:sz="4" w:space="0" w:color="auto"/>
              <w:right w:val="nil"/>
            </w:tcBorders>
            <w:shd w:val="clear" w:color="auto" w:fill="auto"/>
            <w:noWrap/>
            <w:vAlign w:val="center"/>
            <w:hideMark/>
          </w:tcPr>
          <w:p w14:paraId="05522B05"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+32 %</w:t>
            </w:r>
          </w:p>
        </w:tc>
        <w:tc>
          <w:tcPr>
            <w:tcW w:w="617" w:type="dxa"/>
            <w:tcBorders>
              <w:top w:val="nil"/>
              <w:left w:val="single" w:sz="4" w:space="0" w:color="auto"/>
              <w:bottom w:val="single" w:sz="4" w:space="0" w:color="auto"/>
              <w:right w:val="nil"/>
            </w:tcBorders>
            <w:shd w:val="clear" w:color="auto" w:fill="auto"/>
            <w:noWrap/>
            <w:vAlign w:val="bottom"/>
            <w:hideMark/>
          </w:tcPr>
          <w:p w14:paraId="3C49093A"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209</w:t>
            </w:r>
          </w:p>
        </w:tc>
        <w:tc>
          <w:tcPr>
            <w:tcW w:w="948" w:type="dxa"/>
            <w:tcBorders>
              <w:top w:val="nil"/>
              <w:left w:val="nil"/>
              <w:bottom w:val="single" w:sz="4" w:space="0" w:color="auto"/>
              <w:right w:val="single" w:sz="4" w:space="0" w:color="auto"/>
            </w:tcBorders>
            <w:shd w:val="clear" w:color="auto" w:fill="auto"/>
            <w:noWrap/>
            <w:vAlign w:val="center"/>
            <w:hideMark/>
          </w:tcPr>
          <w:p w14:paraId="58F3C891"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804" w:type="dxa"/>
            <w:tcBorders>
              <w:top w:val="nil"/>
              <w:left w:val="nil"/>
              <w:bottom w:val="single" w:sz="4" w:space="0" w:color="auto"/>
              <w:right w:val="nil"/>
            </w:tcBorders>
            <w:shd w:val="clear" w:color="auto" w:fill="auto"/>
            <w:noWrap/>
            <w:vAlign w:val="bottom"/>
            <w:hideMark/>
          </w:tcPr>
          <w:p w14:paraId="1B623BFE"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1</w:t>
            </w:r>
            <w:r w:rsidR="00475FE9" w:rsidRPr="00F85178">
              <w:rPr>
                <w:rFonts w:eastAsia="Times New Roman"/>
                <w:szCs w:val="24"/>
                <w:lang w:eastAsia="cs-CZ"/>
              </w:rPr>
              <w:t xml:space="preserve"> </w:t>
            </w:r>
            <w:r w:rsidRPr="00F85178">
              <w:rPr>
                <w:rFonts w:eastAsia="Times New Roman"/>
                <w:szCs w:val="24"/>
                <w:lang w:eastAsia="cs-CZ"/>
              </w:rPr>
              <w:t>229</w:t>
            </w:r>
          </w:p>
        </w:tc>
        <w:tc>
          <w:tcPr>
            <w:tcW w:w="1106" w:type="dxa"/>
            <w:tcBorders>
              <w:top w:val="nil"/>
              <w:left w:val="nil"/>
              <w:bottom w:val="single" w:sz="4" w:space="0" w:color="auto"/>
              <w:right w:val="nil"/>
            </w:tcBorders>
            <w:shd w:val="clear" w:color="auto" w:fill="auto"/>
            <w:noWrap/>
            <w:vAlign w:val="center"/>
            <w:hideMark/>
          </w:tcPr>
          <w:p w14:paraId="22A44688"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+61 %</w:t>
            </w:r>
          </w:p>
        </w:tc>
      </w:tr>
      <w:tr w:rsidR="00F85178" w:rsidRPr="00F85178" w14:paraId="7D9E63D2" w14:textId="77777777" w:rsidTr="00577AF4">
        <w:trPr>
          <w:trHeight w:val="330"/>
        </w:trPr>
        <w:tc>
          <w:tcPr>
            <w:tcW w:w="2480" w:type="dxa"/>
            <w:tcBorders>
              <w:top w:val="nil"/>
              <w:left w:val="nil"/>
              <w:bottom w:val="double" w:sz="6" w:space="0" w:color="auto"/>
              <w:right w:val="nil"/>
            </w:tcBorders>
            <w:shd w:val="clear" w:color="auto" w:fill="auto"/>
            <w:noWrap/>
            <w:vAlign w:val="bottom"/>
            <w:hideMark/>
          </w:tcPr>
          <w:p w14:paraId="181558C3" w14:textId="77777777" w:rsidR="00577AF4" w:rsidRPr="00F85178" w:rsidRDefault="00577AF4" w:rsidP="00577AF4">
            <w:pPr>
              <w:spacing w:line="240" w:lineRule="auto"/>
              <w:jc w:val="left"/>
              <w:rPr>
                <w:rFonts w:eastAsia="Times New Roman"/>
                <w:szCs w:val="24"/>
                <w:lang w:eastAsia="cs-CZ"/>
              </w:rPr>
            </w:pPr>
            <w:r w:rsidRPr="00F85178">
              <w:rPr>
                <w:rFonts w:eastAsia="Times New Roman"/>
                <w:szCs w:val="24"/>
                <w:lang w:eastAsia="cs-CZ"/>
              </w:rPr>
              <w:t>KS Ostrava</w:t>
            </w:r>
          </w:p>
        </w:tc>
        <w:tc>
          <w:tcPr>
            <w:tcW w:w="617" w:type="dxa"/>
            <w:tcBorders>
              <w:top w:val="nil"/>
              <w:left w:val="nil"/>
              <w:bottom w:val="double" w:sz="6" w:space="0" w:color="auto"/>
              <w:right w:val="nil"/>
            </w:tcBorders>
            <w:shd w:val="clear" w:color="auto" w:fill="auto"/>
            <w:noWrap/>
            <w:vAlign w:val="bottom"/>
            <w:hideMark/>
          </w:tcPr>
          <w:p w14:paraId="05FAEEE2"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691</w:t>
            </w:r>
          </w:p>
        </w:tc>
        <w:tc>
          <w:tcPr>
            <w:tcW w:w="948" w:type="dxa"/>
            <w:tcBorders>
              <w:top w:val="nil"/>
              <w:left w:val="nil"/>
              <w:bottom w:val="double" w:sz="6" w:space="0" w:color="auto"/>
              <w:right w:val="nil"/>
            </w:tcBorders>
            <w:shd w:val="clear" w:color="auto" w:fill="auto"/>
            <w:noWrap/>
            <w:vAlign w:val="center"/>
            <w:hideMark/>
          </w:tcPr>
          <w:p w14:paraId="06AB16DE"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617" w:type="dxa"/>
            <w:tcBorders>
              <w:top w:val="nil"/>
              <w:left w:val="single" w:sz="4" w:space="0" w:color="auto"/>
              <w:bottom w:val="double" w:sz="6" w:space="0" w:color="auto"/>
              <w:right w:val="nil"/>
            </w:tcBorders>
            <w:shd w:val="clear" w:color="auto" w:fill="auto"/>
            <w:noWrap/>
            <w:vAlign w:val="bottom"/>
            <w:hideMark/>
          </w:tcPr>
          <w:p w14:paraId="6C98F00D"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255</w:t>
            </w:r>
          </w:p>
        </w:tc>
        <w:tc>
          <w:tcPr>
            <w:tcW w:w="948" w:type="dxa"/>
            <w:tcBorders>
              <w:top w:val="nil"/>
              <w:left w:val="nil"/>
              <w:bottom w:val="double" w:sz="6" w:space="0" w:color="auto"/>
              <w:right w:val="single" w:sz="4" w:space="0" w:color="auto"/>
            </w:tcBorders>
            <w:shd w:val="clear" w:color="auto" w:fill="auto"/>
            <w:noWrap/>
            <w:vAlign w:val="center"/>
            <w:hideMark/>
          </w:tcPr>
          <w:p w14:paraId="423E25C6"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-17 %</w:t>
            </w:r>
          </w:p>
        </w:tc>
        <w:tc>
          <w:tcPr>
            <w:tcW w:w="804" w:type="dxa"/>
            <w:tcBorders>
              <w:top w:val="nil"/>
              <w:left w:val="nil"/>
              <w:bottom w:val="double" w:sz="6" w:space="0" w:color="auto"/>
              <w:right w:val="nil"/>
            </w:tcBorders>
            <w:shd w:val="clear" w:color="auto" w:fill="auto"/>
            <w:noWrap/>
            <w:vAlign w:val="bottom"/>
            <w:hideMark/>
          </w:tcPr>
          <w:p w14:paraId="653BEAEE" w14:textId="77777777" w:rsidR="00577AF4" w:rsidRPr="00F85178" w:rsidRDefault="00577AF4" w:rsidP="00577AF4">
            <w:pPr>
              <w:spacing w:line="240" w:lineRule="auto"/>
              <w:jc w:val="center"/>
              <w:rPr>
                <w:rFonts w:eastAsia="Times New Roman"/>
                <w:szCs w:val="24"/>
                <w:lang w:eastAsia="cs-CZ"/>
              </w:rPr>
            </w:pPr>
            <w:r w:rsidRPr="00F85178">
              <w:rPr>
                <w:rFonts w:eastAsia="Times New Roman"/>
                <w:szCs w:val="24"/>
                <w:lang w:eastAsia="cs-CZ"/>
              </w:rPr>
              <w:t>2</w:t>
            </w:r>
            <w:r w:rsidR="00475FE9" w:rsidRPr="00F85178">
              <w:rPr>
                <w:rFonts w:eastAsia="Times New Roman"/>
                <w:szCs w:val="24"/>
                <w:lang w:eastAsia="cs-CZ"/>
              </w:rPr>
              <w:t xml:space="preserve"> </w:t>
            </w:r>
            <w:r w:rsidRPr="00F85178">
              <w:rPr>
                <w:rFonts w:eastAsia="Times New Roman"/>
                <w:szCs w:val="24"/>
                <w:lang w:eastAsia="cs-CZ"/>
              </w:rPr>
              <w:t>397</w:t>
            </w:r>
          </w:p>
        </w:tc>
        <w:tc>
          <w:tcPr>
            <w:tcW w:w="1106" w:type="dxa"/>
            <w:tcBorders>
              <w:top w:val="nil"/>
              <w:left w:val="nil"/>
              <w:bottom w:val="double" w:sz="6" w:space="0" w:color="auto"/>
              <w:right w:val="nil"/>
            </w:tcBorders>
            <w:shd w:val="clear" w:color="auto" w:fill="auto"/>
            <w:noWrap/>
            <w:vAlign w:val="center"/>
            <w:hideMark/>
          </w:tcPr>
          <w:p w14:paraId="46B089AC" w14:textId="77777777" w:rsidR="00577AF4" w:rsidRPr="00F85178" w:rsidRDefault="00577AF4" w:rsidP="00577AF4">
            <w:pPr>
              <w:spacing w:line="240" w:lineRule="auto"/>
              <w:jc w:val="center"/>
              <w:rPr>
                <w:rFonts w:eastAsia="Times New Roman"/>
                <w:sz w:val="20"/>
                <w:szCs w:val="20"/>
                <w:lang w:eastAsia="cs-CZ"/>
              </w:rPr>
            </w:pPr>
            <w:r w:rsidRPr="00F85178">
              <w:rPr>
                <w:rFonts w:eastAsia="Times New Roman"/>
                <w:sz w:val="20"/>
                <w:szCs w:val="20"/>
                <w:lang w:eastAsia="cs-CZ"/>
              </w:rPr>
              <w:t>+77 %</w:t>
            </w:r>
          </w:p>
        </w:tc>
      </w:tr>
      <w:tr w:rsidR="00577AF4" w:rsidRPr="00F85178" w14:paraId="5E6D4039" w14:textId="77777777" w:rsidTr="00577AF4">
        <w:trPr>
          <w:trHeight w:val="345"/>
        </w:trPr>
        <w:tc>
          <w:tcPr>
            <w:tcW w:w="2480" w:type="dxa"/>
            <w:tcBorders>
              <w:top w:val="nil"/>
              <w:left w:val="nil"/>
              <w:bottom w:val="double" w:sz="6" w:space="0" w:color="auto"/>
              <w:right w:val="nil"/>
            </w:tcBorders>
            <w:shd w:val="clear" w:color="auto" w:fill="auto"/>
            <w:noWrap/>
            <w:vAlign w:val="bottom"/>
            <w:hideMark/>
          </w:tcPr>
          <w:p w14:paraId="40687569" w14:textId="77777777" w:rsidR="00577AF4" w:rsidRPr="00F85178" w:rsidRDefault="00577AF4" w:rsidP="00577AF4">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17" w:type="dxa"/>
            <w:tcBorders>
              <w:top w:val="nil"/>
              <w:left w:val="nil"/>
              <w:bottom w:val="double" w:sz="6" w:space="0" w:color="auto"/>
              <w:right w:val="nil"/>
            </w:tcBorders>
            <w:shd w:val="clear" w:color="auto" w:fill="auto"/>
            <w:noWrap/>
            <w:vAlign w:val="bottom"/>
            <w:hideMark/>
          </w:tcPr>
          <w:p w14:paraId="026D1C62"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526</w:t>
            </w:r>
          </w:p>
        </w:tc>
        <w:tc>
          <w:tcPr>
            <w:tcW w:w="948" w:type="dxa"/>
            <w:tcBorders>
              <w:top w:val="nil"/>
              <w:left w:val="nil"/>
              <w:bottom w:val="double" w:sz="6" w:space="0" w:color="auto"/>
              <w:right w:val="nil"/>
            </w:tcBorders>
            <w:shd w:val="clear" w:color="auto" w:fill="auto"/>
            <w:noWrap/>
            <w:vAlign w:val="center"/>
            <w:hideMark/>
          </w:tcPr>
          <w:p w14:paraId="2EE689E9" w14:textId="77777777" w:rsidR="00577AF4" w:rsidRPr="00F85178" w:rsidRDefault="00577AF4" w:rsidP="00577AF4">
            <w:pPr>
              <w:spacing w:line="240" w:lineRule="auto"/>
              <w:jc w:val="center"/>
              <w:rPr>
                <w:rFonts w:eastAsia="Times New Roman"/>
                <w:b/>
                <w:bCs/>
                <w:sz w:val="20"/>
                <w:szCs w:val="20"/>
                <w:lang w:eastAsia="cs-CZ"/>
              </w:rPr>
            </w:pPr>
            <w:r w:rsidRPr="00F85178">
              <w:rPr>
                <w:rFonts w:eastAsia="Times New Roman"/>
                <w:b/>
                <w:bCs/>
                <w:sz w:val="20"/>
                <w:szCs w:val="20"/>
                <w:lang w:eastAsia="cs-CZ"/>
              </w:rPr>
              <w:t>+10 %</w:t>
            </w:r>
          </w:p>
        </w:tc>
        <w:tc>
          <w:tcPr>
            <w:tcW w:w="617" w:type="dxa"/>
            <w:tcBorders>
              <w:top w:val="nil"/>
              <w:left w:val="single" w:sz="4" w:space="0" w:color="auto"/>
              <w:bottom w:val="double" w:sz="6" w:space="0" w:color="auto"/>
              <w:right w:val="nil"/>
            </w:tcBorders>
            <w:shd w:val="clear" w:color="auto" w:fill="auto"/>
            <w:noWrap/>
            <w:vAlign w:val="bottom"/>
            <w:hideMark/>
          </w:tcPr>
          <w:p w14:paraId="5D456CDD"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242</w:t>
            </w:r>
          </w:p>
        </w:tc>
        <w:tc>
          <w:tcPr>
            <w:tcW w:w="948" w:type="dxa"/>
            <w:tcBorders>
              <w:top w:val="nil"/>
              <w:left w:val="nil"/>
              <w:bottom w:val="double" w:sz="6" w:space="0" w:color="auto"/>
              <w:right w:val="single" w:sz="4" w:space="0" w:color="auto"/>
            </w:tcBorders>
            <w:shd w:val="clear" w:color="auto" w:fill="auto"/>
            <w:noWrap/>
            <w:vAlign w:val="center"/>
            <w:hideMark/>
          </w:tcPr>
          <w:p w14:paraId="4B6E3420" w14:textId="77777777" w:rsidR="00577AF4" w:rsidRPr="00F85178" w:rsidRDefault="00577AF4" w:rsidP="00577AF4">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804" w:type="dxa"/>
            <w:tcBorders>
              <w:top w:val="nil"/>
              <w:left w:val="nil"/>
              <w:bottom w:val="double" w:sz="6" w:space="0" w:color="auto"/>
              <w:right w:val="nil"/>
            </w:tcBorders>
            <w:shd w:val="clear" w:color="auto" w:fill="auto"/>
            <w:noWrap/>
            <w:vAlign w:val="bottom"/>
            <w:hideMark/>
          </w:tcPr>
          <w:p w14:paraId="5DD2814C" w14:textId="77777777" w:rsidR="00577AF4" w:rsidRPr="00F85178" w:rsidRDefault="00577AF4" w:rsidP="00577AF4">
            <w:pPr>
              <w:spacing w:line="240" w:lineRule="auto"/>
              <w:jc w:val="center"/>
              <w:rPr>
                <w:rFonts w:eastAsia="Times New Roman"/>
                <w:b/>
                <w:bCs/>
                <w:szCs w:val="24"/>
                <w:lang w:eastAsia="cs-CZ"/>
              </w:rPr>
            </w:pPr>
            <w:r w:rsidRPr="00F85178">
              <w:rPr>
                <w:rFonts w:eastAsia="Times New Roman"/>
                <w:b/>
                <w:bCs/>
                <w:szCs w:val="24"/>
                <w:lang w:eastAsia="cs-CZ"/>
              </w:rPr>
              <w:t>1</w:t>
            </w:r>
            <w:r w:rsidR="00475FE9" w:rsidRPr="00F85178">
              <w:rPr>
                <w:rFonts w:eastAsia="Times New Roman"/>
                <w:b/>
                <w:bCs/>
                <w:szCs w:val="24"/>
                <w:lang w:eastAsia="cs-CZ"/>
              </w:rPr>
              <w:t xml:space="preserve"> </w:t>
            </w:r>
            <w:r w:rsidRPr="00F85178">
              <w:rPr>
                <w:rFonts w:eastAsia="Times New Roman"/>
                <w:b/>
                <w:bCs/>
                <w:szCs w:val="24"/>
                <w:lang w:eastAsia="cs-CZ"/>
              </w:rPr>
              <w:t>229</w:t>
            </w:r>
          </w:p>
        </w:tc>
        <w:tc>
          <w:tcPr>
            <w:tcW w:w="1106" w:type="dxa"/>
            <w:tcBorders>
              <w:top w:val="nil"/>
              <w:left w:val="nil"/>
              <w:bottom w:val="double" w:sz="6" w:space="0" w:color="auto"/>
              <w:right w:val="nil"/>
            </w:tcBorders>
            <w:shd w:val="clear" w:color="auto" w:fill="auto"/>
            <w:noWrap/>
            <w:vAlign w:val="center"/>
            <w:hideMark/>
          </w:tcPr>
          <w:p w14:paraId="6FB719FF" w14:textId="77777777" w:rsidR="00577AF4" w:rsidRPr="00F85178" w:rsidRDefault="00577AF4" w:rsidP="00577AF4">
            <w:pPr>
              <w:spacing w:line="240" w:lineRule="auto"/>
              <w:jc w:val="center"/>
              <w:rPr>
                <w:rFonts w:eastAsia="Times New Roman"/>
                <w:b/>
                <w:bCs/>
                <w:sz w:val="20"/>
                <w:szCs w:val="20"/>
                <w:lang w:eastAsia="cs-CZ"/>
              </w:rPr>
            </w:pPr>
            <w:r w:rsidRPr="00F85178">
              <w:rPr>
                <w:rFonts w:eastAsia="Times New Roman"/>
                <w:b/>
                <w:bCs/>
                <w:sz w:val="20"/>
                <w:szCs w:val="20"/>
                <w:lang w:eastAsia="cs-CZ"/>
              </w:rPr>
              <w:t>+11 %</w:t>
            </w:r>
          </w:p>
        </w:tc>
      </w:tr>
    </w:tbl>
    <w:p w14:paraId="2045BCD3" w14:textId="77777777" w:rsidR="00577AF4" w:rsidRPr="00F85178" w:rsidRDefault="00577AF4" w:rsidP="00205FD6"/>
    <w:p w14:paraId="2E69B6A2" w14:textId="77777777" w:rsidR="004F6913" w:rsidRPr="00F85178" w:rsidRDefault="004F6913" w:rsidP="004F6913">
      <w:pPr>
        <w:pStyle w:val="OdstavecASR"/>
      </w:pPr>
      <w:r w:rsidRPr="00F85178">
        <w:t>Zde je na místě zdůraznit, že krajské soudy vyřizují velmi složitou prvostupňovou trestní agendu. Z podstaty složitosti a rozsahu trestních věcí projednávaných v prvním stupni u krajských soudů vyplývá, že jsou mnohdy časově náročnější (jak na samotné studium spisu soudcem či následný větší počet hlavních líčení). Výjimkou nejsou ani sofistikované obstrukční procesní postupy obhájců.</w:t>
      </w:r>
    </w:p>
    <w:p w14:paraId="28901F5F" w14:textId="77777777" w:rsidR="004F6913" w:rsidRPr="00F85178" w:rsidRDefault="004F6913" w:rsidP="004F6913">
      <w:pPr>
        <w:pStyle w:val="OdstavecASR"/>
      </w:pPr>
      <w:r w:rsidRPr="00F85178">
        <w:t xml:space="preserve">Stejně jako u okresních soudů je zajímavé zjistit, jaké trestné činy trvá soudům nejdéle vyřídit. Odpověď můžeme najít tabulce </w:t>
      </w:r>
      <w:r w:rsidR="00475FE9" w:rsidRPr="00F85178">
        <w:t>45</w:t>
      </w:r>
      <w:r w:rsidRPr="00F85178">
        <w:t>. V ní jsou uvedeny délky řízení (opět medián, průměr a percentil 90) pro jednotlivé hlavy trestního zákoníku.</w:t>
      </w:r>
    </w:p>
    <w:p w14:paraId="3C105408" w14:textId="77777777" w:rsidR="004F6913" w:rsidRPr="00F85178" w:rsidRDefault="004F6913" w:rsidP="004F6913">
      <w:pPr>
        <w:pStyle w:val="OdstavecASR"/>
      </w:pPr>
      <w:r w:rsidRPr="00F85178">
        <w:t xml:space="preserve">Nejdelší délky řízení (medián a průměr) mají </w:t>
      </w:r>
      <w:r w:rsidR="002B0512" w:rsidRPr="00F85178">
        <w:t xml:space="preserve">nově </w:t>
      </w:r>
      <w:r w:rsidRPr="00F85178">
        <w:t xml:space="preserve">trestné činy </w:t>
      </w:r>
      <w:r w:rsidR="002B0512" w:rsidRPr="00F85178">
        <w:t xml:space="preserve">proti majetku a trestné činy hospodářské (v roce 2017 to byly trestné činy </w:t>
      </w:r>
      <w:r w:rsidRPr="00F85178">
        <w:rPr>
          <w:rFonts w:eastAsia="Times New Roman"/>
          <w:szCs w:val="24"/>
          <w:lang w:eastAsia="cs-CZ"/>
        </w:rPr>
        <w:t>proti pořádku ve věcech veřejných</w:t>
      </w:r>
      <w:r w:rsidR="002B0512" w:rsidRPr="00F85178">
        <w:rPr>
          <w:rFonts w:eastAsia="Times New Roman"/>
          <w:szCs w:val="24"/>
          <w:lang w:eastAsia="cs-CZ"/>
        </w:rPr>
        <w:t>)</w:t>
      </w:r>
      <w:r w:rsidR="003E4633" w:rsidRPr="00F85178">
        <w:rPr>
          <w:rFonts w:eastAsia="Times New Roman"/>
          <w:szCs w:val="24"/>
          <w:lang w:eastAsia="cs-CZ"/>
        </w:rPr>
        <w:t>.</w:t>
      </w:r>
    </w:p>
    <w:p w14:paraId="59748C8C" w14:textId="77777777" w:rsidR="004F6913" w:rsidRPr="00F85178" w:rsidRDefault="0052654F" w:rsidP="004F6913">
      <w:pPr>
        <w:pStyle w:val="OdstavecASR"/>
      </w:pPr>
      <w:r w:rsidRPr="00F85178">
        <w:t xml:space="preserve">U trestných činů proti majetku je </w:t>
      </w:r>
      <w:r w:rsidR="004F6913" w:rsidRPr="00F85178">
        <w:t xml:space="preserve">nejvíce odsouzených za trestný čin </w:t>
      </w:r>
      <w:r w:rsidR="004F6913" w:rsidRPr="00F85178">
        <w:rPr>
          <w:i/>
        </w:rPr>
        <w:t>podvodu</w:t>
      </w:r>
      <w:r w:rsidR="004F6913" w:rsidRPr="00F85178">
        <w:t xml:space="preserve"> a </w:t>
      </w:r>
      <w:r w:rsidRPr="00F85178">
        <w:t>u</w:t>
      </w:r>
      <w:r w:rsidR="00475FE9" w:rsidRPr="00F85178">
        <w:t xml:space="preserve"> </w:t>
      </w:r>
      <w:r w:rsidR="004F6913" w:rsidRPr="00F85178">
        <w:t>trestn</w:t>
      </w:r>
      <w:r w:rsidRPr="00F85178">
        <w:t>ých</w:t>
      </w:r>
      <w:r w:rsidR="004F6913" w:rsidRPr="00F85178">
        <w:t xml:space="preserve"> čin</w:t>
      </w:r>
      <w:r w:rsidRPr="00F85178">
        <w:t>ů</w:t>
      </w:r>
      <w:r w:rsidR="004F6913" w:rsidRPr="00F85178">
        <w:t xml:space="preserve"> hospodářsk</w:t>
      </w:r>
      <w:r w:rsidRPr="00F85178">
        <w:t>ých</w:t>
      </w:r>
      <w:r w:rsidR="004F6913" w:rsidRPr="00F85178">
        <w:t xml:space="preserve"> </w:t>
      </w:r>
      <w:r w:rsidRPr="00F85178">
        <w:t xml:space="preserve">je </w:t>
      </w:r>
      <w:r w:rsidR="004F6913" w:rsidRPr="00F85178">
        <w:t>nejběžnější</w:t>
      </w:r>
      <w:r w:rsidRPr="00F85178">
        <w:t>m</w:t>
      </w:r>
      <w:r w:rsidR="004F6913" w:rsidRPr="00F85178">
        <w:t xml:space="preserve"> trestný</w:t>
      </w:r>
      <w:r w:rsidRPr="00F85178">
        <w:t>m</w:t>
      </w:r>
      <w:r w:rsidR="004F6913" w:rsidRPr="00F85178">
        <w:t xml:space="preserve"> čin</w:t>
      </w:r>
      <w:r w:rsidRPr="00F85178">
        <w:t>em</w:t>
      </w:r>
      <w:r w:rsidR="004F6913" w:rsidRPr="00F85178">
        <w:t xml:space="preserve"> </w:t>
      </w:r>
      <w:r w:rsidR="004F6913" w:rsidRPr="00F85178">
        <w:rPr>
          <w:i/>
        </w:rPr>
        <w:t>zkrácení daně, poplatku a podobné povinné platby.</w:t>
      </w:r>
      <w:r w:rsidR="004F6913" w:rsidRPr="00F85178">
        <w:t xml:space="preserve"> Na druhém konci v rychlosti vyřizování se nacházejí trestné činy proti životu a zdraví (u KS především</w:t>
      </w:r>
      <w:r w:rsidR="004F6913" w:rsidRPr="00F85178">
        <w:rPr>
          <w:i/>
        </w:rPr>
        <w:t xml:space="preserve"> vražda</w:t>
      </w:r>
      <w:r w:rsidR="004F6913" w:rsidRPr="00F85178">
        <w:t xml:space="preserve"> a </w:t>
      </w:r>
      <w:r w:rsidR="004F6913" w:rsidRPr="00F85178">
        <w:rPr>
          <w:i/>
        </w:rPr>
        <w:t>těžké ublížení na zdraví</w:t>
      </w:r>
      <w:r w:rsidR="004F6913" w:rsidRPr="00F85178">
        <w:t>)</w:t>
      </w:r>
      <w:r w:rsidRPr="00F85178">
        <w:t xml:space="preserve"> a trestné činy proti rodině a dětem</w:t>
      </w:r>
      <w:r w:rsidR="004F6913" w:rsidRPr="00F85178">
        <w:t>.</w:t>
      </w:r>
    </w:p>
    <w:p w14:paraId="6740C84C" w14:textId="2B3E15B5" w:rsidR="00B11D20" w:rsidRDefault="004F6913" w:rsidP="00B11D20">
      <w:pPr>
        <w:pStyle w:val="OdstavecASR"/>
        <w:rPr>
          <w:rFonts w:eastAsia="Times New Roman"/>
          <w:szCs w:val="24"/>
          <w:lang w:eastAsia="cs-CZ"/>
        </w:rPr>
      </w:pPr>
      <w:r w:rsidRPr="00F85178">
        <w:t>Vidíme tedy, že délky řízení se mezi jednotlivými trestnými činy silně liší</w:t>
      </w:r>
      <w:r w:rsidR="00475FE9" w:rsidRPr="00F85178">
        <w:t>,</w:t>
      </w:r>
      <w:r w:rsidR="0052654F" w:rsidRPr="00F85178">
        <w:t xml:space="preserve"> a u málo častých trestných činů přirozeně pozorujeme vysokou volatilitu (typicky trestné činy </w:t>
      </w:r>
      <w:r w:rsidR="0052654F" w:rsidRPr="00F85178">
        <w:rPr>
          <w:rFonts w:eastAsia="Times New Roman"/>
          <w:szCs w:val="24"/>
          <w:lang w:eastAsia="cs-CZ"/>
        </w:rPr>
        <w:t xml:space="preserve">proti České republice, cizímu státu a mezinárodní organizaci s průměrnou délkou řízení 64 </w:t>
      </w:r>
      <w:r w:rsidR="00475FE9" w:rsidRPr="00F85178">
        <w:rPr>
          <w:rFonts w:eastAsia="Times New Roman"/>
          <w:szCs w:val="24"/>
          <w:lang w:eastAsia="cs-CZ"/>
        </w:rPr>
        <w:t xml:space="preserve">dnů </w:t>
      </w:r>
      <w:r w:rsidR="0052654F" w:rsidRPr="00F85178">
        <w:rPr>
          <w:rFonts w:eastAsia="Times New Roman"/>
          <w:szCs w:val="24"/>
          <w:lang w:eastAsia="cs-CZ"/>
        </w:rPr>
        <w:t xml:space="preserve">v roce 2017 a 532 </w:t>
      </w:r>
      <w:r w:rsidR="00475FE9" w:rsidRPr="00F85178">
        <w:rPr>
          <w:rFonts w:eastAsia="Times New Roman"/>
          <w:szCs w:val="24"/>
          <w:lang w:eastAsia="cs-CZ"/>
        </w:rPr>
        <w:t xml:space="preserve">dnů </w:t>
      </w:r>
      <w:r w:rsidR="0052654F" w:rsidRPr="00F85178">
        <w:rPr>
          <w:rFonts w:eastAsia="Times New Roman"/>
          <w:szCs w:val="24"/>
          <w:lang w:eastAsia="cs-CZ"/>
        </w:rPr>
        <w:t>v roce 2018)</w:t>
      </w:r>
      <w:r w:rsidRPr="00F85178">
        <w:t>. Závažné p</w:t>
      </w:r>
      <w:r w:rsidRPr="00F85178">
        <w:rPr>
          <w:rFonts w:eastAsia="Times New Roman"/>
          <w:szCs w:val="24"/>
          <w:lang w:eastAsia="cs-CZ"/>
        </w:rPr>
        <w:t>odvody a zkrácení daně, poplatku a podobné povinné platby ve velkém rozsahu jsou velmi sofistikované zločiny a často se jedná o organizovanou kriminalitu. Na druhou stranu, vraždy</w:t>
      </w:r>
      <w:r w:rsidR="0052654F" w:rsidRPr="00F85178">
        <w:rPr>
          <w:rFonts w:eastAsia="Times New Roman"/>
          <w:szCs w:val="24"/>
          <w:lang w:eastAsia="cs-CZ"/>
        </w:rPr>
        <w:t xml:space="preserve"> a trestné činy proti rodině a dětem</w:t>
      </w:r>
      <w:r w:rsidRPr="00F85178">
        <w:rPr>
          <w:rFonts w:eastAsia="Times New Roman"/>
          <w:szCs w:val="24"/>
          <w:lang w:eastAsia="cs-CZ"/>
        </w:rPr>
        <w:t xml:space="preserve"> (které jsou z pohledu chráněného zájmu nejzávažnější) soudy projednávají rychleji, což často plyne ze skutkové podstaty </w:t>
      </w:r>
      <w:r w:rsidR="0052654F" w:rsidRPr="00F85178">
        <w:rPr>
          <w:rFonts w:eastAsia="Times New Roman"/>
          <w:szCs w:val="24"/>
          <w:lang w:eastAsia="cs-CZ"/>
        </w:rPr>
        <w:t>těchto trestných činů</w:t>
      </w:r>
      <w:r w:rsidRPr="00F85178">
        <w:rPr>
          <w:rFonts w:eastAsia="Times New Roman"/>
          <w:szCs w:val="24"/>
          <w:lang w:eastAsia="cs-CZ"/>
        </w:rPr>
        <w:t>.</w:t>
      </w:r>
      <w:bookmarkStart w:id="433" w:name="_Toc515871479"/>
    </w:p>
    <w:p w14:paraId="07D38937" w14:textId="77777777" w:rsidR="00BD177B" w:rsidRPr="00F85178" w:rsidRDefault="00BD177B" w:rsidP="00B11D20">
      <w:pPr>
        <w:pStyle w:val="OdstavecASR"/>
        <w:rPr>
          <w:rFonts w:eastAsia="Times New Roman"/>
          <w:szCs w:val="24"/>
          <w:lang w:eastAsia="cs-CZ"/>
        </w:rPr>
      </w:pPr>
    </w:p>
    <w:p w14:paraId="3B510BF6" w14:textId="77777777" w:rsidR="00475FE9" w:rsidRPr="00F85178" w:rsidRDefault="00475FE9" w:rsidP="00B11D20">
      <w:pPr>
        <w:pStyle w:val="OdstavecASR"/>
        <w:rPr>
          <w:rFonts w:eastAsia="Times New Roman"/>
          <w:szCs w:val="24"/>
          <w:lang w:eastAsia="cs-CZ"/>
        </w:rPr>
      </w:pPr>
    </w:p>
    <w:p w14:paraId="2F44BBFA" w14:textId="77777777" w:rsidR="008E3AE0" w:rsidRPr="00F85178" w:rsidRDefault="008E3AE0" w:rsidP="00B11D20">
      <w:pPr>
        <w:pStyle w:val="Podtitul"/>
        <w:rPr>
          <w:color w:val="auto"/>
        </w:rPr>
      </w:pPr>
      <w:bookmarkStart w:id="434" w:name="_Toc11133247"/>
      <w:bookmarkStart w:id="435" w:name="_Toc13837468"/>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45</w:t>
      </w:r>
      <w:r w:rsidR="00D842DE" w:rsidRPr="00F85178">
        <w:rPr>
          <w:noProof/>
          <w:color w:val="auto"/>
        </w:rPr>
        <w:fldChar w:fldCharType="end"/>
      </w:r>
      <w:r w:rsidRPr="00F85178">
        <w:rPr>
          <w:color w:val="auto"/>
        </w:rPr>
        <w:t>: KS – délky trestního řízení dle hlav trestního zákoníku</w:t>
      </w:r>
      <w:bookmarkEnd w:id="433"/>
      <w:bookmarkEnd w:id="434"/>
      <w:bookmarkEnd w:id="435"/>
    </w:p>
    <w:tbl>
      <w:tblPr>
        <w:tblW w:w="8440" w:type="dxa"/>
        <w:tblCellMar>
          <w:left w:w="70" w:type="dxa"/>
          <w:right w:w="70" w:type="dxa"/>
        </w:tblCellMar>
        <w:tblLook w:val="04A0" w:firstRow="1" w:lastRow="0" w:firstColumn="1" w:lastColumn="0" w:noHBand="0" w:noVBand="1"/>
      </w:tblPr>
      <w:tblGrid>
        <w:gridCol w:w="1080"/>
        <w:gridCol w:w="3340"/>
        <w:gridCol w:w="1127"/>
        <w:gridCol w:w="1154"/>
        <w:gridCol w:w="1739"/>
      </w:tblGrid>
      <w:tr w:rsidR="00F85178" w:rsidRPr="00F85178" w14:paraId="3442EA1F" w14:textId="77777777" w:rsidTr="003D0096">
        <w:trPr>
          <w:trHeight w:val="330"/>
        </w:trPr>
        <w:tc>
          <w:tcPr>
            <w:tcW w:w="1080" w:type="dxa"/>
            <w:vMerge w:val="restart"/>
            <w:tcBorders>
              <w:top w:val="double" w:sz="6" w:space="0" w:color="auto"/>
              <w:left w:val="nil"/>
              <w:bottom w:val="double" w:sz="6" w:space="0" w:color="000000"/>
              <w:right w:val="nil"/>
            </w:tcBorders>
            <w:shd w:val="clear" w:color="auto" w:fill="auto"/>
            <w:noWrap/>
            <w:vAlign w:val="center"/>
            <w:hideMark/>
          </w:tcPr>
          <w:p w14:paraId="7AEC36F7"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Hlava</w:t>
            </w:r>
          </w:p>
        </w:tc>
        <w:tc>
          <w:tcPr>
            <w:tcW w:w="3340" w:type="dxa"/>
            <w:vMerge w:val="restart"/>
            <w:tcBorders>
              <w:top w:val="double" w:sz="6" w:space="0" w:color="auto"/>
              <w:left w:val="nil"/>
              <w:bottom w:val="double" w:sz="6" w:space="0" w:color="000000"/>
              <w:right w:val="nil"/>
            </w:tcBorders>
            <w:shd w:val="clear" w:color="auto" w:fill="auto"/>
            <w:vAlign w:val="center"/>
            <w:hideMark/>
          </w:tcPr>
          <w:p w14:paraId="53059711"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020" w:type="dxa"/>
            <w:gridSpan w:val="3"/>
            <w:tcBorders>
              <w:top w:val="double" w:sz="6" w:space="0" w:color="auto"/>
              <w:left w:val="nil"/>
              <w:bottom w:val="nil"/>
              <w:right w:val="nil"/>
            </w:tcBorders>
            <w:shd w:val="clear" w:color="auto" w:fill="auto"/>
            <w:noWrap/>
            <w:vAlign w:val="center"/>
            <w:hideMark/>
          </w:tcPr>
          <w:p w14:paraId="18815267"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6BCF74E4" w14:textId="77777777" w:rsidTr="003D0096">
        <w:trPr>
          <w:trHeight w:val="330"/>
        </w:trPr>
        <w:tc>
          <w:tcPr>
            <w:tcW w:w="1080" w:type="dxa"/>
            <w:vMerge/>
            <w:tcBorders>
              <w:top w:val="double" w:sz="6" w:space="0" w:color="auto"/>
              <w:left w:val="nil"/>
              <w:bottom w:val="double" w:sz="6" w:space="0" w:color="000000"/>
              <w:right w:val="nil"/>
            </w:tcBorders>
            <w:vAlign w:val="center"/>
            <w:hideMark/>
          </w:tcPr>
          <w:p w14:paraId="061C83A7" w14:textId="77777777" w:rsidR="003D0096" w:rsidRPr="00F85178" w:rsidRDefault="003D0096" w:rsidP="003D0096">
            <w:pPr>
              <w:spacing w:line="240" w:lineRule="auto"/>
              <w:jc w:val="left"/>
              <w:rPr>
                <w:rFonts w:eastAsia="Times New Roman"/>
                <w:b/>
                <w:bCs/>
                <w:szCs w:val="24"/>
                <w:lang w:eastAsia="cs-CZ"/>
              </w:rPr>
            </w:pPr>
          </w:p>
        </w:tc>
        <w:tc>
          <w:tcPr>
            <w:tcW w:w="3340" w:type="dxa"/>
            <w:vMerge/>
            <w:tcBorders>
              <w:top w:val="double" w:sz="6" w:space="0" w:color="auto"/>
              <w:left w:val="nil"/>
              <w:bottom w:val="double" w:sz="6" w:space="0" w:color="000000"/>
              <w:right w:val="nil"/>
            </w:tcBorders>
            <w:vAlign w:val="center"/>
            <w:hideMark/>
          </w:tcPr>
          <w:p w14:paraId="0EF34FB9" w14:textId="77777777" w:rsidR="003D0096" w:rsidRPr="00F85178" w:rsidRDefault="003D0096" w:rsidP="003D0096">
            <w:pPr>
              <w:spacing w:line="240" w:lineRule="auto"/>
              <w:jc w:val="left"/>
              <w:rPr>
                <w:rFonts w:eastAsia="Times New Roman"/>
                <w:b/>
                <w:bCs/>
                <w:szCs w:val="24"/>
                <w:lang w:eastAsia="cs-CZ"/>
              </w:rPr>
            </w:pPr>
          </w:p>
        </w:tc>
        <w:tc>
          <w:tcPr>
            <w:tcW w:w="1127" w:type="dxa"/>
            <w:tcBorders>
              <w:top w:val="nil"/>
              <w:left w:val="nil"/>
              <w:bottom w:val="double" w:sz="6" w:space="0" w:color="auto"/>
              <w:right w:val="nil"/>
            </w:tcBorders>
            <w:shd w:val="clear" w:color="auto" w:fill="auto"/>
            <w:noWrap/>
            <w:vAlign w:val="center"/>
            <w:hideMark/>
          </w:tcPr>
          <w:p w14:paraId="27462C93"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154" w:type="dxa"/>
            <w:tcBorders>
              <w:top w:val="nil"/>
              <w:left w:val="nil"/>
              <w:bottom w:val="double" w:sz="6" w:space="0" w:color="auto"/>
              <w:right w:val="nil"/>
            </w:tcBorders>
            <w:shd w:val="clear" w:color="auto" w:fill="auto"/>
            <w:noWrap/>
            <w:vAlign w:val="center"/>
            <w:hideMark/>
          </w:tcPr>
          <w:p w14:paraId="4A28B800"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739" w:type="dxa"/>
            <w:tcBorders>
              <w:top w:val="nil"/>
              <w:left w:val="nil"/>
              <w:bottom w:val="double" w:sz="6" w:space="0" w:color="auto"/>
              <w:right w:val="nil"/>
            </w:tcBorders>
            <w:shd w:val="clear" w:color="auto" w:fill="auto"/>
            <w:noWrap/>
            <w:vAlign w:val="center"/>
            <w:hideMark/>
          </w:tcPr>
          <w:p w14:paraId="1727C579" w14:textId="77777777" w:rsidR="003D0096" w:rsidRPr="00F85178" w:rsidRDefault="003D0096" w:rsidP="003D0096">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333EEE44" w14:textId="77777777" w:rsidTr="003D0096">
        <w:trPr>
          <w:trHeight w:val="330"/>
        </w:trPr>
        <w:tc>
          <w:tcPr>
            <w:tcW w:w="1080" w:type="dxa"/>
            <w:tcBorders>
              <w:top w:val="nil"/>
              <w:left w:val="nil"/>
              <w:bottom w:val="single" w:sz="4" w:space="0" w:color="auto"/>
              <w:right w:val="nil"/>
            </w:tcBorders>
            <w:shd w:val="clear" w:color="auto" w:fill="auto"/>
            <w:noWrap/>
            <w:vAlign w:val="center"/>
            <w:hideMark/>
          </w:tcPr>
          <w:p w14:paraId="10C4490A"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5532C200"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1127" w:type="dxa"/>
            <w:tcBorders>
              <w:top w:val="nil"/>
              <w:left w:val="nil"/>
              <w:bottom w:val="single" w:sz="4" w:space="0" w:color="auto"/>
              <w:right w:val="nil"/>
            </w:tcBorders>
            <w:shd w:val="clear" w:color="auto" w:fill="auto"/>
            <w:noWrap/>
            <w:vAlign w:val="center"/>
            <w:hideMark/>
          </w:tcPr>
          <w:p w14:paraId="17494AC7"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117</w:t>
            </w:r>
          </w:p>
        </w:tc>
        <w:tc>
          <w:tcPr>
            <w:tcW w:w="1154" w:type="dxa"/>
            <w:tcBorders>
              <w:top w:val="nil"/>
              <w:left w:val="nil"/>
              <w:bottom w:val="single" w:sz="4" w:space="0" w:color="auto"/>
              <w:right w:val="nil"/>
            </w:tcBorders>
            <w:shd w:val="clear" w:color="auto" w:fill="auto"/>
            <w:noWrap/>
            <w:vAlign w:val="center"/>
            <w:hideMark/>
          </w:tcPr>
          <w:p w14:paraId="71C6606C"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86.5</w:t>
            </w:r>
          </w:p>
        </w:tc>
        <w:tc>
          <w:tcPr>
            <w:tcW w:w="1739" w:type="dxa"/>
            <w:tcBorders>
              <w:top w:val="nil"/>
              <w:left w:val="nil"/>
              <w:bottom w:val="single" w:sz="4" w:space="0" w:color="auto"/>
              <w:right w:val="nil"/>
            </w:tcBorders>
            <w:shd w:val="clear" w:color="auto" w:fill="auto"/>
            <w:noWrap/>
            <w:vAlign w:val="center"/>
            <w:hideMark/>
          </w:tcPr>
          <w:p w14:paraId="626E0EE9" w14:textId="77777777" w:rsidR="003D0096" w:rsidRPr="00F85178" w:rsidRDefault="003D0096" w:rsidP="003E4633">
            <w:pPr>
              <w:spacing w:line="240" w:lineRule="auto"/>
              <w:jc w:val="center"/>
              <w:rPr>
                <w:rFonts w:eastAsia="Times New Roman"/>
                <w:szCs w:val="24"/>
                <w:lang w:eastAsia="cs-CZ"/>
              </w:rPr>
            </w:pPr>
            <w:r w:rsidRPr="00F85178">
              <w:rPr>
                <w:rFonts w:eastAsia="Times New Roman"/>
                <w:szCs w:val="24"/>
                <w:lang w:eastAsia="cs-CZ"/>
              </w:rPr>
              <w:t>236</w:t>
            </w:r>
          </w:p>
        </w:tc>
      </w:tr>
      <w:tr w:rsidR="00F85178" w:rsidRPr="00F85178" w14:paraId="7E4D4721" w14:textId="77777777" w:rsidTr="003D0096">
        <w:trPr>
          <w:trHeight w:val="945"/>
        </w:trPr>
        <w:tc>
          <w:tcPr>
            <w:tcW w:w="1080" w:type="dxa"/>
            <w:tcBorders>
              <w:top w:val="nil"/>
              <w:left w:val="nil"/>
              <w:bottom w:val="single" w:sz="4" w:space="0" w:color="auto"/>
              <w:right w:val="nil"/>
            </w:tcBorders>
            <w:shd w:val="clear" w:color="auto" w:fill="auto"/>
            <w:noWrap/>
            <w:vAlign w:val="center"/>
            <w:hideMark/>
          </w:tcPr>
          <w:p w14:paraId="10477694"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209CD75F"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1127" w:type="dxa"/>
            <w:tcBorders>
              <w:top w:val="nil"/>
              <w:left w:val="nil"/>
              <w:bottom w:val="single" w:sz="4" w:space="0" w:color="auto"/>
              <w:right w:val="nil"/>
            </w:tcBorders>
            <w:shd w:val="clear" w:color="auto" w:fill="auto"/>
            <w:noWrap/>
            <w:vAlign w:val="center"/>
            <w:hideMark/>
          </w:tcPr>
          <w:p w14:paraId="3BFF158E"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355</w:t>
            </w:r>
          </w:p>
        </w:tc>
        <w:tc>
          <w:tcPr>
            <w:tcW w:w="1154" w:type="dxa"/>
            <w:tcBorders>
              <w:top w:val="nil"/>
              <w:left w:val="nil"/>
              <w:bottom w:val="single" w:sz="4" w:space="0" w:color="auto"/>
              <w:right w:val="nil"/>
            </w:tcBorders>
            <w:shd w:val="clear" w:color="auto" w:fill="auto"/>
            <w:noWrap/>
            <w:vAlign w:val="center"/>
            <w:hideMark/>
          </w:tcPr>
          <w:p w14:paraId="43EAAB59"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181</w:t>
            </w:r>
          </w:p>
        </w:tc>
        <w:tc>
          <w:tcPr>
            <w:tcW w:w="1739" w:type="dxa"/>
            <w:tcBorders>
              <w:top w:val="nil"/>
              <w:left w:val="nil"/>
              <w:bottom w:val="single" w:sz="4" w:space="0" w:color="auto"/>
              <w:right w:val="nil"/>
            </w:tcBorders>
            <w:shd w:val="clear" w:color="auto" w:fill="auto"/>
            <w:noWrap/>
            <w:vAlign w:val="center"/>
            <w:hideMark/>
          </w:tcPr>
          <w:p w14:paraId="1CBC491B"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566</w:t>
            </w:r>
          </w:p>
        </w:tc>
      </w:tr>
      <w:tr w:rsidR="00F85178" w:rsidRPr="00F85178" w14:paraId="3727D973" w14:textId="77777777" w:rsidTr="003D0096">
        <w:trPr>
          <w:trHeight w:val="630"/>
        </w:trPr>
        <w:tc>
          <w:tcPr>
            <w:tcW w:w="1080" w:type="dxa"/>
            <w:tcBorders>
              <w:top w:val="nil"/>
              <w:left w:val="nil"/>
              <w:bottom w:val="single" w:sz="4" w:space="0" w:color="auto"/>
              <w:right w:val="nil"/>
            </w:tcBorders>
            <w:shd w:val="clear" w:color="auto" w:fill="auto"/>
            <w:noWrap/>
            <w:vAlign w:val="center"/>
            <w:hideMark/>
          </w:tcPr>
          <w:p w14:paraId="75AEB146"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49D3C709"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1127" w:type="dxa"/>
            <w:tcBorders>
              <w:top w:val="nil"/>
              <w:left w:val="nil"/>
              <w:bottom w:val="single" w:sz="4" w:space="0" w:color="auto"/>
              <w:right w:val="nil"/>
            </w:tcBorders>
            <w:shd w:val="clear" w:color="auto" w:fill="auto"/>
            <w:noWrap/>
            <w:vAlign w:val="center"/>
            <w:hideMark/>
          </w:tcPr>
          <w:p w14:paraId="5C8780CE"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202</w:t>
            </w:r>
          </w:p>
        </w:tc>
        <w:tc>
          <w:tcPr>
            <w:tcW w:w="1154" w:type="dxa"/>
            <w:tcBorders>
              <w:top w:val="nil"/>
              <w:left w:val="nil"/>
              <w:bottom w:val="single" w:sz="4" w:space="0" w:color="auto"/>
              <w:right w:val="nil"/>
            </w:tcBorders>
            <w:shd w:val="clear" w:color="auto" w:fill="auto"/>
            <w:noWrap/>
            <w:vAlign w:val="center"/>
            <w:hideMark/>
          </w:tcPr>
          <w:p w14:paraId="55654530"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99.5</w:t>
            </w:r>
          </w:p>
        </w:tc>
        <w:tc>
          <w:tcPr>
            <w:tcW w:w="1739" w:type="dxa"/>
            <w:tcBorders>
              <w:top w:val="nil"/>
              <w:left w:val="nil"/>
              <w:bottom w:val="single" w:sz="4" w:space="0" w:color="auto"/>
              <w:right w:val="nil"/>
            </w:tcBorders>
            <w:shd w:val="clear" w:color="auto" w:fill="auto"/>
            <w:noWrap/>
            <w:vAlign w:val="center"/>
            <w:hideMark/>
          </w:tcPr>
          <w:p w14:paraId="291C20EC"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516.5</w:t>
            </w:r>
          </w:p>
        </w:tc>
      </w:tr>
      <w:tr w:rsidR="00F85178" w:rsidRPr="00F85178" w14:paraId="16444977" w14:textId="77777777" w:rsidTr="003D0096">
        <w:trPr>
          <w:trHeight w:val="315"/>
        </w:trPr>
        <w:tc>
          <w:tcPr>
            <w:tcW w:w="1080" w:type="dxa"/>
            <w:tcBorders>
              <w:top w:val="nil"/>
              <w:left w:val="nil"/>
              <w:bottom w:val="single" w:sz="4" w:space="0" w:color="auto"/>
              <w:right w:val="nil"/>
            </w:tcBorders>
            <w:shd w:val="clear" w:color="auto" w:fill="auto"/>
            <w:noWrap/>
            <w:vAlign w:val="center"/>
            <w:hideMark/>
          </w:tcPr>
          <w:p w14:paraId="0ECDD0D8"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08D1AD90"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1127" w:type="dxa"/>
            <w:tcBorders>
              <w:top w:val="nil"/>
              <w:left w:val="nil"/>
              <w:bottom w:val="single" w:sz="4" w:space="0" w:color="auto"/>
              <w:right w:val="nil"/>
            </w:tcBorders>
            <w:shd w:val="clear" w:color="auto" w:fill="auto"/>
            <w:noWrap/>
            <w:vAlign w:val="center"/>
            <w:hideMark/>
          </w:tcPr>
          <w:p w14:paraId="6EFC1E8A"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118</w:t>
            </w:r>
          </w:p>
        </w:tc>
        <w:tc>
          <w:tcPr>
            <w:tcW w:w="1154" w:type="dxa"/>
            <w:tcBorders>
              <w:top w:val="nil"/>
              <w:left w:val="nil"/>
              <w:bottom w:val="single" w:sz="4" w:space="0" w:color="auto"/>
              <w:right w:val="nil"/>
            </w:tcBorders>
            <w:shd w:val="clear" w:color="auto" w:fill="auto"/>
            <w:noWrap/>
            <w:vAlign w:val="center"/>
            <w:hideMark/>
          </w:tcPr>
          <w:p w14:paraId="592C7AEF"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78</w:t>
            </w:r>
          </w:p>
        </w:tc>
        <w:tc>
          <w:tcPr>
            <w:tcW w:w="1739" w:type="dxa"/>
            <w:tcBorders>
              <w:top w:val="nil"/>
              <w:left w:val="nil"/>
              <w:bottom w:val="single" w:sz="4" w:space="0" w:color="auto"/>
              <w:right w:val="nil"/>
            </w:tcBorders>
            <w:shd w:val="clear" w:color="auto" w:fill="auto"/>
            <w:noWrap/>
            <w:vAlign w:val="center"/>
            <w:hideMark/>
          </w:tcPr>
          <w:p w14:paraId="1A7504C2"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285</w:t>
            </w:r>
          </w:p>
        </w:tc>
      </w:tr>
      <w:tr w:rsidR="00F85178" w:rsidRPr="00F85178" w14:paraId="592410C9" w14:textId="77777777" w:rsidTr="003D0096">
        <w:trPr>
          <w:trHeight w:val="315"/>
        </w:trPr>
        <w:tc>
          <w:tcPr>
            <w:tcW w:w="1080" w:type="dxa"/>
            <w:tcBorders>
              <w:top w:val="nil"/>
              <w:left w:val="nil"/>
              <w:bottom w:val="single" w:sz="4" w:space="0" w:color="auto"/>
              <w:right w:val="nil"/>
            </w:tcBorders>
            <w:shd w:val="clear" w:color="auto" w:fill="auto"/>
            <w:noWrap/>
            <w:vAlign w:val="center"/>
            <w:hideMark/>
          </w:tcPr>
          <w:p w14:paraId="54C31C8B"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5C2AD0D1"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1127" w:type="dxa"/>
            <w:tcBorders>
              <w:top w:val="nil"/>
              <w:left w:val="nil"/>
              <w:bottom w:val="single" w:sz="4" w:space="0" w:color="auto"/>
              <w:right w:val="nil"/>
            </w:tcBorders>
            <w:shd w:val="clear" w:color="auto" w:fill="auto"/>
            <w:noWrap/>
            <w:vAlign w:val="center"/>
            <w:hideMark/>
          </w:tcPr>
          <w:p w14:paraId="7199D756"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714</w:t>
            </w:r>
          </w:p>
        </w:tc>
        <w:tc>
          <w:tcPr>
            <w:tcW w:w="1154" w:type="dxa"/>
            <w:tcBorders>
              <w:top w:val="nil"/>
              <w:left w:val="nil"/>
              <w:bottom w:val="single" w:sz="4" w:space="0" w:color="auto"/>
              <w:right w:val="nil"/>
            </w:tcBorders>
            <w:shd w:val="clear" w:color="auto" w:fill="auto"/>
            <w:noWrap/>
            <w:vAlign w:val="center"/>
            <w:hideMark/>
          </w:tcPr>
          <w:p w14:paraId="35E6F049"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482</w:t>
            </w:r>
          </w:p>
        </w:tc>
        <w:tc>
          <w:tcPr>
            <w:tcW w:w="1739" w:type="dxa"/>
            <w:tcBorders>
              <w:top w:val="nil"/>
              <w:left w:val="nil"/>
              <w:bottom w:val="single" w:sz="4" w:space="0" w:color="auto"/>
              <w:right w:val="nil"/>
            </w:tcBorders>
            <w:shd w:val="clear" w:color="auto" w:fill="auto"/>
            <w:noWrap/>
            <w:vAlign w:val="center"/>
            <w:hideMark/>
          </w:tcPr>
          <w:p w14:paraId="779CE5AD" w14:textId="040F4E54"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w:t>
            </w:r>
            <w:r w:rsidR="00BD177B">
              <w:rPr>
                <w:rFonts w:eastAsia="Times New Roman"/>
                <w:szCs w:val="24"/>
                <w:lang w:eastAsia="cs-CZ"/>
              </w:rPr>
              <w:t xml:space="preserve"> </w:t>
            </w:r>
            <w:r w:rsidRPr="00F85178">
              <w:rPr>
                <w:rFonts w:eastAsia="Times New Roman"/>
                <w:szCs w:val="24"/>
                <w:lang w:eastAsia="cs-CZ"/>
              </w:rPr>
              <w:t>505</w:t>
            </w:r>
          </w:p>
        </w:tc>
      </w:tr>
      <w:tr w:rsidR="00F85178" w:rsidRPr="00F85178" w14:paraId="173F9BE2" w14:textId="77777777" w:rsidTr="003D0096">
        <w:trPr>
          <w:trHeight w:val="315"/>
        </w:trPr>
        <w:tc>
          <w:tcPr>
            <w:tcW w:w="1080" w:type="dxa"/>
            <w:tcBorders>
              <w:top w:val="nil"/>
              <w:left w:val="nil"/>
              <w:bottom w:val="single" w:sz="4" w:space="0" w:color="auto"/>
              <w:right w:val="nil"/>
            </w:tcBorders>
            <w:shd w:val="clear" w:color="auto" w:fill="auto"/>
            <w:noWrap/>
            <w:vAlign w:val="center"/>
            <w:hideMark/>
          </w:tcPr>
          <w:p w14:paraId="57A4E16F"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6B69472C"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1127" w:type="dxa"/>
            <w:tcBorders>
              <w:top w:val="nil"/>
              <w:left w:val="nil"/>
              <w:bottom w:val="single" w:sz="4" w:space="0" w:color="auto"/>
              <w:right w:val="nil"/>
            </w:tcBorders>
            <w:shd w:val="clear" w:color="auto" w:fill="auto"/>
            <w:noWrap/>
            <w:vAlign w:val="center"/>
            <w:hideMark/>
          </w:tcPr>
          <w:p w14:paraId="40DC59BF"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700</w:t>
            </w:r>
          </w:p>
        </w:tc>
        <w:tc>
          <w:tcPr>
            <w:tcW w:w="1154" w:type="dxa"/>
            <w:tcBorders>
              <w:top w:val="nil"/>
              <w:left w:val="nil"/>
              <w:bottom w:val="single" w:sz="4" w:space="0" w:color="auto"/>
              <w:right w:val="nil"/>
            </w:tcBorders>
            <w:shd w:val="clear" w:color="auto" w:fill="auto"/>
            <w:noWrap/>
            <w:vAlign w:val="center"/>
            <w:hideMark/>
          </w:tcPr>
          <w:p w14:paraId="606BCA7A"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411</w:t>
            </w:r>
          </w:p>
        </w:tc>
        <w:tc>
          <w:tcPr>
            <w:tcW w:w="1739" w:type="dxa"/>
            <w:tcBorders>
              <w:top w:val="nil"/>
              <w:left w:val="nil"/>
              <w:bottom w:val="single" w:sz="4" w:space="0" w:color="auto"/>
              <w:right w:val="nil"/>
            </w:tcBorders>
            <w:shd w:val="clear" w:color="auto" w:fill="auto"/>
            <w:noWrap/>
            <w:vAlign w:val="center"/>
            <w:hideMark/>
          </w:tcPr>
          <w:p w14:paraId="22439F36" w14:textId="47B621B0"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w:t>
            </w:r>
            <w:r w:rsidR="00BD177B">
              <w:rPr>
                <w:rFonts w:eastAsia="Times New Roman"/>
                <w:szCs w:val="24"/>
                <w:lang w:eastAsia="cs-CZ"/>
              </w:rPr>
              <w:t xml:space="preserve"> </w:t>
            </w:r>
            <w:r w:rsidRPr="00F85178">
              <w:rPr>
                <w:rFonts w:eastAsia="Times New Roman"/>
                <w:szCs w:val="24"/>
                <w:lang w:eastAsia="cs-CZ"/>
              </w:rPr>
              <w:t>444</w:t>
            </w:r>
          </w:p>
        </w:tc>
      </w:tr>
      <w:tr w:rsidR="00F85178" w:rsidRPr="00F85178" w14:paraId="0129D538" w14:textId="77777777" w:rsidTr="003D0096">
        <w:trPr>
          <w:trHeight w:val="315"/>
        </w:trPr>
        <w:tc>
          <w:tcPr>
            <w:tcW w:w="1080" w:type="dxa"/>
            <w:tcBorders>
              <w:top w:val="nil"/>
              <w:left w:val="nil"/>
              <w:bottom w:val="single" w:sz="4" w:space="0" w:color="auto"/>
              <w:right w:val="nil"/>
            </w:tcBorders>
            <w:shd w:val="clear" w:color="auto" w:fill="auto"/>
            <w:noWrap/>
            <w:vAlign w:val="center"/>
            <w:hideMark/>
          </w:tcPr>
          <w:p w14:paraId="7E4BE897"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4126F19A"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1127" w:type="dxa"/>
            <w:tcBorders>
              <w:top w:val="nil"/>
              <w:left w:val="nil"/>
              <w:bottom w:val="single" w:sz="4" w:space="0" w:color="auto"/>
              <w:right w:val="nil"/>
            </w:tcBorders>
            <w:shd w:val="clear" w:color="auto" w:fill="auto"/>
            <w:noWrap/>
            <w:vAlign w:val="center"/>
            <w:hideMark/>
          </w:tcPr>
          <w:p w14:paraId="0E0F6775"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330</w:t>
            </w:r>
          </w:p>
        </w:tc>
        <w:tc>
          <w:tcPr>
            <w:tcW w:w="1154" w:type="dxa"/>
            <w:tcBorders>
              <w:top w:val="nil"/>
              <w:left w:val="nil"/>
              <w:bottom w:val="single" w:sz="4" w:space="0" w:color="auto"/>
              <w:right w:val="nil"/>
            </w:tcBorders>
            <w:shd w:val="clear" w:color="auto" w:fill="auto"/>
            <w:noWrap/>
            <w:vAlign w:val="center"/>
            <w:hideMark/>
          </w:tcPr>
          <w:p w14:paraId="0000A410"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162</w:t>
            </w:r>
          </w:p>
        </w:tc>
        <w:tc>
          <w:tcPr>
            <w:tcW w:w="1739" w:type="dxa"/>
            <w:tcBorders>
              <w:top w:val="nil"/>
              <w:left w:val="nil"/>
              <w:bottom w:val="single" w:sz="4" w:space="0" w:color="auto"/>
              <w:right w:val="nil"/>
            </w:tcBorders>
            <w:shd w:val="clear" w:color="auto" w:fill="auto"/>
            <w:noWrap/>
            <w:vAlign w:val="center"/>
            <w:hideMark/>
          </w:tcPr>
          <w:p w14:paraId="33A2A1E6"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739</w:t>
            </w:r>
          </w:p>
        </w:tc>
      </w:tr>
      <w:tr w:rsidR="00F85178" w:rsidRPr="00F85178" w14:paraId="398F93F9" w14:textId="77777777" w:rsidTr="003D0096">
        <w:trPr>
          <w:trHeight w:val="630"/>
        </w:trPr>
        <w:tc>
          <w:tcPr>
            <w:tcW w:w="1080" w:type="dxa"/>
            <w:tcBorders>
              <w:top w:val="nil"/>
              <w:left w:val="nil"/>
              <w:bottom w:val="single" w:sz="4" w:space="0" w:color="auto"/>
              <w:right w:val="nil"/>
            </w:tcBorders>
            <w:shd w:val="clear" w:color="auto" w:fill="auto"/>
            <w:noWrap/>
            <w:vAlign w:val="center"/>
            <w:hideMark/>
          </w:tcPr>
          <w:p w14:paraId="3CE56C62"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487BB76E"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1127" w:type="dxa"/>
            <w:tcBorders>
              <w:top w:val="nil"/>
              <w:left w:val="nil"/>
              <w:bottom w:val="single" w:sz="4" w:space="0" w:color="auto"/>
              <w:right w:val="nil"/>
            </w:tcBorders>
            <w:shd w:val="clear" w:color="auto" w:fill="auto"/>
            <w:noWrap/>
            <w:vAlign w:val="center"/>
            <w:hideMark/>
          </w:tcPr>
          <w:p w14:paraId="4D38D55F"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119</w:t>
            </w:r>
          </w:p>
        </w:tc>
        <w:tc>
          <w:tcPr>
            <w:tcW w:w="1154" w:type="dxa"/>
            <w:tcBorders>
              <w:top w:val="nil"/>
              <w:left w:val="nil"/>
              <w:bottom w:val="single" w:sz="4" w:space="0" w:color="auto"/>
              <w:right w:val="nil"/>
            </w:tcBorders>
            <w:shd w:val="clear" w:color="auto" w:fill="auto"/>
            <w:noWrap/>
            <w:vAlign w:val="center"/>
            <w:hideMark/>
          </w:tcPr>
          <w:p w14:paraId="185E7242"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119</w:t>
            </w:r>
          </w:p>
        </w:tc>
        <w:tc>
          <w:tcPr>
            <w:tcW w:w="1739" w:type="dxa"/>
            <w:tcBorders>
              <w:top w:val="nil"/>
              <w:left w:val="nil"/>
              <w:bottom w:val="single" w:sz="4" w:space="0" w:color="auto"/>
              <w:right w:val="nil"/>
            </w:tcBorders>
            <w:shd w:val="clear" w:color="auto" w:fill="auto"/>
            <w:noWrap/>
            <w:vAlign w:val="center"/>
            <w:hideMark/>
          </w:tcPr>
          <w:p w14:paraId="7A521228"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119</w:t>
            </w:r>
          </w:p>
        </w:tc>
      </w:tr>
      <w:tr w:rsidR="00F85178" w:rsidRPr="00F85178" w14:paraId="2A30BC6C" w14:textId="77777777" w:rsidTr="003D0096">
        <w:trPr>
          <w:trHeight w:val="945"/>
        </w:trPr>
        <w:tc>
          <w:tcPr>
            <w:tcW w:w="1080" w:type="dxa"/>
            <w:tcBorders>
              <w:top w:val="nil"/>
              <w:left w:val="nil"/>
              <w:bottom w:val="single" w:sz="4" w:space="0" w:color="auto"/>
              <w:right w:val="nil"/>
            </w:tcBorders>
            <w:shd w:val="clear" w:color="auto" w:fill="auto"/>
            <w:noWrap/>
            <w:vAlign w:val="center"/>
            <w:hideMark/>
          </w:tcPr>
          <w:p w14:paraId="542C92A5" w14:textId="77777777" w:rsidR="003D0096" w:rsidRPr="00F85178" w:rsidRDefault="00E04691" w:rsidP="003D0096">
            <w:pPr>
              <w:spacing w:line="240" w:lineRule="auto"/>
              <w:jc w:val="center"/>
              <w:rPr>
                <w:rFonts w:eastAsia="Times New Roman"/>
                <w:szCs w:val="24"/>
                <w:lang w:eastAsia="cs-CZ"/>
              </w:rPr>
            </w:pPr>
            <w:r w:rsidRPr="00F85178">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4D029FF4"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r w:rsidR="00E04691" w:rsidRPr="00F85178">
              <w:rPr>
                <w:rStyle w:val="Znakapoznpodarou"/>
                <w:rFonts w:eastAsia="Times New Roman"/>
                <w:szCs w:val="24"/>
                <w:lang w:eastAsia="cs-CZ"/>
              </w:rPr>
              <w:footnoteReference w:id="10"/>
            </w:r>
          </w:p>
        </w:tc>
        <w:tc>
          <w:tcPr>
            <w:tcW w:w="1127" w:type="dxa"/>
            <w:tcBorders>
              <w:top w:val="nil"/>
              <w:left w:val="nil"/>
              <w:bottom w:val="single" w:sz="4" w:space="0" w:color="auto"/>
              <w:right w:val="nil"/>
            </w:tcBorders>
            <w:shd w:val="clear" w:color="auto" w:fill="auto"/>
            <w:noWrap/>
            <w:vAlign w:val="center"/>
            <w:hideMark/>
          </w:tcPr>
          <w:p w14:paraId="78BF2F93"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532</w:t>
            </w:r>
          </w:p>
        </w:tc>
        <w:tc>
          <w:tcPr>
            <w:tcW w:w="1154" w:type="dxa"/>
            <w:tcBorders>
              <w:top w:val="nil"/>
              <w:left w:val="nil"/>
              <w:bottom w:val="single" w:sz="4" w:space="0" w:color="auto"/>
              <w:right w:val="nil"/>
            </w:tcBorders>
            <w:shd w:val="clear" w:color="auto" w:fill="auto"/>
            <w:noWrap/>
            <w:vAlign w:val="center"/>
            <w:hideMark/>
          </w:tcPr>
          <w:p w14:paraId="599115BC"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532</w:t>
            </w:r>
          </w:p>
        </w:tc>
        <w:tc>
          <w:tcPr>
            <w:tcW w:w="1739" w:type="dxa"/>
            <w:tcBorders>
              <w:top w:val="nil"/>
              <w:left w:val="nil"/>
              <w:bottom w:val="single" w:sz="4" w:space="0" w:color="auto"/>
              <w:right w:val="nil"/>
            </w:tcBorders>
            <w:shd w:val="clear" w:color="auto" w:fill="auto"/>
            <w:noWrap/>
            <w:vAlign w:val="center"/>
            <w:hideMark/>
          </w:tcPr>
          <w:p w14:paraId="2DFBA68A"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532</w:t>
            </w:r>
          </w:p>
        </w:tc>
      </w:tr>
      <w:tr w:rsidR="00F85178" w:rsidRPr="00F85178" w14:paraId="1C3108B6" w14:textId="77777777" w:rsidTr="003D0096">
        <w:trPr>
          <w:trHeight w:val="630"/>
        </w:trPr>
        <w:tc>
          <w:tcPr>
            <w:tcW w:w="1080" w:type="dxa"/>
            <w:tcBorders>
              <w:top w:val="nil"/>
              <w:left w:val="nil"/>
              <w:bottom w:val="single" w:sz="4" w:space="0" w:color="auto"/>
              <w:right w:val="nil"/>
            </w:tcBorders>
            <w:shd w:val="clear" w:color="auto" w:fill="auto"/>
            <w:noWrap/>
            <w:vAlign w:val="center"/>
            <w:hideMark/>
          </w:tcPr>
          <w:p w14:paraId="2AB94F3B"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222155AA"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1127" w:type="dxa"/>
            <w:tcBorders>
              <w:top w:val="nil"/>
              <w:left w:val="nil"/>
              <w:bottom w:val="single" w:sz="4" w:space="0" w:color="auto"/>
              <w:right w:val="nil"/>
            </w:tcBorders>
            <w:shd w:val="clear" w:color="auto" w:fill="auto"/>
            <w:noWrap/>
            <w:vAlign w:val="center"/>
            <w:hideMark/>
          </w:tcPr>
          <w:p w14:paraId="73E01C51"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349</w:t>
            </w:r>
          </w:p>
        </w:tc>
        <w:tc>
          <w:tcPr>
            <w:tcW w:w="1154" w:type="dxa"/>
            <w:tcBorders>
              <w:top w:val="nil"/>
              <w:left w:val="nil"/>
              <w:bottom w:val="single" w:sz="4" w:space="0" w:color="auto"/>
              <w:right w:val="nil"/>
            </w:tcBorders>
            <w:shd w:val="clear" w:color="auto" w:fill="auto"/>
            <w:noWrap/>
            <w:vAlign w:val="center"/>
            <w:hideMark/>
          </w:tcPr>
          <w:p w14:paraId="77AB4D27"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166</w:t>
            </w:r>
          </w:p>
        </w:tc>
        <w:tc>
          <w:tcPr>
            <w:tcW w:w="1739" w:type="dxa"/>
            <w:tcBorders>
              <w:top w:val="nil"/>
              <w:left w:val="nil"/>
              <w:bottom w:val="single" w:sz="4" w:space="0" w:color="auto"/>
              <w:right w:val="nil"/>
            </w:tcBorders>
            <w:shd w:val="clear" w:color="auto" w:fill="auto"/>
            <w:noWrap/>
            <w:vAlign w:val="center"/>
            <w:hideMark/>
          </w:tcPr>
          <w:p w14:paraId="01BBC995"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887</w:t>
            </w:r>
          </w:p>
        </w:tc>
      </w:tr>
      <w:tr w:rsidR="00F85178" w:rsidRPr="00F85178" w14:paraId="4A0D71A2" w14:textId="77777777" w:rsidTr="003D0096">
        <w:trPr>
          <w:trHeight w:val="630"/>
        </w:trPr>
        <w:tc>
          <w:tcPr>
            <w:tcW w:w="1080" w:type="dxa"/>
            <w:tcBorders>
              <w:top w:val="nil"/>
              <w:left w:val="nil"/>
              <w:bottom w:val="single" w:sz="4" w:space="0" w:color="auto"/>
              <w:right w:val="nil"/>
            </w:tcBorders>
            <w:shd w:val="clear" w:color="auto" w:fill="auto"/>
            <w:noWrap/>
            <w:vAlign w:val="center"/>
            <w:hideMark/>
          </w:tcPr>
          <w:p w14:paraId="2027EEB6"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36FD7643"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1127" w:type="dxa"/>
            <w:tcBorders>
              <w:top w:val="nil"/>
              <w:left w:val="nil"/>
              <w:bottom w:val="single" w:sz="4" w:space="0" w:color="auto"/>
              <w:right w:val="nil"/>
            </w:tcBorders>
            <w:shd w:val="clear" w:color="auto" w:fill="auto"/>
            <w:noWrap/>
            <w:vAlign w:val="center"/>
            <w:hideMark/>
          </w:tcPr>
          <w:p w14:paraId="34AEC062"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2F17337D"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281F0B9E"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6EB292FF" w14:textId="77777777" w:rsidTr="003D0096">
        <w:trPr>
          <w:trHeight w:val="315"/>
        </w:trPr>
        <w:tc>
          <w:tcPr>
            <w:tcW w:w="1080" w:type="dxa"/>
            <w:tcBorders>
              <w:top w:val="nil"/>
              <w:left w:val="nil"/>
              <w:bottom w:val="single" w:sz="4" w:space="0" w:color="auto"/>
              <w:right w:val="nil"/>
            </w:tcBorders>
            <w:shd w:val="clear" w:color="auto" w:fill="auto"/>
            <w:noWrap/>
            <w:vAlign w:val="center"/>
            <w:hideMark/>
          </w:tcPr>
          <w:p w14:paraId="00CD2767"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596D3BD6"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1127" w:type="dxa"/>
            <w:tcBorders>
              <w:top w:val="nil"/>
              <w:left w:val="nil"/>
              <w:bottom w:val="single" w:sz="4" w:space="0" w:color="auto"/>
              <w:right w:val="nil"/>
            </w:tcBorders>
            <w:shd w:val="clear" w:color="auto" w:fill="auto"/>
            <w:noWrap/>
            <w:vAlign w:val="center"/>
            <w:hideMark/>
          </w:tcPr>
          <w:p w14:paraId="4E9D5B08"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154" w:type="dxa"/>
            <w:tcBorders>
              <w:top w:val="nil"/>
              <w:left w:val="nil"/>
              <w:bottom w:val="single" w:sz="4" w:space="0" w:color="auto"/>
              <w:right w:val="nil"/>
            </w:tcBorders>
            <w:shd w:val="clear" w:color="auto" w:fill="auto"/>
            <w:noWrap/>
            <w:vAlign w:val="center"/>
            <w:hideMark/>
          </w:tcPr>
          <w:p w14:paraId="05BA227E"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739" w:type="dxa"/>
            <w:tcBorders>
              <w:top w:val="nil"/>
              <w:left w:val="nil"/>
              <w:bottom w:val="single" w:sz="4" w:space="0" w:color="auto"/>
              <w:right w:val="nil"/>
            </w:tcBorders>
            <w:shd w:val="clear" w:color="auto" w:fill="auto"/>
            <w:noWrap/>
            <w:vAlign w:val="center"/>
            <w:hideMark/>
          </w:tcPr>
          <w:p w14:paraId="50C9F46B"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r>
      <w:tr w:rsidR="003D0096" w:rsidRPr="00F85178" w14:paraId="73D0D816" w14:textId="77777777" w:rsidTr="003D0096">
        <w:trPr>
          <w:trHeight w:val="645"/>
        </w:trPr>
        <w:tc>
          <w:tcPr>
            <w:tcW w:w="1080" w:type="dxa"/>
            <w:tcBorders>
              <w:top w:val="nil"/>
              <w:left w:val="nil"/>
              <w:bottom w:val="double" w:sz="6" w:space="0" w:color="auto"/>
              <w:right w:val="nil"/>
            </w:tcBorders>
            <w:shd w:val="clear" w:color="auto" w:fill="auto"/>
            <w:noWrap/>
            <w:vAlign w:val="center"/>
            <w:hideMark/>
          </w:tcPr>
          <w:p w14:paraId="53BE3094"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425A85FE" w14:textId="77777777" w:rsidR="003D0096" w:rsidRPr="00F85178" w:rsidRDefault="003D0096" w:rsidP="003D0096">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1127" w:type="dxa"/>
            <w:tcBorders>
              <w:top w:val="nil"/>
              <w:left w:val="nil"/>
              <w:bottom w:val="double" w:sz="6" w:space="0" w:color="auto"/>
              <w:right w:val="nil"/>
            </w:tcBorders>
            <w:shd w:val="clear" w:color="auto" w:fill="auto"/>
            <w:noWrap/>
            <w:vAlign w:val="center"/>
            <w:hideMark/>
          </w:tcPr>
          <w:p w14:paraId="25D32E27"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154" w:type="dxa"/>
            <w:tcBorders>
              <w:top w:val="nil"/>
              <w:left w:val="nil"/>
              <w:bottom w:val="double" w:sz="6" w:space="0" w:color="auto"/>
              <w:right w:val="nil"/>
            </w:tcBorders>
            <w:shd w:val="clear" w:color="auto" w:fill="auto"/>
            <w:noWrap/>
            <w:vAlign w:val="center"/>
            <w:hideMark/>
          </w:tcPr>
          <w:p w14:paraId="319E4F95"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c>
          <w:tcPr>
            <w:tcW w:w="1739" w:type="dxa"/>
            <w:tcBorders>
              <w:top w:val="nil"/>
              <w:left w:val="nil"/>
              <w:bottom w:val="double" w:sz="6" w:space="0" w:color="auto"/>
              <w:right w:val="nil"/>
            </w:tcBorders>
            <w:shd w:val="clear" w:color="auto" w:fill="auto"/>
            <w:noWrap/>
            <w:vAlign w:val="center"/>
            <w:hideMark/>
          </w:tcPr>
          <w:p w14:paraId="215FD090" w14:textId="77777777" w:rsidR="003D0096" w:rsidRPr="00F85178" w:rsidRDefault="003D0096" w:rsidP="003D0096">
            <w:pPr>
              <w:spacing w:line="240" w:lineRule="auto"/>
              <w:jc w:val="center"/>
              <w:rPr>
                <w:rFonts w:eastAsia="Times New Roman"/>
                <w:szCs w:val="24"/>
                <w:lang w:eastAsia="cs-CZ"/>
              </w:rPr>
            </w:pPr>
            <w:r w:rsidRPr="00F85178">
              <w:rPr>
                <w:rFonts w:eastAsia="Times New Roman"/>
                <w:szCs w:val="24"/>
                <w:lang w:eastAsia="cs-CZ"/>
              </w:rPr>
              <w:t>-</w:t>
            </w:r>
          </w:p>
        </w:tc>
      </w:tr>
    </w:tbl>
    <w:p w14:paraId="2DFEB18A" w14:textId="77777777" w:rsidR="00577AF4" w:rsidRPr="00F85178" w:rsidRDefault="00577AF4" w:rsidP="00205FD6"/>
    <w:p w14:paraId="1EEDC431" w14:textId="77777777" w:rsidR="00E416BE" w:rsidRPr="00F85178" w:rsidRDefault="00E416BE" w:rsidP="00E416BE">
      <w:pPr>
        <w:pStyle w:val="OdstavecASR"/>
      </w:pPr>
      <w:r w:rsidRPr="00F85178">
        <w:t>Nakonec jsou délky řízení, stejně jako u jiných agend, zobrazeny v histogramu. Šířka intervalu je 25 dnů. Na rozdíl od jiných histogramů jsou zde vidět „zuby“. Tím jsou myšleny velké rozdíly mezi četností u intervalů, které leží vedle sebe. Ty plynou z malého množství pozorování a zvolení malé šířky intervalu.</w:t>
      </w:r>
      <w:r w:rsidR="00E04691" w:rsidRPr="00F85178">
        <w:t xml:space="preserve"> </w:t>
      </w:r>
      <w:r w:rsidR="00A53EB8" w:rsidRPr="00F85178">
        <w:t>Z toho plyne také znatelně jiné rozložení četností (výšky sloupců) na vodorovné ose) v roce 2018</w:t>
      </w:r>
      <w:r w:rsidR="00B11D20" w:rsidRPr="00F85178">
        <w:t xml:space="preserve"> a v roce 2017</w:t>
      </w:r>
      <w:r w:rsidR="00E04691" w:rsidRPr="00F85178">
        <w:t>.</w:t>
      </w:r>
    </w:p>
    <w:p w14:paraId="228C431A" w14:textId="77777777" w:rsidR="00E416BE" w:rsidRPr="00F85178" w:rsidRDefault="00E416BE" w:rsidP="00205FD6"/>
    <w:p w14:paraId="79F6F1DE" w14:textId="77777777" w:rsidR="00CE3AAE" w:rsidRPr="00F85178" w:rsidRDefault="00CE3AAE" w:rsidP="00CE3AAE">
      <w:pPr>
        <w:pStyle w:val="Podtitul"/>
        <w:rPr>
          <w:color w:val="auto"/>
        </w:rPr>
      </w:pPr>
      <w:bookmarkStart w:id="436" w:name="_Toc515871390"/>
      <w:bookmarkStart w:id="437" w:name="_Toc11135121"/>
      <w:bookmarkStart w:id="438" w:name="_Toc1383755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60</w:t>
      </w:r>
      <w:r w:rsidRPr="00F85178">
        <w:rPr>
          <w:color w:val="auto"/>
        </w:rPr>
        <w:fldChar w:fldCharType="end"/>
      </w:r>
      <w:r w:rsidRPr="00F85178">
        <w:rPr>
          <w:color w:val="auto"/>
        </w:rPr>
        <w:t>: KS – distribuce délek prvostupňového trestního řízení</w:t>
      </w:r>
      <w:bookmarkEnd w:id="436"/>
      <w:bookmarkEnd w:id="437"/>
      <w:bookmarkEnd w:id="438"/>
    </w:p>
    <w:p w14:paraId="11A9BF0C" w14:textId="77777777" w:rsidR="00CE3AAE" w:rsidRPr="00F85178" w:rsidRDefault="00890295" w:rsidP="00205FD6">
      <w:r>
        <w:rPr>
          <w:noProof/>
          <w:lang w:eastAsia="cs-CZ"/>
        </w:rPr>
        <w:drawing>
          <wp:inline distT="0" distB="0" distL="0" distR="0" wp14:anchorId="7E18257C" wp14:editId="7F63062C">
            <wp:extent cx="5118100" cy="3746500"/>
            <wp:effectExtent l="0" t="0" r="0" b="0"/>
            <wp:docPr id="63" name="Obrázek 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5"/>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812EA54" w14:textId="77777777" w:rsidR="00CE3AAE" w:rsidRPr="00F85178" w:rsidRDefault="00CE3AAE" w:rsidP="00CE3AAE">
      <w:pPr>
        <w:pStyle w:val="Nadpis3"/>
        <w:rPr>
          <w:color w:val="auto"/>
        </w:rPr>
      </w:pPr>
      <w:bookmarkStart w:id="439" w:name="_Toc515871259"/>
      <w:bookmarkStart w:id="440" w:name="_Toc14076908"/>
      <w:r w:rsidRPr="00F85178">
        <w:rPr>
          <w:color w:val="auto"/>
        </w:rPr>
        <w:t>Vyřizování věcí</w:t>
      </w:r>
      <w:bookmarkEnd w:id="439"/>
      <w:bookmarkEnd w:id="440"/>
    </w:p>
    <w:p w14:paraId="48B4707B" w14:textId="77777777" w:rsidR="006945B8" w:rsidRPr="00F85178" w:rsidRDefault="006945B8" w:rsidP="006945B8">
      <w:pPr>
        <w:pStyle w:val="OdstavecASR"/>
      </w:pPr>
      <w:r w:rsidRPr="00F85178">
        <w:t>Na následujícím grafu vidíme vývoj v počtu napadlých + obživlých, vyřízených a nevyřízených věcí.</w:t>
      </w:r>
    </w:p>
    <w:p w14:paraId="4D4C01F7" w14:textId="77777777" w:rsidR="00CE3AAE" w:rsidRPr="00F85178" w:rsidRDefault="00CE3AAE" w:rsidP="006945B8">
      <w:pPr>
        <w:pStyle w:val="Podtitul"/>
        <w:keepNext w:val="0"/>
        <w:rPr>
          <w:color w:val="auto"/>
        </w:rPr>
      </w:pPr>
      <w:bookmarkStart w:id="441" w:name="_Toc515871391"/>
      <w:bookmarkStart w:id="442" w:name="_Toc11135122"/>
      <w:bookmarkStart w:id="443" w:name="_Toc1383755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61</w:t>
      </w:r>
      <w:r w:rsidRPr="00F85178">
        <w:rPr>
          <w:noProof/>
          <w:color w:val="auto"/>
        </w:rPr>
        <w:fldChar w:fldCharType="end"/>
      </w:r>
      <w:r w:rsidRPr="00F85178">
        <w:rPr>
          <w:color w:val="auto"/>
        </w:rPr>
        <w:t>: KS – vyřizování prvostupňových trestních věcí v letech 2008–201</w:t>
      </w:r>
      <w:bookmarkEnd w:id="441"/>
      <w:r w:rsidRPr="00F85178">
        <w:rPr>
          <w:color w:val="auto"/>
        </w:rPr>
        <w:t>8</w:t>
      </w:r>
      <w:bookmarkEnd w:id="442"/>
      <w:bookmarkEnd w:id="443"/>
    </w:p>
    <w:p w14:paraId="77F42E0E" w14:textId="77777777" w:rsidR="00CE3AAE" w:rsidRPr="00F85178" w:rsidRDefault="00890295" w:rsidP="00205FD6">
      <w:r>
        <w:rPr>
          <w:noProof/>
          <w:lang w:eastAsia="cs-CZ"/>
        </w:rPr>
        <w:drawing>
          <wp:inline distT="0" distB="0" distL="0" distR="0" wp14:anchorId="14F0B734" wp14:editId="71B10B0C">
            <wp:extent cx="5118100" cy="3746500"/>
            <wp:effectExtent l="0" t="0" r="0" b="0"/>
            <wp:docPr id="64" name="Obrázek 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6"/>
                    <pic:cNvPicPr>
                      <a:picLocks noChangeAspect="1" noChangeArrowheads="1"/>
                    </pic:cNvPicPr>
                  </pic:nvPicPr>
                  <pic:blipFill>
                    <a:blip r:embed="rId8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D97BA4E" w14:textId="77777777" w:rsidR="006945B8" w:rsidRPr="00F85178" w:rsidRDefault="006945B8" w:rsidP="006945B8">
      <w:pPr>
        <w:pStyle w:val="OdstavecASR"/>
      </w:pPr>
      <w:r w:rsidRPr="00F85178">
        <w:t xml:space="preserve">Zatímco u okresních soudů je zřejmý jednoznačný klesající trend, u závažnějších trestných činů vyřizovaných krajskými soudy tomu tak není. Počet napadlých a vyřízených věcí se </w:t>
      </w:r>
      <w:r w:rsidR="00E04691" w:rsidRPr="00F85178">
        <w:t>dlouhodobě pohybuje</w:t>
      </w:r>
      <w:r w:rsidRPr="00F85178">
        <w:t xml:space="preserve"> mezi 1 200 a 1 300 věcmi. Počet příchozích prvostupňových věcí u KS byl tedy v roce 201</w:t>
      </w:r>
      <w:r w:rsidR="00105A88" w:rsidRPr="00F85178">
        <w:t>8</w:t>
      </w:r>
      <w:r w:rsidRPr="00F85178">
        <w:t xml:space="preserve"> asi 5</w:t>
      </w:r>
      <w:r w:rsidR="00105A88" w:rsidRPr="00F85178">
        <w:t>7</w:t>
      </w:r>
      <w:r w:rsidRPr="00F85178">
        <w:t>krát menší než počet příchozích věcí u OS</w:t>
      </w:r>
      <w:r w:rsidR="00105A88" w:rsidRPr="00F85178">
        <w:t>, což je dlo</w:t>
      </w:r>
      <w:r w:rsidR="00475FE9" w:rsidRPr="00F85178">
        <w:t>u</w:t>
      </w:r>
      <w:r w:rsidR="00105A88" w:rsidRPr="00F85178">
        <w:t>hodobě stejný poměr</w:t>
      </w:r>
      <w:r w:rsidRPr="00F85178">
        <w:t>. U nejmenších krajských soudů (KS České Budějovice</w:t>
      </w:r>
      <w:r w:rsidR="00105A88" w:rsidRPr="00F85178">
        <w:t>, KS Plzeň</w:t>
      </w:r>
      <w:r w:rsidRPr="00F85178">
        <w:t xml:space="preserve"> a KS Praha) napadne ročně méně než 100 prvostupňových trestních věcí.</w:t>
      </w:r>
    </w:p>
    <w:p w14:paraId="29E9D92A" w14:textId="77777777" w:rsidR="0032015B" w:rsidRDefault="006945B8" w:rsidP="006945B8">
      <w:pPr>
        <w:pStyle w:val="OdstavecASR"/>
      </w:pPr>
      <w:r w:rsidRPr="00F85178">
        <w:t>Od roku 201</w:t>
      </w:r>
      <w:r w:rsidR="00105A88" w:rsidRPr="00F85178">
        <w:t>2</w:t>
      </w:r>
      <w:r w:rsidRPr="00F85178">
        <w:t xml:space="preserve"> do roku 2016 byl počet příchozích věcí vyšší než počet vyřízených věcí. Počet nevyřízených věcí se tedy velmi pomalu zvyšoval. </w:t>
      </w:r>
      <w:r w:rsidR="00A21A33" w:rsidRPr="00F85178">
        <w:t>Tento stav</w:t>
      </w:r>
      <w:r w:rsidR="00105A88" w:rsidRPr="00F85178">
        <w:t xml:space="preserve"> se přerušil v roce 2017, aby se v roce 2018 opět obnovil.</w:t>
      </w:r>
    </w:p>
    <w:p w14:paraId="7344FE88" w14:textId="71B0E263" w:rsidR="00FA603B" w:rsidRPr="00F85178" w:rsidRDefault="00FA603B" w:rsidP="00FA603B">
      <w:pPr>
        <w:pStyle w:val="Podtitul"/>
        <w:rPr>
          <w:color w:val="auto"/>
        </w:rPr>
      </w:pPr>
      <w:bookmarkStart w:id="444" w:name="_Toc515871480"/>
      <w:bookmarkStart w:id="445" w:name="_Toc11133248"/>
      <w:bookmarkStart w:id="446" w:name="_Toc1383746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46</w:t>
      </w:r>
      <w:r w:rsidRPr="00F85178">
        <w:rPr>
          <w:noProof/>
          <w:color w:val="auto"/>
        </w:rPr>
        <w:fldChar w:fldCharType="end"/>
      </w:r>
      <w:r w:rsidRPr="00F85178">
        <w:rPr>
          <w:color w:val="auto"/>
        </w:rPr>
        <w:t>: KS – vyřizování prvostupňových trestních věcí dle soudů</w:t>
      </w:r>
      <w:bookmarkEnd w:id="444"/>
      <w:bookmarkEnd w:id="445"/>
      <w:bookmarkEnd w:id="446"/>
    </w:p>
    <w:tbl>
      <w:tblPr>
        <w:tblW w:w="9140" w:type="dxa"/>
        <w:tblCellMar>
          <w:left w:w="70" w:type="dxa"/>
          <w:right w:w="70" w:type="dxa"/>
        </w:tblCellMar>
        <w:tblLook w:val="04A0" w:firstRow="1" w:lastRow="0" w:firstColumn="1" w:lastColumn="0" w:noHBand="0" w:noVBand="1"/>
      </w:tblPr>
      <w:tblGrid>
        <w:gridCol w:w="2020"/>
        <w:gridCol w:w="885"/>
        <w:gridCol w:w="1081"/>
        <w:gridCol w:w="884"/>
        <w:gridCol w:w="946"/>
        <w:gridCol w:w="703"/>
        <w:gridCol w:w="1081"/>
        <w:gridCol w:w="1540"/>
      </w:tblGrid>
      <w:tr w:rsidR="00F85178" w:rsidRPr="00F85178" w14:paraId="036C0F99" w14:textId="77777777" w:rsidTr="00FA603B">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38E5A91C"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Nadřízený 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5D955AD5"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45CA780B"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5C02AB27" w14:textId="77777777" w:rsidTr="00FA603B">
        <w:trPr>
          <w:trHeight w:val="330"/>
        </w:trPr>
        <w:tc>
          <w:tcPr>
            <w:tcW w:w="2020" w:type="dxa"/>
            <w:vMerge/>
            <w:tcBorders>
              <w:top w:val="double" w:sz="6" w:space="0" w:color="auto"/>
              <w:left w:val="nil"/>
              <w:bottom w:val="double" w:sz="6" w:space="0" w:color="000000"/>
              <w:right w:val="nil"/>
            </w:tcBorders>
            <w:vAlign w:val="center"/>
            <w:hideMark/>
          </w:tcPr>
          <w:p w14:paraId="639F0CA3" w14:textId="77777777" w:rsidR="00FA603B" w:rsidRPr="00F85178" w:rsidRDefault="00FA603B" w:rsidP="00FA603B">
            <w:pPr>
              <w:spacing w:line="240" w:lineRule="auto"/>
              <w:jc w:val="left"/>
              <w:rPr>
                <w:rFonts w:eastAsia="Times New Roman"/>
                <w:b/>
                <w:bCs/>
                <w:szCs w:val="24"/>
                <w:lang w:eastAsia="cs-CZ"/>
              </w:rPr>
            </w:pPr>
          </w:p>
        </w:tc>
        <w:tc>
          <w:tcPr>
            <w:tcW w:w="1966" w:type="dxa"/>
            <w:gridSpan w:val="2"/>
            <w:tcBorders>
              <w:top w:val="nil"/>
              <w:left w:val="nil"/>
              <w:bottom w:val="double" w:sz="6" w:space="0" w:color="auto"/>
              <w:right w:val="nil"/>
            </w:tcBorders>
            <w:shd w:val="clear" w:color="auto" w:fill="auto"/>
            <w:noWrap/>
            <w:vAlign w:val="center"/>
            <w:hideMark/>
          </w:tcPr>
          <w:p w14:paraId="67B4C1EC"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3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C806C7A"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84" w:type="dxa"/>
            <w:gridSpan w:val="2"/>
            <w:tcBorders>
              <w:top w:val="nil"/>
              <w:left w:val="nil"/>
              <w:bottom w:val="double" w:sz="6" w:space="0" w:color="auto"/>
              <w:right w:val="single" w:sz="4" w:space="0" w:color="000000"/>
            </w:tcBorders>
            <w:shd w:val="clear" w:color="auto" w:fill="auto"/>
            <w:noWrap/>
            <w:vAlign w:val="center"/>
            <w:hideMark/>
          </w:tcPr>
          <w:p w14:paraId="05CE53D3"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57726E6A" w14:textId="77777777" w:rsidR="00FA603B" w:rsidRPr="00F85178" w:rsidRDefault="00FA603B" w:rsidP="00FA603B">
            <w:pPr>
              <w:spacing w:line="240" w:lineRule="auto"/>
              <w:jc w:val="left"/>
              <w:rPr>
                <w:rFonts w:eastAsia="Times New Roman"/>
                <w:b/>
                <w:bCs/>
                <w:szCs w:val="24"/>
                <w:lang w:eastAsia="cs-CZ"/>
              </w:rPr>
            </w:pPr>
          </w:p>
        </w:tc>
      </w:tr>
      <w:tr w:rsidR="00F85178" w:rsidRPr="00F85178" w14:paraId="7B8F54A5" w14:textId="77777777" w:rsidTr="00FA603B">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6D6CDE6B"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MS Praha</w:t>
            </w:r>
          </w:p>
        </w:tc>
        <w:tc>
          <w:tcPr>
            <w:tcW w:w="885" w:type="dxa"/>
            <w:tcBorders>
              <w:top w:val="single" w:sz="4" w:space="0" w:color="auto"/>
              <w:left w:val="nil"/>
              <w:bottom w:val="single" w:sz="4" w:space="0" w:color="auto"/>
              <w:right w:val="nil"/>
            </w:tcBorders>
            <w:shd w:val="clear" w:color="auto" w:fill="auto"/>
            <w:noWrap/>
            <w:vAlign w:val="bottom"/>
            <w:hideMark/>
          </w:tcPr>
          <w:p w14:paraId="049D9441"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301</w:t>
            </w:r>
          </w:p>
        </w:tc>
        <w:tc>
          <w:tcPr>
            <w:tcW w:w="1081" w:type="dxa"/>
            <w:tcBorders>
              <w:top w:val="single" w:sz="4" w:space="0" w:color="auto"/>
              <w:left w:val="nil"/>
              <w:bottom w:val="single" w:sz="4" w:space="0" w:color="auto"/>
              <w:right w:val="nil"/>
            </w:tcBorders>
            <w:shd w:val="clear" w:color="auto" w:fill="auto"/>
            <w:noWrap/>
            <w:vAlign w:val="center"/>
            <w:hideMark/>
          </w:tcPr>
          <w:p w14:paraId="2C4D2BF3" w14:textId="6D81EB43"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884" w:type="dxa"/>
            <w:tcBorders>
              <w:top w:val="single" w:sz="4" w:space="0" w:color="auto"/>
              <w:left w:val="single" w:sz="4" w:space="0" w:color="auto"/>
              <w:bottom w:val="single" w:sz="4" w:space="0" w:color="auto"/>
              <w:right w:val="nil"/>
            </w:tcBorders>
            <w:shd w:val="clear" w:color="auto" w:fill="auto"/>
            <w:noWrap/>
            <w:vAlign w:val="bottom"/>
            <w:hideMark/>
          </w:tcPr>
          <w:p w14:paraId="279BD4CF"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289</w:t>
            </w:r>
          </w:p>
        </w:tc>
        <w:tc>
          <w:tcPr>
            <w:tcW w:w="946" w:type="dxa"/>
            <w:tcBorders>
              <w:top w:val="single" w:sz="4" w:space="0" w:color="auto"/>
              <w:left w:val="nil"/>
              <w:bottom w:val="single" w:sz="4" w:space="0" w:color="auto"/>
              <w:right w:val="single" w:sz="4" w:space="0" w:color="auto"/>
            </w:tcBorders>
            <w:shd w:val="clear" w:color="auto" w:fill="auto"/>
            <w:noWrap/>
            <w:vAlign w:val="center"/>
            <w:hideMark/>
          </w:tcPr>
          <w:p w14:paraId="203FC046" w14:textId="2C2B5CF5"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703" w:type="dxa"/>
            <w:tcBorders>
              <w:top w:val="single" w:sz="4" w:space="0" w:color="auto"/>
              <w:left w:val="nil"/>
              <w:bottom w:val="single" w:sz="4" w:space="0" w:color="auto"/>
              <w:right w:val="nil"/>
            </w:tcBorders>
            <w:shd w:val="clear" w:color="auto" w:fill="auto"/>
            <w:noWrap/>
            <w:vAlign w:val="bottom"/>
            <w:hideMark/>
          </w:tcPr>
          <w:p w14:paraId="48C00450"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159</w:t>
            </w:r>
          </w:p>
        </w:tc>
        <w:tc>
          <w:tcPr>
            <w:tcW w:w="1081" w:type="dxa"/>
            <w:tcBorders>
              <w:top w:val="single" w:sz="4" w:space="0" w:color="auto"/>
              <w:left w:val="nil"/>
              <w:bottom w:val="single" w:sz="4" w:space="0" w:color="auto"/>
              <w:right w:val="single" w:sz="4" w:space="0" w:color="auto"/>
            </w:tcBorders>
            <w:shd w:val="clear" w:color="auto" w:fill="auto"/>
            <w:noWrap/>
            <w:vAlign w:val="center"/>
            <w:hideMark/>
          </w:tcPr>
          <w:p w14:paraId="09724476" w14:textId="1699E0F9"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1540" w:type="dxa"/>
            <w:tcBorders>
              <w:top w:val="nil"/>
              <w:left w:val="nil"/>
              <w:bottom w:val="single" w:sz="4" w:space="0" w:color="auto"/>
              <w:right w:val="nil"/>
            </w:tcBorders>
            <w:shd w:val="clear" w:color="auto" w:fill="auto"/>
            <w:noWrap/>
            <w:vAlign w:val="center"/>
            <w:hideMark/>
          </w:tcPr>
          <w:p w14:paraId="7FB91CB5"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96,0 %</w:t>
            </w:r>
          </w:p>
        </w:tc>
      </w:tr>
      <w:tr w:rsidR="00F85178" w:rsidRPr="00F85178" w14:paraId="0381DCEB"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44AF38C0"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Praha</w:t>
            </w:r>
          </w:p>
        </w:tc>
        <w:tc>
          <w:tcPr>
            <w:tcW w:w="885" w:type="dxa"/>
            <w:tcBorders>
              <w:top w:val="nil"/>
              <w:left w:val="nil"/>
              <w:bottom w:val="single" w:sz="4" w:space="0" w:color="auto"/>
              <w:right w:val="nil"/>
            </w:tcBorders>
            <w:shd w:val="clear" w:color="auto" w:fill="auto"/>
            <w:noWrap/>
            <w:vAlign w:val="bottom"/>
            <w:hideMark/>
          </w:tcPr>
          <w:p w14:paraId="1120EC81"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85</w:t>
            </w:r>
          </w:p>
        </w:tc>
        <w:tc>
          <w:tcPr>
            <w:tcW w:w="1081" w:type="dxa"/>
            <w:tcBorders>
              <w:top w:val="nil"/>
              <w:left w:val="nil"/>
              <w:bottom w:val="single" w:sz="4" w:space="0" w:color="auto"/>
              <w:right w:val="nil"/>
            </w:tcBorders>
            <w:shd w:val="clear" w:color="auto" w:fill="auto"/>
            <w:noWrap/>
            <w:vAlign w:val="center"/>
            <w:hideMark/>
          </w:tcPr>
          <w:p w14:paraId="371DC0AB" w14:textId="28586C40"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884" w:type="dxa"/>
            <w:tcBorders>
              <w:top w:val="nil"/>
              <w:left w:val="single" w:sz="4" w:space="0" w:color="auto"/>
              <w:bottom w:val="single" w:sz="4" w:space="0" w:color="auto"/>
              <w:right w:val="nil"/>
            </w:tcBorders>
            <w:shd w:val="clear" w:color="auto" w:fill="auto"/>
            <w:noWrap/>
            <w:vAlign w:val="bottom"/>
            <w:hideMark/>
          </w:tcPr>
          <w:p w14:paraId="0B75359E"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83</w:t>
            </w:r>
          </w:p>
        </w:tc>
        <w:tc>
          <w:tcPr>
            <w:tcW w:w="946" w:type="dxa"/>
            <w:tcBorders>
              <w:top w:val="nil"/>
              <w:left w:val="nil"/>
              <w:bottom w:val="single" w:sz="4" w:space="0" w:color="auto"/>
              <w:right w:val="single" w:sz="4" w:space="0" w:color="auto"/>
            </w:tcBorders>
            <w:shd w:val="clear" w:color="auto" w:fill="auto"/>
            <w:noWrap/>
            <w:vAlign w:val="center"/>
            <w:hideMark/>
          </w:tcPr>
          <w:p w14:paraId="2A96AB8B" w14:textId="633DAB24"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703" w:type="dxa"/>
            <w:tcBorders>
              <w:top w:val="nil"/>
              <w:left w:val="nil"/>
              <w:bottom w:val="single" w:sz="4" w:space="0" w:color="auto"/>
              <w:right w:val="nil"/>
            </w:tcBorders>
            <w:shd w:val="clear" w:color="auto" w:fill="auto"/>
            <w:noWrap/>
            <w:vAlign w:val="bottom"/>
            <w:hideMark/>
          </w:tcPr>
          <w:p w14:paraId="713FAF5C"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30</w:t>
            </w:r>
          </w:p>
        </w:tc>
        <w:tc>
          <w:tcPr>
            <w:tcW w:w="1081" w:type="dxa"/>
            <w:tcBorders>
              <w:top w:val="nil"/>
              <w:left w:val="nil"/>
              <w:bottom w:val="single" w:sz="4" w:space="0" w:color="auto"/>
              <w:right w:val="single" w:sz="4" w:space="0" w:color="auto"/>
            </w:tcBorders>
            <w:shd w:val="clear" w:color="auto" w:fill="auto"/>
            <w:noWrap/>
            <w:vAlign w:val="center"/>
            <w:hideMark/>
          </w:tcPr>
          <w:p w14:paraId="333761A5" w14:textId="4FDB6064"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40" w:type="dxa"/>
            <w:tcBorders>
              <w:top w:val="nil"/>
              <w:left w:val="nil"/>
              <w:bottom w:val="single" w:sz="4" w:space="0" w:color="auto"/>
              <w:right w:val="nil"/>
            </w:tcBorders>
            <w:shd w:val="clear" w:color="auto" w:fill="auto"/>
            <w:noWrap/>
            <w:vAlign w:val="center"/>
            <w:hideMark/>
          </w:tcPr>
          <w:p w14:paraId="6EA9CF48"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97,6 %</w:t>
            </w:r>
          </w:p>
        </w:tc>
      </w:tr>
      <w:tr w:rsidR="00F85178" w:rsidRPr="00F85178" w14:paraId="00F17C37"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2804DC3E"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Č. Budějovice</w:t>
            </w:r>
          </w:p>
        </w:tc>
        <w:tc>
          <w:tcPr>
            <w:tcW w:w="885" w:type="dxa"/>
            <w:tcBorders>
              <w:top w:val="nil"/>
              <w:left w:val="nil"/>
              <w:bottom w:val="single" w:sz="4" w:space="0" w:color="auto"/>
              <w:right w:val="nil"/>
            </w:tcBorders>
            <w:shd w:val="clear" w:color="auto" w:fill="auto"/>
            <w:noWrap/>
            <w:vAlign w:val="bottom"/>
            <w:hideMark/>
          </w:tcPr>
          <w:p w14:paraId="5D820B31"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58</w:t>
            </w:r>
          </w:p>
        </w:tc>
        <w:tc>
          <w:tcPr>
            <w:tcW w:w="1081" w:type="dxa"/>
            <w:tcBorders>
              <w:top w:val="nil"/>
              <w:left w:val="nil"/>
              <w:bottom w:val="single" w:sz="4" w:space="0" w:color="auto"/>
              <w:right w:val="nil"/>
            </w:tcBorders>
            <w:shd w:val="clear" w:color="auto" w:fill="auto"/>
            <w:noWrap/>
            <w:vAlign w:val="center"/>
            <w:hideMark/>
          </w:tcPr>
          <w:p w14:paraId="60F43A61" w14:textId="2E0DADC7"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-18 %</w:t>
            </w:r>
          </w:p>
        </w:tc>
        <w:tc>
          <w:tcPr>
            <w:tcW w:w="884" w:type="dxa"/>
            <w:tcBorders>
              <w:top w:val="nil"/>
              <w:left w:val="single" w:sz="4" w:space="0" w:color="auto"/>
              <w:bottom w:val="single" w:sz="4" w:space="0" w:color="auto"/>
              <w:right w:val="nil"/>
            </w:tcBorders>
            <w:shd w:val="clear" w:color="auto" w:fill="auto"/>
            <w:noWrap/>
            <w:vAlign w:val="bottom"/>
            <w:hideMark/>
          </w:tcPr>
          <w:p w14:paraId="14708471"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64</w:t>
            </w:r>
          </w:p>
        </w:tc>
        <w:tc>
          <w:tcPr>
            <w:tcW w:w="946" w:type="dxa"/>
            <w:tcBorders>
              <w:top w:val="nil"/>
              <w:left w:val="nil"/>
              <w:bottom w:val="single" w:sz="4" w:space="0" w:color="auto"/>
              <w:right w:val="single" w:sz="4" w:space="0" w:color="auto"/>
            </w:tcBorders>
            <w:shd w:val="clear" w:color="auto" w:fill="auto"/>
            <w:noWrap/>
            <w:vAlign w:val="center"/>
            <w:hideMark/>
          </w:tcPr>
          <w:p w14:paraId="3B95976D" w14:textId="5DD06FC7"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703" w:type="dxa"/>
            <w:tcBorders>
              <w:top w:val="nil"/>
              <w:left w:val="nil"/>
              <w:bottom w:val="single" w:sz="4" w:space="0" w:color="auto"/>
              <w:right w:val="nil"/>
            </w:tcBorders>
            <w:shd w:val="clear" w:color="auto" w:fill="auto"/>
            <w:noWrap/>
            <w:vAlign w:val="bottom"/>
            <w:hideMark/>
          </w:tcPr>
          <w:p w14:paraId="74DF0929"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41</w:t>
            </w:r>
          </w:p>
        </w:tc>
        <w:tc>
          <w:tcPr>
            <w:tcW w:w="1081" w:type="dxa"/>
            <w:tcBorders>
              <w:top w:val="nil"/>
              <w:left w:val="nil"/>
              <w:bottom w:val="single" w:sz="4" w:space="0" w:color="auto"/>
              <w:right w:val="single" w:sz="4" w:space="0" w:color="auto"/>
            </w:tcBorders>
            <w:shd w:val="clear" w:color="auto" w:fill="auto"/>
            <w:noWrap/>
            <w:vAlign w:val="center"/>
            <w:hideMark/>
          </w:tcPr>
          <w:p w14:paraId="2B6F5E8F" w14:textId="205CFFE2"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6A8B66BE"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110,3 %</w:t>
            </w:r>
          </w:p>
        </w:tc>
      </w:tr>
      <w:tr w:rsidR="00F85178" w:rsidRPr="00F85178" w14:paraId="298639BF"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4B3700C1"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Plzeň</w:t>
            </w:r>
          </w:p>
        </w:tc>
        <w:tc>
          <w:tcPr>
            <w:tcW w:w="885" w:type="dxa"/>
            <w:tcBorders>
              <w:top w:val="nil"/>
              <w:left w:val="nil"/>
              <w:bottom w:val="single" w:sz="4" w:space="0" w:color="auto"/>
              <w:right w:val="nil"/>
            </w:tcBorders>
            <w:shd w:val="clear" w:color="auto" w:fill="auto"/>
            <w:noWrap/>
            <w:vAlign w:val="bottom"/>
            <w:hideMark/>
          </w:tcPr>
          <w:p w14:paraId="1824BD7D"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93</w:t>
            </w:r>
          </w:p>
        </w:tc>
        <w:tc>
          <w:tcPr>
            <w:tcW w:w="1081" w:type="dxa"/>
            <w:tcBorders>
              <w:top w:val="nil"/>
              <w:left w:val="nil"/>
              <w:bottom w:val="single" w:sz="4" w:space="0" w:color="auto"/>
              <w:right w:val="nil"/>
            </w:tcBorders>
            <w:shd w:val="clear" w:color="auto" w:fill="auto"/>
            <w:noWrap/>
            <w:vAlign w:val="center"/>
            <w:hideMark/>
          </w:tcPr>
          <w:p w14:paraId="54862D64" w14:textId="2AD14BBB"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884" w:type="dxa"/>
            <w:tcBorders>
              <w:top w:val="nil"/>
              <w:left w:val="single" w:sz="4" w:space="0" w:color="auto"/>
              <w:bottom w:val="single" w:sz="4" w:space="0" w:color="auto"/>
              <w:right w:val="nil"/>
            </w:tcBorders>
            <w:shd w:val="clear" w:color="auto" w:fill="auto"/>
            <w:noWrap/>
            <w:vAlign w:val="bottom"/>
            <w:hideMark/>
          </w:tcPr>
          <w:p w14:paraId="3A882C05"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100</w:t>
            </w:r>
          </w:p>
        </w:tc>
        <w:tc>
          <w:tcPr>
            <w:tcW w:w="946" w:type="dxa"/>
            <w:tcBorders>
              <w:top w:val="nil"/>
              <w:left w:val="nil"/>
              <w:bottom w:val="single" w:sz="4" w:space="0" w:color="auto"/>
              <w:right w:val="single" w:sz="4" w:space="0" w:color="auto"/>
            </w:tcBorders>
            <w:shd w:val="clear" w:color="auto" w:fill="auto"/>
            <w:noWrap/>
            <w:vAlign w:val="center"/>
            <w:hideMark/>
          </w:tcPr>
          <w:p w14:paraId="150D9BBA" w14:textId="3A531B7A"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703" w:type="dxa"/>
            <w:tcBorders>
              <w:top w:val="nil"/>
              <w:left w:val="nil"/>
              <w:bottom w:val="single" w:sz="4" w:space="0" w:color="auto"/>
              <w:right w:val="nil"/>
            </w:tcBorders>
            <w:shd w:val="clear" w:color="auto" w:fill="auto"/>
            <w:noWrap/>
            <w:vAlign w:val="bottom"/>
            <w:hideMark/>
          </w:tcPr>
          <w:p w14:paraId="461BF53A"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54</w:t>
            </w:r>
          </w:p>
        </w:tc>
        <w:tc>
          <w:tcPr>
            <w:tcW w:w="1081" w:type="dxa"/>
            <w:tcBorders>
              <w:top w:val="nil"/>
              <w:left w:val="nil"/>
              <w:bottom w:val="single" w:sz="4" w:space="0" w:color="auto"/>
              <w:right w:val="single" w:sz="4" w:space="0" w:color="auto"/>
            </w:tcBorders>
            <w:shd w:val="clear" w:color="auto" w:fill="auto"/>
            <w:noWrap/>
            <w:vAlign w:val="center"/>
            <w:hideMark/>
          </w:tcPr>
          <w:p w14:paraId="399B96ED" w14:textId="2151E94B"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1540" w:type="dxa"/>
            <w:tcBorders>
              <w:top w:val="nil"/>
              <w:left w:val="nil"/>
              <w:bottom w:val="single" w:sz="4" w:space="0" w:color="auto"/>
              <w:right w:val="nil"/>
            </w:tcBorders>
            <w:shd w:val="clear" w:color="auto" w:fill="auto"/>
            <w:noWrap/>
            <w:vAlign w:val="center"/>
            <w:hideMark/>
          </w:tcPr>
          <w:p w14:paraId="20F9C84F"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107,5 %</w:t>
            </w:r>
          </w:p>
        </w:tc>
      </w:tr>
      <w:tr w:rsidR="00F85178" w:rsidRPr="00F85178" w14:paraId="73630C72"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1D620CF6"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Ústí n. Labem</w:t>
            </w:r>
          </w:p>
        </w:tc>
        <w:tc>
          <w:tcPr>
            <w:tcW w:w="885" w:type="dxa"/>
            <w:tcBorders>
              <w:top w:val="nil"/>
              <w:left w:val="nil"/>
              <w:bottom w:val="single" w:sz="4" w:space="0" w:color="auto"/>
              <w:right w:val="nil"/>
            </w:tcBorders>
            <w:shd w:val="clear" w:color="auto" w:fill="auto"/>
            <w:noWrap/>
            <w:vAlign w:val="bottom"/>
            <w:hideMark/>
          </w:tcPr>
          <w:p w14:paraId="5597F229"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176</w:t>
            </w:r>
          </w:p>
        </w:tc>
        <w:tc>
          <w:tcPr>
            <w:tcW w:w="1081" w:type="dxa"/>
            <w:tcBorders>
              <w:top w:val="nil"/>
              <w:left w:val="nil"/>
              <w:bottom w:val="single" w:sz="4" w:space="0" w:color="auto"/>
              <w:right w:val="nil"/>
            </w:tcBorders>
            <w:shd w:val="clear" w:color="auto" w:fill="auto"/>
            <w:noWrap/>
            <w:vAlign w:val="center"/>
            <w:hideMark/>
          </w:tcPr>
          <w:p w14:paraId="413202F5" w14:textId="5E6FB125"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884" w:type="dxa"/>
            <w:tcBorders>
              <w:top w:val="nil"/>
              <w:left w:val="single" w:sz="4" w:space="0" w:color="auto"/>
              <w:bottom w:val="single" w:sz="4" w:space="0" w:color="auto"/>
              <w:right w:val="nil"/>
            </w:tcBorders>
            <w:shd w:val="clear" w:color="auto" w:fill="auto"/>
            <w:noWrap/>
            <w:vAlign w:val="bottom"/>
            <w:hideMark/>
          </w:tcPr>
          <w:p w14:paraId="36A858B5"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184</w:t>
            </w:r>
          </w:p>
        </w:tc>
        <w:tc>
          <w:tcPr>
            <w:tcW w:w="946" w:type="dxa"/>
            <w:tcBorders>
              <w:top w:val="nil"/>
              <w:left w:val="nil"/>
              <w:bottom w:val="single" w:sz="4" w:space="0" w:color="auto"/>
              <w:right w:val="single" w:sz="4" w:space="0" w:color="auto"/>
            </w:tcBorders>
            <w:shd w:val="clear" w:color="auto" w:fill="auto"/>
            <w:noWrap/>
            <w:vAlign w:val="center"/>
            <w:hideMark/>
          </w:tcPr>
          <w:p w14:paraId="735FDA36" w14:textId="7DEBBC8B"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03" w:type="dxa"/>
            <w:tcBorders>
              <w:top w:val="nil"/>
              <w:left w:val="nil"/>
              <w:bottom w:val="single" w:sz="4" w:space="0" w:color="auto"/>
              <w:right w:val="nil"/>
            </w:tcBorders>
            <w:shd w:val="clear" w:color="auto" w:fill="auto"/>
            <w:noWrap/>
            <w:vAlign w:val="bottom"/>
            <w:hideMark/>
          </w:tcPr>
          <w:p w14:paraId="3F434E3E"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134</w:t>
            </w:r>
          </w:p>
        </w:tc>
        <w:tc>
          <w:tcPr>
            <w:tcW w:w="1081" w:type="dxa"/>
            <w:tcBorders>
              <w:top w:val="nil"/>
              <w:left w:val="nil"/>
              <w:bottom w:val="single" w:sz="4" w:space="0" w:color="auto"/>
              <w:right w:val="single" w:sz="4" w:space="0" w:color="auto"/>
            </w:tcBorders>
            <w:shd w:val="clear" w:color="auto" w:fill="auto"/>
            <w:noWrap/>
            <w:vAlign w:val="center"/>
            <w:hideMark/>
          </w:tcPr>
          <w:p w14:paraId="141D677C" w14:textId="57AD141C"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540" w:type="dxa"/>
            <w:tcBorders>
              <w:top w:val="nil"/>
              <w:left w:val="nil"/>
              <w:bottom w:val="single" w:sz="4" w:space="0" w:color="auto"/>
              <w:right w:val="nil"/>
            </w:tcBorders>
            <w:shd w:val="clear" w:color="auto" w:fill="auto"/>
            <w:noWrap/>
            <w:vAlign w:val="center"/>
            <w:hideMark/>
          </w:tcPr>
          <w:p w14:paraId="4717B40C"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104,5 %</w:t>
            </w:r>
          </w:p>
        </w:tc>
      </w:tr>
      <w:tr w:rsidR="00F85178" w:rsidRPr="00F85178" w14:paraId="78BB8DEA"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39E15452"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Hr. Králové</w:t>
            </w:r>
          </w:p>
        </w:tc>
        <w:tc>
          <w:tcPr>
            <w:tcW w:w="885" w:type="dxa"/>
            <w:tcBorders>
              <w:top w:val="nil"/>
              <w:left w:val="nil"/>
              <w:bottom w:val="single" w:sz="4" w:space="0" w:color="auto"/>
              <w:right w:val="nil"/>
            </w:tcBorders>
            <w:shd w:val="clear" w:color="auto" w:fill="auto"/>
            <w:noWrap/>
            <w:vAlign w:val="bottom"/>
            <w:hideMark/>
          </w:tcPr>
          <w:p w14:paraId="146C9EA4"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103</w:t>
            </w:r>
          </w:p>
        </w:tc>
        <w:tc>
          <w:tcPr>
            <w:tcW w:w="1081" w:type="dxa"/>
            <w:tcBorders>
              <w:top w:val="nil"/>
              <w:left w:val="nil"/>
              <w:bottom w:val="single" w:sz="4" w:space="0" w:color="auto"/>
              <w:right w:val="nil"/>
            </w:tcBorders>
            <w:shd w:val="clear" w:color="auto" w:fill="auto"/>
            <w:noWrap/>
            <w:vAlign w:val="center"/>
            <w:hideMark/>
          </w:tcPr>
          <w:p w14:paraId="260EACAE" w14:textId="25E95A81"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884" w:type="dxa"/>
            <w:tcBorders>
              <w:top w:val="nil"/>
              <w:left w:val="single" w:sz="4" w:space="0" w:color="auto"/>
              <w:bottom w:val="single" w:sz="4" w:space="0" w:color="auto"/>
              <w:right w:val="nil"/>
            </w:tcBorders>
            <w:shd w:val="clear" w:color="auto" w:fill="auto"/>
            <w:noWrap/>
            <w:vAlign w:val="bottom"/>
            <w:hideMark/>
          </w:tcPr>
          <w:p w14:paraId="1C036468"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113</w:t>
            </w:r>
          </w:p>
        </w:tc>
        <w:tc>
          <w:tcPr>
            <w:tcW w:w="946" w:type="dxa"/>
            <w:tcBorders>
              <w:top w:val="nil"/>
              <w:left w:val="nil"/>
              <w:bottom w:val="single" w:sz="4" w:space="0" w:color="auto"/>
              <w:right w:val="single" w:sz="4" w:space="0" w:color="auto"/>
            </w:tcBorders>
            <w:shd w:val="clear" w:color="auto" w:fill="auto"/>
            <w:noWrap/>
            <w:vAlign w:val="center"/>
            <w:hideMark/>
          </w:tcPr>
          <w:p w14:paraId="492FB16A" w14:textId="0441C2A9"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703" w:type="dxa"/>
            <w:tcBorders>
              <w:top w:val="nil"/>
              <w:left w:val="nil"/>
              <w:bottom w:val="single" w:sz="4" w:space="0" w:color="auto"/>
              <w:right w:val="nil"/>
            </w:tcBorders>
            <w:shd w:val="clear" w:color="auto" w:fill="auto"/>
            <w:noWrap/>
            <w:vAlign w:val="bottom"/>
            <w:hideMark/>
          </w:tcPr>
          <w:p w14:paraId="45B5FBDC"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36</w:t>
            </w:r>
          </w:p>
        </w:tc>
        <w:tc>
          <w:tcPr>
            <w:tcW w:w="1081" w:type="dxa"/>
            <w:tcBorders>
              <w:top w:val="nil"/>
              <w:left w:val="nil"/>
              <w:bottom w:val="single" w:sz="4" w:space="0" w:color="auto"/>
              <w:right w:val="single" w:sz="4" w:space="0" w:color="auto"/>
            </w:tcBorders>
            <w:shd w:val="clear" w:color="auto" w:fill="auto"/>
            <w:noWrap/>
            <w:vAlign w:val="center"/>
            <w:hideMark/>
          </w:tcPr>
          <w:p w14:paraId="718C0448" w14:textId="69D57EEB"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-23 %</w:t>
            </w:r>
          </w:p>
        </w:tc>
        <w:tc>
          <w:tcPr>
            <w:tcW w:w="1540" w:type="dxa"/>
            <w:tcBorders>
              <w:top w:val="nil"/>
              <w:left w:val="nil"/>
              <w:bottom w:val="single" w:sz="4" w:space="0" w:color="auto"/>
              <w:right w:val="nil"/>
            </w:tcBorders>
            <w:shd w:val="clear" w:color="auto" w:fill="auto"/>
            <w:noWrap/>
            <w:vAlign w:val="center"/>
            <w:hideMark/>
          </w:tcPr>
          <w:p w14:paraId="238D246F"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109,7 %</w:t>
            </w:r>
          </w:p>
        </w:tc>
      </w:tr>
      <w:tr w:rsidR="00F85178" w:rsidRPr="00F85178" w14:paraId="76D8B2EB" w14:textId="77777777" w:rsidTr="00FA603B">
        <w:trPr>
          <w:trHeight w:val="315"/>
        </w:trPr>
        <w:tc>
          <w:tcPr>
            <w:tcW w:w="2020" w:type="dxa"/>
            <w:tcBorders>
              <w:top w:val="nil"/>
              <w:left w:val="nil"/>
              <w:bottom w:val="single" w:sz="4" w:space="0" w:color="auto"/>
              <w:right w:val="nil"/>
            </w:tcBorders>
            <w:shd w:val="clear" w:color="auto" w:fill="auto"/>
            <w:noWrap/>
            <w:vAlign w:val="bottom"/>
            <w:hideMark/>
          </w:tcPr>
          <w:p w14:paraId="4E4030CF"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Brno</w:t>
            </w:r>
          </w:p>
        </w:tc>
        <w:tc>
          <w:tcPr>
            <w:tcW w:w="885" w:type="dxa"/>
            <w:tcBorders>
              <w:top w:val="nil"/>
              <w:left w:val="nil"/>
              <w:bottom w:val="single" w:sz="4" w:space="0" w:color="auto"/>
              <w:right w:val="nil"/>
            </w:tcBorders>
            <w:shd w:val="clear" w:color="auto" w:fill="auto"/>
            <w:noWrap/>
            <w:vAlign w:val="bottom"/>
            <w:hideMark/>
          </w:tcPr>
          <w:p w14:paraId="0F9D5722"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244</w:t>
            </w:r>
          </w:p>
        </w:tc>
        <w:tc>
          <w:tcPr>
            <w:tcW w:w="1081" w:type="dxa"/>
            <w:tcBorders>
              <w:top w:val="nil"/>
              <w:left w:val="nil"/>
              <w:bottom w:val="single" w:sz="4" w:space="0" w:color="auto"/>
              <w:right w:val="nil"/>
            </w:tcBorders>
            <w:shd w:val="clear" w:color="auto" w:fill="auto"/>
            <w:noWrap/>
            <w:vAlign w:val="center"/>
            <w:hideMark/>
          </w:tcPr>
          <w:p w14:paraId="22247657" w14:textId="3E73000C"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884" w:type="dxa"/>
            <w:tcBorders>
              <w:top w:val="nil"/>
              <w:left w:val="single" w:sz="4" w:space="0" w:color="auto"/>
              <w:bottom w:val="single" w:sz="4" w:space="0" w:color="auto"/>
              <w:right w:val="nil"/>
            </w:tcBorders>
            <w:shd w:val="clear" w:color="auto" w:fill="auto"/>
            <w:noWrap/>
            <w:vAlign w:val="bottom"/>
            <w:hideMark/>
          </w:tcPr>
          <w:p w14:paraId="6BDCA9EA"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218</w:t>
            </w:r>
          </w:p>
        </w:tc>
        <w:tc>
          <w:tcPr>
            <w:tcW w:w="946" w:type="dxa"/>
            <w:tcBorders>
              <w:top w:val="nil"/>
              <w:left w:val="nil"/>
              <w:bottom w:val="single" w:sz="4" w:space="0" w:color="auto"/>
              <w:right w:val="single" w:sz="4" w:space="0" w:color="auto"/>
            </w:tcBorders>
            <w:shd w:val="clear" w:color="auto" w:fill="auto"/>
            <w:noWrap/>
            <w:vAlign w:val="center"/>
            <w:hideMark/>
          </w:tcPr>
          <w:p w14:paraId="0B6F6CB3" w14:textId="5CD59DCE"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03" w:type="dxa"/>
            <w:tcBorders>
              <w:top w:val="nil"/>
              <w:left w:val="nil"/>
              <w:bottom w:val="single" w:sz="4" w:space="0" w:color="auto"/>
              <w:right w:val="nil"/>
            </w:tcBorders>
            <w:shd w:val="clear" w:color="auto" w:fill="auto"/>
            <w:noWrap/>
            <w:vAlign w:val="bottom"/>
            <w:hideMark/>
          </w:tcPr>
          <w:p w14:paraId="4CA9B7B7"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162</w:t>
            </w:r>
          </w:p>
        </w:tc>
        <w:tc>
          <w:tcPr>
            <w:tcW w:w="1081" w:type="dxa"/>
            <w:tcBorders>
              <w:top w:val="nil"/>
              <w:left w:val="nil"/>
              <w:bottom w:val="single" w:sz="4" w:space="0" w:color="auto"/>
              <w:right w:val="single" w:sz="4" w:space="0" w:color="auto"/>
            </w:tcBorders>
            <w:shd w:val="clear" w:color="auto" w:fill="auto"/>
            <w:noWrap/>
            <w:vAlign w:val="center"/>
            <w:hideMark/>
          </w:tcPr>
          <w:p w14:paraId="25F9B329" w14:textId="0A13D2B0"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1540" w:type="dxa"/>
            <w:tcBorders>
              <w:top w:val="nil"/>
              <w:left w:val="nil"/>
              <w:bottom w:val="single" w:sz="4" w:space="0" w:color="auto"/>
              <w:right w:val="nil"/>
            </w:tcBorders>
            <w:shd w:val="clear" w:color="auto" w:fill="auto"/>
            <w:noWrap/>
            <w:vAlign w:val="center"/>
            <w:hideMark/>
          </w:tcPr>
          <w:p w14:paraId="775AF0E7"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89,3 %</w:t>
            </w:r>
          </w:p>
        </w:tc>
      </w:tr>
      <w:tr w:rsidR="00F85178" w:rsidRPr="00F85178" w14:paraId="376BDE51" w14:textId="77777777" w:rsidTr="00FA603B">
        <w:trPr>
          <w:trHeight w:val="330"/>
        </w:trPr>
        <w:tc>
          <w:tcPr>
            <w:tcW w:w="2020" w:type="dxa"/>
            <w:tcBorders>
              <w:top w:val="nil"/>
              <w:left w:val="nil"/>
              <w:bottom w:val="double" w:sz="6" w:space="0" w:color="auto"/>
              <w:right w:val="nil"/>
            </w:tcBorders>
            <w:shd w:val="clear" w:color="auto" w:fill="auto"/>
            <w:noWrap/>
            <w:vAlign w:val="bottom"/>
            <w:hideMark/>
          </w:tcPr>
          <w:p w14:paraId="7254DBE0" w14:textId="77777777" w:rsidR="00FA603B" w:rsidRPr="00F85178" w:rsidRDefault="00FA603B" w:rsidP="00FA603B">
            <w:pPr>
              <w:spacing w:line="240" w:lineRule="auto"/>
              <w:jc w:val="left"/>
              <w:rPr>
                <w:rFonts w:eastAsia="Times New Roman"/>
                <w:szCs w:val="24"/>
                <w:lang w:eastAsia="cs-CZ"/>
              </w:rPr>
            </w:pPr>
            <w:r w:rsidRPr="00F85178">
              <w:rPr>
                <w:rFonts w:eastAsia="Times New Roman"/>
                <w:szCs w:val="24"/>
                <w:lang w:eastAsia="cs-CZ"/>
              </w:rPr>
              <w:t>KS Ostrava</w:t>
            </w:r>
          </w:p>
        </w:tc>
        <w:tc>
          <w:tcPr>
            <w:tcW w:w="885" w:type="dxa"/>
            <w:tcBorders>
              <w:top w:val="nil"/>
              <w:left w:val="nil"/>
              <w:bottom w:val="double" w:sz="6" w:space="0" w:color="auto"/>
              <w:right w:val="nil"/>
            </w:tcBorders>
            <w:shd w:val="clear" w:color="auto" w:fill="auto"/>
            <w:noWrap/>
            <w:vAlign w:val="bottom"/>
            <w:hideMark/>
          </w:tcPr>
          <w:p w14:paraId="3C841FFA"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214</w:t>
            </w:r>
          </w:p>
        </w:tc>
        <w:tc>
          <w:tcPr>
            <w:tcW w:w="1081" w:type="dxa"/>
            <w:tcBorders>
              <w:top w:val="nil"/>
              <w:left w:val="nil"/>
              <w:bottom w:val="double" w:sz="6" w:space="0" w:color="auto"/>
              <w:right w:val="nil"/>
            </w:tcBorders>
            <w:shd w:val="clear" w:color="auto" w:fill="auto"/>
            <w:noWrap/>
            <w:vAlign w:val="center"/>
            <w:hideMark/>
          </w:tcPr>
          <w:p w14:paraId="33CBA08C" w14:textId="35865E2A"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884" w:type="dxa"/>
            <w:tcBorders>
              <w:top w:val="nil"/>
              <w:left w:val="single" w:sz="4" w:space="0" w:color="auto"/>
              <w:bottom w:val="double" w:sz="6" w:space="0" w:color="auto"/>
              <w:right w:val="nil"/>
            </w:tcBorders>
            <w:shd w:val="clear" w:color="auto" w:fill="auto"/>
            <w:noWrap/>
            <w:vAlign w:val="bottom"/>
            <w:hideMark/>
          </w:tcPr>
          <w:p w14:paraId="25DAF5D3"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189</w:t>
            </w:r>
          </w:p>
        </w:tc>
        <w:tc>
          <w:tcPr>
            <w:tcW w:w="946" w:type="dxa"/>
            <w:tcBorders>
              <w:top w:val="nil"/>
              <w:left w:val="nil"/>
              <w:bottom w:val="double" w:sz="6" w:space="0" w:color="auto"/>
              <w:right w:val="single" w:sz="4" w:space="0" w:color="auto"/>
            </w:tcBorders>
            <w:shd w:val="clear" w:color="auto" w:fill="auto"/>
            <w:noWrap/>
            <w:vAlign w:val="center"/>
            <w:hideMark/>
          </w:tcPr>
          <w:p w14:paraId="5C1566C2" w14:textId="7ED73BE2"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703" w:type="dxa"/>
            <w:tcBorders>
              <w:top w:val="nil"/>
              <w:left w:val="nil"/>
              <w:bottom w:val="double" w:sz="6" w:space="0" w:color="auto"/>
              <w:right w:val="nil"/>
            </w:tcBorders>
            <w:shd w:val="clear" w:color="auto" w:fill="auto"/>
            <w:noWrap/>
            <w:vAlign w:val="bottom"/>
            <w:hideMark/>
          </w:tcPr>
          <w:p w14:paraId="3C1408C7"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155</w:t>
            </w:r>
          </w:p>
        </w:tc>
        <w:tc>
          <w:tcPr>
            <w:tcW w:w="1081" w:type="dxa"/>
            <w:tcBorders>
              <w:top w:val="nil"/>
              <w:left w:val="nil"/>
              <w:bottom w:val="double" w:sz="6" w:space="0" w:color="auto"/>
              <w:right w:val="single" w:sz="4" w:space="0" w:color="auto"/>
            </w:tcBorders>
            <w:shd w:val="clear" w:color="auto" w:fill="auto"/>
            <w:noWrap/>
            <w:vAlign w:val="center"/>
            <w:hideMark/>
          </w:tcPr>
          <w:p w14:paraId="67A18E23" w14:textId="22214A02" w:rsidR="00FA603B" w:rsidRPr="00F85178" w:rsidRDefault="00FA603B" w:rsidP="00FA603B">
            <w:pPr>
              <w:spacing w:line="240" w:lineRule="auto"/>
              <w:jc w:val="center"/>
              <w:rPr>
                <w:rFonts w:eastAsia="Times New Roman"/>
                <w:sz w:val="20"/>
                <w:szCs w:val="20"/>
                <w:lang w:eastAsia="cs-CZ"/>
              </w:rPr>
            </w:pPr>
            <w:r w:rsidRPr="00F85178">
              <w:rPr>
                <w:rFonts w:eastAsia="Times New Roman"/>
                <w:sz w:val="20"/>
                <w:szCs w:val="20"/>
                <w:lang w:eastAsia="cs-CZ"/>
              </w:rPr>
              <w:t>+19 %</w:t>
            </w:r>
          </w:p>
        </w:tc>
        <w:tc>
          <w:tcPr>
            <w:tcW w:w="1540" w:type="dxa"/>
            <w:tcBorders>
              <w:top w:val="nil"/>
              <w:left w:val="nil"/>
              <w:bottom w:val="nil"/>
              <w:right w:val="nil"/>
            </w:tcBorders>
            <w:shd w:val="clear" w:color="auto" w:fill="auto"/>
            <w:noWrap/>
            <w:vAlign w:val="center"/>
            <w:hideMark/>
          </w:tcPr>
          <w:p w14:paraId="3BD6B85F" w14:textId="77777777" w:rsidR="00FA603B" w:rsidRPr="00F85178" w:rsidRDefault="00FA603B" w:rsidP="00FA603B">
            <w:pPr>
              <w:spacing w:line="240" w:lineRule="auto"/>
              <w:jc w:val="center"/>
              <w:rPr>
                <w:rFonts w:eastAsia="Times New Roman"/>
                <w:szCs w:val="24"/>
                <w:lang w:eastAsia="cs-CZ"/>
              </w:rPr>
            </w:pPr>
            <w:r w:rsidRPr="00F85178">
              <w:rPr>
                <w:rFonts w:eastAsia="Times New Roman"/>
                <w:szCs w:val="24"/>
                <w:lang w:eastAsia="cs-CZ"/>
              </w:rPr>
              <w:t>88,3 %</w:t>
            </w:r>
          </w:p>
        </w:tc>
      </w:tr>
      <w:tr w:rsidR="00FA603B" w:rsidRPr="00F85178" w14:paraId="75C4BEB1" w14:textId="77777777" w:rsidTr="00FA603B">
        <w:trPr>
          <w:trHeight w:val="345"/>
        </w:trPr>
        <w:tc>
          <w:tcPr>
            <w:tcW w:w="2020" w:type="dxa"/>
            <w:tcBorders>
              <w:top w:val="nil"/>
              <w:left w:val="nil"/>
              <w:bottom w:val="double" w:sz="6" w:space="0" w:color="auto"/>
              <w:right w:val="nil"/>
            </w:tcBorders>
            <w:shd w:val="clear" w:color="auto" w:fill="auto"/>
            <w:noWrap/>
            <w:vAlign w:val="bottom"/>
            <w:hideMark/>
          </w:tcPr>
          <w:p w14:paraId="403CA00B" w14:textId="77777777" w:rsidR="00FA603B" w:rsidRPr="00F85178" w:rsidRDefault="00FA603B" w:rsidP="00FA603B">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885" w:type="dxa"/>
            <w:tcBorders>
              <w:top w:val="nil"/>
              <w:left w:val="nil"/>
              <w:bottom w:val="double" w:sz="6" w:space="0" w:color="auto"/>
              <w:right w:val="nil"/>
            </w:tcBorders>
            <w:shd w:val="clear" w:color="auto" w:fill="auto"/>
            <w:noWrap/>
            <w:vAlign w:val="bottom"/>
            <w:hideMark/>
          </w:tcPr>
          <w:p w14:paraId="70D49EEF"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1</w:t>
            </w:r>
            <w:r w:rsidR="00475FE9" w:rsidRPr="00F85178">
              <w:rPr>
                <w:rFonts w:eastAsia="Times New Roman"/>
                <w:b/>
                <w:bCs/>
                <w:szCs w:val="24"/>
                <w:lang w:eastAsia="cs-CZ"/>
              </w:rPr>
              <w:t xml:space="preserve"> </w:t>
            </w:r>
            <w:r w:rsidRPr="00F85178">
              <w:rPr>
                <w:rFonts w:eastAsia="Times New Roman"/>
                <w:b/>
                <w:bCs/>
                <w:szCs w:val="24"/>
                <w:lang w:eastAsia="cs-CZ"/>
              </w:rPr>
              <w:t>274</w:t>
            </w:r>
          </w:p>
        </w:tc>
        <w:tc>
          <w:tcPr>
            <w:tcW w:w="1081" w:type="dxa"/>
            <w:tcBorders>
              <w:top w:val="nil"/>
              <w:left w:val="nil"/>
              <w:bottom w:val="double" w:sz="6" w:space="0" w:color="auto"/>
              <w:right w:val="nil"/>
            </w:tcBorders>
            <w:shd w:val="clear" w:color="auto" w:fill="auto"/>
            <w:noWrap/>
            <w:vAlign w:val="center"/>
            <w:hideMark/>
          </w:tcPr>
          <w:p w14:paraId="27E227F8" w14:textId="722100C5" w:rsidR="00FA603B" w:rsidRPr="00F85178" w:rsidRDefault="00FA603B" w:rsidP="00FA603B">
            <w:pPr>
              <w:spacing w:line="240" w:lineRule="auto"/>
              <w:jc w:val="center"/>
              <w:rPr>
                <w:rFonts w:eastAsia="Times New Roman"/>
                <w:b/>
                <w:bCs/>
                <w:sz w:val="20"/>
                <w:szCs w:val="20"/>
                <w:lang w:eastAsia="cs-CZ"/>
              </w:rPr>
            </w:pPr>
            <w:r w:rsidRPr="00F85178">
              <w:rPr>
                <w:rFonts w:eastAsia="Times New Roman"/>
                <w:b/>
                <w:bCs/>
                <w:sz w:val="20"/>
                <w:szCs w:val="20"/>
                <w:lang w:eastAsia="cs-CZ"/>
              </w:rPr>
              <w:t>+0 %</w:t>
            </w:r>
          </w:p>
        </w:tc>
        <w:tc>
          <w:tcPr>
            <w:tcW w:w="884" w:type="dxa"/>
            <w:tcBorders>
              <w:top w:val="nil"/>
              <w:left w:val="single" w:sz="4" w:space="0" w:color="auto"/>
              <w:bottom w:val="double" w:sz="6" w:space="0" w:color="auto"/>
              <w:right w:val="nil"/>
            </w:tcBorders>
            <w:shd w:val="clear" w:color="auto" w:fill="auto"/>
            <w:noWrap/>
            <w:vAlign w:val="bottom"/>
            <w:hideMark/>
          </w:tcPr>
          <w:p w14:paraId="2A24135C"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1</w:t>
            </w:r>
            <w:r w:rsidR="00475FE9" w:rsidRPr="00F85178">
              <w:rPr>
                <w:rFonts w:eastAsia="Times New Roman"/>
                <w:b/>
                <w:bCs/>
                <w:szCs w:val="24"/>
                <w:lang w:eastAsia="cs-CZ"/>
              </w:rPr>
              <w:t xml:space="preserve"> </w:t>
            </w:r>
            <w:r w:rsidRPr="00F85178">
              <w:rPr>
                <w:rFonts w:eastAsia="Times New Roman"/>
                <w:b/>
                <w:bCs/>
                <w:szCs w:val="24"/>
                <w:lang w:eastAsia="cs-CZ"/>
              </w:rPr>
              <w:t>240</w:t>
            </w:r>
          </w:p>
        </w:tc>
        <w:tc>
          <w:tcPr>
            <w:tcW w:w="946" w:type="dxa"/>
            <w:tcBorders>
              <w:top w:val="nil"/>
              <w:left w:val="nil"/>
              <w:bottom w:val="double" w:sz="6" w:space="0" w:color="auto"/>
              <w:right w:val="single" w:sz="4" w:space="0" w:color="auto"/>
            </w:tcBorders>
            <w:shd w:val="clear" w:color="auto" w:fill="auto"/>
            <w:noWrap/>
            <w:vAlign w:val="center"/>
            <w:hideMark/>
          </w:tcPr>
          <w:p w14:paraId="45078817" w14:textId="772781CB" w:rsidR="00FA603B" w:rsidRPr="00F85178" w:rsidRDefault="00FA603B" w:rsidP="00FA603B">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703" w:type="dxa"/>
            <w:tcBorders>
              <w:top w:val="nil"/>
              <w:left w:val="nil"/>
              <w:bottom w:val="double" w:sz="6" w:space="0" w:color="auto"/>
              <w:right w:val="nil"/>
            </w:tcBorders>
            <w:shd w:val="clear" w:color="auto" w:fill="auto"/>
            <w:noWrap/>
            <w:vAlign w:val="bottom"/>
            <w:hideMark/>
          </w:tcPr>
          <w:p w14:paraId="4CFCA1C3"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771</w:t>
            </w:r>
          </w:p>
        </w:tc>
        <w:tc>
          <w:tcPr>
            <w:tcW w:w="1081" w:type="dxa"/>
            <w:tcBorders>
              <w:top w:val="nil"/>
              <w:left w:val="nil"/>
              <w:bottom w:val="double" w:sz="6" w:space="0" w:color="auto"/>
              <w:right w:val="single" w:sz="4" w:space="0" w:color="auto"/>
            </w:tcBorders>
            <w:shd w:val="clear" w:color="auto" w:fill="auto"/>
            <w:noWrap/>
            <w:vAlign w:val="center"/>
            <w:hideMark/>
          </w:tcPr>
          <w:p w14:paraId="12D693A7" w14:textId="41AB4F3E" w:rsidR="00FA603B" w:rsidRPr="00F85178" w:rsidRDefault="00FA603B" w:rsidP="00FA603B">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1540" w:type="dxa"/>
            <w:tcBorders>
              <w:top w:val="double" w:sz="6" w:space="0" w:color="auto"/>
              <w:left w:val="nil"/>
              <w:bottom w:val="double" w:sz="6" w:space="0" w:color="auto"/>
              <w:right w:val="nil"/>
            </w:tcBorders>
            <w:shd w:val="clear" w:color="auto" w:fill="auto"/>
            <w:noWrap/>
            <w:vAlign w:val="center"/>
            <w:hideMark/>
          </w:tcPr>
          <w:p w14:paraId="4CEB3107" w14:textId="77777777" w:rsidR="00FA603B" w:rsidRPr="00F85178" w:rsidRDefault="00FA603B" w:rsidP="00FA603B">
            <w:pPr>
              <w:spacing w:line="240" w:lineRule="auto"/>
              <w:jc w:val="center"/>
              <w:rPr>
                <w:rFonts w:eastAsia="Times New Roman"/>
                <w:b/>
                <w:bCs/>
                <w:szCs w:val="24"/>
                <w:lang w:eastAsia="cs-CZ"/>
              </w:rPr>
            </w:pPr>
            <w:r w:rsidRPr="00F85178">
              <w:rPr>
                <w:rFonts w:eastAsia="Times New Roman"/>
                <w:b/>
                <w:bCs/>
                <w:szCs w:val="24"/>
                <w:lang w:eastAsia="cs-CZ"/>
              </w:rPr>
              <w:t>97,3 %</w:t>
            </w:r>
          </w:p>
        </w:tc>
      </w:tr>
    </w:tbl>
    <w:p w14:paraId="17D494BF" w14:textId="77777777" w:rsidR="00FA603B" w:rsidRPr="00F85178" w:rsidRDefault="00FA603B">
      <w:pPr>
        <w:spacing w:line="240" w:lineRule="auto"/>
        <w:jc w:val="left"/>
      </w:pPr>
    </w:p>
    <w:p w14:paraId="515B3462" w14:textId="12080B96" w:rsidR="00661B45" w:rsidRPr="00F85178" w:rsidRDefault="00661B45" w:rsidP="00661B45">
      <w:pPr>
        <w:pStyle w:val="OdstavecASR"/>
      </w:pPr>
      <w:r w:rsidRPr="00F85178">
        <w:t xml:space="preserve">Z tabulky vyčteme, že některé soudy měly více příchozích věcí (nápad + obživa) než věcí vyřízených, u jiných byla situace opačná. Rozdíly v absolutních číslech však byly vždy velmi malé. Rozdíl mezi mírou vyřizování 95 % a mírou vyřizování 105 % může být jen několik vyřízených věcí. Pro ilustraci, pokud by </w:t>
      </w:r>
      <w:r w:rsidR="00A21A33" w:rsidRPr="00F85178">
        <w:t>KS Praha</w:t>
      </w:r>
      <w:r w:rsidRPr="00F85178">
        <w:t xml:space="preserve"> vyřídil jen o </w:t>
      </w:r>
      <w:r w:rsidR="00A21A33" w:rsidRPr="00F85178">
        <w:t xml:space="preserve">6 </w:t>
      </w:r>
      <w:r w:rsidRPr="00F85178">
        <w:t>věcí více, vykázal by míru vyřizování 105 %. To vše plyne z toho, že počet věcí v této agendě je velmi malý.</w:t>
      </w:r>
    </w:p>
    <w:p w14:paraId="32F57B01" w14:textId="77777777" w:rsidR="00661B45" w:rsidRPr="00F85178" w:rsidRDefault="00661B45" w:rsidP="00661B45">
      <w:pPr>
        <w:pStyle w:val="OdstavecASR"/>
      </w:pPr>
      <w:r w:rsidRPr="00F85178">
        <w:t>Počet příchozích, vyřízených a nevyřízených věcí samozřejmě úzce souvisí s velikostí soudu. Pro lepší porovnání soudů je tedy v příští podkapitole</w:t>
      </w:r>
      <w:r w:rsidRPr="00F85178" w:rsidDel="00EA1996">
        <w:t xml:space="preserve"> </w:t>
      </w:r>
      <w:r w:rsidRPr="00F85178">
        <w:t>opět využit disposition time.</w:t>
      </w:r>
    </w:p>
    <w:p w14:paraId="0E7CA251" w14:textId="77777777" w:rsidR="00FA603B" w:rsidRPr="00F85178" w:rsidRDefault="00FA603B" w:rsidP="00FA603B">
      <w:pPr>
        <w:pStyle w:val="Nadpis3"/>
        <w:rPr>
          <w:color w:val="auto"/>
        </w:rPr>
      </w:pPr>
      <w:bookmarkStart w:id="447" w:name="_Toc515871260"/>
      <w:bookmarkStart w:id="448" w:name="_Toc14076909"/>
      <w:r w:rsidRPr="00F85178">
        <w:rPr>
          <w:color w:val="auto"/>
        </w:rPr>
        <w:t>Disposition time</w:t>
      </w:r>
      <w:bookmarkEnd w:id="447"/>
      <w:bookmarkEnd w:id="448"/>
    </w:p>
    <w:p w14:paraId="5E6BC5CE" w14:textId="77777777" w:rsidR="00661B45" w:rsidRPr="00F85178" w:rsidRDefault="00661B45" w:rsidP="00661B45">
      <w:pPr>
        <w:pStyle w:val="OdstavecASR"/>
      </w:pPr>
      <w:r w:rsidRPr="00F85178">
        <w:t>Krátký popis způsobu výpočtu a účelu uvádíme v seznamu pojmů (příloha). Výsledky výpočtu DT přibližně korespondují s výsledky z předchozích kapitol. Vidíme tak, že DT od roku 2011 do roku 2016 vykazoval rostoucí trend, což vyplynulo z postupného růstu počtu nevyřízených věcí. Teprve v roce 2017 klesl počet nevyřízených věcí a tedy i disposition time.</w:t>
      </w:r>
      <w:r w:rsidR="000B3A67" w:rsidRPr="00F85178">
        <w:t xml:space="preserve"> Ovšem v roce 2018 dosáhl nejvyšší hodnoty za posledních 10 let.</w:t>
      </w:r>
    </w:p>
    <w:p w14:paraId="67905B81" w14:textId="77777777" w:rsidR="00661B45" w:rsidRPr="00F85178" w:rsidRDefault="00661B45" w:rsidP="00661B45"/>
    <w:p w14:paraId="281364BE" w14:textId="77777777" w:rsidR="00FA603B" w:rsidRPr="00F85178" w:rsidRDefault="00FA603B" w:rsidP="00FA603B">
      <w:pPr>
        <w:pStyle w:val="Podtitul"/>
        <w:rPr>
          <w:color w:val="auto"/>
        </w:rPr>
      </w:pPr>
      <w:bookmarkStart w:id="449" w:name="_Toc515871392"/>
      <w:bookmarkStart w:id="450" w:name="_Toc11135123"/>
      <w:bookmarkStart w:id="451" w:name="_Toc1383755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62</w:t>
      </w:r>
      <w:r w:rsidRPr="00F85178">
        <w:rPr>
          <w:noProof/>
          <w:color w:val="auto"/>
        </w:rPr>
        <w:fldChar w:fldCharType="end"/>
      </w:r>
      <w:r w:rsidRPr="00F85178">
        <w:rPr>
          <w:color w:val="auto"/>
        </w:rPr>
        <w:t>: KS – DT prvostupňového trestního řízení v letech 2008–201</w:t>
      </w:r>
      <w:bookmarkEnd w:id="449"/>
      <w:r w:rsidRPr="00F85178">
        <w:rPr>
          <w:color w:val="auto"/>
        </w:rPr>
        <w:t>8</w:t>
      </w:r>
      <w:bookmarkEnd w:id="450"/>
      <w:bookmarkEnd w:id="451"/>
    </w:p>
    <w:p w14:paraId="0B0C90B0" w14:textId="77777777" w:rsidR="00B11D20" w:rsidRPr="00F85178" w:rsidRDefault="00890295">
      <w:pPr>
        <w:spacing w:line="240" w:lineRule="auto"/>
        <w:jc w:val="left"/>
      </w:pPr>
      <w:r>
        <w:rPr>
          <w:noProof/>
          <w:lang w:eastAsia="cs-CZ"/>
        </w:rPr>
        <w:drawing>
          <wp:inline distT="0" distB="0" distL="0" distR="0" wp14:anchorId="3001BE4D" wp14:editId="4DEE5C06">
            <wp:extent cx="5118100" cy="3746500"/>
            <wp:effectExtent l="0" t="0" r="0" b="0"/>
            <wp:docPr id="65" name="Obráze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78"/>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C17643C" w14:textId="77777777" w:rsidR="00CE3AAE" w:rsidRPr="00F85178" w:rsidRDefault="00CE3AAE">
      <w:pPr>
        <w:spacing w:line="240" w:lineRule="auto"/>
        <w:jc w:val="left"/>
      </w:pPr>
    </w:p>
    <w:p w14:paraId="286D49C2" w14:textId="77777777" w:rsidR="00FA603B" w:rsidRPr="00F85178" w:rsidRDefault="00715F6C" w:rsidP="00715F6C">
      <w:pPr>
        <w:pStyle w:val="Podtitul"/>
        <w:rPr>
          <w:color w:val="auto"/>
        </w:rPr>
      </w:pPr>
      <w:bookmarkStart w:id="452" w:name="_Toc515871481"/>
      <w:bookmarkStart w:id="453" w:name="_Toc11133249"/>
      <w:bookmarkStart w:id="454" w:name="_Toc13837470"/>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47</w:t>
      </w:r>
      <w:r w:rsidR="00D842DE" w:rsidRPr="00F85178">
        <w:rPr>
          <w:noProof/>
          <w:color w:val="auto"/>
        </w:rPr>
        <w:fldChar w:fldCharType="end"/>
      </w:r>
      <w:r w:rsidRPr="00F85178">
        <w:rPr>
          <w:color w:val="auto"/>
        </w:rPr>
        <w:t>: KS – DT v prvostupňovém trestním řízení dle soudů</w:t>
      </w:r>
      <w:bookmarkEnd w:id="452"/>
      <w:bookmarkEnd w:id="453"/>
      <w:bookmarkEnd w:id="454"/>
    </w:p>
    <w:tbl>
      <w:tblPr>
        <w:tblW w:w="5960" w:type="dxa"/>
        <w:tblCellMar>
          <w:left w:w="70" w:type="dxa"/>
          <w:right w:w="70" w:type="dxa"/>
        </w:tblCellMar>
        <w:tblLook w:val="04A0" w:firstRow="1" w:lastRow="0" w:firstColumn="1" w:lastColumn="0" w:noHBand="0" w:noVBand="1"/>
      </w:tblPr>
      <w:tblGrid>
        <w:gridCol w:w="2780"/>
        <w:gridCol w:w="1253"/>
        <w:gridCol w:w="1927"/>
      </w:tblGrid>
      <w:tr w:rsidR="00F85178" w:rsidRPr="00F85178" w14:paraId="21DBC930" w14:textId="77777777" w:rsidTr="00715F6C">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3B369FA" w14:textId="77777777" w:rsidR="00715F6C" w:rsidRPr="00F85178" w:rsidRDefault="00715F6C" w:rsidP="00715F6C">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14F54EC6" w14:textId="77777777" w:rsidR="00715F6C" w:rsidRPr="00F85178" w:rsidRDefault="00715F6C" w:rsidP="00715F6C">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218E5A05" w14:textId="77777777" w:rsidTr="00715F6C">
        <w:trPr>
          <w:trHeight w:val="330"/>
        </w:trPr>
        <w:tc>
          <w:tcPr>
            <w:tcW w:w="2780" w:type="dxa"/>
            <w:tcBorders>
              <w:top w:val="nil"/>
              <w:left w:val="nil"/>
              <w:bottom w:val="single" w:sz="4" w:space="0" w:color="auto"/>
              <w:right w:val="nil"/>
            </w:tcBorders>
            <w:shd w:val="clear" w:color="auto" w:fill="auto"/>
            <w:noWrap/>
            <w:vAlign w:val="bottom"/>
            <w:hideMark/>
          </w:tcPr>
          <w:p w14:paraId="07C20651"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3978F6AA"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201</w:t>
            </w:r>
          </w:p>
        </w:tc>
        <w:tc>
          <w:tcPr>
            <w:tcW w:w="1927" w:type="dxa"/>
            <w:tcBorders>
              <w:top w:val="nil"/>
              <w:left w:val="nil"/>
              <w:bottom w:val="single" w:sz="4" w:space="0" w:color="auto"/>
              <w:right w:val="nil"/>
            </w:tcBorders>
            <w:shd w:val="clear" w:color="auto" w:fill="auto"/>
            <w:noWrap/>
            <w:vAlign w:val="center"/>
            <w:hideMark/>
          </w:tcPr>
          <w:p w14:paraId="709BBC29" w14:textId="59B1459E"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668EA566"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6D2045A9"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0A1D480E"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132</w:t>
            </w:r>
          </w:p>
        </w:tc>
        <w:tc>
          <w:tcPr>
            <w:tcW w:w="1927" w:type="dxa"/>
            <w:tcBorders>
              <w:top w:val="nil"/>
              <w:left w:val="nil"/>
              <w:bottom w:val="single" w:sz="4" w:space="0" w:color="auto"/>
              <w:right w:val="nil"/>
            </w:tcBorders>
            <w:shd w:val="clear" w:color="auto" w:fill="auto"/>
            <w:noWrap/>
            <w:vAlign w:val="center"/>
            <w:hideMark/>
          </w:tcPr>
          <w:p w14:paraId="2061E4AE" w14:textId="00C8AD39"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+17 %</w:t>
            </w:r>
          </w:p>
        </w:tc>
      </w:tr>
      <w:tr w:rsidR="00F85178" w:rsidRPr="00F85178" w14:paraId="1CD5B627"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096C311F"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16A5176E"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234</w:t>
            </w:r>
          </w:p>
        </w:tc>
        <w:tc>
          <w:tcPr>
            <w:tcW w:w="1927" w:type="dxa"/>
            <w:tcBorders>
              <w:top w:val="nil"/>
              <w:left w:val="nil"/>
              <w:bottom w:val="single" w:sz="4" w:space="0" w:color="auto"/>
              <w:right w:val="nil"/>
            </w:tcBorders>
            <w:shd w:val="clear" w:color="auto" w:fill="auto"/>
            <w:noWrap/>
            <w:vAlign w:val="center"/>
            <w:hideMark/>
          </w:tcPr>
          <w:p w14:paraId="56808E08" w14:textId="2DAA099F"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-4 %</w:t>
            </w:r>
          </w:p>
        </w:tc>
      </w:tr>
      <w:tr w:rsidR="00F85178" w:rsidRPr="00F85178" w14:paraId="7352EA46"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4DB9C990"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6B767985"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197</w:t>
            </w:r>
          </w:p>
        </w:tc>
        <w:tc>
          <w:tcPr>
            <w:tcW w:w="1927" w:type="dxa"/>
            <w:tcBorders>
              <w:top w:val="nil"/>
              <w:left w:val="nil"/>
              <w:bottom w:val="single" w:sz="4" w:space="0" w:color="auto"/>
              <w:right w:val="nil"/>
            </w:tcBorders>
            <w:shd w:val="clear" w:color="auto" w:fill="auto"/>
            <w:noWrap/>
            <w:vAlign w:val="center"/>
            <w:hideMark/>
          </w:tcPr>
          <w:p w14:paraId="3B20C5D9" w14:textId="6F3FEF27"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10486F56"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4EF27478"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466AEEF1"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266</w:t>
            </w:r>
          </w:p>
        </w:tc>
        <w:tc>
          <w:tcPr>
            <w:tcW w:w="1927" w:type="dxa"/>
            <w:tcBorders>
              <w:top w:val="nil"/>
              <w:left w:val="nil"/>
              <w:bottom w:val="single" w:sz="4" w:space="0" w:color="auto"/>
              <w:right w:val="nil"/>
            </w:tcBorders>
            <w:shd w:val="clear" w:color="auto" w:fill="auto"/>
            <w:noWrap/>
            <w:vAlign w:val="center"/>
            <w:hideMark/>
          </w:tcPr>
          <w:p w14:paraId="0F5D7B1B" w14:textId="02C6A112"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32417E76"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45E3F661"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556FD3A9"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116</w:t>
            </w:r>
          </w:p>
        </w:tc>
        <w:tc>
          <w:tcPr>
            <w:tcW w:w="1927" w:type="dxa"/>
            <w:tcBorders>
              <w:top w:val="nil"/>
              <w:left w:val="nil"/>
              <w:bottom w:val="single" w:sz="4" w:space="0" w:color="auto"/>
              <w:right w:val="nil"/>
            </w:tcBorders>
            <w:shd w:val="clear" w:color="auto" w:fill="auto"/>
            <w:noWrap/>
            <w:vAlign w:val="center"/>
            <w:hideMark/>
          </w:tcPr>
          <w:p w14:paraId="3E17CDDD" w14:textId="191DEF02"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-22 %</w:t>
            </w:r>
          </w:p>
        </w:tc>
      </w:tr>
      <w:tr w:rsidR="00F85178" w:rsidRPr="00F85178" w14:paraId="4C1B4981" w14:textId="77777777" w:rsidTr="00715F6C">
        <w:trPr>
          <w:trHeight w:val="315"/>
        </w:trPr>
        <w:tc>
          <w:tcPr>
            <w:tcW w:w="2780" w:type="dxa"/>
            <w:tcBorders>
              <w:top w:val="nil"/>
              <w:left w:val="nil"/>
              <w:bottom w:val="single" w:sz="4" w:space="0" w:color="auto"/>
              <w:right w:val="nil"/>
            </w:tcBorders>
            <w:shd w:val="clear" w:color="auto" w:fill="auto"/>
            <w:noWrap/>
            <w:vAlign w:val="bottom"/>
            <w:hideMark/>
          </w:tcPr>
          <w:p w14:paraId="159D5348"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4F909F89"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271</w:t>
            </w:r>
          </w:p>
        </w:tc>
        <w:tc>
          <w:tcPr>
            <w:tcW w:w="1927" w:type="dxa"/>
            <w:tcBorders>
              <w:top w:val="nil"/>
              <w:left w:val="nil"/>
              <w:bottom w:val="single" w:sz="4" w:space="0" w:color="auto"/>
              <w:right w:val="nil"/>
            </w:tcBorders>
            <w:shd w:val="clear" w:color="auto" w:fill="auto"/>
            <w:noWrap/>
            <w:vAlign w:val="center"/>
            <w:hideMark/>
          </w:tcPr>
          <w:p w14:paraId="7A453550" w14:textId="2C66CD70"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+18 %</w:t>
            </w:r>
          </w:p>
        </w:tc>
      </w:tr>
      <w:tr w:rsidR="00F85178" w:rsidRPr="00F85178" w14:paraId="68AA01C3" w14:textId="77777777" w:rsidTr="00715F6C">
        <w:trPr>
          <w:trHeight w:val="330"/>
        </w:trPr>
        <w:tc>
          <w:tcPr>
            <w:tcW w:w="2780" w:type="dxa"/>
            <w:tcBorders>
              <w:top w:val="nil"/>
              <w:left w:val="nil"/>
              <w:bottom w:val="double" w:sz="6" w:space="0" w:color="auto"/>
              <w:right w:val="nil"/>
            </w:tcBorders>
            <w:shd w:val="clear" w:color="auto" w:fill="auto"/>
            <w:noWrap/>
            <w:vAlign w:val="bottom"/>
            <w:hideMark/>
          </w:tcPr>
          <w:p w14:paraId="4DDFB50D" w14:textId="77777777" w:rsidR="00715F6C" w:rsidRPr="00F85178" w:rsidRDefault="00715F6C" w:rsidP="00715F6C">
            <w:pPr>
              <w:spacing w:line="240" w:lineRule="auto"/>
              <w:jc w:val="left"/>
              <w:rPr>
                <w:rFonts w:eastAsia="Times New Roman"/>
                <w:szCs w:val="24"/>
                <w:lang w:eastAsia="cs-CZ"/>
              </w:rPr>
            </w:pPr>
            <w:r w:rsidRPr="00F85178">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1A318FBD" w14:textId="77777777" w:rsidR="00715F6C" w:rsidRPr="00F85178" w:rsidRDefault="00715F6C" w:rsidP="00715F6C">
            <w:pPr>
              <w:spacing w:line="240" w:lineRule="auto"/>
              <w:jc w:val="center"/>
              <w:rPr>
                <w:rFonts w:eastAsia="Times New Roman"/>
                <w:szCs w:val="24"/>
                <w:lang w:eastAsia="cs-CZ"/>
              </w:rPr>
            </w:pPr>
            <w:r w:rsidRPr="00F85178">
              <w:rPr>
                <w:rFonts w:eastAsia="Times New Roman"/>
                <w:szCs w:val="24"/>
                <w:lang w:eastAsia="cs-CZ"/>
              </w:rPr>
              <w:t>299</w:t>
            </w:r>
          </w:p>
        </w:tc>
        <w:tc>
          <w:tcPr>
            <w:tcW w:w="1927" w:type="dxa"/>
            <w:tcBorders>
              <w:top w:val="nil"/>
              <w:left w:val="nil"/>
              <w:bottom w:val="double" w:sz="6" w:space="0" w:color="auto"/>
              <w:right w:val="nil"/>
            </w:tcBorders>
            <w:shd w:val="clear" w:color="auto" w:fill="auto"/>
            <w:noWrap/>
            <w:vAlign w:val="center"/>
            <w:hideMark/>
          </w:tcPr>
          <w:p w14:paraId="7A63FB3B" w14:textId="7EE40485" w:rsidR="00715F6C" w:rsidRPr="00F85178" w:rsidRDefault="00715F6C" w:rsidP="00715F6C">
            <w:pPr>
              <w:spacing w:line="240" w:lineRule="auto"/>
              <w:jc w:val="center"/>
              <w:rPr>
                <w:rFonts w:eastAsia="Times New Roman"/>
                <w:sz w:val="20"/>
                <w:szCs w:val="20"/>
                <w:lang w:eastAsia="cs-CZ"/>
              </w:rPr>
            </w:pPr>
            <w:r w:rsidRPr="00F85178">
              <w:rPr>
                <w:rFonts w:eastAsia="Times New Roman"/>
                <w:sz w:val="20"/>
                <w:szCs w:val="20"/>
                <w:lang w:eastAsia="cs-CZ"/>
              </w:rPr>
              <w:t>+48 %</w:t>
            </w:r>
          </w:p>
        </w:tc>
      </w:tr>
      <w:tr w:rsidR="00F85178" w:rsidRPr="00F85178" w14:paraId="41714031" w14:textId="77777777" w:rsidTr="00715F6C">
        <w:trPr>
          <w:trHeight w:val="345"/>
        </w:trPr>
        <w:tc>
          <w:tcPr>
            <w:tcW w:w="2780" w:type="dxa"/>
            <w:tcBorders>
              <w:top w:val="nil"/>
              <w:left w:val="nil"/>
              <w:bottom w:val="double" w:sz="6" w:space="0" w:color="auto"/>
              <w:right w:val="nil"/>
            </w:tcBorders>
            <w:shd w:val="clear" w:color="auto" w:fill="auto"/>
            <w:noWrap/>
            <w:vAlign w:val="bottom"/>
            <w:hideMark/>
          </w:tcPr>
          <w:p w14:paraId="5D129571" w14:textId="77777777" w:rsidR="00715F6C" w:rsidRPr="00F85178" w:rsidRDefault="00715F6C" w:rsidP="00715F6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2CFBF6B4" w14:textId="77777777" w:rsidR="00715F6C" w:rsidRPr="00F85178" w:rsidRDefault="00715F6C" w:rsidP="00715F6C">
            <w:pPr>
              <w:spacing w:line="240" w:lineRule="auto"/>
              <w:jc w:val="center"/>
              <w:rPr>
                <w:rFonts w:eastAsia="Times New Roman"/>
                <w:b/>
                <w:bCs/>
                <w:szCs w:val="24"/>
                <w:lang w:eastAsia="cs-CZ"/>
              </w:rPr>
            </w:pPr>
            <w:r w:rsidRPr="00F85178">
              <w:rPr>
                <w:rFonts w:eastAsia="Times New Roman"/>
                <w:b/>
                <w:bCs/>
                <w:szCs w:val="24"/>
                <w:lang w:eastAsia="cs-CZ"/>
              </w:rPr>
              <w:t>227</w:t>
            </w:r>
          </w:p>
        </w:tc>
        <w:tc>
          <w:tcPr>
            <w:tcW w:w="1927" w:type="dxa"/>
            <w:tcBorders>
              <w:top w:val="nil"/>
              <w:left w:val="nil"/>
              <w:bottom w:val="double" w:sz="6" w:space="0" w:color="auto"/>
              <w:right w:val="nil"/>
            </w:tcBorders>
            <w:shd w:val="clear" w:color="auto" w:fill="auto"/>
            <w:noWrap/>
            <w:vAlign w:val="center"/>
            <w:hideMark/>
          </w:tcPr>
          <w:p w14:paraId="59342B62" w14:textId="0C8E636C" w:rsidR="00715F6C" w:rsidRPr="00F85178" w:rsidRDefault="00715F6C" w:rsidP="00715F6C">
            <w:pPr>
              <w:spacing w:line="240" w:lineRule="auto"/>
              <w:jc w:val="center"/>
              <w:rPr>
                <w:rFonts w:eastAsia="Times New Roman"/>
                <w:b/>
                <w:bCs/>
                <w:sz w:val="20"/>
                <w:szCs w:val="20"/>
                <w:lang w:eastAsia="cs-CZ"/>
              </w:rPr>
            </w:pPr>
            <w:r w:rsidRPr="00F85178">
              <w:rPr>
                <w:rFonts w:eastAsia="Times New Roman"/>
                <w:b/>
                <w:bCs/>
                <w:sz w:val="20"/>
                <w:szCs w:val="20"/>
                <w:lang w:eastAsia="cs-CZ"/>
              </w:rPr>
              <w:t>+9 %</w:t>
            </w:r>
          </w:p>
        </w:tc>
      </w:tr>
    </w:tbl>
    <w:p w14:paraId="30B87FBA" w14:textId="77777777" w:rsidR="00BF4CFF" w:rsidRPr="00F85178" w:rsidRDefault="00BF4CFF" w:rsidP="00BF4CFF">
      <w:pPr>
        <w:pStyle w:val="OdstavecASR"/>
      </w:pPr>
      <w:r w:rsidRPr="00F85178">
        <w:t>Závěry ze srovnání krajských soudů na základě délek řízení a DT se v tomto případě liší, což vyplývá (jak už bylo zmíněno) z jiné metodiky, jiného zdroje dat a malého počtu pozorování. Stále ale platí, že KS Ústí nad Labem a KS České Budějovice vykazují určité problémy s vyřizováním agendy</w:t>
      </w:r>
      <w:r w:rsidR="00F20EE2" w:rsidRPr="00F85178">
        <w:t xml:space="preserve"> a v roce 2018 se k nim přidaly také KS Brno a KS Ostrava</w:t>
      </w:r>
      <w:r w:rsidRPr="00F85178">
        <w:t>. KS Praha</w:t>
      </w:r>
      <w:r w:rsidR="00F20EE2" w:rsidRPr="00F85178">
        <w:t xml:space="preserve"> a</w:t>
      </w:r>
      <w:r w:rsidR="00E04691" w:rsidRPr="00F85178">
        <w:t> </w:t>
      </w:r>
      <w:r w:rsidR="00F20EE2" w:rsidRPr="00F85178">
        <w:t>KS Hradec Králové si zatím vedou stále dobře</w:t>
      </w:r>
      <w:r w:rsidRPr="00F85178">
        <w:t>.</w:t>
      </w:r>
    </w:p>
    <w:p w14:paraId="3108D9F0" w14:textId="77777777" w:rsidR="00BF4CFF" w:rsidRPr="00F85178" w:rsidRDefault="00BF4CFF" w:rsidP="00BF4CFF">
      <w:pPr>
        <w:pStyle w:val="OdstavecASR"/>
      </w:pPr>
      <w:r w:rsidRPr="00F85178">
        <w:t xml:space="preserve">Zatímco u OS </w:t>
      </w:r>
      <w:r w:rsidR="009B0B99" w:rsidRPr="00F85178">
        <w:t xml:space="preserve">je </w:t>
      </w:r>
      <w:r w:rsidRPr="00F85178">
        <w:t xml:space="preserve">situace v trestní agendě </w:t>
      </w:r>
      <w:r w:rsidR="009B0B99" w:rsidRPr="00F85178">
        <w:t>v zásadě stabilní</w:t>
      </w:r>
      <w:r w:rsidRPr="00F85178">
        <w:t xml:space="preserve">, u KS </w:t>
      </w:r>
      <w:r w:rsidR="00AD11E5" w:rsidRPr="00F85178">
        <w:t>v posledních 2 </w:t>
      </w:r>
      <w:r w:rsidR="009B0B99" w:rsidRPr="00F85178">
        <w:t xml:space="preserve">letech </w:t>
      </w:r>
      <w:r w:rsidRPr="00F85178">
        <w:t xml:space="preserve">totéž neplatí. Délky řízení </w:t>
      </w:r>
      <w:r w:rsidR="009B0B99" w:rsidRPr="00F85178">
        <w:t xml:space="preserve">výrazně </w:t>
      </w:r>
      <w:r w:rsidRPr="00F85178">
        <w:t>narostly (především průměr a devadesátý percentil),</w:t>
      </w:r>
      <w:r w:rsidR="009B0B99" w:rsidRPr="00F85178">
        <w:t xml:space="preserve"> počty nevyřízených věcí se zvyšují již od roku 2011</w:t>
      </w:r>
      <w:r w:rsidR="00AD11E5" w:rsidRPr="00F85178">
        <w:t xml:space="preserve"> </w:t>
      </w:r>
      <w:r w:rsidR="009B0B99" w:rsidRPr="00F85178">
        <w:t>a disposition time dosáhl v roce 2018 nejvyšší hodnoty za posledních 10 let.</w:t>
      </w:r>
    </w:p>
    <w:p w14:paraId="3B9D9E16" w14:textId="77777777" w:rsidR="00715F6C" w:rsidRPr="00F85178" w:rsidRDefault="00715F6C" w:rsidP="00715F6C">
      <w:pPr>
        <w:pStyle w:val="Nadpis3"/>
        <w:rPr>
          <w:color w:val="auto"/>
        </w:rPr>
      </w:pPr>
      <w:bookmarkStart w:id="455" w:name="_Toc515871261"/>
      <w:bookmarkStart w:id="456" w:name="_Toc14076910"/>
      <w:r w:rsidRPr="00F85178">
        <w:rPr>
          <w:color w:val="auto"/>
        </w:rPr>
        <w:t>Další statistiky</w:t>
      </w:r>
      <w:bookmarkEnd w:id="455"/>
      <w:bookmarkEnd w:id="456"/>
    </w:p>
    <w:p w14:paraId="28C679ED" w14:textId="77777777" w:rsidR="00BF4CFF" w:rsidRPr="00F85178" w:rsidRDefault="00BF4CFF" w:rsidP="00BF4CFF">
      <w:pPr>
        <w:pStyle w:val="OdstavecASR"/>
      </w:pPr>
      <w:r w:rsidRPr="00F85178">
        <w:t>Jako další statistiky v této podkapitole uvádíme míru odvolání, míru změny rozsudku, podíl počtu odsouzených dle hlav trestního zákoníku a nejčastější trestné činy v jednotlivých hlavách. Tyto statistiky jsme uvedli i u okresních soudů. U krajských soudů dále prezentujeme délky uložených trestů nepodmíněného odnětí svobody.</w:t>
      </w:r>
    </w:p>
    <w:p w14:paraId="61403AF5" w14:textId="77777777" w:rsidR="00715F6C" w:rsidRPr="00F85178" w:rsidRDefault="005112BA" w:rsidP="005112BA">
      <w:pPr>
        <w:pStyle w:val="Podtitul"/>
        <w:rPr>
          <w:color w:val="auto"/>
        </w:rPr>
      </w:pPr>
      <w:bookmarkStart w:id="457" w:name="_Toc515871482"/>
      <w:bookmarkStart w:id="458" w:name="_Toc11133250"/>
      <w:bookmarkStart w:id="459" w:name="_Toc13837471"/>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48</w:t>
      </w:r>
      <w:r w:rsidR="00D842DE" w:rsidRPr="00F85178">
        <w:rPr>
          <w:noProof/>
          <w:color w:val="auto"/>
        </w:rPr>
        <w:fldChar w:fldCharType="end"/>
      </w:r>
      <w:r w:rsidRPr="00F85178">
        <w:rPr>
          <w:color w:val="auto"/>
        </w:rPr>
        <w:t>: KS – míra odvolání dle soudů v trestním řízení</w:t>
      </w:r>
      <w:bookmarkEnd w:id="457"/>
      <w:bookmarkEnd w:id="458"/>
      <w:bookmarkEnd w:id="459"/>
    </w:p>
    <w:tbl>
      <w:tblPr>
        <w:tblW w:w="6300" w:type="dxa"/>
        <w:tblInd w:w="70" w:type="dxa"/>
        <w:tblCellMar>
          <w:left w:w="70" w:type="dxa"/>
          <w:right w:w="70" w:type="dxa"/>
        </w:tblCellMar>
        <w:tblLook w:val="04A0" w:firstRow="1" w:lastRow="0" w:firstColumn="1" w:lastColumn="0" w:noHBand="0" w:noVBand="1"/>
      </w:tblPr>
      <w:tblGrid>
        <w:gridCol w:w="2780"/>
        <w:gridCol w:w="1477"/>
        <w:gridCol w:w="2043"/>
      </w:tblGrid>
      <w:tr w:rsidR="00F85178" w:rsidRPr="00F85178" w14:paraId="79A61979" w14:textId="77777777" w:rsidTr="00B11D20">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7822BC3E" w14:textId="77777777" w:rsidR="00B11D20" w:rsidRPr="00F85178" w:rsidRDefault="00B11D20" w:rsidP="00B11D20">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520" w:type="dxa"/>
            <w:gridSpan w:val="2"/>
            <w:tcBorders>
              <w:top w:val="double" w:sz="6" w:space="0" w:color="auto"/>
              <w:left w:val="nil"/>
              <w:bottom w:val="double" w:sz="6" w:space="0" w:color="auto"/>
              <w:right w:val="nil"/>
            </w:tcBorders>
            <w:shd w:val="clear" w:color="auto" w:fill="auto"/>
            <w:noWrap/>
            <w:vAlign w:val="center"/>
            <w:hideMark/>
          </w:tcPr>
          <w:p w14:paraId="679C7E4C" w14:textId="77777777" w:rsidR="00B11D20" w:rsidRPr="00F85178" w:rsidRDefault="00B11D20" w:rsidP="00B11D20">
            <w:pPr>
              <w:spacing w:line="240" w:lineRule="auto"/>
              <w:jc w:val="center"/>
              <w:rPr>
                <w:rFonts w:eastAsia="Times New Roman"/>
                <w:b/>
                <w:bCs/>
                <w:szCs w:val="24"/>
                <w:lang w:eastAsia="cs-CZ"/>
              </w:rPr>
            </w:pPr>
            <w:r w:rsidRPr="00F85178">
              <w:rPr>
                <w:rFonts w:eastAsia="Times New Roman"/>
                <w:b/>
                <w:bCs/>
                <w:szCs w:val="24"/>
                <w:lang w:eastAsia="cs-CZ"/>
              </w:rPr>
              <w:t>Míra odvolání</w:t>
            </w:r>
          </w:p>
        </w:tc>
      </w:tr>
      <w:tr w:rsidR="00F85178" w:rsidRPr="00F85178" w14:paraId="48DA9AF1" w14:textId="77777777" w:rsidTr="00B11D20">
        <w:trPr>
          <w:trHeight w:val="330"/>
        </w:trPr>
        <w:tc>
          <w:tcPr>
            <w:tcW w:w="2780" w:type="dxa"/>
            <w:tcBorders>
              <w:top w:val="nil"/>
              <w:left w:val="nil"/>
              <w:bottom w:val="single" w:sz="4" w:space="0" w:color="auto"/>
              <w:right w:val="nil"/>
            </w:tcBorders>
            <w:shd w:val="clear" w:color="auto" w:fill="auto"/>
            <w:noWrap/>
            <w:vAlign w:val="bottom"/>
            <w:hideMark/>
          </w:tcPr>
          <w:p w14:paraId="742C3E6D"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MS Praha</w:t>
            </w:r>
          </w:p>
        </w:tc>
        <w:tc>
          <w:tcPr>
            <w:tcW w:w="1477" w:type="dxa"/>
            <w:tcBorders>
              <w:top w:val="nil"/>
              <w:left w:val="nil"/>
              <w:bottom w:val="single" w:sz="4" w:space="0" w:color="auto"/>
              <w:right w:val="nil"/>
            </w:tcBorders>
            <w:shd w:val="clear" w:color="auto" w:fill="auto"/>
            <w:noWrap/>
            <w:vAlign w:val="bottom"/>
            <w:hideMark/>
          </w:tcPr>
          <w:p w14:paraId="6063C505"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66,52 %</w:t>
            </w:r>
          </w:p>
        </w:tc>
        <w:tc>
          <w:tcPr>
            <w:tcW w:w="2043" w:type="dxa"/>
            <w:tcBorders>
              <w:top w:val="nil"/>
              <w:left w:val="nil"/>
              <w:bottom w:val="single" w:sz="4" w:space="0" w:color="auto"/>
              <w:right w:val="nil"/>
            </w:tcBorders>
            <w:shd w:val="clear" w:color="auto" w:fill="auto"/>
            <w:noWrap/>
            <w:vAlign w:val="center"/>
            <w:hideMark/>
          </w:tcPr>
          <w:p w14:paraId="6E8A4088"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-8,1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6C05C39F"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0576DB02"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Praha</w:t>
            </w:r>
          </w:p>
        </w:tc>
        <w:tc>
          <w:tcPr>
            <w:tcW w:w="1477" w:type="dxa"/>
            <w:tcBorders>
              <w:top w:val="nil"/>
              <w:left w:val="nil"/>
              <w:bottom w:val="single" w:sz="4" w:space="0" w:color="auto"/>
              <w:right w:val="nil"/>
            </w:tcBorders>
            <w:shd w:val="clear" w:color="auto" w:fill="auto"/>
            <w:noWrap/>
            <w:vAlign w:val="bottom"/>
            <w:hideMark/>
          </w:tcPr>
          <w:p w14:paraId="3BBC8BD5"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77,89 %</w:t>
            </w:r>
          </w:p>
        </w:tc>
        <w:tc>
          <w:tcPr>
            <w:tcW w:w="2043" w:type="dxa"/>
            <w:tcBorders>
              <w:top w:val="nil"/>
              <w:left w:val="nil"/>
              <w:bottom w:val="single" w:sz="4" w:space="0" w:color="auto"/>
              <w:right w:val="nil"/>
            </w:tcBorders>
            <w:shd w:val="clear" w:color="auto" w:fill="auto"/>
            <w:noWrap/>
            <w:vAlign w:val="center"/>
            <w:hideMark/>
          </w:tcPr>
          <w:p w14:paraId="4B4D3562"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-1,1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573BE76A"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342E8E7E"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Č. Budějovice</w:t>
            </w:r>
          </w:p>
        </w:tc>
        <w:tc>
          <w:tcPr>
            <w:tcW w:w="1477" w:type="dxa"/>
            <w:tcBorders>
              <w:top w:val="nil"/>
              <w:left w:val="nil"/>
              <w:bottom w:val="single" w:sz="4" w:space="0" w:color="auto"/>
              <w:right w:val="nil"/>
            </w:tcBorders>
            <w:shd w:val="clear" w:color="auto" w:fill="auto"/>
            <w:noWrap/>
            <w:vAlign w:val="bottom"/>
            <w:hideMark/>
          </w:tcPr>
          <w:p w14:paraId="791D489E"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90,14 %</w:t>
            </w:r>
          </w:p>
        </w:tc>
        <w:tc>
          <w:tcPr>
            <w:tcW w:w="2043" w:type="dxa"/>
            <w:tcBorders>
              <w:top w:val="nil"/>
              <w:left w:val="nil"/>
              <w:bottom w:val="single" w:sz="4" w:space="0" w:color="auto"/>
              <w:right w:val="nil"/>
            </w:tcBorders>
            <w:shd w:val="clear" w:color="auto" w:fill="auto"/>
            <w:noWrap/>
            <w:vAlign w:val="center"/>
            <w:hideMark/>
          </w:tcPr>
          <w:p w14:paraId="7377D539"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+3,6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33647CFC"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3029A327"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Plzeň</w:t>
            </w:r>
          </w:p>
        </w:tc>
        <w:tc>
          <w:tcPr>
            <w:tcW w:w="1477" w:type="dxa"/>
            <w:tcBorders>
              <w:top w:val="nil"/>
              <w:left w:val="nil"/>
              <w:bottom w:val="single" w:sz="4" w:space="0" w:color="auto"/>
              <w:right w:val="nil"/>
            </w:tcBorders>
            <w:shd w:val="clear" w:color="auto" w:fill="auto"/>
            <w:noWrap/>
            <w:vAlign w:val="bottom"/>
            <w:hideMark/>
          </w:tcPr>
          <w:p w14:paraId="4864DA3F"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87,18 %</w:t>
            </w:r>
          </w:p>
        </w:tc>
        <w:tc>
          <w:tcPr>
            <w:tcW w:w="2043" w:type="dxa"/>
            <w:tcBorders>
              <w:top w:val="nil"/>
              <w:left w:val="nil"/>
              <w:bottom w:val="single" w:sz="4" w:space="0" w:color="auto"/>
              <w:right w:val="nil"/>
            </w:tcBorders>
            <w:shd w:val="clear" w:color="auto" w:fill="auto"/>
            <w:noWrap/>
            <w:vAlign w:val="center"/>
            <w:hideMark/>
          </w:tcPr>
          <w:p w14:paraId="60157CE0"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+0,1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2A118B04"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311BA0B2"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Ústí n. Labem</w:t>
            </w:r>
          </w:p>
        </w:tc>
        <w:tc>
          <w:tcPr>
            <w:tcW w:w="1477" w:type="dxa"/>
            <w:tcBorders>
              <w:top w:val="nil"/>
              <w:left w:val="nil"/>
              <w:bottom w:val="single" w:sz="4" w:space="0" w:color="auto"/>
              <w:right w:val="nil"/>
            </w:tcBorders>
            <w:shd w:val="clear" w:color="auto" w:fill="auto"/>
            <w:noWrap/>
            <w:vAlign w:val="bottom"/>
            <w:hideMark/>
          </w:tcPr>
          <w:p w14:paraId="0BF09BA4"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77,78 %</w:t>
            </w:r>
          </w:p>
        </w:tc>
        <w:tc>
          <w:tcPr>
            <w:tcW w:w="2043" w:type="dxa"/>
            <w:tcBorders>
              <w:top w:val="nil"/>
              <w:left w:val="nil"/>
              <w:bottom w:val="single" w:sz="4" w:space="0" w:color="auto"/>
              <w:right w:val="nil"/>
            </w:tcBorders>
            <w:shd w:val="clear" w:color="auto" w:fill="auto"/>
            <w:noWrap/>
            <w:vAlign w:val="center"/>
            <w:hideMark/>
          </w:tcPr>
          <w:p w14:paraId="288FA74A"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-7,5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73E6042F"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7E0ED6B7"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Hr. Králové</w:t>
            </w:r>
          </w:p>
        </w:tc>
        <w:tc>
          <w:tcPr>
            <w:tcW w:w="1477" w:type="dxa"/>
            <w:tcBorders>
              <w:top w:val="nil"/>
              <w:left w:val="nil"/>
              <w:bottom w:val="single" w:sz="4" w:space="0" w:color="auto"/>
              <w:right w:val="nil"/>
            </w:tcBorders>
            <w:shd w:val="clear" w:color="auto" w:fill="auto"/>
            <w:noWrap/>
            <w:vAlign w:val="bottom"/>
            <w:hideMark/>
          </w:tcPr>
          <w:p w14:paraId="1A502883"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65,49 %</w:t>
            </w:r>
          </w:p>
        </w:tc>
        <w:tc>
          <w:tcPr>
            <w:tcW w:w="2043" w:type="dxa"/>
            <w:tcBorders>
              <w:top w:val="nil"/>
              <w:left w:val="nil"/>
              <w:bottom w:val="single" w:sz="4" w:space="0" w:color="auto"/>
              <w:right w:val="nil"/>
            </w:tcBorders>
            <w:shd w:val="clear" w:color="auto" w:fill="auto"/>
            <w:noWrap/>
            <w:vAlign w:val="center"/>
            <w:hideMark/>
          </w:tcPr>
          <w:p w14:paraId="102EF126"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+4,4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0EF98E90" w14:textId="77777777" w:rsidTr="00B11D20">
        <w:trPr>
          <w:trHeight w:val="315"/>
        </w:trPr>
        <w:tc>
          <w:tcPr>
            <w:tcW w:w="2780" w:type="dxa"/>
            <w:tcBorders>
              <w:top w:val="nil"/>
              <w:left w:val="nil"/>
              <w:bottom w:val="single" w:sz="4" w:space="0" w:color="auto"/>
              <w:right w:val="nil"/>
            </w:tcBorders>
            <w:shd w:val="clear" w:color="auto" w:fill="auto"/>
            <w:noWrap/>
            <w:vAlign w:val="bottom"/>
            <w:hideMark/>
          </w:tcPr>
          <w:p w14:paraId="5A3B86EB"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Brno</w:t>
            </w:r>
          </w:p>
        </w:tc>
        <w:tc>
          <w:tcPr>
            <w:tcW w:w="1477" w:type="dxa"/>
            <w:tcBorders>
              <w:top w:val="nil"/>
              <w:left w:val="nil"/>
              <w:bottom w:val="single" w:sz="4" w:space="0" w:color="auto"/>
              <w:right w:val="nil"/>
            </w:tcBorders>
            <w:shd w:val="clear" w:color="auto" w:fill="auto"/>
            <w:noWrap/>
            <w:vAlign w:val="bottom"/>
            <w:hideMark/>
          </w:tcPr>
          <w:p w14:paraId="38B3CB59"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74,63 %</w:t>
            </w:r>
          </w:p>
        </w:tc>
        <w:tc>
          <w:tcPr>
            <w:tcW w:w="2043" w:type="dxa"/>
            <w:tcBorders>
              <w:top w:val="nil"/>
              <w:left w:val="nil"/>
              <w:bottom w:val="single" w:sz="4" w:space="0" w:color="auto"/>
              <w:right w:val="nil"/>
            </w:tcBorders>
            <w:shd w:val="clear" w:color="auto" w:fill="auto"/>
            <w:noWrap/>
            <w:vAlign w:val="center"/>
            <w:hideMark/>
          </w:tcPr>
          <w:p w14:paraId="648CF756"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-7,1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F85178" w:rsidRPr="00F85178" w14:paraId="02EC2D8C" w14:textId="77777777" w:rsidTr="00B11D20">
        <w:trPr>
          <w:trHeight w:val="330"/>
        </w:trPr>
        <w:tc>
          <w:tcPr>
            <w:tcW w:w="2780" w:type="dxa"/>
            <w:tcBorders>
              <w:top w:val="nil"/>
              <w:left w:val="nil"/>
              <w:bottom w:val="double" w:sz="6" w:space="0" w:color="auto"/>
              <w:right w:val="nil"/>
            </w:tcBorders>
            <w:shd w:val="clear" w:color="auto" w:fill="auto"/>
            <w:noWrap/>
            <w:vAlign w:val="bottom"/>
            <w:hideMark/>
          </w:tcPr>
          <w:p w14:paraId="16DEE881" w14:textId="77777777" w:rsidR="00B11D20" w:rsidRPr="00F85178" w:rsidRDefault="00B11D20" w:rsidP="00B11D20">
            <w:pPr>
              <w:spacing w:line="240" w:lineRule="auto"/>
              <w:jc w:val="left"/>
              <w:rPr>
                <w:rFonts w:eastAsia="Times New Roman"/>
                <w:szCs w:val="24"/>
                <w:lang w:eastAsia="cs-CZ"/>
              </w:rPr>
            </w:pPr>
            <w:r w:rsidRPr="00F85178">
              <w:rPr>
                <w:rFonts w:eastAsia="Times New Roman"/>
                <w:szCs w:val="24"/>
                <w:lang w:eastAsia="cs-CZ"/>
              </w:rPr>
              <w:t>KS Ostrava</w:t>
            </w:r>
          </w:p>
        </w:tc>
        <w:tc>
          <w:tcPr>
            <w:tcW w:w="1477" w:type="dxa"/>
            <w:tcBorders>
              <w:top w:val="nil"/>
              <w:left w:val="nil"/>
              <w:bottom w:val="double" w:sz="6" w:space="0" w:color="auto"/>
              <w:right w:val="nil"/>
            </w:tcBorders>
            <w:shd w:val="clear" w:color="auto" w:fill="auto"/>
            <w:noWrap/>
            <w:vAlign w:val="bottom"/>
            <w:hideMark/>
          </w:tcPr>
          <w:p w14:paraId="008A6D91" w14:textId="77777777" w:rsidR="00B11D20" w:rsidRPr="00F85178" w:rsidRDefault="00B11D20" w:rsidP="00B11D20">
            <w:pPr>
              <w:spacing w:line="240" w:lineRule="auto"/>
              <w:jc w:val="center"/>
              <w:rPr>
                <w:rFonts w:eastAsia="Times New Roman"/>
                <w:szCs w:val="24"/>
                <w:lang w:eastAsia="cs-CZ"/>
              </w:rPr>
            </w:pPr>
            <w:r w:rsidRPr="00F85178">
              <w:rPr>
                <w:rFonts w:eastAsia="Times New Roman"/>
                <w:szCs w:val="24"/>
                <w:lang w:eastAsia="cs-CZ"/>
              </w:rPr>
              <w:t>69,74 %</w:t>
            </w:r>
          </w:p>
        </w:tc>
        <w:tc>
          <w:tcPr>
            <w:tcW w:w="2043" w:type="dxa"/>
            <w:tcBorders>
              <w:top w:val="nil"/>
              <w:left w:val="nil"/>
              <w:bottom w:val="nil"/>
              <w:right w:val="nil"/>
            </w:tcBorders>
            <w:shd w:val="clear" w:color="auto" w:fill="auto"/>
            <w:noWrap/>
            <w:vAlign w:val="center"/>
            <w:hideMark/>
          </w:tcPr>
          <w:p w14:paraId="5999F8D7" w14:textId="77777777" w:rsidR="00B11D20" w:rsidRPr="00F85178" w:rsidRDefault="00B11D20" w:rsidP="00E04691">
            <w:pPr>
              <w:spacing w:line="240" w:lineRule="auto"/>
              <w:jc w:val="center"/>
              <w:rPr>
                <w:rFonts w:eastAsia="Times New Roman"/>
                <w:sz w:val="20"/>
                <w:szCs w:val="20"/>
                <w:lang w:eastAsia="cs-CZ"/>
              </w:rPr>
            </w:pPr>
            <w:r w:rsidRPr="00F85178">
              <w:rPr>
                <w:rFonts w:eastAsia="Times New Roman"/>
                <w:sz w:val="20"/>
                <w:szCs w:val="20"/>
                <w:lang w:eastAsia="cs-CZ"/>
              </w:rPr>
              <w:t>-6,3 p.</w:t>
            </w:r>
            <w:r w:rsidR="00E04691" w:rsidRPr="00F85178">
              <w:rPr>
                <w:rFonts w:eastAsia="Times New Roman"/>
                <w:sz w:val="20"/>
                <w:szCs w:val="20"/>
                <w:lang w:eastAsia="cs-CZ"/>
              </w:rPr>
              <w:t xml:space="preserve"> </w:t>
            </w:r>
            <w:r w:rsidRPr="00F85178">
              <w:rPr>
                <w:rFonts w:eastAsia="Times New Roman"/>
                <w:sz w:val="20"/>
                <w:szCs w:val="20"/>
                <w:lang w:eastAsia="cs-CZ"/>
              </w:rPr>
              <w:t>b.</w:t>
            </w:r>
          </w:p>
        </w:tc>
      </w:tr>
      <w:tr w:rsidR="00B11D20" w:rsidRPr="00F85178" w14:paraId="2979B44D" w14:textId="77777777" w:rsidTr="00B11D20">
        <w:trPr>
          <w:trHeight w:val="345"/>
        </w:trPr>
        <w:tc>
          <w:tcPr>
            <w:tcW w:w="2780" w:type="dxa"/>
            <w:tcBorders>
              <w:top w:val="nil"/>
              <w:left w:val="nil"/>
              <w:bottom w:val="double" w:sz="6" w:space="0" w:color="auto"/>
              <w:right w:val="nil"/>
            </w:tcBorders>
            <w:shd w:val="clear" w:color="auto" w:fill="auto"/>
            <w:noWrap/>
            <w:vAlign w:val="bottom"/>
            <w:hideMark/>
          </w:tcPr>
          <w:p w14:paraId="399BFFD8" w14:textId="77777777" w:rsidR="00B11D20" w:rsidRPr="00F85178" w:rsidRDefault="00B11D20" w:rsidP="00B11D20">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477" w:type="dxa"/>
            <w:tcBorders>
              <w:top w:val="nil"/>
              <w:left w:val="nil"/>
              <w:bottom w:val="double" w:sz="6" w:space="0" w:color="auto"/>
              <w:right w:val="nil"/>
            </w:tcBorders>
            <w:shd w:val="clear" w:color="auto" w:fill="auto"/>
            <w:noWrap/>
            <w:vAlign w:val="bottom"/>
            <w:hideMark/>
          </w:tcPr>
          <w:p w14:paraId="30B2CCDA" w14:textId="77777777" w:rsidR="00B11D20" w:rsidRPr="00F85178" w:rsidRDefault="00B11D20" w:rsidP="00B11D20">
            <w:pPr>
              <w:spacing w:line="240" w:lineRule="auto"/>
              <w:jc w:val="center"/>
              <w:rPr>
                <w:rFonts w:eastAsia="Times New Roman"/>
                <w:b/>
                <w:bCs/>
                <w:szCs w:val="24"/>
                <w:lang w:eastAsia="cs-CZ"/>
              </w:rPr>
            </w:pPr>
            <w:r w:rsidRPr="00F85178">
              <w:rPr>
                <w:rFonts w:eastAsia="Times New Roman"/>
                <w:b/>
                <w:bCs/>
                <w:szCs w:val="24"/>
                <w:lang w:eastAsia="cs-CZ"/>
              </w:rPr>
              <w:t>72,81 %</w:t>
            </w:r>
          </w:p>
        </w:tc>
        <w:tc>
          <w:tcPr>
            <w:tcW w:w="2043" w:type="dxa"/>
            <w:tcBorders>
              <w:top w:val="double" w:sz="6" w:space="0" w:color="auto"/>
              <w:left w:val="nil"/>
              <w:bottom w:val="double" w:sz="6" w:space="0" w:color="auto"/>
              <w:right w:val="nil"/>
            </w:tcBorders>
            <w:shd w:val="clear" w:color="auto" w:fill="auto"/>
            <w:noWrap/>
            <w:vAlign w:val="center"/>
            <w:hideMark/>
          </w:tcPr>
          <w:p w14:paraId="56698755" w14:textId="77777777" w:rsidR="00B11D20" w:rsidRPr="00F85178" w:rsidRDefault="00B11D20" w:rsidP="00E04691">
            <w:pPr>
              <w:spacing w:line="240" w:lineRule="auto"/>
              <w:jc w:val="center"/>
              <w:rPr>
                <w:rFonts w:eastAsia="Times New Roman"/>
                <w:b/>
                <w:bCs/>
                <w:sz w:val="20"/>
                <w:szCs w:val="20"/>
                <w:lang w:eastAsia="cs-CZ"/>
              </w:rPr>
            </w:pPr>
            <w:r w:rsidRPr="00F85178">
              <w:rPr>
                <w:rFonts w:eastAsia="Times New Roman"/>
                <w:b/>
                <w:bCs/>
                <w:sz w:val="20"/>
                <w:szCs w:val="20"/>
                <w:lang w:eastAsia="cs-CZ"/>
              </w:rPr>
              <w:t>-5,0 p.</w:t>
            </w:r>
            <w:r w:rsidR="00E04691" w:rsidRPr="00F85178">
              <w:rPr>
                <w:rFonts w:eastAsia="Times New Roman"/>
                <w:b/>
                <w:bCs/>
                <w:sz w:val="20"/>
                <w:szCs w:val="20"/>
                <w:lang w:eastAsia="cs-CZ"/>
              </w:rPr>
              <w:t xml:space="preserve"> </w:t>
            </w:r>
            <w:r w:rsidRPr="00F85178">
              <w:rPr>
                <w:rFonts w:eastAsia="Times New Roman"/>
                <w:b/>
                <w:bCs/>
                <w:sz w:val="20"/>
                <w:szCs w:val="20"/>
                <w:lang w:eastAsia="cs-CZ"/>
              </w:rPr>
              <w:t>b.</w:t>
            </w:r>
          </w:p>
        </w:tc>
      </w:tr>
    </w:tbl>
    <w:p w14:paraId="3D06C171" w14:textId="77777777" w:rsidR="00B11D20" w:rsidRPr="00F85178" w:rsidRDefault="00B11D20" w:rsidP="00205FD6"/>
    <w:p w14:paraId="4737F33A" w14:textId="77777777" w:rsidR="00B11D20" w:rsidRPr="00F85178" w:rsidRDefault="00B11D20" w:rsidP="00205FD6"/>
    <w:p w14:paraId="487AD67B" w14:textId="77777777" w:rsidR="005D1B61" w:rsidRPr="00F85178" w:rsidRDefault="005D1B61" w:rsidP="005D1B61">
      <w:pPr>
        <w:pStyle w:val="OdstavecASR"/>
        <w:tabs>
          <w:tab w:val="left" w:pos="7655"/>
        </w:tabs>
      </w:pPr>
      <w:r w:rsidRPr="00F85178">
        <w:t xml:space="preserve">Míra odvolání v této agendě </w:t>
      </w:r>
      <w:r w:rsidR="00AD11E5" w:rsidRPr="00F85178">
        <w:t xml:space="preserve">poklesla, ale stále je </w:t>
      </w:r>
      <w:r w:rsidRPr="00F85178">
        <w:t>opravdu vysoká – 7</w:t>
      </w:r>
      <w:r w:rsidR="00AD11E5" w:rsidRPr="00F85178">
        <w:t>3</w:t>
      </w:r>
      <w:r w:rsidRPr="00F85178">
        <w:t> %. To znamená, že v </w:t>
      </w:r>
      <w:r w:rsidR="00AD11E5" w:rsidRPr="00F85178">
        <w:t xml:space="preserve">7 </w:t>
      </w:r>
      <w:r w:rsidRPr="00F85178">
        <w:t>z 10 vyřízených věcí je podáno odvolání proti konečnému rozhodnutí krajského soudu. Což</w:t>
      </w:r>
      <w:r w:rsidR="00AD11E5" w:rsidRPr="00F85178">
        <w:t xml:space="preserve"> ale</w:t>
      </w:r>
      <w:r w:rsidRPr="00F85178">
        <w:t xml:space="preserve"> není překvapivé. Vzhledem k typu projednávaných věcí je pravidlem uložení delších nepodmíněných trestů odnětí svobody, což je spolu se zákazem </w:t>
      </w:r>
      <w:r w:rsidRPr="00F85178">
        <w:rPr>
          <w:i/>
        </w:rPr>
        <w:t>reformatio in peius</w:t>
      </w:r>
      <w:r w:rsidRPr="00F85178">
        <w:t xml:space="preserve"> </w:t>
      </w:r>
      <w:r w:rsidR="00AD11E5" w:rsidRPr="00F85178">
        <w:t xml:space="preserve">(rozhodnutí k horšímu) </w:t>
      </w:r>
      <w:r w:rsidRPr="00F85178">
        <w:t xml:space="preserve">více než dostatečná motivace k odvolání </w:t>
      </w:r>
      <w:r w:rsidR="00FC7EC5" w:rsidRPr="00F85178">
        <w:t xml:space="preserve">se </w:t>
      </w:r>
      <w:r w:rsidR="004E2F05" w:rsidRPr="00F85178">
        <w:t xml:space="preserve">pachatele </w:t>
      </w:r>
      <w:r w:rsidRPr="00F85178">
        <w:t xml:space="preserve">bez ohledu na výsledek. </w:t>
      </w:r>
      <w:r w:rsidR="004E2F05" w:rsidRPr="00F85178">
        <w:t xml:space="preserve">V rámci jednotlivých krajských soudů dochází každý rok ke kladným i záporným odchylkám, takže </w:t>
      </w:r>
      <w:r w:rsidR="00ED5DE1" w:rsidRPr="00F85178">
        <w:t xml:space="preserve">i když poklesy v roce 2018 jsou velké, </w:t>
      </w:r>
      <w:r w:rsidR="004E2F05" w:rsidRPr="00F85178">
        <w:t>hodnocení konkrétního roku není</w:t>
      </w:r>
      <w:r w:rsidR="00ED5DE1" w:rsidRPr="00F85178">
        <w:t xml:space="preserve"> příliš </w:t>
      </w:r>
      <w:r w:rsidR="004E2F05" w:rsidRPr="00F85178">
        <w:t>vypovídající.</w:t>
      </w:r>
    </w:p>
    <w:p w14:paraId="2B83016E" w14:textId="77777777" w:rsidR="008520D0" w:rsidRPr="00F85178" w:rsidRDefault="005112BA" w:rsidP="00C63DD0">
      <w:pPr>
        <w:pStyle w:val="Podtitul"/>
      </w:pPr>
      <w:bookmarkStart w:id="460" w:name="_Toc515871483"/>
      <w:bookmarkStart w:id="461" w:name="_Toc11133251"/>
      <w:bookmarkStart w:id="462" w:name="_Toc13837472"/>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49</w:t>
      </w:r>
      <w:r w:rsidRPr="00F85178">
        <w:rPr>
          <w:noProof/>
          <w:color w:val="auto"/>
        </w:rPr>
        <w:fldChar w:fldCharType="end"/>
      </w:r>
      <w:r w:rsidRPr="00F85178">
        <w:rPr>
          <w:color w:val="auto"/>
        </w:rPr>
        <w:t>: KS – míra změny rozsudku dle soudů v trestním řízení</w:t>
      </w:r>
      <w:bookmarkEnd w:id="460"/>
      <w:bookmarkEnd w:id="461"/>
      <w:bookmarkEnd w:id="462"/>
    </w:p>
    <w:tbl>
      <w:tblPr>
        <w:tblW w:w="6980" w:type="dxa"/>
        <w:tblInd w:w="70" w:type="dxa"/>
        <w:tblCellMar>
          <w:left w:w="70" w:type="dxa"/>
          <w:right w:w="70" w:type="dxa"/>
        </w:tblCellMar>
        <w:tblLook w:val="04A0" w:firstRow="1" w:lastRow="0" w:firstColumn="1" w:lastColumn="0" w:noHBand="0" w:noVBand="1"/>
      </w:tblPr>
      <w:tblGrid>
        <w:gridCol w:w="2780"/>
        <w:gridCol w:w="1731"/>
        <w:gridCol w:w="2469"/>
      </w:tblGrid>
      <w:tr w:rsidR="008520D0" w:rsidRPr="008520D0" w14:paraId="5501BE6E" w14:textId="77777777" w:rsidTr="008520D0">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5BDA9D25" w14:textId="77777777" w:rsidR="008520D0" w:rsidRPr="008520D0" w:rsidRDefault="008520D0" w:rsidP="008520D0">
            <w:pPr>
              <w:spacing w:line="240" w:lineRule="auto"/>
              <w:jc w:val="center"/>
              <w:rPr>
                <w:rFonts w:eastAsia="Times New Roman"/>
                <w:b/>
                <w:bCs/>
                <w:color w:val="000000"/>
                <w:szCs w:val="24"/>
                <w:lang w:eastAsia="cs-CZ"/>
              </w:rPr>
            </w:pPr>
            <w:r w:rsidRPr="008520D0">
              <w:rPr>
                <w:rFonts w:eastAsia="Times New Roman"/>
                <w:b/>
                <w:bCs/>
                <w:color w:val="000000"/>
                <w:szCs w:val="24"/>
                <w:lang w:eastAsia="cs-CZ"/>
              </w:rPr>
              <w:t>Soud</w:t>
            </w:r>
          </w:p>
        </w:tc>
        <w:tc>
          <w:tcPr>
            <w:tcW w:w="4200" w:type="dxa"/>
            <w:gridSpan w:val="2"/>
            <w:tcBorders>
              <w:top w:val="double" w:sz="6" w:space="0" w:color="auto"/>
              <w:left w:val="nil"/>
              <w:bottom w:val="double" w:sz="6" w:space="0" w:color="auto"/>
              <w:right w:val="nil"/>
            </w:tcBorders>
            <w:shd w:val="clear" w:color="auto" w:fill="auto"/>
            <w:noWrap/>
            <w:vAlign w:val="center"/>
            <w:hideMark/>
          </w:tcPr>
          <w:p w14:paraId="6CCB7984" w14:textId="199D56E1" w:rsidR="008520D0" w:rsidRPr="008520D0" w:rsidRDefault="008520D0" w:rsidP="008A47DF">
            <w:pPr>
              <w:spacing w:line="240" w:lineRule="auto"/>
              <w:jc w:val="center"/>
              <w:rPr>
                <w:rFonts w:eastAsia="Times New Roman"/>
                <w:b/>
                <w:bCs/>
                <w:color w:val="000000"/>
                <w:szCs w:val="24"/>
                <w:lang w:eastAsia="cs-CZ"/>
              </w:rPr>
            </w:pPr>
            <w:r w:rsidRPr="008520D0">
              <w:rPr>
                <w:rFonts w:eastAsia="Times New Roman"/>
                <w:b/>
                <w:bCs/>
                <w:color w:val="000000"/>
                <w:szCs w:val="24"/>
                <w:lang w:eastAsia="cs-CZ"/>
              </w:rPr>
              <w:t xml:space="preserve">Míra změny </w:t>
            </w:r>
            <w:r w:rsidR="008A47DF" w:rsidRPr="008520D0">
              <w:rPr>
                <w:rFonts w:eastAsia="Times New Roman"/>
                <w:b/>
                <w:bCs/>
                <w:color w:val="000000"/>
                <w:szCs w:val="24"/>
                <w:lang w:eastAsia="cs-CZ"/>
              </w:rPr>
              <w:t>rozs</w:t>
            </w:r>
            <w:r w:rsidR="008A47DF">
              <w:rPr>
                <w:rFonts w:eastAsia="Times New Roman"/>
                <w:b/>
                <w:bCs/>
                <w:color w:val="000000"/>
                <w:szCs w:val="24"/>
                <w:lang w:eastAsia="cs-CZ"/>
              </w:rPr>
              <w:t>ud</w:t>
            </w:r>
            <w:r w:rsidR="008A47DF" w:rsidRPr="008520D0">
              <w:rPr>
                <w:rFonts w:eastAsia="Times New Roman"/>
                <w:b/>
                <w:bCs/>
                <w:color w:val="000000"/>
                <w:szCs w:val="24"/>
                <w:lang w:eastAsia="cs-CZ"/>
              </w:rPr>
              <w:t xml:space="preserve">ku </w:t>
            </w:r>
            <w:r w:rsidRPr="008520D0">
              <w:rPr>
                <w:rFonts w:eastAsia="Times New Roman"/>
                <w:b/>
                <w:bCs/>
                <w:color w:val="000000"/>
                <w:szCs w:val="24"/>
                <w:lang w:eastAsia="cs-CZ"/>
              </w:rPr>
              <w:t xml:space="preserve">(v %) </w:t>
            </w:r>
          </w:p>
        </w:tc>
      </w:tr>
      <w:tr w:rsidR="008520D0" w:rsidRPr="008520D0" w14:paraId="238921A1" w14:textId="77777777" w:rsidTr="008520D0">
        <w:trPr>
          <w:trHeight w:val="330"/>
        </w:trPr>
        <w:tc>
          <w:tcPr>
            <w:tcW w:w="2780" w:type="dxa"/>
            <w:tcBorders>
              <w:top w:val="nil"/>
              <w:left w:val="nil"/>
              <w:bottom w:val="single" w:sz="4" w:space="0" w:color="auto"/>
              <w:right w:val="nil"/>
            </w:tcBorders>
            <w:shd w:val="clear" w:color="auto" w:fill="auto"/>
            <w:noWrap/>
            <w:vAlign w:val="bottom"/>
            <w:hideMark/>
          </w:tcPr>
          <w:p w14:paraId="3EF35701"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MS Praha</w:t>
            </w:r>
          </w:p>
        </w:tc>
        <w:tc>
          <w:tcPr>
            <w:tcW w:w="1731" w:type="dxa"/>
            <w:tcBorders>
              <w:top w:val="nil"/>
              <w:left w:val="nil"/>
              <w:bottom w:val="single" w:sz="4" w:space="0" w:color="auto"/>
              <w:right w:val="nil"/>
            </w:tcBorders>
            <w:shd w:val="clear" w:color="auto" w:fill="auto"/>
            <w:noWrap/>
            <w:vAlign w:val="bottom"/>
            <w:hideMark/>
          </w:tcPr>
          <w:p w14:paraId="185DA16D"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48</w:t>
            </w:r>
            <w:r w:rsidR="00C63DD0">
              <w:rPr>
                <w:rFonts w:eastAsia="Times New Roman"/>
                <w:color w:val="000000"/>
                <w:szCs w:val="24"/>
                <w:lang w:eastAsia="cs-CZ"/>
              </w:rPr>
              <w:t>,</w:t>
            </w:r>
            <w:r w:rsidRPr="008520D0">
              <w:rPr>
                <w:rFonts w:eastAsia="Times New Roman"/>
                <w:color w:val="000000"/>
                <w:szCs w:val="24"/>
                <w:lang w:eastAsia="cs-CZ"/>
              </w:rPr>
              <w:t>28</w:t>
            </w:r>
          </w:p>
        </w:tc>
        <w:tc>
          <w:tcPr>
            <w:tcW w:w="2469" w:type="dxa"/>
            <w:tcBorders>
              <w:top w:val="nil"/>
              <w:left w:val="nil"/>
              <w:bottom w:val="single" w:sz="4" w:space="0" w:color="auto"/>
              <w:right w:val="nil"/>
            </w:tcBorders>
            <w:shd w:val="clear" w:color="auto" w:fill="auto"/>
            <w:noWrap/>
            <w:vAlign w:val="center"/>
            <w:hideMark/>
          </w:tcPr>
          <w:p w14:paraId="5B0680D4"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-3</w:t>
            </w:r>
            <w:r w:rsidR="00C63DD0">
              <w:rPr>
                <w:rFonts w:eastAsia="Times New Roman"/>
                <w:color w:val="000000"/>
                <w:sz w:val="20"/>
                <w:szCs w:val="20"/>
                <w:lang w:eastAsia="cs-CZ"/>
              </w:rPr>
              <w:t>,</w:t>
            </w:r>
            <w:r w:rsidRPr="008520D0">
              <w:rPr>
                <w:rFonts w:eastAsia="Times New Roman"/>
                <w:color w:val="000000"/>
                <w:sz w:val="20"/>
                <w:szCs w:val="20"/>
                <w:lang w:eastAsia="cs-CZ"/>
              </w:rPr>
              <w:t>2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14CFBD26"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5EDBE472"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Praha</w:t>
            </w:r>
          </w:p>
        </w:tc>
        <w:tc>
          <w:tcPr>
            <w:tcW w:w="1731" w:type="dxa"/>
            <w:tcBorders>
              <w:top w:val="nil"/>
              <w:left w:val="nil"/>
              <w:bottom w:val="single" w:sz="4" w:space="0" w:color="auto"/>
              <w:right w:val="nil"/>
            </w:tcBorders>
            <w:shd w:val="clear" w:color="auto" w:fill="auto"/>
            <w:noWrap/>
            <w:vAlign w:val="bottom"/>
            <w:hideMark/>
          </w:tcPr>
          <w:p w14:paraId="34D7C3C7"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37</w:t>
            </w:r>
            <w:r w:rsidR="00C63DD0">
              <w:rPr>
                <w:rFonts w:eastAsia="Times New Roman"/>
                <w:color w:val="000000"/>
                <w:szCs w:val="24"/>
                <w:lang w:eastAsia="cs-CZ"/>
              </w:rPr>
              <w:t>,</w:t>
            </w:r>
            <w:r w:rsidRPr="008520D0">
              <w:rPr>
                <w:rFonts w:eastAsia="Times New Roman"/>
                <w:color w:val="000000"/>
                <w:szCs w:val="24"/>
                <w:lang w:eastAsia="cs-CZ"/>
              </w:rPr>
              <w:t>50</w:t>
            </w:r>
          </w:p>
        </w:tc>
        <w:tc>
          <w:tcPr>
            <w:tcW w:w="2469" w:type="dxa"/>
            <w:tcBorders>
              <w:top w:val="nil"/>
              <w:left w:val="nil"/>
              <w:bottom w:val="single" w:sz="4" w:space="0" w:color="auto"/>
              <w:right w:val="nil"/>
            </w:tcBorders>
            <w:shd w:val="clear" w:color="auto" w:fill="auto"/>
            <w:noWrap/>
            <w:vAlign w:val="center"/>
            <w:hideMark/>
          </w:tcPr>
          <w:p w14:paraId="547E8561"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-19</w:t>
            </w:r>
            <w:r w:rsidR="00C63DD0">
              <w:rPr>
                <w:rFonts w:eastAsia="Times New Roman"/>
                <w:color w:val="000000"/>
                <w:sz w:val="20"/>
                <w:szCs w:val="20"/>
                <w:lang w:eastAsia="cs-CZ"/>
              </w:rPr>
              <w:t>,</w:t>
            </w:r>
            <w:r w:rsidRPr="008520D0">
              <w:rPr>
                <w:rFonts w:eastAsia="Times New Roman"/>
                <w:color w:val="000000"/>
                <w:sz w:val="20"/>
                <w:szCs w:val="20"/>
                <w:lang w:eastAsia="cs-CZ"/>
              </w:rPr>
              <w:t>6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3DE03624"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0098054B"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Č. Budějovice</w:t>
            </w:r>
          </w:p>
        </w:tc>
        <w:tc>
          <w:tcPr>
            <w:tcW w:w="1731" w:type="dxa"/>
            <w:tcBorders>
              <w:top w:val="nil"/>
              <w:left w:val="nil"/>
              <w:bottom w:val="single" w:sz="4" w:space="0" w:color="auto"/>
              <w:right w:val="nil"/>
            </w:tcBorders>
            <w:shd w:val="clear" w:color="auto" w:fill="auto"/>
            <w:noWrap/>
            <w:vAlign w:val="bottom"/>
            <w:hideMark/>
          </w:tcPr>
          <w:p w14:paraId="630FC158"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73</w:t>
            </w:r>
            <w:r w:rsidR="00C63DD0">
              <w:rPr>
                <w:rFonts w:eastAsia="Times New Roman"/>
                <w:color w:val="000000"/>
                <w:szCs w:val="24"/>
                <w:lang w:eastAsia="cs-CZ"/>
              </w:rPr>
              <w:t>,</w:t>
            </w:r>
            <w:r w:rsidRPr="008520D0">
              <w:rPr>
                <w:rFonts w:eastAsia="Times New Roman"/>
                <w:color w:val="000000"/>
                <w:szCs w:val="24"/>
                <w:lang w:eastAsia="cs-CZ"/>
              </w:rPr>
              <w:t>53</w:t>
            </w:r>
          </w:p>
        </w:tc>
        <w:tc>
          <w:tcPr>
            <w:tcW w:w="2469" w:type="dxa"/>
            <w:tcBorders>
              <w:top w:val="nil"/>
              <w:left w:val="nil"/>
              <w:bottom w:val="single" w:sz="4" w:space="0" w:color="auto"/>
              <w:right w:val="nil"/>
            </w:tcBorders>
            <w:shd w:val="clear" w:color="auto" w:fill="auto"/>
            <w:noWrap/>
            <w:vAlign w:val="center"/>
            <w:hideMark/>
          </w:tcPr>
          <w:p w14:paraId="6E794886"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-3</w:t>
            </w:r>
            <w:r w:rsidR="00C63DD0">
              <w:rPr>
                <w:rFonts w:eastAsia="Times New Roman"/>
                <w:color w:val="000000"/>
                <w:sz w:val="20"/>
                <w:szCs w:val="20"/>
                <w:lang w:eastAsia="cs-CZ"/>
              </w:rPr>
              <w:t>,</w:t>
            </w:r>
            <w:r w:rsidRPr="008520D0">
              <w:rPr>
                <w:rFonts w:eastAsia="Times New Roman"/>
                <w:color w:val="000000"/>
                <w:sz w:val="20"/>
                <w:szCs w:val="20"/>
                <w:lang w:eastAsia="cs-CZ"/>
              </w:rPr>
              <w:t>6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48E58A33"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5D89C77C"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Plzeň</w:t>
            </w:r>
          </w:p>
        </w:tc>
        <w:tc>
          <w:tcPr>
            <w:tcW w:w="1731" w:type="dxa"/>
            <w:tcBorders>
              <w:top w:val="nil"/>
              <w:left w:val="nil"/>
              <w:bottom w:val="single" w:sz="4" w:space="0" w:color="auto"/>
              <w:right w:val="nil"/>
            </w:tcBorders>
            <w:shd w:val="clear" w:color="auto" w:fill="auto"/>
            <w:noWrap/>
            <w:vAlign w:val="bottom"/>
            <w:hideMark/>
          </w:tcPr>
          <w:p w14:paraId="09B6DA09"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34</w:t>
            </w:r>
            <w:r w:rsidR="00C63DD0">
              <w:rPr>
                <w:rFonts w:eastAsia="Times New Roman"/>
                <w:color w:val="000000"/>
                <w:szCs w:val="24"/>
                <w:lang w:eastAsia="cs-CZ"/>
              </w:rPr>
              <w:t>,</w:t>
            </w:r>
            <w:r w:rsidRPr="008520D0">
              <w:rPr>
                <w:rFonts w:eastAsia="Times New Roman"/>
                <w:color w:val="000000"/>
                <w:szCs w:val="24"/>
                <w:lang w:eastAsia="cs-CZ"/>
              </w:rPr>
              <w:t>57</w:t>
            </w:r>
          </w:p>
        </w:tc>
        <w:tc>
          <w:tcPr>
            <w:tcW w:w="2469" w:type="dxa"/>
            <w:tcBorders>
              <w:top w:val="nil"/>
              <w:left w:val="nil"/>
              <w:bottom w:val="single" w:sz="4" w:space="0" w:color="auto"/>
              <w:right w:val="nil"/>
            </w:tcBorders>
            <w:shd w:val="clear" w:color="auto" w:fill="auto"/>
            <w:noWrap/>
            <w:vAlign w:val="center"/>
            <w:hideMark/>
          </w:tcPr>
          <w:p w14:paraId="46D733A8"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-14</w:t>
            </w:r>
            <w:r w:rsidR="00C63DD0">
              <w:rPr>
                <w:rFonts w:eastAsia="Times New Roman"/>
                <w:color w:val="000000"/>
                <w:sz w:val="20"/>
                <w:szCs w:val="20"/>
                <w:lang w:eastAsia="cs-CZ"/>
              </w:rPr>
              <w:t>,</w:t>
            </w:r>
            <w:r w:rsidRPr="008520D0">
              <w:rPr>
                <w:rFonts w:eastAsia="Times New Roman"/>
                <w:color w:val="000000"/>
                <w:sz w:val="20"/>
                <w:szCs w:val="20"/>
                <w:lang w:eastAsia="cs-CZ"/>
              </w:rPr>
              <w:t>7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4E68A1AD"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28F39C06"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Ústí n. Labem</w:t>
            </w:r>
          </w:p>
        </w:tc>
        <w:tc>
          <w:tcPr>
            <w:tcW w:w="1731" w:type="dxa"/>
            <w:tcBorders>
              <w:top w:val="nil"/>
              <w:left w:val="nil"/>
              <w:bottom w:val="single" w:sz="4" w:space="0" w:color="auto"/>
              <w:right w:val="nil"/>
            </w:tcBorders>
            <w:shd w:val="clear" w:color="auto" w:fill="auto"/>
            <w:noWrap/>
            <w:vAlign w:val="bottom"/>
            <w:hideMark/>
          </w:tcPr>
          <w:p w14:paraId="24B54F53"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63</w:t>
            </w:r>
            <w:r w:rsidR="00C63DD0">
              <w:rPr>
                <w:rFonts w:eastAsia="Times New Roman"/>
                <w:color w:val="000000"/>
                <w:szCs w:val="24"/>
                <w:lang w:eastAsia="cs-CZ"/>
              </w:rPr>
              <w:t>,</w:t>
            </w:r>
            <w:r w:rsidRPr="008520D0">
              <w:rPr>
                <w:rFonts w:eastAsia="Times New Roman"/>
                <w:color w:val="000000"/>
                <w:szCs w:val="24"/>
                <w:lang w:eastAsia="cs-CZ"/>
              </w:rPr>
              <w:t>77</w:t>
            </w:r>
          </w:p>
        </w:tc>
        <w:tc>
          <w:tcPr>
            <w:tcW w:w="2469" w:type="dxa"/>
            <w:tcBorders>
              <w:top w:val="nil"/>
              <w:left w:val="nil"/>
              <w:bottom w:val="single" w:sz="4" w:space="0" w:color="auto"/>
              <w:right w:val="nil"/>
            </w:tcBorders>
            <w:shd w:val="clear" w:color="auto" w:fill="auto"/>
            <w:noWrap/>
            <w:vAlign w:val="center"/>
            <w:hideMark/>
          </w:tcPr>
          <w:p w14:paraId="5AB0DF05"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+6</w:t>
            </w:r>
            <w:r w:rsidR="00C63DD0">
              <w:rPr>
                <w:rFonts w:eastAsia="Times New Roman"/>
                <w:color w:val="000000"/>
                <w:sz w:val="20"/>
                <w:szCs w:val="20"/>
                <w:lang w:eastAsia="cs-CZ"/>
              </w:rPr>
              <w:t>,</w:t>
            </w:r>
            <w:r w:rsidRPr="008520D0">
              <w:rPr>
                <w:rFonts w:eastAsia="Times New Roman"/>
                <w:color w:val="000000"/>
                <w:sz w:val="20"/>
                <w:szCs w:val="20"/>
                <w:lang w:eastAsia="cs-CZ"/>
              </w:rPr>
              <w:t>8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1FDC2994"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1F0F420A"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Hr. Králové</w:t>
            </w:r>
          </w:p>
        </w:tc>
        <w:tc>
          <w:tcPr>
            <w:tcW w:w="1731" w:type="dxa"/>
            <w:tcBorders>
              <w:top w:val="nil"/>
              <w:left w:val="nil"/>
              <w:bottom w:val="single" w:sz="4" w:space="0" w:color="auto"/>
              <w:right w:val="nil"/>
            </w:tcBorders>
            <w:shd w:val="clear" w:color="auto" w:fill="auto"/>
            <w:noWrap/>
            <w:vAlign w:val="bottom"/>
            <w:hideMark/>
          </w:tcPr>
          <w:p w14:paraId="27654B75"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57</w:t>
            </w:r>
            <w:r w:rsidR="00C63DD0">
              <w:rPr>
                <w:rFonts w:eastAsia="Times New Roman"/>
                <w:color w:val="000000"/>
                <w:szCs w:val="24"/>
                <w:lang w:eastAsia="cs-CZ"/>
              </w:rPr>
              <w:t>,</w:t>
            </w:r>
            <w:r w:rsidRPr="008520D0">
              <w:rPr>
                <w:rFonts w:eastAsia="Times New Roman"/>
                <w:color w:val="000000"/>
                <w:szCs w:val="24"/>
                <w:lang w:eastAsia="cs-CZ"/>
              </w:rPr>
              <w:t>69</w:t>
            </w:r>
          </w:p>
        </w:tc>
        <w:tc>
          <w:tcPr>
            <w:tcW w:w="2469" w:type="dxa"/>
            <w:tcBorders>
              <w:top w:val="nil"/>
              <w:left w:val="nil"/>
              <w:bottom w:val="single" w:sz="4" w:space="0" w:color="auto"/>
              <w:right w:val="nil"/>
            </w:tcBorders>
            <w:shd w:val="clear" w:color="auto" w:fill="auto"/>
            <w:noWrap/>
            <w:vAlign w:val="center"/>
            <w:hideMark/>
          </w:tcPr>
          <w:p w14:paraId="740C8877"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-21</w:t>
            </w:r>
            <w:r w:rsidR="00C63DD0">
              <w:rPr>
                <w:rFonts w:eastAsia="Times New Roman"/>
                <w:color w:val="000000"/>
                <w:sz w:val="20"/>
                <w:szCs w:val="20"/>
                <w:lang w:eastAsia="cs-CZ"/>
              </w:rPr>
              <w:t>,</w:t>
            </w:r>
            <w:r w:rsidRPr="008520D0">
              <w:rPr>
                <w:rFonts w:eastAsia="Times New Roman"/>
                <w:color w:val="000000"/>
                <w:sz w:val="20"/>
                <w:szCs w:val="20"/>
                <w:lang w:eastAsia="cs-CZ"/>
              </w:rPr>
              <w:t>7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3753CEF1" w14:textId="77777777" w:rsidTr="008520D0">
        <w:trPr>
          <w:trHeight w:val="315"/>
        </w:trPr>
        <w:tc>
          <w:tcPr>
            <w:tcW w:w="2780" w:type="dxa"/>
            <w:tcBorders>
              <w:top w:val="nil"/>
              <w:left w:val="nil"/>
              <w:bottom w:val="single" w:sz="4" w:space="0" w:color="auto"/>
              <w:right w:val="nil"/>
            </w:tcBorders>
            <w:shd w:val="clear" w:color="auto" w:fill="auto"/>
            <w:noWrap/>
            <w:vAlign w:val="bottom"/>
            <w:hideMark/>
          </w:tcPr>
          <w:p w14:paraId="5C33DF6A"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Brno</w:t>
            </w:r>
          </w:p>
        </w:tc>
        <w:tc>
          <w:tcPr>
            <w:tcW w:w="1731" w:type="dxa"/>
            <w:tcBorders>
              <w:top w:val="nil"/>
              <w:left w:val="nil"/>
              <w:bottom w:val="single" w:sz="4" w:space="0" w:color="auto"/>
              <w:right w:val="nil"/>
            </w:tcBorders>
            <w:shd w:val="clear" w:color="auto" w:fill="auto"/>
            <w:noWrap/>
            <w:vAlign w:val="bottom"/>
            <w:hideMark/>
          </w:tcPr>
          <w:p w14:paraId="4D0EDEBE"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48</w:t>
            </w:r>
            <w:r w:rsidR="00C63DD0">
              <w:rPr>
                <w:rFonts w:eastAsia="Times New Roman"/>
                <w:color w:val="000000"/>
                <w:szCs w:val="24"/>
                <w:lang w:eastAsia="cs-CZ"/>
              </w:rPr>
              <w:t>,</w:t>
            </w:r>
            <w:r w:rsidRPr="008520D0">
              <w:rPr>
                <w:rFonts w:eastAsia="Times New Roman"/>
                <w:color w:val="000000"/>
                <w:szCs w:val="24"/>
                <w:lang w:eastAsia="cs-CZ"/>
              </w:rPr>
              <w:t>94</w:t>
            </w:r>
          </w:p>
        </w:tc>
        <w:tc>
          <w:tcPr>
            <w:tcW w:w="2469" w:type="dxa"/>
            <w:tcBorders>
              <w:top w:val="nil"/>
              <w:left w:val="nil"/>
              <w:bottom w:val="single" w:sz="4" w:space="0" w:color="auto"/>
              <w:right w:val="nil"/>
            </w:tcBorders>
            <w:shd w:val="clear" w:color="auto" w:fill="auto"/>
            <w:noWrap/>
            <w:vAlign w:val="center"/>
            <w:hideMark/>
          </w:tcPr>
          <w:p w14:paraId="4E83F4D1"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-6</w:t>
            </w:r>
            <w:r w:rsidR="00C63DD0">
              <w:rPr>
                <w:rFonts w:eastAsia="Times New Roman"/>
                <w:color w:val="000000"/>
                <w:sz w:val="20"/>
                <w:szCs w:val="20"/>
                <w:lang w:eastAsia="cs-CZ"/>
              </w:rPr>
              <w:t>,</w:t>
            </w:r>
            <w:r w:rsidRPr="008520D0">
              <w:rPr>
                <w:rFonts w:eastAsia="Times New Roman"/>
                <w:color w:val="000000"/>
                <w:sz w:val="20"/>
                <w:szCs w:val="20"/>
                <w:lang w:eastAsia="cs-CZ"/>
              </w:rPr>
              <w:t>9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75EF88A7" w14:textId="77777777" w:rsidTr="008520D0">
        <w:trPr>
          <w:trHeight w:val="330"/>
        </w:trPr>
        <w:tc>
          <w:tcPr>
            <w:tcW w:w="2780" w:type="dxa"/>
            <w:tcBorders>
              <w:top w:val="nil"/>
              <w:left w:val="nil"/>
              <w:bottom w:val="double" w:sz="6" w:space="0" w:color="auto"/>
              <w:right w:val="nil"/>
            </w:tcBorders>
            <w:shd w:val="clear" w:color="auto" w:fill="auto"/>
            <w:noWrap/>
            <w:vAlign w:val="bottom"/>
            <w:hideMark/>
          </w:tcPr>
          <w:p w14:paraId="2536C54D" w14:textId="77777777" w:rsidR="008520D0" w:rsidRPr="008520D0" w:rsidRDefault="008520D0" w:rsidP="008520D0">
            <w:pPr>
              <w:spacing w:line="240" w:lineRule="auto"/>
              <w:jc w:val="left"/>
              <w:rPr>
                <w:rFonts w:eastAsia="Times New Roman"/>
                <w:color w:val="000000"/>
                <w:szCs w:val="24"/>
                <w:lang w:eastAsia="cs-CZ"/>
              </w:rPr>
            </w:pPr>
            <w:r w:rsidRPr="008520D0">
              <w:rPr>
                <w:rFonts w:eastAsia="Times New Roman"/>
                <w:color w:val="000000"/>
                <w:szCs w:val="24"/>
                <w:lang w:eastAsia="cs-CZ"/>
              </w:rPr>
              <w:t>KS Ostrava</w:t>
            </w:r>
          </w:p>
        </w:tc>
        <w:tc>
          <w:tcPr>
            <w:tcW w:w="1731" w:type="dxa"/>
            <w:tcBorders>
              <w:top w:val="nil"/>
              <w:left w:val="nil"/>
              <w:bottom w:val="double" w:sz="6" w:space="0" w:color="auto"/>
              <w:right w:val="nil"/>
            </w:tcBorders>
            <w:shd w:val="clear" w:color="auto" w:fill="auto"/>
            <w:noWrap/>
            <w:vAlign w:val="bottom"/>
            <w:hideMark/>
          </w:tcPr>
          <w:p w14:paraId="413BD4F8" w14:textId="77777777" w:rsidR="008520D0" w:rsidRPr="008520D0" w:rsidRDefault="008520D0" w:rsidP="00C63DD0">
            <w:pPr>
              <w:spacing w:line="240" w:lineRule="auto"/>
              <w:jc w:val="center"/>
              <w:rPr>
                <w:rFonts w:eastAsia="Times New Roman"/>
                <w:color w:val="000000"/>
                <w:szCs w:val="24"/>
                <w:lang w:eastAsia="cs-CZ"/>
              </w:rPr>
            </w:pPr>
            <w:r w:rsidRPr="008520D0">
              <w:rPr>
                <w:rFonts w:eastAsia="Times New Roman"/>
                <w:color w:val="000000"/>
                <w:szCs w:val="24"/>
                <w:lang w:eastAsia="cs-CZ"/>
              </w:rPr>
              <w:t>52</w:t>
            </w:r>
            <w:r w:rsidR="00C63DD0">
              <w:rPr>
                <w:rFonts w:eastAsia="Times New Roman"/>
                <w:color w:val="000000"/>
                <w:szCs w:val="24"/>
                <w:lang w:eastAsia="cs-CZ"/>
              </w:rPr>
              <w:t>,</w:t>
            </w:r>
            <w:r w:rsidRPr="008520D0">
              <w:rPr>
                <w:rFonts w:eastAsia="Times New Roman"/>
                <w:color w:val="000000"/>
                <w:szCs w:val="24"/>
                <w:lang w:eastAsia="cs-CZ"/>
              </w:rPr>
              <w:t>74</w:t>
            </w:r>
          </w:p>
        </w:tc>
        <w:tc>
          <w:tcPr>
            <w:tcW w:w="2469" w:type="dxa"/>
            <w:tcBorders>
              <w:top w:val="nil"/>
              <w:left w:val="nil"/>
              <w:bottom w:val="nil"/>
              <w:right w:val="nil"/>
            </w:tcBorders>
            <w:shd w:val="clear" w:color="auto" w:fill="auto"/>
            <w:noWrap/>
            <w:vAlign w:val="center"/>
            <w:hideMark/>
          </w:tcPr>
          <w:p w14:paraId="2F65F833" w14:textId="77777777" w:rsidR="008520D0" w:rsidRPr="008520D0" w:rsidRDefault="008520D0" w:rsidP="00C63DD0">
            <w:pPr>
              <w:spacing w:line="240" w:lineRule="auto"/>
              <w:jc w:val="center"/>
              <w:rPr>
                <w:rFonts w:eastAsia="Times New Roman"/>
                <w:color w:val="000000"/>
                <w:sz w:val="20"/>
                <w:szCs w:val="20"/>
                <w:lang w:eastAsia="cs-CZ"/>
              </w:rPr>
            </w:pPr>
            <w:r w:rsidRPr="008520D0">
              <w:rPr>
                <w:rFonts w:eastAsia="Times New Roman"/>
                <w:color w:val="000000"/>
                <w:sz w:val="20"/>
                <w:szCs w:val="20"/>
                <w:lang w:eastAsia="cs-CZ"/>
              </w:rPr>
              <w:t>-1</w:t>
            </w:r>
            <w:r w:rsidR="00C63DD0">
              <w:rPr>
                <w:rFonts w:eastAsia="Times New Roman"/>
                <w:color w:val="000000"/>
                <w:sz w:val="20"/>
                <w:szCs w:val="20"/>
                <w:lang w:eastAsia="cs-CZ"/>
              </w:rPr>
              <w:t>,</w:t>
            </w:r>
            <w:r w:rsidRPr="008520D0">
              <w:rPr>
                <w:rFonts w:eastAsia="Times New Roman"/>
                <w:color w:val="000000"/>
                <w:sz w:val="20"/>
                <w:szCs w:val="20"/>
                <w:lang w:eastAsia="cs-CZ"/>
              </w:rPr>
              <w:t>5 p.</w:t>
            </w:r>
            <w:r w:rsidR="00C63DD0">
              <w:rPr>
                <w:rFonts w:eastAsia="Times New Roman"/>
                <w:color w:val="000000"/>
                <w:sz w:val="20"/>
                <w:szCs w:val="20"/>
                <w:lang w:eastAsia="cs-CZ"/>
              </w:rPr>
              <w:t xml:space="preserve"> </w:t>
            </w:r>
            <w:r w:rsidRPr="008520D0">
              <w:rPr>
                <w:rFonts w:eastAsia="Times New Roman"/>
                <w:color w:val="000000"/>
                <w:sz w:val="20"/>
                <w:szCs w:val="20"/>
                <w:lang w:eastAsia="cs-CZ"/>
              </w:rPr>
              <w:t>b.</w:t>
            </w:r>
          </w:p>
        </w:tc>
      </w:tr>
      <w:tr w:rsidR="008520D0" w:rsidRPr="008520D0" w14:paraId="4A7A644E" w14:textId="77777777" w:rsidTr="008520D0">
        <w:trPr>
          <w:trHeight w:val="345"/>
        </w:trPr>
        <w:tc>
          <w:tcPr>
            <w:tcW w:w="2780" w:type="dxa"/>
            <w:tcBorders>
              <w:top w:val="nil"/>
              <w:left w:val="nil"/>
              <w:bottom w:val="double" w:sz="6" w:space="0" w:color="auto"/>
              <w:right w:val="nil"/>
            </w:tcBorders>
            <w:shd w:val="clear" w:color="auto" w:fill="auto"/>
            <w:noWrap/>
            <w:vAlign w:val="bottom"/>
            <w:hideMark/>
          </w:tcPr>
          <w:p w14:paraId="015A5D7E" w14:textId="77777777" w:rsidR="008520D0" w:rsidRPr="008520D0" w:rsidRDefault="008520D0" w:rsidP="008520D0">
            <w:pPr>
              <w:spacing w:line="240" w:lineRule="auto"/>
              <w:jc w:val="left"/>
              <w:rPr>
                <w:rFonts w:eastAsia="Times New Roman"/>
                <w:b/>
                <w:bCs/>
                <w:color w:val="000000"/>
                <w:szCs w:val="24"/>
                <w:lang w:eastAsia="cs-CZ"/>
              </w:rPr>
            </w:pPr>
            <w:r w:rsidRPr="008520D0">
              <w:rPr>
                <w:rFonts w:eastAsia="Times New Roman"/>
                <w:b/>
                <w:bCs/>
                <w:color w:val="000000"/>
                <w:szCs w:val="24"/>
                <w:lang w:eastAsia="cs-CZ"/>
              </w:rPr>
              <w:t>Celkem ČR</w:t>
            </w:r>
          </w:p>
        </w:tc>
        <w:tc>
          <w:tcPr>
            <w:tcW w:w="1731" w:type="dxa"/>
            <w:tcBorders>
              <w:top w:val="nil"/>
              <w:left w:val="nil"/>
              <w:bottom w:val="double" w:sz="6" w:space="0" w:color="auto"/>
              <w:right w:val="nil"/>
            </w:tcBorders>
            <w:shd w:val="clear" w:color="auto" w:fill="auto"/>
            <w:noWrap/>
            <w:vAlign w:val="bottom"/>
            <w:hideMark/>
          </w:tcPr>
          <w:p w14:paraId="02C150C4" w14:textId="77777777" w:rsidR="008520D0" w:rsidRPr="008520D0" w:rsidRDefault="008520D0" w:rsidP="00C63DD0">
            <w:pPr>
              <w:spacing w:line="240" w:lineRule="auto"/>
              <w:jc w:val="center"/>
              <w:rPr>
                <w:rFonts w:eastAsia="Times New Roman"/>
                <w:b/>
                <w:bCs/>
                <w:color w:val="000000"/>
                <w:szCs w:val="24"/>
                <w:lang w:eastAsia="cs-CZ"/>
              </w:rPr>
            </w:pPr>
            <w:r w:rsidRPr="008520D0">
              <w:rPr>
                <w:rFonts w:eastAsia="Times New Roman"/>
                <w:b/>
                <w:bCs/>
                <w:color w:val="000000"/>
                <w:szCs w:val="24"/>
                <w:lang w:eastAsia="cs-CZ"/>
              </w:rPr>
              <w:t>50</w:t>
            </w:r>
            <w:r w:rsidR="00C63DD0">
              <w:rPr>
                <w:rFonts w:eastAsia="Times New Roman"/>
                <w:b/>
                <w:bCs/>
                <w:color w:val="000000"/>
                <w:szCs w:val="24"/>
                <w:lang w:eastAsia="cs-CZ"/>
              </w:rPr>
              <w:t>,</w:t>
            </w:r>
            <w:r w:rsidRPr="008520D0">
              <w:rPr>
                <w:rFonts w:eastAsia="Times New Roman"/>
                <w:b/>
                <w:bCs/>
                <w:color w:val="000000"/>
                <w:szCs w:val="24"/>
                <w:lang w:eastAsia="cs-CZ"/>
              </w:rPr>
              <w:t>01</w:t>
            </w:r>
          </w:p>
        </w:tc>
        <w:tc>
          <w:tcPr>
            <w:tcW w:w="2469" w:type="dxa"/>
            <w:tcBorders>
              <w:top w:val="double" w:sz="6" w:space="0" w:color="auto"/>
              <w:left w:val="nil"/>
              <w:bottom w:val="double" w:sz="6" w:space="0" w:color="auto"/>
              <w:right w:val="nil"/>
            </w:tcBorders>
            <w:shd w:val="clear" w:color="auto" w:fill="auto"/>
            <w:noWrap/>
            <w:vAlign w:val="center"/>
            <w:hideMark/>
          </w:tcPr>
          <w:p w14:paraId="4D442634" w14:textId="77777777" w:rsidR="008520D0" w:rsidRPr="008520D0" w:rsidRDefault="008520D0" w:rsidP="00C63DD0">
            <w:pPr>
              <w:spacing w:line="240" w:lineRule="auto"/>
              <w:jc w:val="center"/>
              <w:rPr>
                <w:rFonts w:eastAsia="Times New Roman"/>
                <w:b/>
                <w:bCs/>
                <w:color w:val="000000"/>
                <w:sz w:val="20"/>
                <w:szCs w:val="20"/>
                <w:lang w:eastAsia="cs-CZ"/>
              </w:rPr>
            </w:pPr>
            <w:r w:rsidRPr="008520D0">
              <w:rPr>
                <w:rFonts w:eastAsia="Times New Roman"/>
                <w:b/>
                <w:bCs/>
                <w:color w:val="000000"/>
                <w:sz w:val="20"/>
                <w:szCs w:val="20"/>
                <w:lang w:eastAsia="cs-CZ"/>
              </w:rPr>
              <w:t>-8</w:t>
            </w:r>
            <w:r w:rsidR="00C63DD0">
              <w:rPr>
                <w:rFonts w:eastAsia="Times New Roman"/>
                <w:b/>
                <w:bCs/>
                <w:color w:val="000000"/>
                <w:sz w:val="20"/>
                <w:szCs w:val="20"/>
                <w:lang w:eastAsia="cs-CZ"/>
              </w:rPr>
              <w:t>,</w:t>
            </w:r>
            <w:r w:rsidRPr="008520D0">
              <w:rPr>
                <w:rFonts w:eastAsia="Times New Roman"/>
                <w:b/>
                <w:bCs/>
                <w:color w:val="000000"/>
                <w:sz w:val="20"/>
                <w:szCs w:val="20"/>
                <w:lang w:eastAsia="cs-CZ"/>
              </w:rPr>
              <w:t>4 p.</w:t>
            </w:r>
            <w:r w:rsidR="00C63DD0">
              <w:rPr>
                <w:rFonts w:eastAsia="Times New Roman"/>
                <w:b/>
                <w:bCs/>
                <w:color w:val="000000"/>
                <w:sz w:val="20"/>
                <w:szCs w:val="20"/>
                <w:lang w:eastAsia="cs-CZ"/>
              </w:rPr>
              <w:t xml:space="preserve"> </w:t>
            </w:r>
            <w:r w:rsidRPr="008520D0">
              <w:rPr>
                <w:rFonts w:eastAsia="Times New Roman"/>
                <w:b/>
                <w:bCs/>
                <w:color w:val="000000"/>
                <w:sz w:val="20"/>
                <w:szCs w:val="20"/>
                <w:lang w:eastAsia="cs-CZ"/>
              </w:rPr>
              <w:t>b.</w:t>
            </w:r>
          </w:p>
        </w:tc>
      </w:tr>
    </w:tbl>
    <w:p w14:paraId="5466D389" w14:textId="77777777" w:rsidR="008520D0" w:rsidRPr="00F85178" w:rsidRDefault="008520D0" w:rsidP="00205FD6"/>
    <w:p w14:paraId="07CE0863" w14:textId="77777777" w:rsidR="005D1B61" w:rsidRPr="00F85178" w:rsidRDefault="005D1B61" w:rsidP="005D1B61">
      <w:pPr>
        <w:pStyle w:val="OdstavecASR"/>
      </w:pPr>
      <w:r w:rsidRPr="00F85178">
        <w:t xml:space="preserve">Míra změny rozsudku je také vyšší než u okresních soudů, </w:t>
      </w:r>
      <w:r w:rsidR="00ED5DE1" w:rsidRPr="00F85178">
        <w:t>i když se rozdíl snížil z přibližně</w:t>
      </w:r>
      <w:r w:rsidRPr="00F85178">
        <w:t> 16 procentních bodů</w:t>
      </w:r>
      <w:r w:rsidR="00ED5DE1" w:rsidRPr="00F85178">
        <w:t xml:space="preserve"> v roce 2017 na cca 8 procentních bodů v roce 2018</w:t>
      </w:r>
      <w:r w:rsidRPr="00F85178">
        <w:t>. Výrazně vyšší míra změny rozsudku, než je celorepublikový průměr, je u KS v Českých Budějovicích, což je soud s vysokou mírou odvolání. Míra změny rozsudku za ČR se zdá na první pohled vysoká. Je ale třeba vzít v úvahu závažnost a složitost projednávaných věcí (jedná se o velmi vysoké tresty odnětí svobody a komplikovanou trestnou činnost). Vrchní soudy také často pouze změní výši uloženého trestu nebo věc vrátí krajským soudům k novému projednání.</w:t>
      </w:r>
    </w:p>
    <w:p w14:paraId="06247ABC" w14:textId="77777777" w:rsidR="005D1B61" w:rsidRPr="00F85178" w:rsidRDefault="006C55BE" w:rsidP="005D1B61">
      <w:pPr>
        <w:pStyle w:val="OdstavecASR"/>
      </w:pPr>
      <w:r w:rsidRPr="00F85178">
        <w:t xml:space="preserve">Jak již bylo řečeno výše, opět </w:t>
      </w:r>
      <w:r w:rsidR="00B11D20" w:rsidRPr="00F85178">
        <w:t>se</w:t>
      </w:r>
      <w:r w:rsidRPr="00F85178">
        <w:t xml:space="preserve"> potvrzuje, že </w:t>
      </w:r>
      <w:r w:rsidR="005D1B61" w:rsidRPr="00F85178">
        <w:t xml:space="preserve">meziroční změny v míře celkové změny rozsudku </w:t>
      </w:r>
      <w:r w:rsidRPr="00F85178">
        <w:t xml:space="preserve">nemají </w:t>
      </w:r>
      <w:r w:rsidR="005D1B61" w:rsidRPr="00F85178">
        <w:t>příliš velkou vypovídající hodnotu. Pro úplnost však toto srovnání provádíme.</w:t>
      </w:r>
    </w:p>
    <w:p w14:paraId="40853DB0" w14:textId="77777777" w:rsidR="006C55BE" w:rsidRPr="00F85178" w:rsidRDefault="006C55BE" w:rsidP="006C55BE">
      <w:pPr>
        <w:pStyle w:val="OdstavecASR"/>
      </w:pPr>
      <w:r w:rsidRPr="00F85178">
        <w:t xml:space="preserve">Míra celkové změny rozsudku počítaná jako [(míra odvolání </w:t>
      </w:r>
      <w:r w:rsidR="005A5E17" w:rsidRPr="00F85178">
        <w:t>×</w:t>
      </w:r>
      <w:r w:rsidRPr="00F85178">
        <w:t xml:space="preserve"> míra změny rozsudku) </w:t>
      </w:r>
      <w:r w:rsidR="005A5E17" w:rsidRPr="00F85178">
        <w:t>/</w:t>
      </w:r>
      <w:r w:rsidRPr="00F85178">
        <w:t xml:space="preserve"> 100] se za celou ČR v posledních třech letech pohybovala následovně:</w:t>
      </w:r>
    </w:p>
    <w:p w14:paraId="529C560A" w14:textId="77777777" w:rsidR="006C55BE" w:rsidRPr="00F85178" w:rsidRDefault="006C55BE" w:rsidP="006C55BE">
      <w:pPr>
        <w:pStyle w:val="OdstavecASR"/>
      </w:pPr>
      <w:r w:rsidRPr="00F85178">
        <w:t>2016: 74,10</w:t>
      </w:r>
      <w:r w:rsidR="006E1B67" w:rsidRPr="00F85178">
        <w:t xml:space="preserve"> </w:t>
      </w:r>
      <w:r w:rsidRPr="00F85178">
        <w:t xml:space="preserve">% </w:t>
      </w:r>
      <w:r w:rsidR="005A5E17" w:rsidRPr="00F85178">
        <w:t>×</w:t>
      </w:r>
      <w:r w:rsidRPr="00F85178">
        <w:t xml:space="preserve"> 54,96</w:t>
      </w:r>
      <w:r w:rsidR="006E1B67" w:rsidRPr="00F85178">
        <w:t xml:space="preserve"> </w:t>
      </w:r>
      <w:r w:rsidRPr="00F85178">
        <w:t xml:space="preserve">% </w:t>
      </w:r>
      <w:r w:rsidR="00A13C99" w:rsidRPr="00F85178">
        <w:rPr>
          <w:rFonts w:ascii="Cambria Math" w:hAnsi="Cambria Math" w:cs="Cambria Math"/>
        </w:rPr>
        <w:t>≐</w:t>
      </w:r>
      <w:r w:rsidR="00A13C99" w:rsidRPr="00F85178">
        <w:t xml:space="preserve"> </w:t>
      </w:r>
      <w:r w:rsidRPr="00F85178">
        <w:t>40,73</w:t>
      </w:r>
      <w:r w:rsidR="006E1B67" w:rsidRPr="00F85178">
        <w:t xml:space="preserve"> </w:t>
      </w:r>
      <w:r w:rsidRPr="00F85178">
        <w:t>%</w:t>
      </w:r>
    </w:p>
    <w:p w14:paraId="529D93F3" w14:textId="77777777" w:rsidR="006C55BE" w:rsidRPr="00F85178" w:rsidRDefault="006C55BE" w:rsidP="006C55BE">
      <w:pPr>
        <w:pStyle w:val="OdstavecASR"/>
      </w:pPr>
      <w:r w:rsidRPr="00F85178">
        <w:t>2017: 77,85</w:t>
      </w:r>
      <w:r w:rsidR="006E1B67" w:rsidRPr="00F85178">
        <w:t xml:space="preserve"> </w:t>
      </w:r>
      <w:r w:rsidRPr="00F85178">
        <w:t xml:space="preserve">% </w:t>
      </w:r>
      <w:r w:rsidR="005A5E17" w:rsidRPr="00F85178">
        <w:t>×</w:t>
      </w:r>
      <w:r w:rsidRPr="00F85178">
        <w:t xml:space="preserve"> 58,44</w:t>
      </w:r>
      <w:r w:rsidR="006E1B67" w:rsidRPr="00F85178">
        <w:t xml:space="preserve"> </w:t>
      </w:r>
      <w:r w:rsidRPr="00F85178">
        <w:t xml:space="preserve">% </w:t>
      </w:r>
      <w:r w:rsidR="00A13C99" w:rsidRPr="00F85178">
        <w:rPr>
          <w:rFonts w:ascii="Cambria Math" w:hAnsi="Cambria Math" w:cs="Cambria Math"/>
        </w:rPr>
        <w:t>≐</w:t>
      </w:r>
      <w:r w:rsidR="00A13C99" w:rsidRPr="00F85178">
        <w:t xml:space="preserve"> </w:t>
      </w:r>
      <w:r w:rsidRPr="00F85178">
        <w:t>45,50</w:t>
      </w:r>
      <w:r w:rsidR="006E1B67" w:rsidRPr="00F85178">
        <w:t xml:space="preserve"> </w:t>
      </w:r>
      <w:r w:rsidRPr="00F85178">
        <w:t>%</w:t>
      </w:r>
    </w:p>
    <w:p w14:paraId="0241B4B6" w14:textId="77777777" w:rsidR="006C55BE" w:rsidRPr="00F85178" w:rsidRDefault="006C55BE" w:rsidP="006C55BE">
      <w:pPr>
        <w:pStyle w:val="OdstavecASR"/>
      </w:pPr>
      <w:r w:rsidRPr="00F85178">
        <w:t>2018: 72,81</w:t>
      </w:r>
      <w:r w:rsidR="006E1B67" w:rsidRPr="00F85178">
        <w:t xml:space="preserve"> </w:t>
      </w:r>
      <w:r w:rsidRPr="00F85178">
        <w:t xml:space="preserve">% </w:t>
      </w:r>
      <w:r w:rsidR="005A5E17" w:rsidRPr="00F85178">
        <w:t>×</w:t>
      </w:r>
      <w:r w:rsidRPr="00F85178">
        <w:t xml:space="preserve"> 50,01 </w:t>
      </w:r>
      <w:r w:rsidR="006E1B67" w:rsidRPr="00F85178">
        <w:t xml:space="preserve">% </w:t>
      </w:r>
      <w:r w:rsidR="00A13C99" w:rsidRPr="00F85178">
        <w:rPr>
          <w:rFonts w:ascii="Cambria Math" w:hAnsi="Cambria Math" w:cs="Cambria Math"/>
        </w:rPr>
        <w:t>≐</w:t>
      </w:r>
      <w:r w:rsidR="00A13C99" w:rsidRPr="00F85178">
        <w:t xml:space="preserve"> 36,41</w:t>
      </w:r>
      <w:r w:rsidR="006E1B67" w:rsidRPr="00F85178">
        <w:t xml:space="preserve"> </w:t>
      </w:r>
      <w:r w:rsidR="00A13C99" w:rsidRPr="00F85178">
        <w:t>%</w:t>
      </w:r>
    </w:p>
    <w:p w14:paraId="2DBE5F05" w14:textId="77777777" w:rsidR="005112BA" w:rsidRPr="00F85178" w:rsidRDefault="005D1B61" w:rsidP="005D1B61">
      <w:pPr>
        <w:pStyle w:val="OdstavecASR"/>
      </w:pPr>
      <w:r w:rsidRPr="00F85178">
        <w:t>V dalších tabulkách uvádíme podíly počtu odsouzených dle hlav trestního zákoníku a nejběžnější trestné činy dle jednotlivých hlav trestního zákoníku.</w:t>
      </w:r>
    </w:p>
    <w:p w14:paraId="7B4FFF6F" w14:textId="77777777" w:rsidR="007E76AC" w:rsidRPr="00F85178" w:rsidRDefault="007E76AC" w:rsidP="007E76AC">
      <w:pPr>
        <w:pStyle w:val="Podtitul"/>
        <w:rPr>
          <w:color w:val="auto"/>
        </w:rPr>
      </w:pPr>
      <w:bookmarkStart w:id="463" w:name="_Toc515871484"/>
      <w:bookmarkStart w:id="464" w:name="_Toc11133252"/>
      <w:bookmarkStart w:id="465" w:name="_Toc13837473"/>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50</w:t>
      </w:r>
      <w:r w:rsidRPr="00F85178">
        <w:rPr>
          <w:noProof/>
          <w:color w:val="auto"/>
        </w:rPr>
        <w:fldChar w:fldCharType="end"/>
      </w:r>
      <w:r w:rsidRPr="00F85178">
        <w:rPr>
          <w:color w:val="auto"/>
        </w:rPr>
        <w:t>: KS – podíl počtu odsouzených dle hlav trestního zákoníku</w:t>
      </w:r>
      <w:bookmarkEnd w:id="463"/>
      <w:bookmarkEnd w:id="464"/>
      <w:bookmarkEnd w:id="465"/>
    </w:p>
    <w:tbl>
      <w:tblPr>
        <w:tblW w:w="8540" w:type="dxa"/>
        <w:tblCellMar>
          <w:left w:w="70" w:type="dxa"/>
          <w:right w:w="70" w:type="dxa"/>
        </w:tblCellMar>
        <w:tblLook w:val="04A0" w:firstRow="1" w:lastRow="0" w:firstColumn="1" w:lastColumn="0" w:noHBand="0" w:noVBand="1"/>
      </w:tblPr>
      <w:tblGrid>
        <w:gridCol w:w="1080"/>
        <w:gridCol w:w="3340"/>
        <w:gridCol w:w="4120"/>
      </w:tblGrid>
      <w:tr w:rsidR="00F85178" w:rsidRPr="00F85178" w14:paraId="7B05CA3B" w14:textId="77777777" w:rsidTr="005012C1">
        <w:trPr>
          <w:trHeight w:val="345"/>
        </w:trPr>
        <w:tc>
          <w:tcPr>
            <w:tcW w:w="1080" w:type="dxa"/>
            <w:tcBorders>
              <w:top w:val="double" w:sz="6" w:space="0" w:color="auto"/>
              <w:left w:val="nil"/>
              <w:bottom w:val="double" w:sz="6" w:space="0" w:color="auto"/>
              <w:right w:val="nil"/>
            </w:tcBorders>
            <w:shd w:val="clear" w:color="auto" w:fill="auto"/>
            <w:noWrap/>
            <w:vAlign w:val="center"/>
            <w:hideMark/>
          </w:tcPr>
          <w:p w14:paraId="47073425" w14:textId="77777777" w:rsidR="005012C1" w:rsidRPr="00F85178" w:rsidRDefault="005012C1" w:rsidP="005012C1">
            <w:pPr>
              <w:spacing w:line="240" w:lineRule="auto"/>
              <w:jc w:val="center"/>
              <w:rPr>
                <w:rFonts w:eastAsia="Times New Roman"/>
                <w:b/>
                <w:bCs/>
                <w:szCs w:val="24"/>
                <w:lang w:eastAsia="cs-CZ"/>
              </w:rPr>
            </w:pPr>
            <w:r w:rsidRPr="00F85178">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7A683BCA" w14:textId="77777777" w:rsidR="005012C1" w:rsidRPr="00F85178" w:rsidRDefault="005012C1" w:rsidP="005012C1">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120" w:type="dxa"/>
            <w:tcBorders>
              <w:top w:val="double" w:sz="6" w:space="0" w:color="auto"/>
              <w:left w:val="nil"/>
              <w:bottom w:val="double" w:sz="6" w:space="0" w:color="auto"/>
              <w:right w:val="nil"/>
            </w:tcBorders>
            <w:shd w:val="clear" w:color="auto" w:fill="auto"/>
            <w:noWrap/>
            <w:vAlign w:val="center"/>
            <w:hideMark/>
          </w:tcPr>
          <w:p w14:paraId="0BCAB81C" w14:textId="77777777" w:rsidR="005012C1" w:rsidRPr="00F85178" w:rsidRDefault="005012C1" w:rsidP="005012C1">
            <w:pPr>
              <w:spacing w:line="240" w:lineRule="auto"/>
              <w:jc w:val="center"/>
              <w:rPr>
                <w:rFonts w:eastAsia="Times New Roman"/>
                <w:b/>
                <w:bCs/>
                <w:szCs w:val="24"/>
                <w:lang w:eastAsia="cs-CZ"/>
              </w:rPr>
            </w:pPr>
            <w:r w:rsidRPr="00F85178">
              <w:rPr>
                <w:rFonts w:eastAsia="Times New Roman"/>
                <w:b/>
                <w:bCs/>
                <w:szCs w:val="24"/>
                <w:lang w:eastAsia="cs-CZ"/>
              </w:rPr>
              <w:t>Podíl v % na počtu odsouzených</w:t>
            </w:r>
          </w:p>
        </w:tc>
      </w:tr>
      <w:tr w:rsidR="00F85178" w:rsidRPr="00F85178" w14:paraId="2D2C16FF" w14:textId="77777777" w:rsidTr="005012C1">
        <w:trPr>
          <w:trHeight w:val="330"/>
        </w:trPr>
        <w:tc>
          <w:tcPr>
            <w:tcW w:w="1080" w:type="dxa"/>
            <w:tcBorders>
              <w:top w:val="nil"/>
              <w:left w:val="nil"/>
              <w:bottom w:val="single" w:sz="4" w:space="0" w:color="auto"/>
              <w:right w:val="nil"/>
            </w:tcBorders>
            <w:shd w:val="clear" w:color="auto" w:fill="auto"/>
            <w:noWrap/>
            <w:vAlign w:val="center"/>
            <w:hideMark/>
          </w:tcPr>
          <w:p w14:paraId="282C4540"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45697FFE"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4120" w:type="dxa"/>
            <w:tcBorders>
              <w:top w:val="nil"/>
              <w:left w:val="nil"/>
              <w:bottom w:val="single" w:sz="4" w:space="0" w:color="auto"/>
              <w:right w:val="nil"/>
            </w:tcBorders>
            <w:shd w:val="clear" w:color="auto" w:fill="auto"/>
            <w:noWrap/>
            <w:vAlign w:val="center"/>
            <w:hideMark/>
          </w:tcPr>
          <w:p w14:paraId="7B6001A5"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16</w:t>
            </w:r>
            <w:r w:rsidR="00B11D20" w:rsidRPr="00F85178">
              <w:rPr>
                <w:rFonts w:eastAsia="Times New Roman"/>
                <w:szCs w:val="24"/>
                <w:lang w:eastAsia="cs-CZ"/>
              </w:rPr>
              <w:t>,</w:t>
            </w:r>
            <w:r w:rsidRPr="00F85178">
              <w:rPr>
                <w:rFonts w:eastAsia="Times New Roman"/>
                <w:szCs w:val="24"/>
                <w:lang w:eastAsia="cs-CZ"/>
              </w:rPr>
              <w:t>60</w:t>
            </w:r>
          </w:p>
        </w:tc>
      </w:tr>
      <w:tr w:rsidR="00F85178" w:rsidRPr="00F85178" w14:paraId="23CDB872" w14:textId="77777777" w:rsidTr="005012C1">
        <w:trPr>
          <w:trHeight w:val="945"/>
        </w:trPr>
        <w:tc>
          <w:tcPr>
            <w:tcW w:w="1080" w:type="dxa"/>
            <w:tcBorders>
              <w:top w:val="nil"/>
              <w:left w:val="nil"/>
              <w:bottom w:val="single" w:sz="4" w:space="0" w:color="auto"/>
              <w:right w:val="nil"/>
            </w:tcBorders>
            <w:shd w:val="clear" w:color="auto" w:fill="auto"/>
            <w:noWrap/>
            <w:vAlign w:val="center"/>
            <w:hideMark/>
          </w:tcPr>
          <w:p w14:paraId="0F7AF873"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7B9A1603"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4120" w:type="dxa"/>
            <w:tcBorders>
              <w:top w:val="nil"/>
              <w:left w:val="nil"/>
              <w:bottom w:val="single" w:sz="4" w:space="0" w:color="auto"/>
              <w:right w:val="nil"/>
            </w:tcBorders>
            <w:shd w:val="clear" w:color="auto" w:fill="auto"/>
            <w:noWrap/>
            <w:vAlign w:val="center"/>
            <w:hideMark/>
          </w:tcPr>
          <w:p w14:paraId="614B60CE"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12</w:t>
            </w:r>
            <w:r w:rsidR="00B11D20" w:rsidRPr="00F85178">
              <w:rPr>
                <w:rFonts w:eastAsia="Times New Roman"/>
                <w:szCs w:val="24"/>
                <w:lang w:eastAsia="cs-CZ"/>
              </w:rPr>
              <w:t>,</w:t>
            </w:r>
            <w:r w:rsidRPr="00F85178">
              <w:rPr>
                <w:rFonts w:eastAsia="Times New Roman"/>
                <w:szCs w:val="24"/>
                <w:lang w:eastAsia="cs-CZ"/>
              </w:rPr>
              <w:t>55</w:t>
            </w:r>
          </w:p>
        </w:tc>
      </w:tr>
      <w:tr w:rsidR="00F85178" w:rsidRPr="00F85178" w14:paraId="32204364" w14:textId="77777777" w:rsidTr="005012C1">
        <w:trPr>
          <w:trHeight w:val="630"/>
        </w:trPr>
        <w:tc>
          <w:tcPr>
            <w:tcW w:w="1080" w:type="dxa"/>
            <w:tcBorders>
              <w:top w:val="nil"/>
              <w:left w:val="nil"/>
              <w:bottom w:val="single" w:sz="4" w:space="0" w:color="auto"/>
              <w:right w:val="nil"/>
            </w:tcBorders>
            <w:shd w:val="clear" w:color="auto" w:fill="auto"/>
            <w:noWrap/>
            <w:vAlign w:val="center"/>
            <w:hideMark/>
          </w:tcPr>
          <w:p w14:paraId="2629BFB0"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2AAB8759"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4120" w:type="dxa"/>
            <w:tcBorders>
              <w:top w:val="nil"/>
              <w:left w:val="nil"/>
              <w:bottom w:val="single" w:sz="4" w:space="0" w:color="auto"/>
              <w:right w:val="nil"/>
            </w:tcBorders>
            <w:shd w:val="clear" w:color="auto" w:fill="auto"/>
            <w:noWrap/>
            <w:vAlign w:val="center"/>
            <w:hideMark/>
          </w:tcPr>
          <w:p w14:paraId="117434F5"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9</w:t>
            </w:r>
            <w:r w:rsidR="00B11D20" w:rsidRPr="00F85178">
              <w:rPr>
                <w:rFonts w:eastAsia="Times New Roman"/>
                <w:szCs w:val="24"/>
                <w:lang w:eastAsia="cs-CZ"/>
              </w:rPr>
              <w:t>,</w:t>
            </w:r>
            <w:r w:rsidRPr="00F85178">
              <w:rPr>
                <w:rFonts w:eastAsia="Times New Roman"/>
                <w:szCs w:val="24"/>
                <w:lang w:eastAsia="cs-CZ"/>
              </w:rPr>
              <w:t>85</w:t>
            </w:r>
          </w:p>
        </w:tc>
      </w:tr>
      <w:tr w:rsidR="00F85178" w:rsidRPr="00F85178" w14:paraId="4C2B5B81" w14:textId="77777777" w:rsidTr="005012C1">
        <w:trPr>
          <w:trHeight w:val="315"/>
        </w:trPr>
        <w:tc>
          <w:tcPr>
            <w:tcW w:w="1080" w:type="dxa"/>
            <w:tcBorders>
              <w:top w:val="nil"/>
              <w:left w:val="nil"/>
              <w:bottom w:val="single" w:sz="4" w:space="0" w:color="auto"/>
              <w:right w:val="nil"/>
            </w:tcBorders>
            <w:shd w:val="clear" w:color="auto" w:fill="auto"/>
            <w:noWrap/>
            <w:vAlign w:val="center"/>
            <w:hideMark/>
          </w:tcPr>
          <w:p w14:paraId="1AC62980"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3F32C2A1"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4120" w:type="dxa"/>
            <w:tcBorders>
              <w:top w:val="nil"/>
              <w:left w:val="nil"/>
              <w:bottom w:val="single" w:sz="4" w:space="0" w:color="auto"/>
              <w:right w:val="nil"/>
            </w:tcBorders>
            <w:shd w:val="clear" w:color="auto" w:fill="auto"/>
            <w:noWrap/>
            <w:vAlign w:val="center"/>
            <w:hideMark/>
          </w:tcPr>
          <w:p w14:paraId="19617DFF"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1</w:t>
            </w:r>
            <w:r w:rsidR="00B11D20" w:rsidRPr="00F85178">
              <w:rPr>
                <w:rFonts w:eastAsia="Times New Roman"/>
                <w:szCs w:val="24"/>
                <w:lang w:eastAsia="cs-CZ"/>
              </w:rPr>
              <w:t>,</w:t>
            </w:r>
            <w:r w:rsidRPr="00F85178">
              <w:rPr>
                <w:rFonts w:eastAsia="Times New Roman"/>
                <w:szCs w:val="24"/>
                <w:lang w:eastAsia="cs-CZ"/>
              </w:rPr>
              <w:t>45</w:t>
            </w:r>
          </w:p>
        </w:tc>
      </w:tr>
      <w:tr w:rsidR="00F85178" w:rsidRPr="00F85178" w14:paraId="4EA20DB3" w14:textId="77777777" w:rsidTr="005012C1">
        <w:trPr>
          <w:trHeight w:val="315"/>
        </w:trPr>
        <w:tc>
          <w:tcPr>
            <w:tcW w:w="1080" w:type="dxa"/>
            <w:tcBorders>
              <w:top w:val="nil"/>
              <w:left w:val="nil"/>
              <w:bottom w:val="single" w:sz="4" w:space="0" w:color="auto"/>
              <w:right w:val="nil"/>
            </w:tcBorders>
            <w:shd w:val="clear" w:color="auto" w:fill="auto"/>
            <w:noWrap/>
            <w:vAlign w:val="center"/>
            <w:hideMark/>
          </w:tcPr>
          <w:p w14:paraId="366242B9"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72A68B65"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4120" w:type="dxa"/>
            <w:tcBorders>
              <w:top w:val="nil"/>
              <w:left w:val="nil"/>
              <w:bottom w:val="single" w:sz="4" w:space="0" w:color="auto"/>
              <w:right w:val="nil"/>
            </w:tcBorders>
            <w:shd w:val="clear" w:color="auto" w:fill="auto"/>
            <w:noWrap/>
            <w:vAlign w:val="center"/>
            <w:hideMark/>
          </w:tcPr>
          <w:p w14:paraId="7A3E99E0"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20</w:t>
            </w:r>
            <w:r w:rsidR="00B11D20" w:rsidRPr="00F85178">
              <w:rPr>
                <w:rFonts w:eastAsia="Times New Roman"/>
                <w:szCs w:val="24"/>
                <w:lang w:eastAsia="cs-CZ"/>
              </w:rPr>
              <w:t>,</w:t>
            </w:r>
            <w:r w:rsidRPr="00F85178">
              <w:rPr>
                <w:rFonts w:eastAsia="Times New Roman"/>
                <w:szCs w:val="24"/>
                <w:lang w:eastAsia="cs-CZ"/>
              </w:rPr>
              <w:t>23</w:t>
            </w:r>
          </w:p>
        </w:tc>
      </w:tr>
      <w:tr w:rsidR="00F85178" w:rsidRPr="00F85178" w14:paraId="77705B4B" w14:textId="77777777" w:rsidTr="005012C1">
        <w:trPr>
          <w:trHeight w:val="315"/>
        </w:trPr>
        <w:tc>
          <w:tcPr>
            <w:tcW w:w="1080" w:type="dxa"/>
            <w:tcBorders>
              <w:top w:val="nil"/>
              <w:left w:val="nil"/>
              <w:bottom w:val="single" w:sz="4" w:space="0" w:color="auto"/>
              <w:right w:val="nil"/>
            </w:tcBorders>
            <w:shd w:val="clear" w:color="auto" w:fill="auto"/>
            <w:noWrap/>
            <w:vAlign w:val="center"/>
            <w:hideMark/>
          </w:tcPr>
          <w:p w14:paraId="39F47873"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72BDA73F"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4120" w:type="dxa"/>
            <w:tcBorders>
              <w:top w:val="nil"/>
              <w:left w:val="nil"/>
              <w:bottom w:val="single" w:sz="4" w:space="0" w:color="auto"/>
              <w:right w:val="nil"/>
            </w:tcBorders>
            <w:shd w:val="clear" w:color="auto" w:fill="auto"/>
            <w:noWrap/>
            <w:vAlign w:val="center"/>
            <w:hideMark/>
          </w:tcPr>
          <w:p w14:paraId="70C6030F"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15</w:t>
            </w:r>
            <w:r w:rsidR="00B11D20" w:rsidRPr="00F85178">
              <w:rPr>
                <w:rFonts w:eastAsia="Times New Roman"/>
                <w:szCs w:val="24"/>
                <w:lang w:eastAsia="cs-CZ"/>
              </w:rPr>
              <w:t>,</w:t>
            </w:r>
            <w:r w:rsidRPr="00F85178">
              <w:rPr>
                <w:rFonts w:eastAsia="Times New Roman"/>
                <w:szCs w:val="24"/>
                <w:lang w:eastAsia="cs-CZ"/>
              </w:rPr>
              <w:t>98</w:t>
            </w:r>
          </w:p>
        </w:tc>
      </w:tr>
      <w:tr w:rsidR="00F85178" w:rsidRPr="00F85178" w14:paraId="32CF2103" w14:textId="77777777" w:rsidTr="005012C1">
        <w:trPr>
          <w:trHeight w:val="315"/>
        </w:trPr>
        <w:tc>
          <w:tcPr>
            <w:tcW w:w="1080" w:type="dxa"/>
            <w:tcBorders>
              <w:top w:val="nil"/>
              <w:left w:val="nil"/>
              <w:bottom w:val="single" w:sz="4" w:space="0" w:color="auto"/>
              <w:right w:val="nil"/>
            </w:tcBorders>
            <w:shd w:val="clear" w:color="auto" w:fill="auto"/>
            <w:noWrap/>
            <w:vAlign w:val="center"/>
            <w:hideMark/>
          </w:tcPr>
          <w:p w14:paraId="2C6B4E66"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2BAB662A"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4120" w:type="dxa"/>
            <w:tcBorders>
              <w:top w:val="nil"/>
              <w:left w:val="nil"/>
              <w:bottom w:val="single" w:sz="4" w:space="0" w:color="auto"/>
              <w:right w:val="nil"/>
            </w:tcBorders>
            <w:shd w:val="clear" w:color="auto" w:fill="auto"/>
            <w:noWrap/>
            <w:vAlign w:val="center"/>
            <w:hideMark/>
          </w:tcPr>
          <w:p w14:paraId="697B1B31"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28</w:t>
            </w:r>
            <w:r w:rsidR="00B11D20" w:rsidRPr="00F85178">
              <w:rPr>
                <w:rFonts w:eastAsia="Times New Roman"/>
                <w:szCs w:val="24"/>
                <w:lang w:eastAsia="cs-CZ"/>
              </w:rPr>
              <w:t>,</w:t>
            </w:r>
            <w:r w:rsidRPr="00F85178">
              <w:rPr>
                <w:rFonts w:eastAsia="Times New Roman"/>
                <w:szCs w:val="24"/>
                <w:lang w:eastAsia="cs-CZ"/>
              </w:rPr>
              <w:t>01</w:t>
            </w:r>
          </w:p>
        </w:tc>
      </w:tr>
      <w:tr w:rsidR="00F85178" w:rsidRPr="00F85178" w14:paraId="5A813FFE" w14:textId="77777777" w:rsidTr="005012C1">
        <w:trPr>
          <w:trHeight w:val="630"/>
        </w:trPr>
        <w:tc>
          <w:tcPr>
            <w:tcW w:w="1080" w:type="dxa"/>
            <w:tcBorders>
              <w:top w:val="nil"/>
              <w:left w:val="nil"/>
              <w:bottom w:val="single" w:sz="4" w:space="0" w:color="auto"/>
              <w:right w:val="nil"/>
            </w:tcBorders>
            <w:shd w:val="clear" w:color="auto" w:fill="auto"/>
            <w:noWrap/>
            <w:vAlign w:val="center"/>
            <w:hideMark/>
          </w:tcPr>
          <w:p w14:paraId="4F322D61"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5303D268"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4120" w:type="dxa"/>
            <w:tcBorders>
              <w:top w:val="nil"/>
              <w:left w:val="nil"/>
              <w:bottom w:val="single" w:sz="4" w:space="0" w:color="auto"/>
              <w:right w:val="nil"/>
            </w:tcBorders>
            <w:shd w:val="clear" w:color="auto" w:fill="auto"/>
            <w:noWrap/>
            <w:vAlign w:val="center"/>
            <w:hideMark/>
          </w:tcPr>
          <w:p w14:paraId="54ABB666"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0</w:t>
            </w:r>
            <w:r w:rsidR="00B11D20" w:rsidRPr="00F85178">
              <w:rPr>
                <w:rFonts w:eastAsia="Times New Roman"/>
                <w:szCs w:val="24"/>
                <w:lang w:eastAsia="cs-CZ"/>
              </w:rPr>
              <w:t>,</w:t>
            </w:r>
            <w:r w:rsidRPr="00F85178">
              <w:rPr>
                <w:rFonts w:eastAsia="Times New Roman"/>
                <w:szCs w:val="24"/>
                <w:lang w:eastAsia="cs-CZ"/>
              </w:rPr>
              <w:t>10</w:t>
            </w:r>
          </w:p>
        </w:tc>
      </w:tr>
      <w:tr w:rsidR="00F85178" w:rsidRPr="00F85178" w14:paraId="3C8C543A" w14:textId="77777777" w:rsidTr="005012C1">
        <w:trPr>
          <w:trHeight w:val="945"/>
        </w:trPr>
        <w:tc>
          <w:tcPr>
            <w:tcW w:w="1080" w:type="dxa"/>
            <w:tcBorders>
              <w:top w:val="nil"/>
              <w:left w:val="nil"/>
              <w:bottom w:val="single" w:sz="4" w:space="0" w:color="auto"/>
              <w:right w:val="nil"/>
            </w:tcBorders>
            <w:shd w:val="clear" w:color="auto" w:fill="auto"/>
            <w:noWrap/>
            <w:vAlign w:val="center"/>
            <w:hideMark/>
          </w:tcPr>
          <w:p w14:paraId="2B80E46B"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0AC79AFD"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p>
        </w:tc>
        <w:tc>
          <w:tcPr>
            <w:tcW w:w="4120" w:type="dxa"/>
            <w:tcBorders>
              <w:top w:val="nil"/>
              <w:left w:val="nil"/>
              <w:bottom w:val="single" w:sz="4" w:space="0" w:color="auto"/>
              <w:right w:val="nil"/>
            </w:tcBorders>
            <w:shd w:val="clear" w:color="auto" w:fill="auto"/>
            <w:noWrap/>
            <w:vAlign w:val="center"/>
            <w:hideMark/>
          </w:tcPr>
          <w:p w14:paraId="2691A5A4"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0E5AE6D2" w14:textId="77777777" w:rsidTr="005012C1">
        <w:trPr>
          <w:trHeight w:val="630"/>
        </w:trPr>
        <w:tc>
          <w:tcPr>
            <w:tcW w:w="1080" w:type="dxa"/>
            <w:tcBorders>
              <w:top w:val="nil"/>
              <w:left w:val="nil"/>
              <w:bottom w:val="single" w:sz="4" w:space="0" w:color="auto"/>
              <w:right w:val="nil"/>
            </w:tcBorders>
            <w:shd w:val="clear" w:color="auto" w:fill="auto"/>
            <w:noWrap/>
            <w:vAlign w:val="center"/>
            <w:hideMark/>
          </w:tcPr>
          <w:p w14:paraId="6E881221"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752C6CC1"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4120" w:type="dxa"/>
            <w:tcBorders>
              <w:top w:val="nil"/>
              <w:left w:val="nil"/>
              <w:bottom w:val="single" w:sz="4" w:space="0" w:color="auto"/>
              <w:right w:val="nil"/>
            </w:tcBorders>
            <w:shd w:val="clear" w:color="auto" w:fill="auto"/>
            <w:noWrap/>
            <w:vAlign w:val="center"/>
            <w:hideMark/>
          </w:tcPr>
          <w:p w14:paraId="44551030"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3</w:t>
            </w:r>
            <w:r w:rsidR="00B11D20" w:rsidRPr="00F85178">
              <w:rPr>
                <w:rFonts w:eastAsia="Times New Roman"/>
                <w:szCs w:val="24"/>
                <w:lang w:eastAsia="cs-CZ"/>
              </w:rPr>
              <w:t>,</w:t>
            </w:r>
            <w:r w:rsidRPr="00F85178">
              <w:rPr>
                <w:rFonts w:eastAsia="Times New Roman"/>
                <w:szCs w:val="24"/>
                <w:lang w:eastAsia="cs-CZ"/>
              </w:rPr>
              <w:t>01</w:t>
            </w:r>
          </w:p>
        </w:tc>
      </w:tr>
      <w:tr w:rsidR="00F85178" w:rsidRPr="00F85178" w14:paraId="17DC737E" w14:textId="77777777" w:rsidTr="005012C1">
        <w:trPr>
          <w:trHeight w:val="630"/>
        </w:trPr>
        <w:tc>
          <w:tcPr>
            <w:tcW w:w="1080" w:type="dxa"/>
            <w:tcBorders>
              <w:top w:val="nil"/>
              <w:left w:val="nil"/>
              <w:bottom w:val="single" w:sz="4" w:space="0" w:color="auto"/>
              <w:right w:val="nil"/>
            </w:tcBorders>
            <w:shd w:val="clear" w:color="auto" w:fill="auto"/>
            <w:noWrap/>
            <w:vAlign w:val="center"/>
            <w:hideMark/>
          </w:tcPr>
          <w:p w14:paraId="5055B08C"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0262D5C9"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4120" w:type="dxa"/>
            <w:tcBorders>
              <w:top w:val="nil"/>
              <w:left w:val="nil"/>
              <w:bottom w:val="single" w:sz="4" w:space="0" w:color="auto"/>
              <w:right w:val="nil"/>
            </w:tcBorders>
            <w:shd w:val="clear" w:color="auto" w:fill="auto"/>
            <w:noWrap/>
            <w:vAlign w:val="center"/>
            <w:hideMark/>
          </w:tcPr>
          <w:p w14:paraId="24B03B37"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0F4DBF03" w14:textId="77777777" w:rsidTr="005012C1">
        <w:trPr>
          <w:trHeight w:val="315"/>
        </w:trPr>
        <w:tc>
          <w:tcPr>
            <w:tcW w:w="1080" w:type="dxa"/>
            <w:tcBorders>
              <w:top w:val="nil"/>
              <w:left w:val="nil"/>
              <w:bottom w:val="single" w:sz="4" w:space="0" w:color="auto"/>
              <w:right w:val="nil"/>
            </w:tcBorders>
            <w:shd w:val="clear" w:color="auto" w:fill="auto"/>
            <w:noWrap/>
            <w:vAlign w:val="center"/>
            <w:hideMark/>
          </w:tcPr>
          <w:p w14:paraId="7F477054"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72AD3242"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4120" w:type="dxa"/>
            <w:tcBorders>
              <w:top w:val="nil"/>
              <w:left w:val="nil"/>
              <w:bottom w:val="single" w:sz="4" w:space="0" w:color="auto"/>
              <w:right w:val="nil"/>
            </w:tcBorders>
            <w:shd w:val="clear" w:color="auto" w:fill="auto"/>
            <w:noWrap/>
            <w:vAlign w:val="center"/>
            <w:hideMark/>
          </w:tcPr>
          <w:p w14:paraId="796E15F8"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w:t>
            </w:r>
          </w:p>
        </w:tc>
      </w:tr>
      <w:tr w:rsidR="005012C1" w:rsidRPr="00F85178" w14:paraId="5F65336E" w14:textId="77777777" w:rsidTr="005012C1">
        <w:trPr>
          <w:trHeight w:val="645"/>
        </w:trPr>
        <w:tc>
          <w:tcPr>
            <w:tcW w:w="1080" w:type="dxa"/>
            <w:tcBorders>
              <w:top w:val="nil"/>
              <w:left w:val="nil"/>
              <w:bottom w:val="double" w:sz="6" w:space="0" w:color="auto"/>
              <w:right w:val="nil"/>
            </w:tcBorders>
            <w:shd w:val="clear" w:color="auto" w:fill="auto"/>
            <w:noWrap/>
            <w:vAlign w:val="center"/>
            <w:hideMark/>
          </w:tcPr>
          <w:p w14:paraId="34A58991"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4D9B5159" w14:textId="77777777" w:rsidR="005012C1" w:rsidRPr="00F85178" w:rsidRDefault="005012C1" w:rsidP="005012C1">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4120" w:type="dxa"/>
            <w:tcBorders>
              <w:top w:val="nil"/>
              <w:left w:val="nil"/>
              <w:bottom w:val="double" w:sz="6" w:space="0" w:color="auto"/>
              <w:right w:val="nil"/>
            </w:tcBorders>
            <w:shd w:val="clear" w:color="auto" w:fill="auto"/>
            <w:noWrap/>
            <w:vAlign w:val="center"/>
            <w:hideMark/>
          </w:tcPr>
          <w:p w14:paraId="5A8C9CB8" w14:textId="77777777" w:rsidR="005012C1" w:rsidRPr="00F85178" w:rsidRDefault="005012C1" w:rsidP="005012C1">
            <w:pPr>
              <w:spacing w:line="240" w:lineRule="auto"/>
              <w:jc w:val="center"/>
              <w:rPr>
                <w:rFonts w:eastAsia="Times New Roman"/>
                <w:szCs w:val="24"/>
                <w:lang w:eastAsia="cs-CZ"/>
              </w:rPr>
            </w:pPr>
            <w:r w:rsidRPr="00F85178">
              <w:rPr>
                <w:rFonts w:eastAsia="Times New Roman"/>
                <w:szCs w:val="24"/>
                <w:lang w:eastAsia="cs-CZ"/>
              </w:rPr>
              <w:t>-</w:t>
            </w:r>
          </w:p>
        </w:tc>
      </w:tr>
    </w:tbl>
    <w:p w14:paraId="4872F514" w14:textId="77777777" w:rsidR="005012C1" w:rsidRPr="00F85178" w:rsidRDefault="005012C1" w:rsidP="00205FD6"/>
    <w:p w14:paraId="7D30CC3D" w14:textId="77777777" w:rsidR="00437649" w:rsidRPr="00F85178" w:rsidRDefault="00437649" w:rsidP="00437649">
      <w:pPr>
        <w:pStyle w:val="OdstavecASR"/>
      </w:pPr>
      <w:bookmarkStart w:id="466" w:name="_Toc515871485"/>
      <w:r w:rsidRPr="00F85178">
        <w:t>Zastoupení jednotlivých hlav se odlišuje od okresních soudů</w:t>
      </w:r>
      <w:r w:rsidR="00AF1DE8" w:rsidRPr="00F85178">
        <w:t>, přesto ale trestné činy proti majetku a trestné činy obecně nebezpečné mají u OS i KS nejvyšší podíly</w:t>
      </w:r>
      <w:r w:rsidRPr="00F85178">
        <w:t>. Především se ale liší kvalifikované skutkové podstaty těchto trestných činů.</w:t>
      </w:r>
    </w:p>
    <w:p w14:paraId="54184768" w14:textId="77777777" w:rsidR="00437649" w:rsidRPr="00F85178" w:rsidRDefault="00437649" w:rsidP="00437649">
      <w:pPr>
        <w:pStyle w:val="OdstavecASR"/>
        <w:rPr>
          <w:i/>
        </w:rPr>
      </w:pPr>
      <w:r w:rsidRPr="00F85178">
        <w:t xml:space="preserve">Ještě je třeba zmínit, že téměř ve všech hlavách je nejčastější trestný čin opravdu dominantní (50 až 95 % odsouzených v dané hlavě). Výjimku tvoří pouze trestné činy proti životu a zdraví. Zde je velmi častým trestným činem také trestný čin </w:t>
      </w:r>
      <w:r w:rsidRPr="00F85178">
        <w:rPr>
          <w:i/>
        </w:rPr>
        <w:t>těžkého ublížení na zdraví.</w:t>
      </w:r>
    </w:p>
    <w:p w14:paraId="42783560" w14:textId="77777777" w:rsidR="00C64FEA" w:rsidRPr="00F85178" w:rsidRDefault="00C64FEA" w:rsidP="00C64FEA">
      <w:pPr>
        <w:pStyle w:val="Podtitul"/>
        <w:rPr>
          <w:color w:val="auto"/>
        </w:rPr>
      </w:pPr>
      <w:bookmarkStart w:id="467" w:name="_Toc11133253"/>
      <w:bookmarkStart w:id="468" w:name="_Toc1383747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51</w:t>
      </w:r>
      <w:r w:rsidRPr="00F85178">
        <w:rPr>
          <w:noProof/>
          <w:color w:val="auto"/>
        </w:rPr>
        <w:fldChar w:fldCharType="end"/>
      </w:r>
      <w:r w:rsidRPr="00F85178">
        <w:rPr>
          <w:color w:val="auto"/>
        </w:rPr>
        <w:t>: KS – nejčastější trestné činy dle hlav</w:t>
      </w:r>
      <w:bookmarkEnd w:id="466"/>
      <w:bookmarkEnd w:id="467"/>
      <w:bookmarkEnd w:id="468"/>
    </w:p>
    <w:tbl>
      <w:tblPr>
        <w:tblW w:w="8540" w:type="dxa"/>
        <w:tblInd w:w="55" w:type="dxa"/>
        <w:tblCellMar>
          <w:left w:w="70" w:type="dxa"/>
          <w:right w:w="70" w:type="dxa"/>
        </w:tblCellMar>
        <w:tblLook w:val="04A0" w:firstRow="1" w:lastRow="0" w:firstColumn="1" w:lastColumn="0" w:noHBand="0" w:noVBand="1"/>
      </w:tblPr>
      <w:tblGrid>
        <w:gridCol w:w="1080"/>
        <w:gridCol w:w="3340"/>
        <w:gridCol w:w="4120"/>
      </w:tblGrid>
      <w:tr w:rsidR="00F85178" w:rsidRPr="00F85178" w14:paraId="7F773FD3" w14:textId="77777777" w:rsidTr="00277937">
        <w:trPr>
          <w:trHeight w:val="660"/>
        </w:trPr>
        <w:tc>
          <w:tcPr>
            <w:tcW w:w="1080" w:type="dxa"/>
            <w:tcBorders>
              <w:top w:val="double" w:sz="6" w:space="0" w:color="auto"/>
              <w:left w:val="nil"/>
              <w:bottom w:val="double" w:sz="6" w:space="0" w:color="auto"/>
              <w:right w:val="nil"/>
            </w:tcBorders>
            <w:shd w:val="clear" w:color="auto" w:fill="auto"/>
            <w:noWrap/>
            <w:vAlign w:val="center"/>
            <w:hideMark/>
          </w:tcPr>
          <w:p w14:paraId="18A4807D" w14:textId="77777777" w:rsidR="00C64FEA" w:rsidRPr="00F85178" w:rsidRDefault="00C64FEA" w:rsidP="00277937">
            <w:pPr>
              <w:spacing w:line="240" w:lineRule="auto"/>
              <w:jc w:val="center"/>
              <w:rPr>
                <w:rFonts w:eastAsia="Times New Roman"/>
                <w:b/>
                <w:bCs/>
                <w:szCs w:val="24"/>
                <w:lang w:eastAsia="cs-CZ"/>
              </w:rPr>
            </w:pPr>
            <w:r w:rsidRPr="00F85178">
              <w:rPr>
                <w:rFonts w:eastAsia="Times New Roman"/>
                <w:b/>
                <w:bCs/>
                <w:szCs w:val="24"/>
                <w:lang w:eastAsia="cs-CZ"/>
              </w:rPr>
              <w:t>Hlava</w:t>
            </w:r>
          </w:p>
        </w:tc>
        <w:tc>
          <w:tcPr>
            <w:tcW w:w="3340" w:type="dxa"/>
            <w:tcBorders>
              <w:top w:val="double" w:sz="6" w:space="0" w:color="auto"/>
              <w:left w:val="nil"/>
              <w:bottom w:val="double" w:sz="6" w:space="0" w:color="auto"/>
              <w:right w:val="nil"/>
            </w:tcBorders>
            <w:shd w:val="clear" w:color="auto" w:fill="auto"/>
            <w:vAlign w:val="center"/>
            <w:hideMark/>
          </w:tcPr>
          <w:p w14:paraId="79E2025D" w14:textId="77777777" w:rsidR="00C64FEA" w:rsidRPr="00F85178" w:rsidRDefault="00C64FEA" w:rsidP="00277937">
            <w:pPr>
              <w:spacing w:line="240" w:lineRule="auto"/>
              <w:jc w:val="center"/>
              <w:rPr>
                <w:rFonts w:eastAsia="Times New Roman"/>
                <w:b/>
                <w:bCs/>
                <w:szCs w:val="24"/>
                <w:lang w:eastAsia="cs-CZ"/>
              </w:rPr>
            </w:pPr>
            <w:r w:rsidRPr="00F85178">
              <w:rPr>
                <w:rFonts w:eastAsia="Times New Roman"/>
                <w:b/>
                <w:bCs/>
                <w:szCs w:val="24"/>
                <w:lang w:eastAsia="cs-CZ"/>
              </w:rPr>
              <w:t>Název hlavy</w:t>
            </w:r>
          </w:p>
        </w:tc>
        <w:tc>
          <w:tcPr>
            <w:tcW w:w="4120" w:type="dxa"/>
            <w:tcBorders>
              <w:top w:val="double" w:sz="6" w:space="0" w:color="auto"/>
              <w:left w:val="single" w:sz="4" w:space="0" w:color="auto"/>
              <w:bottom w:val="double" w:sz="6" w:space="0" w:color="auto"/>
              <w:right w:val="nil"/>
            </w:tcBorders>
            <w:shd w:val="clear" w:color="auto" w:fill="auto"/>
            <w:vAlign w:val="center"/>
            <w:hideMark/>
          </w:tcPr>
          <w:p w14:paraId="6E81AA82" w14:textId="77777777" w:rsidR="00C64FEA" w:rsidRPr="00F85178" w:rsidRDefault="00C64FEA" w:rsidP="00277937">
            <w:pPr>
              <w:spacing w:line="240" w:lineRule="auto"/>
              <w:jc w:val="center"/>
              <w:rPr>
                <w:rFonts w:eastAsia="Times New Roman"/>
                <w:b/>
                <w:bCs/>
                <w:szCs w:val="24"/>
                <w:lang w:eastAsia="cs-CZ"/>
              </w:rPr>
            </w:pPr>
            <w:r w:rsidRPr="00F85178">
              <w:rPr>
                <w:rFonts w:eastAsia="Times New Roman"/>
                <w:b/>
                <w:bCs/>
                <w:szCs w:val="24"/>
                <w:lang w:eastAsia="cs-CZ"/>
              </w:rPr>
              <w:t>Nejčastější trestný čin</w:t>
            </w:r>
          </w:p>
        </w:tc>
      </w:tr>
      <w:tr w:rsidR="00F85178" w:rsidRPr="00F85178" w14:paraId="24D25D68" w14:textId="77777777" w:rsidTr="00277937">
        <w:trPr>
          <w:trHeight w:val="330"/>
        </w:trPr>
        <w:tc>
          <w:tcPr>
            <w:tcW w:w="1080" w:type="dxa"/>
            <w:tcBorders>
              <w:top w:val="nil"/>
              <w:left w:val="nil"/>
              <w:bottom w:val="single" w:sz="4" w:space="0" w:color="auto"/>
              <w:right w:val="nil"/>
            </w:tcBorders>
            <w:shd w:val="clear" w:color="auto" w:fill="auto"/>
            <w:noWrap/>
            <w:vAlign w:val="center"/>
            <w:hideMark/>
          </w:tcPr>
          <w:p w14:paraId="1CD87292"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I</w:t>
            </w:r>
          </w:p>
        </w:tc>
        <w:tc>
          <w:tcPr>
            <w:tcW w:w="3340" w:type="dxa"/>
            <w:tcBorders>
              <w:top w:val="nil"/>
              <w:left w:val="nil"/>
              <w:bottom w:val="single" w:sz="4" w:space="0" w:color="auto"/>
              <w:right w:val="nil"/>
            </w:tcBorders>
            <w:shd w:val="clear" w:color="auto" w:fill="auto"/>
            <w:vAlign w:val="center"/>
            <w:hideMark/>
          </w:tcPr>
          <w:p w14:paraId="36B01AB0"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životu a zdraví</w:t>
            </w:r>
          </w:p>
        </w:tc>
        <w:tc>
          <w:tcPr>
            <w:tcW w:w="4120" w:type="dxa"/>
            <w:tcBorders>
              <w:top w:val="nil"/>
              <w:left w:val="single" w:sz="4" w:space="0" w:color="auto"/>
              <w:bottom w:val="single" w:sz="4" w:space="0" w:color="auto"/>
              <w:right w:val="nil"/>
            </w:tcBorders>
            <w:shd w:val="clear" w:color="auto" w:fill="auto"/>
            <w:vAlign w:val="center"/>
            <w:hideMark/>
          </w:tcPr>
          <w:p w14:paraId="1CFCAF00"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Vražda</w:t>
            </w:r>
          </w:p>
        </w:tc>
      </w:tr>
      <w:tr w:rsidR="00F85178" w:rsidRPr="00F85178" w14:paraId="32DC5D37" w14:textId="77777777" w:rsidTr="00277937">
        <w:trPr>
          <w:trHeight w:val="945"/>
        </w:trPr>
        <w:tc>
          <w:tcPr>
            <w:tcW w:w="1080" w:type="dxa"/>
            <w:tcBorders>
              <w:top w:val="nil"/>
              <w:left w:val="nil"/>
              <w:bottom w:val="single" w:sz="4" w:space="0" w:color="auto"/>
              <w:right w:val="nil"/>
            </w:tcBorders>
            <w:shd w:val="clear" w:color="auto" w:fill="auto"/>
            <w:noWrap/>
            <w:vAlign w:val="center"/>
            <w:hideMark/>
          </w:tcPr>
          <w:p w14:paraId="3556206B"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II</w:t>
            </w:r>
          </w:p>
        </w:tc>
        <w:tc>
          <w:tcPr>
            <w:tcW w:w="3340" w:type="dxa"/>
            <w:tcBorders>
              <w:top w:val="nil"/>
              <w:left w:val="nil"/>
              <w:bottom w:val="single" w:sz="4" w:space="0" w:color="auto"/>
              <w:right w:val="nil"/>
            </w:tcBorders>
            <w:shd w:val="clear" w:color="auto" w:fill="auto"/>
            <w:vAlign w:val="center"/>
            <w:hideMark/>
          </w:tcPr>
          <w:p w14:paraId="44268735"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svobodě a právům na ochranu osobnosti, soukromí a listovního tajemství</w:t>
            </w:r>
          </w:p>
        </w:tc>
        <w:tc>
          <w:tcPr>
            <w:tcW w:w="4120" w:type="dxa"/>
            <w:tcBorders>
              <w:top w:val="nil"/>
              <w:left w:val="single" w:sz="4" w:space="0" w:color="auto"/>
              <w:bottom w:val="single" w:sz="4" w:space="0" w:color="auto"/>
              <w:right w:val="nil"/>
            </w:tcBorders>
            <w:shd w:val="clear" w:color="auto" w:fill="auto"/>
            <w:vAlign w:val="center"/>
            <w:hideMark/>
          </w:tcPr>
          <w:p w14:paraId="151DCA08"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Loupež</w:t>
            </w:r>
          </w:p>
        </w:tc>
      </w:tr>
      <w:tr w:rsidR="00F85178" w:rsidRPr="00F85178" w14:paraId="6734B549" w14:textId="77777777" w:rsidTr="00277937">
        <w:trPr>
          <w:trHeight w:val="630"/>
        </w:trPr>
        <w:tc>
          <w:tcPr>
            <w:tcW w:w="1080" w:type="dxa"/>
            <w:tcBorders>
              <w:top w:val="nil"/>
              <w:left w:val="nil"/>
              <w:bottom w:val="single" w:sz="4" w:space="0" w:color="auto"/>
              <w:right w:val="nil"/>
            </w:tcBorders>
            <w:shd w:val="clear" w:color="auto" w:fill="auto"/>
            <w:noWrap/>
            <w:vAlign w:val="center"/>
            <w:hideMark/>
          </w:tcPr>
          <w:p w14:paraId="4AF0C552"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III</w:t>
            </w:r>
          </w:p>
        </w:tc>
        <w:tc>
          <w:tcPr>
            <w:tcW w:w="3340" w:type="dxa"/>
            <w:tcBorders>
              <w:top w:val="nil"/>
              <w:left w:val="nil"/>
              <w:bottom w:val="single" w:sz="4" w:space="0" w:color="auto"/>
              <w:right w:val="nil"/>
            </w:tcBorders>
            <w:shd w:val="clear" w:color="auto" w:fill="auto"/>
            <w:vAlign w:val="center"/>
            <w:hideMark/>
          </w:tcPr>
          <w:p w14:paraId="11CEB96D"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lidské důstojnosti v sexuální oblasti</w:t>
            </w:r>
          </w:p>
        </w:tc>
        <w:tc>
          <w:tcPr>
            <w:tcW w:w="4120" w:type="dxa"/>
            <w:tcBorders>
              <w:top w:val="nil"/>
              <w:left w:val="single" w:sz="4" w:space="0" w:color="auto"/>
              <w:bottom w:val="single" w:sz="4" w:space="0" w:color="auto"/>
              <w:right w:val="nil"/>
            </w:tcBorders>
            <w:shd w:val="clear" w:color="auto" w:fill="auto"/>
            <w:vAlign w:val="center"/>
            <w:hideMark/>
          </w:tcPr>
          <w:p w14:paraId="42AC4DE2"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Znásilnění</w:t>
            </w:r>
          </w:p>
        </w:tc>
      </w:tr>
      <w:tr w:rsidR="00F85178" w:rsidRPr="00F85178" w14:paraId="449D65CD" w14:textId="77777777" w:rsidTr="00277937">
        <w:trPr>
          <w:trHeight w:val="315"/>
        </w:trPr>
        <w:tc>
          <w:tcPr>
            <w:tcW w:w="1080" w:type="dxa"/>
            <w:tcBorders>
              <w:top w:val="nil"/>
              <w:left w:val="nil"/>
              <w:bottom w:val="single" w:sz="4" w:space="0" w:color="auto"/>
              <w:right w:val="nil"/>
            </w:tcBorders>
            <w:shd w:val="clear" w:color="auto" w:fill="auto"/>
            <w:noWrap/>
            <w:vAlign w:val="center"/>
            <w:hideMark/>
          </w:tcPr>
          <w:p w14:paraId="6C1B97B8"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IV</w:t>
            </w:r>
          </w:p>
        </w:tc>
        <w:tc>
          <w:tcPr>
            <w:tcW w:w="3340" w:type="dxa"/>
            <w:tcBorders>
              <w:top w:val="nil"/>
              <w:left w:val="nil"/>
              <w:bottom w:val="single" w:sz="4" w:space="0" w:color="auto"/>
              <w:right w:val="nil"/>
            </w:tcBorders>
            <w:shd w:val="clear" w:color="auto" w:fill="auto"/>
            <w:vAlign w:val="center"/>
            <w:hideMark/>
          </w:tcPr>
          <w:p w14:paraId="799864C0"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rodině a dětem</w:t>
            </w:r>
          </w:p>
        </w:tc>
        <w:tc>
          <w:tcPr>
            <w:tcW w:w="4120" w:type="dxa"/>
            <w:tcBorders>
              <w:top w:val="nil"/>
              <w:left w:val="single" w:sz="4" w:space="0" w:color="auto"/>
              <w:bottom w:val="single" w:sz="4" w:space="0" w:color="auto"/>
              <w:right w:val="nil"/>
            </w:tcBorders>
            <w:shd w:val="clear" w:color="auto" w:fill="auto"/>
            <w:vAlign w:val="center"/>
            <w:hideMark/>
          </w:tcPr>
          <w:p w14:paraId="665E2424"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Týrání osoby žijící ve společném obydlí</w:t>
            </w:r>
          </w:p>
        </w:tc>
      </w:tr>
      <w:tr w:rsidR="00F85178" w:rsidRPr="00F85178" w14:paraId="52558E8A" w14:textId="77777777" w:rsidTr="00277937">
        <w:trPr>
          <w:trHeight w:val="315"/>
        </w:trPr>
        <w:tc>
          <w:tcPr>
            <w:tcW w:w="1080" w:type="dxa"/>
            <w:tcBorders>
              <w:top w:val="nil"/>
              <w:left w:val="nil"/>
              <w:bottom w:val="single" w:sz="4" w:space="0" w:color="auto"/>
              <w:right w:val="nil"/>
            </w:tcBorders>
            <w:shd w:val="clear" w:color="auto" w:fill="auto"/>
            <w:noWrap/>
            <w:vAlign w:val="center"/>
            <w:hideMark/>
          </w:tcPr>
          <w:p w14:paraId="65573273"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V</w:t>
            </w:r>
          </w:p>
        </w:tc>
        <w:tc>
          <w:tcPr>
            <w:tcW w:w="3340" w:type="dxa"/>
            <w:tcBorders>
              <w:top w:val="nil"/>
              <w:left w:val="nil"/>
              <w:bottom w:val="single" w:sz="4" w:space="0" w:color="auto"/>
              <w:right w:val="nil"/>
            </w:tcBorders>
            <w:shd w:val="clear" w:color="auto" w:fill="auto"/>
            <w:vAlign w:val="center"/>
            <w:hideMark/>
          </w:tcPr>
          <w:p w14:paraId="5D3762D5"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majetku</w:t>
            </w:r>
          </w:p>
        </w:tc>
        <w:tc>
          <w:tcPr>
            <w:tcW w:w="4120" w:type="dxa"/>
            <w:tcBorders>
              <w:top w:val="nil"/>
              <w:left w:val="single" w:sz="4" w:space="0" w:color="auto"/>
              <w:bottom w:val="single" w:sz="4" w:space="0" w:color="auto"/>
              <w:right w:val="nil"/>
            </w:tcBorders>
            <w:shd w:val="clear" w:color="auto" w:fill="auto"/>
            <w:vAlign w:val="center"/>
            <w:hideMark/>
          </w:tcPr>
          <w:p w14:paraId="30D7654A"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Podvod</w:t>
            </w:r>
          </w:p>
        </w:tc>
      </w:tr>
      <w:tr w:rsidR="00F85178" w:rsidRPr="00F85178" w14:paraId="17176746" w14:textId="77777777" w:rsidTr="00277937">
        <w:trPr>
          <w:trHeight w:val="630"/>
        </w:trPr>
        <w:tc>
          <w:tcPr>
            <w:tcW w:w="1080" w:type="dxa"/>
            <w:tcBorders>
              <w:top w:val="nil"/>
              <w:left w:val="nil"/>
              <w:bottom w:val="single" w:sz="4" w:space="0" w:color="auto"/>
              <w:right w:val="nil"/>
            </w:tcBorders>
            <w:shd w:val="clear" w:color="auto" w:fill="auto"/>
            <w:noWrap/>
            <w:vAlign w:val="center"/>
            <w:hideMark/>
          </w:tcPr>
          <w:p w14:paraId="374A28FD"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VI</w:t>
            </w:r>
          </w:p>
        </w:tc>
        <w:tc>
          <w:tcPr>
            <w:tcW w:w="3340" w:type="dxa"/>
            <w:tcBorders>
              <w:top w:val="nil"/>
              <w:left w:val="nil"/>
              <w:bottom w:val="single" w:sz="4" w:space="0" w:color="auto"/>
              <w:right w:val="nil"/>
            </w:tcBorders>
            <w:shd w:val="clear" w:color="auto" w:fill="auto"/>
            <w:vAlign w:val="center"/>
            <w:hideMark/>
          </w:tcPr>
          <w:p w14:paraId="3313381E"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hospodářské</w:t>
            </w:r>
          </w:p>
        </w:tc>
        <w:tc>
          <w:tcPr>
            <w:tcW w:w="4120" w:type="dxa"/>
            <w:tcBorders>
              <w:top w:val="nil"/>
              <w:left w:val="single" w:sz="4" w:space="0" w:color="auto"/>
              <w:bottom w:val="single" w:sz="4" w:space="0" w:color="auto"/>
              <w:right w:val="nil"/>
            </w:tcBorders>
            <w:shd w:val="clear" w:color="auto" w:fill="auto"/>
            <w:vAlign w:val="center"/>
            <w:hideMark/>
          </w:tcPr>
          <w:p w14:paraId="035CB84F"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Zkrácení daně, poplatku a podobné povinné platby</w:t>
            </w:r>
          </w:p>
        </w:tc>
      </w:tr>
      <w:tr w:rsidR="00F85178" w:rsidRPr="00F85178" w14:paraId="39C7A566" w14:textId="77777777" w:rsidTr="00277937">
        <w:trPr>
          <w:trHeight w:val="315"/>
        </w:trPr>
        <w:tc>
          <w:tcPr>
            <w:tcW w:w="1080" w:type="dxa"/>
            <w:tcBorders>
              <w:top w:val="nil"/>
              <w:left w:val="nil"/>
              <w:bottom w:val="single" w:sz="4" w:space="0" w:color="auto"/>
              <w:right w:val="nil"/>
            </w:tcBorders>
            <w:shd w:val="clear" w:color="auto" w:fill="auto"/>
            <w:noWrap/>
            <w:vAlign w:val="center"/>
            <w:hideMark/>
          </w:tcPr>
          <w:p w14:paraId="77E1A139"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VII</w:t>
            </w:r>
          </w:p>
        </w:tc>
        <w:tc>
          <w:tcPr>
            <w:tcW w:w="3340" w:type="dxa"/>
            <w:tcBorders>
              <w:top w:val="nil"/>
              <w:left w:val="nil"/>
              <w:bottom w:val="single" w:sz="4" w:space="0" w:color="auto"/>
              <w:right w:val="nil"/>
            </w:tcBorders>
            <w:shd w:val="clear" w:color="auto" w:fill="auto"/>
            <w:vAlign w:val="center"/>
            <w:hideMark/>
          </w:tcPr>
          <w:p w14:paraId="25F2FBC6"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obecně nebezpečné</w:t>
            </w:r>
          </w:p>
        </w:tc>
        <w:tc>
          <w:tcPr>
            <w:tcW w:w="4120" w:type="dxa"/>
            <w:tcBorders>
              <w:top w:val="nil"/>
              <w:left w:val="single" w:sz="4" w:space="0" w:color="auto"/>
              <w:bottom w:val="single" w:sz="4" w:space="0" w:color="auto"/>
              <w:right w:val="nil"/>
            </w:tcBorders>
            <w:shd w:val="clear" w:color="auto" w:fill="auto"/>
            <w:vAlign w:val="center"/>
            <w:hideMark/>
          </w:tcPr>
          <w:p w14:paraId="75B19C57"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Nedovolená výroba a jiné nakládání s omamnými a psychotropními látkami a s jedy</w:t>
            </w:r>
          </w:p>
        </w:tc>
      </w:tr>
      <w:tr w:rsidR="00F85178" w:rsidRPr="00F85178" w14:paraId="044DC7F6" w14:textId="77777777" w:rsidTr="00277937">
        <w:trPr>
          <w:trHeight w:val="945"/>
        </w:trPr>
        <w:tc>
          <w:tcPr>
            <w:tcW w:w="1080" w:type="dxa"/>
            <w:tcBorders>
              <w:top w:val="nil"/>
              <w:left w:val="nil"/>
              <w:bottom w:val="single" w:sz="4" w:space="0" w:color="auto"/>
              <w:right w:val="nil"/>
            </w:tcBorders>
            <w:shd w:val="clear" w:color="auto" w:fill="auto"/>
            <w:noWrap/>
            <w:vAlign w:val="center"/>
            <w:hideMark/>
          </w:tcPr>
          <w:p w14:paraId="3B211432"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VIII</w:t>
            </w:r>
          </w:p>
        </w:tc>
        <w:tc>
          <w:tcPr>
            <w:tcW w:w="3340" w:type="dxa"/>
            <w:tcBorders>
              <w:top w:val="nil"/>
              <w:left w:val="nil"/>
              <w:bottom w:val="single" w:sz="4" w:space="0" w:color="auto"/>
              <w:right w:val="nil"/>
            </w:tcBorders>
            <w:shd w:val="clear" w:color="auto" w:fill="auto"/>
            <w:vAlign w:val="center"/>
            <w:hideMark/>
          </w:tcPr>
          <w:p w14:paraId="7F108958"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životnímu prostředí</w:t>
            </w:r>
          </w:p>
        </w:tc>
        <w:tc>
          <w:tcPr>
            <w:tcW w:w="4120" w:type="dxa"/>
            <w:tcBorders>
              <w:top w:val="nil"/>
              <w:left w:val="single" w:sz="4" w:space="0" w:color="auto"/>
              <w:bottom w:val="single" w:sz="4" w:space="0" w:color="auto"/>
              <w:right w:val="nil"/>
            </w:tcBorders>
            <w:shd w:val="clear" w:color="auto" w:fill="auto"/>
            <w:vAlign w:val="center"/>
            <w:hideMark/>
          </w:tcPr>
          <w:p w14:paraId="3871E43D"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3B2A0541" w14:textId="77777777" w:rsidTr="00277937">
        <w:trPr>
          <w:trHeight w:val="945"/>
        </w:trPr>
        <w:tc>
          <w:tcPr>
            <w:tcW w:w="1080" w:type="dxa"/>
            <w:tcBorders>
              <w:top w:val="nil"/>
              <w:left w:val="nil"/>
              <w:bottom w:val="single" w:sz="4" w:space="0" w:color="auto"/>
              <w:right w:val="nil"/>
            </w:tcBorders>
            <w:shd w:val="clear" w:color="auto" w:fill="auto"/>
            <w:noWrap/>
            <w:vAlign w:val="center"/>
            <w:hideMark/>
          </w:tcPr>
          <w:p w14:paraId="36FCED01"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IX</w:t>
            </w:r>
          </w:p>
        </w:tc>
        <w:tc>
          <w:tcPr>
            <w:tcW w:w="3340" w:type="dxa"/>
            <w:tcBorders>
              <w:top w:val="nil"/>
              <w:left w:val="nil"/>
              <w:bottom w:val="single" w:sz="4" w:space="0" w:color="auto"/>
              <w:right w:val="nil"/>
            </w:tcBorders>
            <w:shd w:val="clear" w:color="auto" w:fill="auto"/>
            <w:vAlign w:val="center"/>
            <w:hideMark/>
          </w:tcPr>
          <w:p w14:paraId="201D0187"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České republice, cizímu státu a mezinárodní organizaci</w:t>
            </w:r>
            <w:r w:rsidRPr="00F85178">
              <w:rPr>
                <w:rStyle w:val="Znakapoznpodarou"/>
                <w:rFonts w:eastAsia="Times New Roman"/>
                <w:szCs w:val="24"/>
                <w:lang w:eastAsia="cs-CZ"/>
              </w:rPr>
              <w:footnoteReference w:id="11"/>
            </w:r>
          </w:p>
        </w:tc>
        <w:tc>
          <w:tcPr>
            <w:tcW w:w="4120" w:type="dxa"/>
            <w:tcBorders>
              <w:top w:val="nil"/>
              <w:left w:val="single" w:sz="4" w:space="0" w:color="auto"/>
              <w:bottom w:val="single" w:sz="4" w:space="0" w:color="auto"/>
              <w:right w:val="nil"/>
            </w:tcBorders>
            <w:shd w:val="clear" w:color="auto" w:fill="auto"/>
            <w:vAlign w:val="center"/>
            <w:hideMark/>
          </w:tcPr>
          <w:p w14:paraId="13D05A6F"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Podpora a propagace terorismu</w:t>
            </w:r>
          </w:p>
        </w:tc>
      </w:tr>
      <w:tr w:rsidR="00F85178" w:rsidRPr="00F85178" w14:paraId="0D8B8DAB" w14:textId="77777777" w:rsidTr="00277937">
        <w:trPr>
          <w:trHeight w:val="630"/>
        </w:trPr>
        <w:tc>
          <w:tcPr>
            <w:tcW w:w="1080" w:type="dxa"/>
            <w:tcBorders>
              <w:top w:val="nil"/>
              <w:left w:val="nil"/>
              <w:bottom w:val="single" w:sz="4" w:space="0" w:color="auto"/>
              <w:right w:val="nil"/>
            </w:tcBorders>
            <w:shd w:val="clear" w:color="auto" w:fill="auto"/>
            <w:noWrap/>
            <w:vAlign w:val="center"/>
            <w:hideMark/>
          </w:tcPr>
          <w:p w14:paraId="5618598A"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X</w:t>
            </w:r>
          </w:p>
        </w:tc>
        <w:tc>
          <w:tcPr>
            <w:tcW w:w="3340" w:type="dxa"/>
            <w:tcBorders>
              <w:top w:val="nil"/>
              <w:left w:val="nil"/>
              <w:bottom w:val="single" w:sz="4" w:space="0" w:color="auto"/>
              <w:right w:val="nil"/>
            </w:tcBorders>
            <w:shd w:val="clear" w:color="auto" w:fill="auto"/>
            <w:vAlign w:val="center"/>
            <w:hideMark/>
          </w:tcPr>
          <w:p w14:paraId="7F2FF58B"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pořádku ve věcech veřejných</w:t>
            </w:r>
          </w:p>
        </w:tc>
        <w:tc>
          <w:tcPr>
            <w:tcW w:w="4120" w:type="dxa"/>
            <w:tcBorders>
              <w:top w:val="nil"/>
              <w:left w:val="single" w:sz="4" w:space="0" w:color="auto"/>
              <w:bottom w:val="single" w:sz="4" w:space="0" w:color="auto"/>
              <w:right w:val="nil"/>
            </w:tcBorders>
            <w:shd w:val="clear" w:color="auto" w:fill="auto"/>
            <w:vAlign w:val="center"/>
            <w:hideMark/>
          </w:tcPr>
          <w:p w14:paraId="6DEBE3B5"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Zneužití pravomoci úřední osoby</w:t>
            </w:r>
          </w:p>
        </w:tc>
      </w:tr>
      <w:tr w:rsidR="00F85178" w:rsidRPr="00F85178" w14:paraId="778B1E29" w14:textId="77777777" w:rsidTr="00277937">
        <w:trPr>
          <w:trHeight w:val="630"/>
        </w:trPr>
        <w:tc>
          <w:tcPr>
            <w:tcW w:w="1080" w:type="dxa"/>
            <w:tcBorders>
              <w:top w:val="nil"/>
              <w:left w:val="nil"/>
              <w:bottom w:val="single" w:sz="4" w:space="0" w:color="auto"/>
              <w:right w:val="nil"/>
            </w:tcBorders>
            <w:shd w:val="clear" w:color="auto" w:fill="auto"/>
            <w:noWrap/>
            <w:vAlign w:val="center"/>
            <w:hideMark/>
          </w:tcPr>
          <w:p w14:paraId="3DC696CA"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XI</w:t>
            </w:r>
          </w:p>
        </w:tc>
        <w:tc>
          <w:tcPr>
            <w:tcW w:w="3340" w:type="dxa"/>
            <w:tcBorders>
              <w:top w:val="nil"/>
              <w:left w:val="nil"/>
              <w:bottom w:val="single" w:sz="4" w:space="0" w:color="auto"/>
              <w:right w:val="nil"/>
            </w:tcBorders>
            <w:shd w:val="clear" w:color="auto" w:fill="auto"/>
            <w:vAlign w:val="center"/>
            <w:hideMark/>
          </w:tcPr>
          <w:p w14:paraId="069389AB"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branné povinnosti</w:t>
            </w:r>
          </w:p>
        </w:tc>
        <w:tc>
          <w:tcPr>
            <w:tcW w:w="4120" w:type="dxa"/>
            <w:tcBorders>
              <w:top w:val="nil"/>
              <w:left w:val="single" w:sz="4" w:space="0" w:color="auto"/>
              <w:bottom w:val="single" w:sz="4" w:space="0" w:color="auto"/>
              <w:right w:val="nil"/>
            </w:tcBorders>
            <w:shd w:val="clear" w:color="auto" w:fill="auto"/>
            <w:vAlign w:val="center"/>
            <w:hideMark/>
          </w:tcPr>
          <w:p w14:paraId="65152722"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w:t>
            </w:r>
          </w:p>
        </w:tc>
      </w:tr>
      <w:tr w:rsidR="00F85178" w:rsidRPr="00F85178" w14:paraId="4CB73464" w14:textId="77777777" w:rsidTr="00277937">
        <w:trPr>
          <w:trHeight w:val="315"/>
        </w:trPr>
        <w:tc>
          <w:tcPr>
            <w:tcW w:w="1080" w:type="dxa"/>
            <w:tcBorders>
              <w:top w:val="nil"/>
              <w:left w:val="nil"/>
              <w:bottom w:val="single" w:sz="4" w:space="0" w:color="auto"/>
              <w:right w:val="nil"/>
            </w:tcBorders>
            <w:shd w:val="clear" w:color="auto" w:fill="auto"/>
            <w:noWrap/>
            <w:vAlign w:val="center"/>
            <w:hideMark/>
          </w:tcPr>
          <w:p w14:paraId="2F1110CB"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XII</w:t>
            </w:r>
          </w:p>
        </w:tc>
        <w:tc>
          <w:tcPr>
            <w:tcW w:w="3340" w:type="dxa"/>
            <w:tcBorders>
              <w:top w:val="nil"/>
              <w:left w:val="nil"/>
              <w:bottom w:val="single" w:sz="4" w:space="0" w:color="auto"/>
              <w:right w:val="nil"/>
            </w:tcBorders>
            <w:shd w:val="clear" w:color="auto" w:fill="auto"/>
            <w:vAlign w:val="center"/>
            <w:hideMark/>
          </w:tcPr>
          <w:p w14:paraId="3CBE0600"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vojenské</w:t>
            </w:r>
          </w:p>
        </w:tc>
        <w:tc>
          <w:tcPr>
            <w:tcW w:w="4120" w:type="dxa"/>
            <w:tcBorders>
              <w:top w:val="nil"/>
              <w:left w:val="single" w:sz="4" w:space="0" w:color="auto"/>
              <w:bottom w:val="single" w:sz="4" w:space="0" w:color="auto"/>
              <w:right w:val="nil"/>
            </w:tcBorders>
            <w:shd w:val="clear" w:color="auto" w:fill="auto"/>
            <w:vAlign w:val="center"/>
            <w:hideMark/>
          </w:tcPr>
          <w:p w14:paraId="60F90810"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w:t>
            </w:r>
          </w:p>
        </w:tc>
      </w:tr>
      <w:tr w:rsidR="00C64FEA" w:rsidRPr="00F85178" w14:paraId="49FEE3C4" w14:textId="77777777" w:rsidTr="00277937">
        <w:trPr>
          <w:trHeight w:val="645"/>
        </w:trPr>
        <w:tc>
          <w:tcPr>
            <w:tcW w:w="1080" w:type="dxa"/>
            <w:tcBorders>
              <w:top w:val="nil"/>
              <w:left w:val="nil"/>
              <w:bottom w:val="double" w:sz="6" w:space="0" w:color="auto"/>
              <w:right w:val="nil"/>
            </w:tcBorders>
            <w:shd w:val="clear" w:color="auto" w:fill="auto"/>
            <w:noWrap/>
            <w:vAlign w:val="center"/>
            <w:hideMark/>
          </w:tcPr>
          <w:p w14:paraId="2B61AD5B"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XIII</w:t>
            </w:r>
          </w:p>
        </w:tc>
        <w:tc>
          <w:tcPr>
            <w:tcW w:w="3340" w:type="dxa"/>
            <w:tcBorders>
              <w:top w:val="nil"/>
              <w:left w:val="nil"/>
              <w:bottom w:val="double" w:sz="6" w:space="0" w:color="auto"/>
              <w:right w:val="nil"/>
            </w:tcBorders>
            <w:shd w:val="clear" w:color="auto" w:fill="auto"/>
            <w:vAlign w:val="center"/>
            <w:hideMark/>
          </w:tcPr>
          <w:p w14:paraId="5D444B68" w14:textId="77777777" w:rsidR="00C64FEA" w:rsidRPr="00F85178" w:rsidRDefault="00C64FEA" w:rsidP="00277937">
            <w:pPr>
              <w:spacing w:line="240" w:lineRule="auto"/>
              <w:jc w:val="left"/>
              <w:rPr>
                <w:rFonts w:eastAsia="Times New Roman"/>
                <w:szCs w:val="24"/>
                <w:lang w:eastAsia="cs-CZ"/>
              </w:rPr>
            </w:pPr>
            <w:r w:rsidRPr="00F85178">
              <w:rPr>
                <w:rFonts w:eastAsia="Times New Roman"/>
                <w:szCs w:val="24"/>
                <w:lang w:eastAsia="cs-CZ"/>
              </w:rPr>
              <w:t>Trestné činy proti lidskosti, proti míru a válečné trestné činy</w:t>
            </w:r>
          </w:p>
        </w:tc>
        <w:tc>
          <w:tcPr>
            <w:tcW w:w="4120" w:type="dxa"/>
            <w:tcBorders>
              <w:top w:val="nil"/>
              <w:left w:val="single" w:sz="4" w:space="0" w:color="auto"/>
              <w:bottom w:val="double" w:sz="6" w:space="0" w:color="auto"/>
              <w:right w:val="nil"/>
            </w:tcBorders>
            <w:shd w:val="clear" w:color="auto" w:fill="auto"/>
            <w:vAlign w:val="center"/>
            <w:hideMark/>
          </w:tcPr>
          <w:p w14:paraId="200DBC56" w14:textId="77777777" w:rsidR="00C64FEA" w:rsidRPr="00F85178" w:rsidRDefault="00C64FEA" w:rsidP="00277937">
            <w:pPr>
              <w:spacing w:line="240" w:lineRule="auto"/>
              <w:jc w:val="center"/>
              <w:rPr>
                <w:rFonts w:eastAsia="Times New Roman"/>
                <w:szCs w:val="24"/>
                <w:lang w:eastAsia="cs-CZ"/>
              </w:rPr>
            </w:pPr>
            <w:r w:rsidRPr="00F85178">
              <w:rPr>
                <w:rFonts w:eastAsia="Times New Roman"/>
                <w:szCs w:val="24"/>
                <w:lang w:eastAsia="cs-CZ"/>
              </w:rPr>
              <w:t>-</w:t>
            </w:r>
          </w:p>
        </w:tc>
      </w:tr>
    </w:tbl>
    <w:p w14:paraId="5274BCB4" w14:textId="77777777" w:rsidR="00C64FEA" w:rsidRPr="00F85178" w:rsidRDefault="00C64FEA" w:rsidP="00C64FEA">
      <w:pPr>
        <w:spacing w:line="240" w:lineRule="auto"/>
        <w:jc w:val="left"/>
      </w:pPr>
    </w:p>
    <w:p w14:paraId="637831CF" w14:textId="77777777" w:rsidR="00C64FEA" w:rsidRPr="00F85178" w:rsidRDefault="00C64FEA">
      <w:pPr>
        <w:spacing w:line="240" w:lineRule="auto"/>
        <w:jc w:val="left"/>
      </w:pPr>
      <w:r w:rsidRPr="00F85178">
        <w:br w:type="page"/>
      </w:r>
    </w:p>
    <w:p w14:paraId="151BCC09" w14:textId="77777777" w:rsidR="00C64FEA" w:rsidRPr="00F85178" w:rsidRDefault="00C64FEA" w:rsidP="00C64FEA">
      <w:pPr>
        <w:pStyle w:val="Nadpis2"/>
      </w:pPr>
      <w:bookmarkStart w:id="469" w:name="_Toc515871262"/>
      <w:bookmarkStart w:id="470" w:name="_Toc14076911"/>
      <w:r w:rsidRPr="00F85178">
        <w:t>Trestní odvolací agenda</w:t>
      </w:r>
      <w:bookmarkEnd w:id="469"/>
      <w:bookmarkEnd w:id="470"/>
    </w:p>
    <w:p w14:paraId="666F3615" w14:textId="77777777" w:rsidR="00BA7EF8" w:rsidRPr="00F85178" w:rsidRDefault="00BA7EF8" w:rsidP="00BA7EF8">
      <w:pPr>
        <w:pStyle w:val="OdstavecASR"/>
      </w:pPr>
      <w:r w:rsidRPr="00F85178">
        <w:t>Trestní odvolací agenda zahrnuje rejstříky To a Tmo. Ke změnám ve vedení statistik nedošlo a data dále není třeba nijak očišťovat.</w:t>
      </w:r>
    </w:p>
    <w:p w14:paraId="537AA20A" w14:textId="77777777" w:rsidR="00B322CD" w:rsidRPr="00F85178" w:rsidRDefault="00B322CD" w:rsidP="00B322CD">
      <w:pPr>
        <w:pStyle w:val="Nadpis3"/>
        <w:rPr>
          <w:color w:val="auto"/>
        </w:rPr>
      </w:pPr>
      <w:bookmarkStart w:id="471" w:name="_Ref511391169"/>
      <w:bookmarkStart w:id="472" w:name="_Toc515871263"/>
      <w:bookmarkStart w:id="473" w:name="_Toc14076912"/>
      <w:r w:rsidRPr="00F85178">
        <w:rPr>
          <w:color w:val="auto"/>
        </w:rPr>
        <w:t>Délka řízení</w:t>
      </w:r>
      <w:bookmarkEnd w:id="471"/>
      <w:bookmarkEnd w:id="472"/>
      <w:bookmarkEnd w:id="473"/>
    </w:p>
    <w:p w14:paraId="22A72E61" w14:textId="77777777" w:rsidR="00BA7EF8" w:rsidRPr="00F85178" w:rsidRDefault="00BA7EF8" w:rsidP="00BA7EF8">
      <w:pPr>
        <w:pStyle w:val="OdstavecASR"/>
      </w:pPr>
      <w:r w:rsidRPr="00F85178">
        <w:t>U této agendy uvádíme délku řízení ode dne nápadu u odvolacího soudu do dne jeho vyřízení, který je i dnem pravomocného skončení věci. Stejně jako u civilního řízení platí, že vyřídit věc v odvolací agendě je pro soud jednodušší, než ji vyřídit v prvostupňové agendě. Z grafu vyplývá, že délky řízení jsou velmi nízké (nejnižší ze všech agend) a měnily se jen velmi málo. Rozdíly mezi soudy také nejsou většinou nijak vysoké</w:t>
      </w:r>
      <w:r w:rsidR="005A5E17" w:rsidRPr="00F85178">
        <w:t xml:space="preserve"> </w:t>
      </w:r>
      <w:r w:rsidR="00183021" w:rsidRPr="00F85178">
        <w:t>a KS Ústí nad Labem se v tomto roce výrazně podařilo snížit délku řízení i počet nevyřízených věcí (viz tabulky </w:t>
      </w:r>
      <w:r w:rsidR="00D842DE" w:rsidRPr="00F85178">
        <w:t>52 a 53</w:t>
      </w:r>
      <w:r w:rsidR="00183021" w:rsidRPr="00F85178">
        <w:t>). Délka řízení naopak stoupla u</w:t>
      </w:r>
      <w:r w:rsidR="005A5E17" w:rsidRPr="00F85178">
        <w:t> </w:t>
      </w:r>
      <w:r w:rsidR="00183021" w:rsidRPr="00F85178">
        <w:t>KS Plzeň, ale počet nevyřízených věcí u tohoto soudu klesl.</w:t>
      </w:r>
      <w:r w:rsidR="005A5E17" w:rsidRPr="00F85178">
        <w:t xml:space="preserve"> </w:t>
      </w:r>
      <w:r w:rsidRPr="00F85178">
        <w:t>Celkově se tedy z hlediska rychlosti vyřizování jedná o relativně bezproblémovou agendu.</w:t>
      </w:r>
    </w:p>
    <w:p w14:paraId="02AB036D" w14:textId="77777777" w:rsidR="00A264A3" w:rsidRPr="00F85178" w:rsidRDefault="00A264A3" w:rsidP="00A264A3">
      <w:pPr>
        <w:pStyle w:val="Podtitul"/>
        <w:rPr>
          <w:color w:val="auto"/>
        </w:rPr>
      </w:pPr>
      <w:bookmarkStart w:id="474" w:name="_Toc515871393"/>
      <w:bookmarkStart w:id="475" w:name="_Toc11135124"/>
      <w:bookmarkStart w:id="476" w:name="_Toc1383755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63</w:t>
      </w:r>
      <w:r w:rsidRPr="00F85178">
        <w:rPr>
          <w:noProof/>
          <w:color w:val="auto"/>
        </w:rPr>
        <w:fldChar w:fldCharType="end"/>
      </w:r>
      <w:r w:rsidRPr="00F85178">
        <w:rPr>
          <w:color w:val="auto"/>
        </w:rPr>
        <w:t>: KS – délka odvolacího trestního řízení v letech 2008–201</w:t>
      </w:r>
      <w:bookmarkEnd w:id="474"/>
      <w:r w:rsidRPr="00F85178">
        <w:rPr>
          <w:color w:val="auto"/>
        </w:rPr>
        <w:t>8</w:t>
      </w:r>
      <w:bookmarkEnd w:id="475"/>
      <w:bookmarkEnd w:id="476"/>
    </w:p>
    <w:p w14:paraId="75AF2B4F" w14:textId="77777777" w:rsidR="002E5060" w:rsidRPr="00F85178" w:rsidRDefault="00890295">
      <w:pPr>
        <w:spacing w:line="240" w:lineRule="auto"/>
        <w:jc w:val="left"/>
      </w:pPr>
      <w:r>
        <w:rPr>
          <w:noProof/>
          <w:lang w:eastAsia="cs-CZ"/>
        </w:rPr>
        <w:drawing>
          <wp:inline distT="0" distB="0" distL="0" distR="0" wp14:anchorId="4C4D3A08" wp14:editId="49B8154E">
            <wp:extent cx="5118100" cy="3746500"/>
            <wp:effectExtent l="0" t="0" r="0" b="0"/>
            <wp:docPr id="66" name="Obrázek 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9"/>
                    <pic:cNvPicPr>
                      <a:picLocks noChangeAspect="1" noChangeArrowheads="1"/>
                    </pic:cNvPicPr>
                  </pic:nvPicPr>
                  <pic:blipFill>
                    <a:blip r:embed="rId9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C1D772D" w14:textId="77777777" w:rsidR="005C5C8D" w:rsidRPr="00F85178" w:rsidRDefault="005C5C8D" w:rsidP="005C5C8D">
      <w:pPr>
        <w:pStyle w:val="OdstavecASR"/>
      </w:pPr>
      <w:r w:rsidRPr="00F85178">
        <w:t>Krajské soudy vyřizují v odvolací agendě nejčastěji odvolání v následujících trestných činech: krádež (§ 205 trestního zákoníku), maření výkonu úředního rozhodnutí a vykázání (§ 337) a podvod (§ 209). Těmito trestnými činy se velmi často zabývají okresní soudy v prvním stupni. Logicky je u nich pak v absolutních číslech podáváno nejvíce odvolání.</w:t>
      </w:r>
    </w:p>
    <w:p w14:paraId="7171E577" w14:textId="77777777" w:rsidR="002E5060" w:rsidRPr="00F85178" w:rsidRDefault="002E5060" w:rsidP="005C5C8D">
      <w:pPr>
        <w:pStyle w:val="Podtitul"/>
        <w:pageBreakBefore/>
        <w:rPr>
          <w:color w:val="auto"/>
        </w:rPr>
      </w:pPr>
      <w:bookmarkStart w:id="477" w:name="_Toc515871487"/>
      <w:bookmarkStart w:id="478" w:name="_Toc11133254"/>
      <w:bookmarkStart w:id="479" w:name="_Toc1383747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52</w:t>
      </w:r>
      <w:r w:rsidRPr="00F85178">
        <w:rPr>
          <w:noProof/>
          <w:color w:val="auto"/>
        </w:rPr>
        <w:fldChar w:fldCharType="end"/>
      </w:r>
      <w:r w:rsidRPr="00F85178">
        <w:rPr>
          <w:color w:val="auto"/>
        </w:rPr>
        <w:t>: KS – délky odvolacího trestního řízení dle soudů</w:t>
      </w:r>
      <w:bookmarkEnd w:id="477"/>
      <w:bookmarkEnd w:id="478"/>
      <w:bookmarkEnd w:id="479"/>
    </w:p>
    <w:tbl>
      <w:tblPr>
        <w:tblW w:w="7520" w:type="dxa"/>
        <w:tblCellMar>
          <w:left w:w="70" w:type="dxa"/>
          <w:right w:w="70" w:type="dxa"/>
        </w:tblCellMar>
        <w:tblLook w:val="04A0" w:firstRow="1" w:lastRow="0" w:firstColumn="1" w:lastColumn="0" w:noHBand="0" w:noVBand="1"/>
      </w:tblPr>
      <w:tblGrid>
        <w:gridCol w:w="2480"/>
        <w:gridCol w:w="500"/>
        <w:gridCol w:w="1107"/>
        <w:gridCol w:w="499"/>
        <w:gridCol w:w="1107"/>
        <w:gridCol w:w="720"/>
        <w:gridCol w:w="1107"/>
      </w:tblGrid>
      <w:tr w:rsidR="00F85178" w:rsidRPr="00F85178" w14:paraId="6FB60CC0" w14:textId="77777777" w:rsidTr="002E5060">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97D0A8E" w14:textId="395A169D" w:rsidR="002E5060" w:rsidRPr="00F85178" w:rsidRDefault="00F2120F" w:rsidP="002E5060">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0D0ABB09"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3E81ECCB" w14:textId="77777777" w:rsidTr="002E5060">
        <w:trPr>
          <w:trHeight w:val="330"/>
        </w:trPr>
        <w:tc>
          <w:tcPr>
            <w:tcW w:w="2480" w:type="dxa"/>
            <w:vMerge/>
            <w:tcBorders>
              <w:top w:val="double" w:sz="6" w:space="0" w:color="auto"/>
              <w:left w:val="nil"/>
              <w:bottom w:val="double" w:sz="6" w:space="0" w:color="000000"/>
              <w:right w:val="nil"/>
            </w:tcBorders>
            <w:vAlign w:val="center"/>
            <w:hideMark/>
          </w:tcPr>
          <w:p w14:paraId="361422B4" w14:textId="77777777" w:rsidR="002E5060" w:rsidRPr="00F85178" w:rsidRDefault="002E5060" w:rsidP="002E5060">
            <w:pPr>
              <w:spacing w:line="240" w:lineRule="auto"/>
              <w:jc w:val="left"/>
              <w:rPr>
                <w:rFonts w:eastAsia="Times New Roman"/>
                <w:b/>
                <w:bCs/>
                <w:szCs w:val="24"/>
                <w:lang w:eastAsia="cs-CZ"/>
              </w:rPr>
            </w:pPr>
          </w:p>
        </w:tc>
        <w:tc>
          <w:tcPr>
            <w:tcW w:w="1607" w:type="dxa"/>
            <w:gridSpan w:val="2"/>
            <w:tcBorders>
              <w:top w:val="nil"/>
              <w:left w:val="nil"/>
              <w:bottom w:val="double" w:sz="6" w:space="0" w:color="auto"/>
              <w:right w:val="nil"/>
            </w:tcBorders>
            <w:shd w:val="clear" w:color="auto" w:fill="auto"/>
            <w:noWrap/>
            <w:vAlign w:val="center"/>
            <w:hideMark/>
          </w:tcPr>
          <w:p w14:paraId="3D841E18"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0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10835C3C"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827" w:type="dxa"/>
            <w:gridSpan w:val="2"/>
            <w:tcBorders>
              <w:top w:val="nil"/>
              <w:left w:val="nil"/>
              <w:bottom w:val="double" w:sz="6" w:space="0" w:color="auto"/>
              <w:right w:val="nil"/>
            </w:tcBorders>
            <w:shd w:val="clear" w:color="auto" w:fill="auto"/>
            <w:noWrap/>
            <w:vAlign w:val="center"/>
            <w:hideMark/>
          </w:tcPr>
          <w:p w14:paraId="1A761149"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283B8B5D" w14:textId="77777777" w:rsidTr="002E5060">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9660855"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MS Praha</w:t>
            </w:r>
          </w:p>
        </w:tc>
        <w:tc>
          <w:tcPr>
            <w:tcW w:w="500" w:type="dxa"/>
            <w:tcBorders>
              <w:top w:val="single" w:sz="4" w:space="0" w:color="auto"/>
              <w:left w:val="nil"/>
              <w:bottom w:val="single" w:sz="4" w:space="0" w:color="auto"/>
              <w:right w:val="nil"/>
            </w:tcBorders>
            <w:shd w:val="clear" w:color="auto" w:fill="auto"/>
            <w:noWrap/>
            <w:vAlign w:val="bottom"/>
            <w:hideMark/>
          </w:tcPr>
          <w:p w14:paraId="7A5A5D85"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39</w:t>
            </w:r>
          </w:p>
        </w:tc>
        <w:tc>
          <w:tcPr>
            <w:tcW w:w="1107" w:type="dxa"/>
            <w:tcBorders>
              <w:top w:val="single" w:sz="4" w:space="0" w:color="auto"/>
              <w:left w:val="nil"/>
              <w:bottom w:val="single" w:sz="4" w:space="0" w:color="auto"/>
              <w:right w:val="nil"/>
            </w:tcBorders>
            <w:shd w:val="clear" w:color="auto" w:fill="auto"/>
            <w:noWrap/>
            <w:vAlign w:val="center"/>
            <w:hideMark/>
          </w:tcPr>
          <w:p w14:paraId="77C2C3CE"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499" w:type="dxa"/>
            <w:tcBorders>
              <w:top w:val="nil"/>
              <w:left w:val="single" w:sz="4" w:space="0" w:color="auto"/>
              <w:bottom w:val="single" w:sz="4" w:space="0" w:color="auto"/>
              <w:right w:val="nil"/>
            </w:tcBorders>
            <w:shd w:val="clear" w:color="auto" w:fill="auto"/>
            <w:noWrap/>
            <w:vAlign w:val="bottom"/>
            <w:hideMark/>
          </w:tcPr>
          <w:p w14:paraId="05DEA5DC"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28</w:t>
            </w:r>
          </w:p>
        </w:tc>
        <w:tc>
          <w:tcPr>
            <w:tcW w:w="1107" w:type="dxa"/>
            <w:tcBorders>
              <w:top w:val="nil"/>
              <w:left w:val="nil"/>
              <w:bottom w:val="single" w:sz="4" w:space="0" w:color="auto"/>
              <w:right w:val="single" w:sz="4" w:space="0" w:color="auto"/>
            </w:tcBorders>
            <w:shd w:val="clear" w:color="auto" w:fill="auto"/>
            <w:noWrap/>
            <w:vAlign w:val="center"/>
            <w:hideMark/>
          </w:tcPr>
          <w:p w14:paraId="498D8B50"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720" w:type="dxa"/>
            <w:tcBorders>
              <w:top w:val="single" w:sz="4" w:space="0" w:color="auto"/>
              <w:left w:val="nil"/>
              <w:bottom w:val="single" w:sz="4" w:space="0" w:color="auto"/>
              <w:right w:val="nil"/>
            </w:tcBorders>
            <w:shd w:val="clear" w:color="auto" w:fill="auto"/>
            <w:noWrap/>
            <w:vAlign w:val="bottom"/>
            <w:hideMark/>
          </w:tcPr>
          <w:p w14:paraId="56266436"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64</w:t>
            </w:r>
          </w:p>
        </w:tc>
        <w:tc>
          <w:tcPr>
            <w:tcW w:w="1107" w:type="dxa"/>
            <w:tcBorders>
              <w:top w:val="single" w:sz="4" w:space="0" w:color="auto"/>
              <w:left w:val="nil"/>
              <w:bottom w:val="single" w:sz="4" w:space="0" w:color="auto"/>
              <w:right w:val="nil"/>
            </w:tcBorders>
            <w:shd w:val="clear" w:color="auto" w:fill="auto"/>
            <w:noWrap/>
            <w:vAlign w:val="center"/>
            <w:hideMark/>
          </w:tcPr>
          <w:p w14:paraId="19DF57E4"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775E33D4"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0F5E37D8"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Praha</w:t>
            </w:r>
          </w:p>
        </w:tc>
        <w:tc>
          <w:tcPr>
            <w:tcW w:w="500" w:type="dxa"/>
            <w:tcBorders>
              <w:top w:val="nil"/>
              <w:left w:val="nil"/>
              <w:bottom w:val="single" w:sz="4" w:space="0" w:color="auto"/>
              <w:right w:val="nil"/>
            </w:tcBorders>
            <w:shd w:val="clear" w:color="auto" w:fill="auto"/>
            <w:noWrap/>
            <w:vAlign w:val="bottom"/>
            <w:hideMark/>
          </w:tcPr>
          <w:p w14:paraId="2C9110C4"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33</w:t>
            </w:r>
          </w:p>
        </w:tc>
        <w:tc>
          <w:tcPr>
            <w:tcW w:w="1107" w:type="dxa"/>
            <w:tcBorders>
              <w:top w:val="nil"/>
              <w:left w:val="nil"/>
              <w:bottom w:val="single" w:sz="4" w:space="0" w:color="auto"/>
              <w:right w:val="nil"/>
            </w:tcBorders>
            <w:shd w:val="clear" w:color="auto" w:fill="auto"/>
            <w:noWrap/>
            <w:vAlign w:val="center"/>
            <w:hideMark/>
          </w:tcPr>
          <w:p w14:paraId="543D0AFD"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499" w:type="dxa"/>
            <w:tcBorders>
              <w:top w:val="nil"/>
              <w:left w:val="single" w:sz="4" w:space="0" w:color="auto"/>
              <w:bottom w:val="single" w:sz="4" w:space="0" w:color="auto"/>
              <w:right w:val="nil"/>
            </w:tcBorders>
            <w:shd w:val="clear" w:color="auto" w:fill="auto"/>
            <w:noWrap/>
            <w:vAlign w:val="bottom"/>
            <w:hideMark/>
          </w:tcPr>
          <w:p w14:paraId="44DB794E"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23</w:t>
            </w:r>
          </w:p>
        </w:tc>
        <w:tc>
          <w:tcPr>
            <w:tcW w:w="1107" w:type="dxa"/>
            <w:tcBorders>
              <w:top w:val="nil"/>
              <w:left w:val="nil"/>
              <w:bottom w:val="single" w:sz="4" w:space="0" w:color="auto"/>
              <w:right w:val="single" w:sz="4" w:space="0" w:color="auto"/>
            </w:tcBorders>
            <w:shd w:val="clear" w:color="auto" w:fill="auto"/>
            <w:noWrap/>
            <w:vAlign w:val="center"/>
            <w:hideMark/>
          </w:tcPr>
          <w:p w14:paraId="32C986AB"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720" w:type="dxa"/>
            <w:tcBorders>
              <w:top w:val="nil"/>
              <w:left w:val="nil"/>
              <w:bottom w:val="single" w:sz="4" w:space="0" w:color="auto"/>
              <w:right w:val="nil"/>
            </w:tcBorders>
            <w:shd w:val="clear" w:color="auto" w:fill="auto"/>
            <w:noWrap/>
            <w:vAlign w:val="bottom"/>
            <w:hideMark/>
          </w:tcPr>
          <w:p w14:paraId="78402615"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57</w:t>
            </w:r>
          </w:p>
        </w:tc>
        <w:tc>
          <w:tcPr>
            <w:tcW w:w="1107" w:type="dxa"/>
            <w:tcBorders>
              <w:top w:val="nil"/>
              <w:left w:val="nil"/>
              <w:bottom w:val="single" w:sz="4" w:space="0" w:color="auto"/>
              <w:right w:val="nil"/>
            </w:tcBorders>
            <w:shd w:val="clear" w:color="auto" w:fill="auto"/>
            <w:noWrap/>
            <w:vAlign w:val="center"/>
            <w:hideMark/>
          </w:tcPr>
          <w:p w14:paraId="5001FD46"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3C527FA8"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73F73E34"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Č. Budějovice</w:t>
            </w:r>
          </w:p>
        </w:tc>
        <w:tc>
          <w:tcPr>
            <w:tcW w:w="500" w:type="dxa"/>
            <w:tcBorders>
              <w:top w:val="nil"/>
              <w:left w:val="nil"/>
              <w:bottom w:val="single" w:sz="4" w:space="0" w:color="auto"/>
              <w:right w:val="nil"/>
            </w:tcBorders>
            <w:shd w:val="clear" w:color="auto" w:fill="auto"/>
            <w:noWrap/>
            <w:vAlign w:val="bottom"/>
            <w:hideMark/>
          </w:tcPr>
          <w:p w14:paraId="6F1A4A32"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59</w:t>
            </w:r>
          </w:p>
        </w:tc>
        <w:tc>
          <w:tcPr>
            <w:tcW w:w="1107" w:type="dxa"/>
            <w:tcBorders>
              <w:top w:val="nil"/>
              <w:left w:val="nil"/>
              <w:bottom w:val="single" w:sz="4" w:space="0" w:color="auto"/>
              <w:right w:val="nil"/>
            </w:tcBorders>
            <w:shd w:val="clear" w:color="auto" w:fill="auto"/>
            <w:noWrap/>
            <w:vAlign w:val="center"/>
            <w:hideMark/>
          </w:tcPr>
          <w:p w14:paraId="5E9D635D"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499" w:type="dxa"/>
            <w:tcBorders>
              <w:top w:val="nil"/>
              <w:left w:val="single" w:sz="4" w:space="0" w:color="auto"/>
              <w:bottom w:val="single" w:sz="4" w:space="0" w:color="auto"/>
              <w:right w:val="nil"/>
            </w:tcBorders>
            <w:shd w:val="clear" w:color="auto" w:fill="auto"/>
            <w:noWrap/>
            <w:vAlign w:val="bottom"/>
            <w:hideMark/>
          </w:tcPr>
          <w:p w14:paraId="56F9C2B9"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44</w:t>
            </w:r>
          </w:p>
        </w:tc>
        <w:tc>
          <w:tcPr>
            <w:tcW w:w="1107" w:type="dxa"/>
            <w:tcBorders>
              <w:top w:val="nil"/>
              <w:left w:val="nil"/>
              <w:bottom w:val="single" w:sz="4" w:space="0" w:color="auto"/>
              <w:right w:val="single" w:sz="4" w:space="0" w:color="auto"/>
            </w:tcBorders>
            <w:shd w:val="clear" w:color="auto" w:fill="auto"/>
            <w:noWrap/>
            <w:vAlign w:val="center"/>
            <w:hideMark/>
          </w:tcPr>
          <w:p w14:paraId="46B0082D"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720" w:type="dxa"/>
            <w:tcBorders>
              <w:top w:val="nil"/>
              <w:left w:val="nil"/>
              <w:bottom w:val="single" w:sz="4" w:space="0" w:color="auto"/>
              <w:right w:val="nil"/>
            </w:tcBorders>
            <w:shd w:val="clear" w:color="auto" w:fill="auto"/>
            <w:noWrap/>
            <w:vAlign w:val="bottom"/>
            <w:hideMark/>
          </w:tcPr>
          <w:p w14:paraId="6A367F6F"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107</w:t>
            </w:r>
          </w:p>
        </w:tc>
        <w:tc>
          <w:tcPr>
            <w:tcW w:w="1107" w:type="dxa"/>
            <w:tcBorders>
              <w:top w:val="nil"/>
              <w:left w:val="nil"/>
              <w:bottom w:val="single" w:sz="4" w:space="0" w:color="auto"/>
              <w:right w:val="nil"/>
            </w:tcBorders>
            <w:shd w:val="clear" w:color="auto" w:fill="auto"/>
            <w:noWrap/>
            <w:vAlign w:val="center"/>
            <w:hideMark/>
          </w:tcPr>
          <w:p w14:paraId="47C3C467"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-18 %</w:t>
            </w:r>
          </w:p>
        </w:tc>
      </w:tr>
      <w:tr w:rsidR="00F85178" w:rsidRPr="00F85178" w14:paraId="0D29F477"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43F81A83"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Plzeň</w:t>
            </w:r>
          </w:p>
        </w:tc>
        <w:tc>
          <w:tcPr>
            <w:tcW w:w="500" w:type="dxa"/>
            <w:tcBorders>
              <w:top w:val="nil"/>
              <w:left w:val="nil"/>
              <w:bottom w:val="single" w:sz="4" w:space="0" w:color="auto"/>
              <w:right w:val="nil"/>
            </w:tcBorders>
            <w:shd w:val="clear" w:color="auto" w:fill="auto"/>
            <w:noWrap/>
            <w:vAlign w:val="bottom"/>
            <w:hideMark/>
          </w:tcPr>
          <w:p w14:paraId="201DDC33"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62</w:t>
            </w:r>
          </w:p>
        </w:tc>
        <w:tc>
          <w:tcPr>
            <w:tcW w:w="1107" w:type="dxa"/>
            <w:tcBorders>
              <w:top w:val="nil"/>
              <w:left w:val="nil"/>
              <w:bottom w:val="single" w:sz="4" w:space="0" w:color="auto"/>
              <w:right w:val="nil"/>
            </w:tcBorders>
            <w:shd w:val="clear" w:color="auto" w:fill="auto"/>
            <w:noWrap/>
            <w:vAlign w:val="center"/>
            <w:hideMark/>
          </w:tcPr>
          <w:p w14:paraId="34954461"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+19 %</w:t>
            </w:r>
          </w:p>
        </w:tc>
        <w:tc>
          <w:tcPr>
            <w:tcW w:w="499" w:type="dxa"/>
            <w:tcBorders>
              <w:top w:val="nil"/>
              <w:left w:val="single" w:sz="4" w:space="0" w:color="auto"/>
              <w:bottom w:val="single" w:sz="4" w:space="0" w:color="auto"/>
              <w:right w:val="nil"/>
            </w:tcBorders>
            <w:shd w:val="clear" w:color="auto" w:fill="auto"/>
            <w:noWrap/>
            <w:vAlign w:val="bottom"/>
            <w:hideMark/>
          </w:tcPr>
          <w:p w14:paraId="5D6D0B63"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40</w:t>
            </w:r>
          </w:p>
        </w:tc>
        <w:tc>
          <w:tcPr>
            <w:tcW w:w="1107" w:type="dxa"/>
            <w:tcBorders>
              <w:top w:val="nil"/>
              <w:left w:val="nil"/>
              <w:bottom w:val="single" w:sz="4" w:space="0" w:color="auto"/>
              <w:right w:val="single" w:sz="4" w:space="0" w:color="auto"/>
            </w:tcBorders>
            <w:shd w:val="clear" w:color="auto" w:fill="auto"/>
            <w:noWrap/>
            <w:vAlign w:val="center"/>
            <w:hideMark/>
          </w:tcPr>
          <w:p w14:paraId="3B5AC01D"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720" w:type="dxa"/>
            <w:tcBorders>
              <w:top w:val="nil"/>
              <w:left w:val="nil"/>
              <w:bottom w:val="single" w:sz="4" w:space="0" w:color="auto"/>
              <w:right w:val="nil"/>
            </w:tcBorders>
            <w:shd w:val="clear" w:color="auto" w:fill="auto"/>
            <w:noWrap/>
            <w:vAlign w:val="bottom"/>
            <w:hideMark/>
          </w:tcPr>
          <w:p w14:paraId="2388E8A3"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120</w:t>
            </w:r>
          </w:p>
        </w:tc>
        <w:tc>
          <w:tcPr>
            <w:tcW w:w="1107" w:type="dxa"/>
            <w:tcBorders>
              <w:top w:val="nil"/>
              <w:left w:val="nil"/>
              <w:bottom w:val="single" w:sz="4" w:space="0" w:color="auto"/>
              <w:right w:val="nil"/>
            </w:tcBorders>
            <w:shd w:val="clear" w:color="auto" w:fill="auto"/>
            <w:noWrap/>
            <w:vAlign w:val="center"/>
            <w:hideMark/>
          </w:tcPr>
          <w:p w14:paraId="56516F5C"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+33 %</w:t>
            </w:r>
          </w:p>
        </w:tc>
      </w:tr>
      <w:tr w:rsidR="00F85178" w:rsidRPr="00F85178" w14:paraId="0ECF814A"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1D943D1E"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Ústí n. Labem</w:t>
            </w:r>
          </w:p>
        </w:tc>
        <w:tc>
          <w:tcPr>
            <w:tcW w:w="500" w:type="dxa"/>
            <w:tcBorders>
              <w:top w:val="nil"/>
              <w:left w:val="nil"/>
              <w:bottom w:val="single" w:sz="4" w:space="0" w:color="auto"/>
              <w:right w:val="nil"/>
            </w:tcBorders>
            <w:shd w:val="clear" w:color="auto" w:fill="auto"/>
            <w:noWrap/>
            <w:vAlign w:val="bottom"/>
            <w:hideMark/>
          </w:tcPr>
          <w:p w14:paraId="5AF9711A"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78</w:t>
            </w:r>
          </w:p>
        </w:tc>
        <w:tc>
          <w:tcPr>
            <w:tcW w:w="1107" w:type="dxa"/>
            <w:tcBorders>
              <w:top w:val="nil"/>
              <w:left w:val="nil"/>
              <w:bottom w:val="single" w:sz="4" w:space="0" w:color="auto"/>
              <w:right w:val="nil"/>
            </w:tcBorders>
            <w:shd w:val="clear" w:color="auto" w:fill="auto"/>
            <w:noWrap/>
            <w:vAlign w:val="center"/>
            <w:hideMark/>
          </w:tcPr>
          <w:p w14:paraId="2E74DE0B"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-31 %</w:t>
            </w:r>
          </w:p>
        </w:tc>
        <w:tc>
          <w:tcPr>
            <w:tcW w:w="499" w:type="dxa"/>
            <w:tcBorders>
              <w:top w:val="nil"/>
              <w:left w:val="single" w:sz="4" w:space="0" w:color="auto"/>
              <w:bottom w:val="single" w:sz="4" w:space="0" w:color="auto"/>
              <w:right w:val="nil"/>
            </w:tcBorders>
            <w:shd w:val="clear" w:color="auto" w:fill="auto"/>
            <w:noWrap/>
            <w:vAlign w:val="bottom"/>
            <w:hideMark/>
          </w:tcPr>
          <w:p w14:paraId="54771F8A"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48</w:t>
            </w:r>
          </w:p>
        </w:tc>
        <w:tc>
          <w:tcPr>
            <w:tcW w:w="1107" w:type="dxa"/>
            <w:tcBorders>
              <w:top w:val="nil"/>
              <w:left w:val="nil"/>
              <w:bottom w:val="single" w:sz="4" w:space="0" w:color="auto"/>
              <w:right w:val="single" w:sz="4" w:space="0" w:color="auto"/>
            </w:tcBorders>
            <w:shd w:val="clear" w:color="auto" w:fill="auto"/>
            <w:noWrap/>
            <w:vAlign w:val="center"/>
            <w:hideMark/>
          </w:tcPr>
          <w:p w14:paraId="7901DF46"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720" w:type="dxa"/>
            <w:tcBorders>
              <w:top w:val="nil"/>
              <w:left w:val="nil"/>
              <w:bottom w:val="single" w:sz="4" w:space="0" w:color="auto"/>
              <w:right w:val="nil"/>
            </w:tcBorders>
            <w:shd w:val="clear" w:color="auto" w:fill="auto"/>
            <w:noWrap/>
            <w:vAlign w:val="bottom"/>
            <w:hideMark/>
          </w:tcPr>
          <w:p w14:paraId="57DF8115"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161</w:t>
            </w:r>
          </w:p>
        </w:tc>
        <w:tc>
          <w:tcPr>
            <w:tcW w:w="1107" w:type="dxa"/>
            <w:tcBorders>
              <w:top w:val="nil"/>
              <w:left w:val="nil"/>
              <w:bottom w:val="single" w:sz="4" w:space="0" w:color="auto"/>
              <w:right w:val="nil"/>
            </w:tcBorders>
            <w:shd w:val="clear" w:color="auto" w:fill="auto"/>
            <w:noWrap/>
            <w:vAlign w:val="center"/>
            <w:hideMark/>
          </w:tcPr>
          <w:p w14:paraId="3467D7D3"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-42 %</w:t>
            </w:r>
          </w:p>
        </w:tc>
      </w:tr>
      <w:tr w:rsidR="00F85178" w:rsidRPr="00F85178" w14:paraId="39EF1FD6"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499F99DF"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Hr. Králové</w:t>
            </w:r>
          </w:p>
        </w:tc>
        <w:tc>
          <w:tcPr>
            <w:tcW w:w="500" w:type="dxa"/>
            <w:tcBorders>
              <w:top w:val="nil"/>
              <w:left w:val="nil"/>
              <w:bottom w:val="single" w:sz="4" w:space="0" w:color="auto"/>
              <w:right w:val="nil"/>
            </w:tcBorders>
            <w:shd w:val="clear" w:color="auto" w:fill="auto"/>
            <w:noWrap/>
            <w:vAlign w:val="bottom"/>
            <w:hideMark/>
          </w:tcPr>
          <w:p w14:paraId="0ADEDD60"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48</w:t>
            </w:r>
          </w:p>
        </w:tc>
        <w:tc>
          <w:tcPr>
            <w:tcW w:w="1107" w:type="dxa"/>
            <w:tcBorders>
              <w:top w:val="nil"/>
              <w:left w:val="nil"/>
              <w:bottom w:val="single" w:sz="4" w:space="0" w:color="auto"/>
              <w:right w:val="nil"/>
            </w:tcBorders>
            <w:shd w:val="clear" w:color="auto" w:fill="auto"/>
            <w:noWrap/>
            <w:vAlign w:val="center"/>
            <w:hideMark/>
          </w:tcPr>
          <w:p w14:paraId="22DF6BCA"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499" w:type="dxa"/>
            <w:tcBorders>
              <w:top w:val="nil"/>
              <w:left w:val="single" w:sz="4" w:space="0" w:color="auto"/>
              <w:bottom w:val="single" w:sz="4" w:space="0" w:color="auto"/>
              <w:right w:val="nil"/>
            </w:tcBorders>
            <w:shd w:val="clear" w:color="auto" w:fill="auto"/>
            <w:noWrap/>
            <w:vAlign w:val="bottom"/>
            <w:hideMark/>
          </w:tcPr>
          <w:p w14:paraId="7036FBE5"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33</w:t>
            </w:r>
          </w:p>
        </w:tc>
        <w:tc>
          <w:tcPr>
            <w:tcW w:w="1107" w:type="dxa"/>
            <w:tcBorders>
              <w:top w:val="nil"/>
              <w:left w:val="nil"/>
              <w:bottom w:val="single" w:sz="4" w:space="0" w:color="auto"/>
              <w:right w:val="single" w:sz="4" w:space="0" w:color="auto"/>
            </w:tcBorders>
            <w:shd w:val="clear" w:color="auto" w:fill="auto"/>
            <w:noWrap/>
            <w:vAlign w:val="center"/>
            <w:hideMark/>
          </w:tcPr>
          <w:p w14:paraId="086A8664"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720" w:type="dxa"/>
            <w:tcBorders>
              <w:top w:val="nil"/>
              <w:left w:val="nil"/>
              <w:bottom w:val="single" w:sz="4" w:space="0" w:color="auto"/>
              <w:right w:val="nil"/>
            </w:tcBorders>
            <w:shd w:val="clear" w:color="auto" w:fill="auto"/>
            <w:noWrap/>
            <w:vAlign w:val="bottom"/>
            <w:hideMark/>
          </w:tcPr>
          <w:p w14:paraId="79B26A17"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85</w:t>
            </w:r>
          </w:p>
        </w:tc>
        <w:tc>
          <w:tcPr>
            <w:tcW w:w="1107" w:type="dxa"/>
            <w:tcBorders>
              <w:top w:val="nil"/>
              <w:left w:val="nil"/>
              <w:bottom w:val="single" w:sz="4" w:space="0" w:color="auto"/>
              <w:right w:val="nil"/>
            </w:tcBorders>
            <w:shd w:val="clear" w:color="auto" w:fill="auto"/>
            <w:noWrap/>
            <w:vAlign w:val="center"/>
            <w:hideMark/>
          </w:tcPr>
          <w:p w14:paraId="4C9CE44C"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5B172EE0" w14:textId="77777777" w:rsidTr="002E5060">
        <w:trPr>
          <w:trHeight w:val="315"/>
        </w:trPr>
        <w:tc>
          <w:tcPr>
            <w:tcW w:w="2480" w:type="dxa"/>
            <w:tcBorders>
              <w:top w:val="nil"/>
              <w:left w:val="nil"/>
              <w:bottom w:val="single" w:sz="4" w:space="0" w:color="auto"/>
              <w:right w:val="nil"/>
            </w:tcBorders>
            <w:shd w:val="clear" w:color="auto" w:fill="auto"/>
            <w:noWrap/>
            <w:vAlign w:val="bottom"/>
            <w:hideMark/>
          </w:tcPr>
          <w:p w14:paraId="25A5219F"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Brno</w:t>
            </w:r>
          </w:p>
        </w:tc>
        <w:tc>
          <w:tcPr>
            <w:tcW w:w="500" w:type="dxa"/>
            <w:tcBorders>
              <w:top w:val="nil"/>
              <w:left w:val="nil"/>
              <w:bottom w:val="single" w:sz="4" w:space="0" w:color="auto"/>
              <w:right w:val="nil"/>
            </w:tcBorders>
            <w:shd w:val="clear" w:color="auto" w:fill="auto"/>
            <w:noWrap/>
            <w:vAlign w:val="bottom"/>
            <w:hideMark/>
          </w:tcPr>
          <w:p w14:paraId="4B07922C"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52</w:t>
            </w:r>
          </w:p>
        </w:tc>
        <w:tc>
          <w:tcPr>
            <w:tcW w:w="1107" w:type="dxa"/>
            <w:tcBorders>
              <w:top w:val="nil"/>
              <w:left w:val="nil"/>
              <w:bottom w:val="single" w:sz="4" w:space="0" w:color="auto"/>
              <w:right w:val="nil"/>
            </w:tcBorders>
            <w:shd w:val="clear" w:color="auto" w:fill="auto"/>
            <w:noWrap/>
            <w:vAlign w:val="center"/>
            <w:hideMark/>
          </w:tcPr>
          <w:p w14:paraId="7C7F91C6"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+27 %</w:t>
            </w:r>
          </w:p>
        </w:tc>
        <w:tc>
          <w:tcPr>
            <w:tcW w:w="499" w:type="dxa"/>
            <w:tcBorders>
              <w:top w:val="nil"/>
              <w:left w:val="single" w:sz="4" w:space="0" w:color="auto"/>
              <w:bottom w:val="single" w:sz="4" w:space="0" w:color="auto"/>
              <w:right w:val="nil"/>
            </w:tcBorders>
            <w:shd w:val="clear" w:color="auto" w:fill="auto"/>
            <w:noWrap/>
            <w:vAlign w:val="bottom"/>
            <w:hideMark/>
          </w:tcPr>
          <w:p w14:paraId="4508596F"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41</w:t>
            </w:r>
          </w:p>
        </w:tc>
        <w:tc>
          <w:tcPr>
            <w:tcW w:w="1107" w:type="dxa"/>
            <w:tcBorders>
              <w:top w:val="nil"/>
              <w:left w:val="nil"/>
              <w:bottom w:val="single" w:sz="4" w:space="0" w:color="auto"/>
              <w:right w:val="single" w:sz="4" w:space="0" w:color="auto"/>
            </w:tcBorders>
            <w:shd w:val="clear" w:color="auto" w:fill="auto"/>
            <w:noWrap/>
            <w:vAlign w:val="center"/>
            <w:hideMark/>
          </w:tcPr>
          <w:p w14:paraId="6C5BBE94"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+41 %</w:t>
            </w:r>
          </w:p>
        </w:tc>
        <w:tc>
          <w:tcPr>
            <w:tcW w:w="720" w:type="dxa"/>
            <w:tcBorders>
              <w:top w:val="nil"/>
              <w:left w:val="nil"/>
              <w:bottom w:val="single" w:sz="4" w:space="0" w:color="auto"/>
              <w:right w:val="nil"/>
            </w:tcBorders>
            <w:shd w:val="clear" w:color="auto" w:fill="auto"/>
            <w:noWrap/>
            <w:vAlign w:val="bottom"/>
            <w:hideMark/>
          </w:tcPr>
          <w:p w14:paraId="16AB2A01"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93</w:t>
            </w:r>
          </w:p>
        </w:tc>
        <w:tc>
          <w:tcPr>
            <w:tcW w:w="1107" w:type="dxa"/>
            <w:tcBorders>
              <w:top w:val="nil"/>
              <w:left w:val="nil"/>
              <w:bottom w:val="single" w:sz="4" w:space="0" w:color="auto"/>
              <w:right w:val="nil"/>
            </w:tcBorders>
            <w:shd w:val="clear" w:color="auto" w:fill="auto"/>
            <w:noWrap/>
            <w:vAlign w:val="center"/>
            <w:hideMark/>
          </w:tcPr>
          <w:p w14:paraId="3F77341E"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+33 %</w:t>
            </w:r>
          </w:p>
        </w:tc>
      </w:tr>
      <w:tr w:rsidR="00F85178" w:rsidRPr="00F85178" w14:paraId="387A5EB1" w14:textId="77777777" w:rsidTr="002E5060">
        <w:trPr>
          <w:trHeight w:val="330"/>
        </w:trPr>
        <w:tc>
          <w:tcPr>
            <w:tcW w:w="2480" w:type="dxa"/>
            <w:tcBorders>
              <w:top w:val="nil"/>
              <w:left w:val="nil"/>
              <w:bottom w:val="double" w:sz="6" w:space="0" w:color="auto"/>
              <w:right w:val="nil"/>
            </w:tcBorders>
            <w:shd w:val="clear" w:color="auto" w:fill="auto"/>
            <w:noWrap/>
            <w:vAlign w:val="bottom"/>
            <w:hideMark/>
          </w:tcPr>
          <w:p w14:paraId="236E2842" w14:textId="77777777" w:rsidR="002E5060" w:rsidRPr="00F85178" w:rsidRDefault="002E5060" w:rsidP="002E5060">
            <w:pPr>
              <w:spacing w:line="240" w:lineRule="auto"/>
              <w:jc w:val="left"/>
              <w:rPr>
                <w:rFonts w:eastAsia="Times New Roman"/>
                <w:szCs w:val="24"/>
                <w:lang w:eastAsia="cs-CZ"/>
              </w:rPr>
            </w:pPr>
            <w:r w:rsidRPr="00F85178">
              <w:rPr>
                <w:rFonts w:eastAsia="Times New Roman"/>
                <w:szCs w:val="24"/>
                <w:lang w:eastAsia="cs-CZ"/>
              </w:rPr>
              <w:t>KS Ostrava</w:t>
            </w:r>
          </w:p>
        </w:tc>
        <w:tc>
          <w:tcPr>
            <w:tcW w:w="500" w:type="dxa"/>
            <w:tcBorders>
              <w:top w:val="nil"/>
              <w:left w:val="nil"/>
              <w:bottom w:val="double" w:sz="6" w:space="0" w:color="auto"/>
              <w:right w:val="nil"/>
            </w:tcBorders>
            <w:shd w:val="clear" w:color="auto" w:fill="auto"/>
            <w:noWrap/>
            <w:vAlign w:val="bottom"/>
            <w:hideMark/>
          </w:tcPr>
          <w:p w14:paraId="540B407F"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58</w:t>
            </w:r>
          </w:p>
        </w:tc>
        <w:tc>
          <w:tcPr>
            <w:tcW w:w="1107" w:type="dxa"/>
            <w:tcBorders>
              <w:top w:val="nil"/>
              <w:left w:val="nil"/>
              <w:bottom w:val="double" w:sz="6" w:space="0" w:color="auto"/>
              <w:right w:val="nil"/>
            </w:tcBorders>
            <w:shd w:val="clear" w:color="auto" w:fill="auto"/>
            <w:noWrap/>
            <w:vAlign w:val="center"/>
            <w:hideMark/>
          </w:tcPr>
          <w:p w14:paraId="4EB61DC7"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+23 %</w:t>
            </w:r>
          </w:p>
        </w:tc>
        <w:tc>
          <w:tcPr>
            <w:tcW w:w="499" w:type="dxa"/>
            <w:tcBorders>
              <w:top w:val="nil"/>
              <w:left w:val="single" w:sz="4" w:space="0" w:color="auto"/>
              <w:bottom w:val="double" w:sz="6" w:space="0" w:color="auto"/>
              <w:right w:val="nil"/>
            </w:tcBorders>
            <w:shd w:val="clear" w:color="auto" w:fill="auto"/>
            <w:noWrap/>
            <w:vAlign w:val="bottom"/>
            <w:hideMark/>
          </w:tcPr>
          <w:p w14:paraId="3BA14CBC"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42</w:t>
            </w:r>
          </w:p>
        </w:tc>
        <w:tc>
          <w:tcPr>
            <w:tcW w:w="1107" w:type="dxa"/>
            <w:tcBorders>
              <w:top w:val="nil"/>
              <w:left w:val="nil"/>
              <w:bottom w:val="double" w:sz="6" w:space="0" w:color="auto"/>
              <w:right w:val="single" w:sz="4" w:space="0" w:color="auto"/>
            </w:tcBorders>
            <w:shd w:val="clear" w:color="auto" w:fill="auto"/>
            <w:noWrap/>
            <w:vAlign w:val="center"/>
            <w:hideMark/>
          </w:tcPr>
          <w:p w14:paraId="3609A249"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720" w:type="dxa"/>
            <w:tcBorders>
              <w:top w:val="nil"/>
              <w:left w:val="nil"/>
              <w:bottom w:val="double" w:sz="6" w:space="0" w:color="auto"/>
              <w:right w:val="nil"/>
            </w:tcBorders>
            <w:shd w:val="clear" w:color="auto" w:fill="auto"/>
            <w:noWrap/>
            <w:vAlign w:val="bottom"/>
            <w:hideMark/>
          </w:tcPr>
          <w:p w14:paraId="2AA3AA21" w14:textId="77777777" w:rsidR="002E5060" w:rsidRPr="00F85178" w:rsidRDefault="002E5060" w:rsidP="002E5060">
            <w:pPr>
              <w:spacing w:line="240" w:lineRule="auto"/>
              <w:jc w:val="center"/>
              <w:rPr>
                <w:rFonts w:eastAsia="Times New Roman"/>
                <w:szCs w:val="24"/>
                <w:lang w:eastAsia="cs-CZ"/>
              </w:rPr>
            </w:pPr>
            <w:r w:rsidRPr="00F85178">
              <w:rPr>
                <w:rFonts w:eastAsia="Times New Roman"/>
                <w:szCs w:val="24"/>
                <w:lang w:eastAsia="cs-CZ"/>
              </w:rPr>
              <w:t>118</w:t>
            </w:r>
          </w:p>
        </w:tc>
        <w:tc>
          <w:tcPr>
            <w:tcW w:w="1107" w:type="dxa"/>
            <w:tcBorders>
              <w:top w:val="nil"/>
              <w:left w:val="nil"/>
              <w:bottom w:val="double" w:sz="6" w:space="0" w:color="auto"/>
              <w:right w:val="nil"/>
            </w:tcBorders>
            <w:shd w:val="clear" w:color="auto" w:fill="auto"/>
            <w:noWrap/>
            <w:vAlign w:val="center"/>
            <w:hideMark/>
          </w:tcPr>
          <w:p w14:paraId="63C28522" w14:textId="77777777" w:rsidR="002E5060" w:rsidRPr="00F85178" w:rsidRDefault="002E5060" w:rsidP="00E64E41">
            <w:pPr>
              <w:spacing w:line="240" w:lineRule="auto"/>
              <w:jc w:val="center"/>
              <w:rPr>
                <w:rFonts w:eastAsia="Times New Roman"/>
                <w:sz w:val="20"/>
                <w:szCs w:val="20"/>
                <w:lang w:eastAsia="cs-CZ"/>
              </w:rPr>
            </w:pPr>
            <w:r w:rsidRPr="00F85178">
              <w:rPr>
                <w:rFonts w:eastAsia="Times New Roman"/>
                <w:sz w:val="20"/>
                <w:szCs w:val="20"/>
                <w:lang w:eastAsia="cs-CZ"/>
              </w:rPr>
              <w:t>+34 %</w:t>
            </w:r>
          </w:p>
        </w:tc>
      </w:tr>
      <w:tr w:rsidR="002E5060" w:rsidRPr="00F85178" w14:paraId="53D6CE1E" w14:textId="77777777" w:rsidTr="002E5060">
        <w:trPr>
          <w:trHeight w:val="345"/>
        </w:trPr>
        <w:tc>
          <w:tcPr>
            <w:tcW w:w="2480" w:type="dxa"/>
            <w:tcBorders>
              <w:top w:val="nil"/>
              <w:left w:val="nil"/>
              <w:bottom w:val="double" w:sz="6" w:space="0" w:color="auto"/>
              <w:right w:val="nil"/>
            </w:tcBorders>
            <w:shd w:val="clear" w:color="auto" w:fill="auto"/>
            <w:noWrap/>
            <w:vAlign w:val="bottom"/>
            <w:hideMark/>
          </w:tcPr>
          <w:p w14:paraId="498F7103" w14:textId="77777777" w:rsidR="002E5060" w:rsidRPr="00F85178" w:rsidRDefault="002E5060" w:rsidP="002E5060">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500" w:type="dxa"/>
            <w:tcBorders>
              <w:top w:val="nil"/>
              <w:left w:val="nil"/>
              <w:bottom w:val="double" w:sz="6" w:space="0" w:color="auto"/>
              <w:right w:val="nil"/>
            </w:tcBorders>
            <w:shd w:val="clear" w:color="auto" w:fill="auto"/>
            <w:noWrap/>
            <w:vAlign w:val="bottom"/>
            <w:hideMark/>
          </w:tcPr>
          <w:p w14:paraId="1EEF4939"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54</w:t>
            </w:r>
          </w:p>
        </w:tc>
        <w:tc>
          <w:tcPr>
            <w:tcW w:w="1107" w:type="dxa"/>
            <w:tcBorders>
              <w:top w:val="nil"/>
              <w:left w:val="nil"/>
              <w:bottom w:val="double" w:sz="6" w:space="0" w:color="auto"/>
              <w:right w:val="nil"/>
            </w:tcBorders>
            <w:shd w:val="clear" w:color="auto" w:fill="auto"/>
            <w:noWrap/>
            <w:vAlign w:val="center"/>
            <w:hideMark/>
          </w:tcPr>
          <w:p w14:paraId="5CD8CDF9" w14:textId="77777777" w:rsidR="002E5060" w:rsidRPr="00F85178" w:rsidRDefault="002E5060" w:rsidP="00E64E41">
            <w:pPr>
              <w:spacing w:line="240" w:lineRule="auto"/>
              <w:jc w:val="center"/>
              <w:rPr>
                <w:rFonts w:eastAsia="Times New Roman"/>
                <w:b/>
                <w:bCs/>
                <w:sz w:val="20"/>
                <w:szCs w:val="20"/>
                <w:lang w:eastAsia="cs-CZ"/>
              </w:rPr>
            </w:pPr>
            <w:r w:rsidRPr="00F85178">
              <w:rPr>
                <w:rFonts w:eastAsia="Times New Roman"/>
                <w:b/>
                <w:bCs/>
                <w:sz w:val="20"/>
                <w:szCs w:val="20"/>
                <w:lang w:eastAsia="cs-CZ"/>
              </w:rPr>
              <w:t>-2 %</w:t>
            </w:r>
          </w:p>
        </w:tc>
        <w:tc>
          <w:tcPr>
            <w:tcW w:w="499" w:type="dxa"/>
            <w:tcBorders>
              <w:top w:val="nil"/>
              <w:left w:val="single" w:sz="4" w:space="0" w:color="auto"/>
              <w:bottom w:val="double" w:sz="6" w:space="0" w:color="auto"/>
              <w:right w:val="nil"/>
            </w:tcBorders>
            <w:shd w:val="clear" w:color="auto" w:fill="auto"/>
            <w:noWrap/>
            <w:vAlign w:val="bottom"/>
            <w:hideMark/>
          </w:tcPr>
          <w:p w14:paraId="0462A121"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36</w:t>
            </w:r>
          </w:p>
        </w:tc>
        <w:tc>
          <w:tcPr>
            <w:tcW w:w="1107" w:type="dxa"/>
            <w:tcBorders>
              <w:top w:val="nil"/>
              <w:left w:val="nil"/>
              <w:bottom w:val="double" w:sz="6" w:space="0" w:color="auto"/>
              <w:right w:val="single" w:sz="4" w:space="0" w:color="auto"/>
            </w:tcBorders>
            <w:shd w:val="clear" w:color="auto" w:fill="auto"/>
            <w:noWrap/>
            <w:vAlign w:val="center"/>
            <w:hideMark/>
          </w:tcPr>
          <w:p w14:paraId="56CC1008" w14:textId="77777777" w:rsidR="002E5060" w:rsidRPr="00F85178" w:rsidRDefault="002E5060" w:rsidP="00E64E41">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720" w:type="dxa"/>
            <w:tcBorders>
              <w:top w:val="nil"/>
              <w:left w:val="nil"/>
              <w:bottom w:val="double" w:sz="6" w:space="0" w:color="auto"/>
              <w:right w:val="nil"/>
            </w:tcBorders>
            <w:shd w:val="clear" w:color="auto" w:fill="auto"/>
            <w:noWrap/>
            <w:vAlign w:val="bottom"/>
            <w:hideMark/>
          </w:tcPr>
          <w:p w14:paraId="6D8FE0B7" w14:textId="77777777" w:rsidR="002E5060" w:rsidRPr="00F85178" w:rsidRDefault="002E5060" w:rsidP="002E5060">
            <w:pPr>
              <w:spacing w:line="240" w:lineRule="auto"/>
              <w:jc w:val="center"/>
              <w:rPr>
                <w:rFonts w:eastAsia="Times New Roman"/>
                <w:b/>
                <w:bCs/>
                <w:szCs w:val="24"/>
                <w:lang w:eastAsia="cs-CZ"/>
              </w:rPr>
            </w:pPr>
            <w:r w:rsidRPr="00F85178">
              <w:rPr>
                <w:rFonts w:eastAsia="Times New Roman"/>
                <w:b/>
                <w:bCs/>
                <w:szCs w:val="24"/>
                <w:lang w:eastAsia="cs-CZ"/>
              </w:rPr>
              <w:t>104</w:t>
            </w:r>
          </w:p>
        </w:tc>
        <w:tc>
          <w:tcPr>
            <w:tcW w:w="1107" w:type="dxa"/>
            <w:tcBorders>
              <w:top w:val="nil"/>
              <w:left w:val="nil"/>
              <w:bottom w:val="double" w:sz="6" w:space="0" w:color="auto"/>
              <w:right w:val="nil"/>
            </w:tcBorders>
            <w:shd w:val="clear" w:color="auto" w:fill="auto"/>
            <w:noWrap/>
            <w:vAlign w:val="center"/>
            <w:hideMark/>
          </w:tcPr>
          <w:p w14:paraId="43ACB634" w14:textId="77777777" w:rsidR="002E5060" w:rsidRPr="00F85178" w:rsidRDefault="002E5060" w:rsidP="00E64E41">
            <w:pPr>
              <w:spacing w:line="240" w:lineRule="auto"/>
              <w:jc w:val="center"/>
              <w:rPr>
                <w:rFonts w:eastAsia="Times New Roman"/>
                <w:b/>
                <w:bCs/>
                <w:sz w:val="20"/>
                <w:szCs w:val="20"/>
                <w:lang w:eastAsia="cs-CZ"/>
              </w:rPr>
            </w:pPr>
            <w:r w:rsidRPr="00F85178">
              <w:rPr>
                <w:rFonts w:eastAsia="Times New Roman"/>
                <w:b/>
                <w:bCs/>
                <w:sz w:val="20"/>
                <w:szCs w:val="20"/>
                <w:lang w:eastAsia="cs-CZ"/>
              </w:rPr>
              <w:t>+7 %</w:t>
            </w:r>
          </w:p>
        </w:tc>
      </w:tr>
    </w:tbl>
    <w:p w14:paraId="72AE3DF2" w14:textId="77777777" w:rsidR="00A264A3" w:rsidRPr="00F85178" w:rsidRDefault="00A264A3">
      <w:pPr>
        <w:spacing w:line="240" w:lineRule="auto"/>
        <w:jc w:val="left"/>
      </w:pPr>
    </w:p>
    <w:p w14:paraId="218B6015" w14:textId="77777777" w:rsidR="00A264A3" w:rsidRPr="00F85178" w:rsidRDefault="00A264A3" w:rsidP="00A264A3">
      <w:pPr>
        <w:pStyle w:val="Podtitul"/>
        <w:rPr>
          <w:color w:val="auto"/>
        </w:rPr>
      </w:pPr>
      <w:bookmarkStart w:id="480" w:name="_Toc515871394"/>
      <w:bookmarkStart w:id="481" w:name="_Toc11135125"/>
      <w:bookmarkStart w:id="482" w:name="_Toc1383755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64</w:t>
      </w:r>
      <w:r w:rsidRPr="00F85178">
        <w:rPr>
          <w:noProof/>
          <w:color w:val="auto"/>
        </w:rPr>
        <w:fldChar w:fldCharType="end"/>
      </w:r>
      <w:r w:rsidRPr="00F85178">
        <w:rPr>
          <w:color w:val="auto"/>
        </w:rPr>
        <w:t>: KS – distribuce délek trestního odvolacího řízení</w:t>
      </w:r>
      <w:bookmarkEnd w:id="480"/>
      <w:bookmarkEnd w:id="481"/>
      <w:bookmarkEnd w:id="482"/>
    </w:p>
    <w:p w14:paraId="7AF1C025" w14:textId="77777777" w:rsidR="00A264A3" w:rsidRPr="00F85178" w:rsidRDefault="00890295" w:rsidP="00A264A3">
      <w:r>
        <w:rPr>
          <w:noProof/>
          <w:lang w:eastAsia="cs-CZ"/>
        </w:rPr>
        <w:drawing>
          <wp:inline distT="0" distB="0" distL="0" distR="0" wp14:anchorId="3616275B" wp14:editId="0AF0959E">
            <wp:extent cx="5118100" cy="3746500"/>
            <wp:effectExtent l="0" t="0" r="0" b="0"/>
            <wp:docPr id="67" name="Obrázek 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8"/>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7654653" w14:textId="77777777" w:rsidR="005C5C8D" w:rsidRPr="00F85178" w:rsidRDefault="005C5C8D" w:rsidP="005C5C8D">
      <w:pPr>
        <w:pStyle w:val="OdstavecASR"/>
      </w:pPr>
      <w:r w:rsidRPr="00F85178">
        <w:t xml:space="preserve">I v histogramu je vidět, jak nízké délky řízení jsou. Suverénně největší skupina věcí byla vyřízena za 20 až 30 dnů. Jak již plyne z mediánu, </w:t>
      </w:r>
      <w:r w:rsidR="00183021" w:rsidRPr="00F85178">
        <w:t>asi 4</w:t>
      </w:r>
      <w:r w:rsidRPr="00F85178">
        <w:t>0 % věcí bylo vyřízeno do 1 měsíce. Pouze asi jen 6 % případů bylo vyřízeno za více než 200 dnů.</w:t>
      </w:r>
    </w:p>
    <w:p w14:paraId="7347B3CB" w14:textId="77777777" w:rsidR="00E10D4A" w:rsidRPr="00F85178" w:rsidRDefault="00E10D4A" w:rsidP="00205FD6"/>
    <w:p w14:paraId="20C96431" w14:textId="77777777" w:rsidR="00B2300D" w:rsidRPr="00F85178" w:rsidRDefault="00B2300D" w:rsidP="00B2300D">
      <w:pPr>
        <w:pStyle w:val="Nadpis3"/>
        <w:rPr>
          <w:color w:val="auto"/>
        </w:rPr>
      </w:pPr>
      <w:bookmarkStart w:id="483" w:name="_Ref511391173"/>
      <w:bookmarkStart w:id="484" w:name="_Toc515871264"/>
      <w:bookmarkStart w:id="485" w:name="_Toc14076913"/>
      <w:r w:rsidRPr="00F85178">
        <w:rPr>
          <w:color w:val="auto"/>
        </w:rPr>
        <w:t>Vyřizování věcí</w:t>
      </w:r>
      <w:bookmarkEnd w:id="483"/>
      <w:bookmarkEnd w:id="484"/>
      <w:bookmarkEnd w:id="485"/>
    </w:p>
    <w:p w14:paraId="69155F93" w14:textId="77777777" w:rsidR="00B2300D" w:rsidRPr="00F85178" w:rsidRDefault="00B2300D" w:rsidP="00B2300D">
      <w:pPr>
        <w:pStyle w:val="Podtitul"/>
        <w:rPr>
          <w:color w:val="auto"/>
        </w:rPr>
      </w:pPr>
      <w:bookmarkStart w:id="486" w:name="_Toc515871395"/>
      <w:bookmarkStart w:id="487" w:name="_Toc11135126"/>
      <w:bookmarkStart w:id="488" w:name="_Toc1383755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65</w:t>
      </w:r>
      <w:r w:rsidRPr="00F85178">
        <w:rPr>
          <w:noProof/>
          <w:color w:val="auto"/>
        </w:rPr>
        <w:fldChar w:fldCharType="end"/>
      </w:r>
      <w:r w:rsidRPr="00F85178">
        <w:rPr>
          <w:color w:val="auto"/>
        </w:rPr>
        <w:t>: KS – vyřizování odvolacích trestních věcí v letech 2008–</w:t>
      </w:r>
      <w:bookmarkEnd w:id="486"/>
      <w:r w:rsidR="00634817" w:rsidRPr="00F85178">
        <w:rPr>
          <w:color w:val="auto"/>
        </w:rPr>
        <w:t>2018</w:t>
      </w:r>
      <w:bookmarkEnd w:id="487"/>
      <w:bookmarkEnd w:id="488"/>
    </w:p>
    <w:p w14:paraId="740077F2" w14:textId="77777777" w:rsidR="00394490" w:rsidRPr="00F85178" w:rsidRDefault="00890295" w:rsidP="00205FD6">
      <w:r>
        <w:rPr>
          <w:noProof/>
          <w:lang w:eastAsia="cs-CZ"/>
        </w:rPr>
        <w:drawing>
          <wp:inline distT="0" distB="0" distL="0" distR="0" wp14:anchorId="4AA893C8" wp14:editId="403A4123">
            <wp:extent cx="5118100" cy="3746500"/>
            <wp:effectExtent l="0" t="0" r="0" b="0"/>
            <wp:docPr id="68" name="Obrázek 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0"/>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1066E2F" w14:textId="77777777" w:rsidR="00183021" w:rsidRPr="00F85178" w:rsidRDefault="00183021" w:rsidP="00183021">
      <w:pPr>
        <w:pStyle w:val="OdstavecASR"/>
      </w:pPr>
      <w:r w:rsidRPr="00F85178">
        <w:t>Zajímavé je, že počet vyřízených trestních věcí u okresních soudů klesal, ale nápad v druhostupňové trestní agendě u krajských soudů byl v letech 2013 až 2016 stabilní. Až od roku 2017 se i zde objevil klesající trend. Nápad v této age</w:t>
      </w:r>
      <w:r w:rsidR="005A5E17" w:rsidRPr="00F85178">
        <w:t>n</w:t>
      </w:r>
      <w:r w:rsidRPr="00F85178">
        <w:t>dě neklesal, protože u okresních státních zastupitelství se snižoval počet věcí ve zkráceném přípravném řízení a tím docházelo ke snížení nápadu u okresních soudů. Jednalo se ale především o jednodušší trestní věci, které většinou končil</w:t>
      </w:r>
      <w:r w:rsidR="005A5E17" w:rsidRPr="00F85178">
        <w:t>y</w:t>
      </w:r>
      <w:r w:rsidRPr="00F85178">
        <w:t xml:space="preserve"> u okresních soudů pravomocným trestním příkazem, proti němuž odvolání není možné. Proto se pokles vyřízené prvostupňové agendy u okresních soudů většinou neprojevil v odvolací agendě krajských soudů.</w:t>
      </w:r>
    </w:p>
    <w:p w14:paraId="7EBDD0DF" w14:textId="77777777" w:rsidR="00394490" w:rsidRPr="00F85178" w:rsidRDefault="00394490" w:rsidP="00394490">
      <w:pPr>
        <w:pStyle w:val="Podtitul"/>
        <w:rPr>
          <w:color w:val="auto"/>
        </w:rPr>
      </w:pPr>
      <w:bookmarkStart w:id="489" w:name="_Toc515871488"/>
      <w:bookmarkStart w:id="490" w:name="_Toc11133255"/>
      <w:bookmarkStart w:id="491" w:name="_Toc13837476"/>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53</w:t>
      </w:r>
      <w:r w:rsidRPr="00F85178">
        <w:rPr>
          <w:noProof/>
          <w:color w:val="auto"/>
        </w:rPr>
        <w:fldChar w:fldCharType="end"/>
      </w:r>
      <w:r w:rsidRPr="00F85178">
        <w:rPr>
          <w:color w:val="auto"/>
        </w:rPr>
        <w:t>:</w:t>
      </w:r>
      <w:bookmarkStart w:id="492" w:name="_Toc485734615"/>
      <w:bookmarkStart w:id="493" w:name="_Toc487792853"/>
      <w:r w:rsidRPr="00F85178">
        <w:rPr>
          <w:color w:val="auto"/>
        </w:rPr>
        <w:t xml:space="preserve"> KS – vyřizování odvolacích trestních věcí dle soudů</w:t>
      </w:r>
      <w:bookmarkEnd w:id="489"/>
      <w:bookmarkEnd w:id="490"/>
      <w:bookmarkEnd w:id="491"/>
      <w:bookmarkEnd w:id="492"/>
      <w:bookmarkEnd w:id="493"/>
    </w:p>
    <w:tbl>
      <w:tblPr>
        <w:tblW w:w="9140" w:type="dxa"/>
        <w:tblCellMar>
          <w:left w:w="70" w:type="dxa"/>
          <w:right w:w="70" w:type="dxa"/>
        </w:tblCellMar>
        <w:tblLook w:val="04A0" w:firstRow="1" w:lastRow="0" w:firstColumn="1" w:lastColumn="0" w:noHBand="0" w:noVBand="1"/>
      </w:tblPr>
      <w:tblGrid>
        <w:gridCol w:w="2020"/>
        <w:gridCol w:w="1049"/>
        <w:gridCol w:w="876"/>
        <w:gridCol w:w="988"/>
        <w:gridCol w:w="876"/>
        <w:gridCol w:w="789"/>
        <w:gridCol w:w="1002"/>
        <w:gridCol w:w="1540"/>
      </w:tblGrid>
      <w:tr w:rsidR="00F85178" w:rsidRPr="00F85178" w14:paraId="4677724B" w14:textId="77777777" w:rsidTr="00394490">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302E602" w14:textId="1E7A1D09" w:rsidR="00394490" w:rsidRPr="00F85178" w:rsidRDefault="00F2120F" w:rsidP="00394490">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580" w:type="dxa"/>
            <w:gridSpan w:val="6"/>
            <w:tcBorders>
              <w:top w:val="double" w:sz="6" w:space="0" w:color="auto"/>
              <w:left w:val="nil"/>
              <w:bottom w:val="nil"/>
              <w:right w:val="single" w:sz="4" w:space="0" w:color="000000"/>
            </w:tcBorders>
            <w:shd w:val="clear" w:color="auto" w:fill="auto"/>
            <w:noWrap/>
            <w:vAlign w:val="center"/>
            <w:hideMark/>
          </w:tcPr>
          <w:p w14:paraId="313EC341"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40" w:type="dxa"/>
            <w:vMerge w:val="restart"/>
            <w:tcBorders>
              <w:top w:val="double" w:sz="6" w:space="0" w:color="auto"/>
              <w:left w:val="nil"/>
              <w:bottom w:val="double" w:sz="6" w:space="0" w:color="000000"/>
              <w:right w:val="nil"/>
            </w:tcBorders>
            <w:shd w:val="clear" w:color="auto" w:fill="auto"/>
            <w:vAlign w:val="center"/>
            <w:hideMark/>
          </w:tcPr>
          <w:p w14:paraId="4FD55700"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4EAFABEF" w14:textId="77777777" w:rsidTr="00394490">
        <w:trPr>
          <w:trHeight w:val="330"/>
        </w:trPr>
        <w:tc>
          <w:tcPr>
            <w:tcW w:w="2020" w:type="dxa"/>
            <w:vMerge/>
            <w:tcBorders>
              <w:top w:val="double" w:sz="6" w:space="0" w:color="auto"/>
              <w:left w:val="nil"/>
              <w:bottom w:val="double" w:sz="6" w:space="0" w:color="000000"/>
              <w:right w:val="nil"/>
            </w:tcBorders>
            <w:vAlign w:val="center"/>
            <w:hideMark/>
          </w:tcPr>
          <w:p w14:paraId="6F68722C" w14:textId="77777777" w:rsidR="00394490" w:rsidRPr="00F85178" w:rsidRDefault="00394490" w:rsidP="00394490">
            <w:pPr>
              <w:spacing w:line="240" w:lineRule="auto"/>
              <w:jc w:val="left"/>
              <w:rPr>
                <w:rFonts w:eastAsia="Times New Roman"/>
                <w:b/>
                <w:bCs/>
                <w:szCs w:val="24"/>
                <w:lang w:eastAsia="cs-CZ"/>
              </w:rPr>
            </w:pPr>
          </w:p>
        </w:tc>
        <w:tc>
          <w:tcPr>
            <w:tcW w:w="1925" w:type="dxa"/>
            <w:gridSpan w:val="2"/>
            <w:tcBorders>
              <w:top w:val="nil"/>
              <w:left w:val="nil"/>
              <w:bottom w:val="double" w:sz="6" w:space="0" w:color="auto"/>
              <w:right w:val="nil"/>
            </w:tcBorders>
            <w:shd w:val="clear" w:color="auto" w:fill="auto"/>
            <w:noWrap/>
            <w:vAlign w:val="center"/>
            <w:hideMark/>
          </w:tcPr>
          <w:p w14:paraId="14F0F467"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6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ADCD4FA"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91" w:type="dxa"/>
            <w:gridSpan w:val="2"/>
            <w:tcBorders>
              <w:top w:val="nil"/>
              <w:left w:val="nil"/>
              <w:bottom w:val="double" w:sz="6" w:space="0" w:color="auto"/>
              <w:right w:val="single" w:sz="4" w:space="0" w:color="000000"/>
            </w:tcBorders>
            <w:shd w:val="clear" w:color="auto" w:fill="auto"/>
            <w:noWrap/>
            <w:vAlign w:val="center"/>
            <w:hideMark/>
          </w:tcPr>
          <w:p w14:paraId="04E3788E"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40" w:type="dxa"/>
            <w:vMerge/>
            <w:tcBorders>
              <w:top w:val="double" w:sz="6" w:space="0" w:color="auto"/>
              <w:left w:val="nil"/>
              <w:bottom w:val="double" w:sz="6" w:space="0" w:color="000000"/>
              <w:right w:val="nil"/>
            </w:tcBorders>
            <w:vAlign w:val="center"/>
            <w:hideMark/>
          </w:tcPr>
          <w:p w14:paraId="25948B45" w14:textId="77777777" w:rsidR="00394490" w:rsidRPr="00F85178" w:rsidRDefault="00394490" w:rsidP="00394490">
            <w:pPr>
              <w:spacing w:line="240" w:lineRule="auto"/>
              <w:jc w:val="left"/>
              <w:rPr>
                <w:rFonts w:eastAsia="Times New Roman"/>
                <w:b/>
                <w:bCs/>
                <w:szCs w:val="24"/>
                <w:lang w:eastAsia="cs-CZ"/>
              </w:rPr>
            </w:pPr>
          </w:p>
        </w:tc>
      </w:tr>
      <w:tr w:rsidR="00F85178" w:rsidRPr="00F85178" w14:paraId="22CFA3C3" w14:textId="77777777" w:rsidTr="00394490">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4463CFCF"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MS Praha</w:t>
            </w:r>
          </w:p>
        </w:tc>
        <w:tc>
          <w:tcPr>
            <w:tcW w:w="1049" w:type="dxa"/>
            <w:tcBorders>
              <w:top w:val="single" w:sz="4" w:space="0" w:color="auto"/>
              <w:left w:val="nil"/>
              <w:bottom w:val="single" w:sz="4" w:space="0" w:color="auto"/>
              <w:right w:val="nil"/>
            </w:tcBorders>
            <w:shd w:val="clear" w:color="auto" w:fill="auto"/>
            <w:noWrap/>
            <w:vAlign w:val="bottom"/>
            <w:hideMark/>
          </w:tcPr>
          <w:p w14:paraId="442805D3"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3 755</w:t>
            </w:r>
          </w:p>
        </w:tc>
        <w:tc>
          <w:tcPr>
            <w:tcW w:w="876" w:type="dxa"/>
            <w:tcBorders>
              <w:top w:val="single" w:sz="4" w:space="0" w:color="auto"/>
              <w:left w:val="nil"/>
              <w:bottom w:val="single" w:sz="4" w:space="0" w:color="auto"/>
              <w:right w:val="nil"/>
            </w:tcBorders>
            <w:shd w:val="clear" w:color="auto" w:fill="auto"/>
            <w:noWrap/>
            <w:vAlign w:val="center"/>
            <w:hideMark/>
          </w:tcPr>
          <w:p w14:paraId="4E745062" w14:textId="4D88D883"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88" w:type="dxa"/>
            <w:tcBorders>
              <w:top w:val="single" w:sz="4" w:space="0" w:color="auto"/>
              <w:left w:val="single" w:sz="4" w:space="0" w:color="auto"/>
              <w:bottom w:val="single" w:sz="4" w:space="0" w:color="auto"/>
              <w:right w:val="nil"/>
            </w:tcBorders>
            <w:shd w:val="clear" w:color="auto" w:fill="auto"/>
            <w:noWrap/>
            <w:vAlign w:val="bottom"/>
            <w:hideMark/>
          </w:tcPr>
          <w:p w14:paraId="5F3CAC8C"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3 705</w:t>
            </w:r>
          </w:p>
        </w:tc>
        <w:tc>
          <w:tcPr>
            <w:tcW w:w="876" w:type="dxa"/>
            <w:tcBorders>
              <w:top w:val="single" w:sz="4" w:space="0" w:color="auto"/>
              <w:left w:val="nil"/>
              <w:bottom w:val="single" w:sz="4" w:space="0" w:color="auto"/>
              <w:right w:val="single" w:sz="4" w:space="0" w:color="auto"/>
            </w:tcBorders>
            <w:shd w:val="clear" w:color="auto" w:fill="auto"/>
            <w:noWrap/>
            <w:vAlign w:val="center"/>
            <w:hideMark/>
          </w:tcPr>
          <w:p w14:paraId="35B454BF" w14:textId="15E6EEDC"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789" w:type="dxa"/>
            <w:tcBorders>
              <w:top w:val="single" w:sz="4" w:space="0" w:color="auto"/>
              <w:left w:val="nil"/>
              <w:bottom w:val="single" w:sz="4" w:space="0" w:color="auto"/>
              <w:right w:val="nil"/>
            </w:tcBorders>
            <w:shd w:val="clear" w:color="auto" w:fill="auto"/>
            <w:noWrap/>
            <w:vAlign w:val="bottom"/>
            <w:hideMark/>
          </w:tcPr>
          <w:p w14:paraId="6223EDB7"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231</w:t>
            </w:r>
          </w:p>
        </w:tc>
        <w:tc>
          <w:tcPr>
            <w:tcW w:w="1002" w:type="dxa"/>
            <w:tcBorders>
              <w:top w:val="single" w:sz="4" w:space="0" w:color="auto"/>
              <w:left w:val="nil"/>
              <w:bottom w:val="single" w:sz="4" w:space="0" w:color="auto"/>
              <w:right w:val="single" w:sz="4" w:space="0" w:color="auto"/>
            </w:tcBorders>
            <w:shd w:val="clear" w:color="auto" w:fill="auto"/>
            <w:noWrap/>
            <w:vAlign w:val="center"/>
            <w:hideMark/>
          </w:tcPr>
          <w:p w14:paraId="17636684" w14:textId="57663C85"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+28 %</w:t>
            </w:r>
          </w:p>
        </w:tc>
        <w:tc>
          <w:tcPr>
            <w:tcW w:w="1540" w:type="dxa"/>
            <w:tcBorders>
              <w:top w:val="nil"/>
              <w:left w:val="nil"/>
              <w:bottom w:val="single" w:sz="4" w:space="0" w:color="auto"/>
              <w:right w:val="nil"/>
            </w:tcBorders>
            <w:shd w:val="clear" w:color="auto" w:fill="auto"/>
            <w:noWrap/>
            <w:vAlign w:val="center"/>
            <w:hideMark/>
          </w:tcPr>
          <w:p w14:paraId="5B60920B"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98</w:t>
            </w:r>
            <w:r w:rsidR="005A5E17" w:rsidRPr="00F85178">
              <w:rPr>
                <w:rFonts w:eastAsia="Times New Roman"/>
                <w:szCs w:val="24"/>
                <w:lang w:eastAsia="cs-CZ"/>
              </w:rPr>
              <w:t>,</w:t>
            </w:r>
            <w:r w:rsidRPr="00F85178">
              <w:rPr>
                <w:rFonts w:eastAsia="Times New Roman"/>
                <w:szCs w:val="24"/>
                <w:lang w:eastAsia="cs-CZ"/>
              </w:rPr>
              <w:t>7 %</w:t>
            </w:r>
          </w:p>
        </w:tc>
      </w:tr>
      <w:tr w:rsidR="00F85178" w:rsidRPr="00F85178" w14:paraId="61DC948C"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12CA3BAC"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Praha</w:t>
            </w:r>
          </w:p>
        </w:tc>
        <w:tc>
          <w:tcPr>
            <w:tcW w:w="1049" w:type="dxa"/>
            <w:tcBorders>
              <w:top w:val="nil"/>
              <w:left w:val="nil"/>
              <w:bottom w:val="single" w:sz="4" w:space="0" w:color="auto"/>
              <w:right w:val="nil"/>
            </w:tcBorders>
            <w:shd w:val="clear" w:color="auto" w:fill="auto"/>
            <w:noWrap/>
            <w:vAlign w:val="bottom"/>
            <w:hideMark/>
          </w:tcPr>
          <w:p w14:paraId="735FE210"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w:t>
            </w:r>
            <w:r w:rsidR="005A5E17" w:rsidRPr="00F85178">
              <w:rPr>
                <w:rFonts w:eastAsia="Times New Roman"/>
                <w:szCs w:val="24"/>
                <w:lang w:eastAsia="cs-CZ"/>
              </w:rPr>
              <w:t xml:space="preserve"> </w:t>
            </w:r>
            <w:r w:rsidRPr="00F85178">
              <w:rPr>
                <w:rFonts w:eastAsia="Times New Roman"/>
                <w:szCs w:val="24"/>
                <w:lang w:eastAsia="cs-CZ"/>
              </w:rPr>
              <w:t>872</w:t>
            </w:r>
          </w:p>
        </w:tc>
        <w:tc>
          <w:tcPr>
            <w:tcW w:w="876" w:type="dxa"/>
            <w:tcBorders>
              <w:top w:val="nil"/>
              <w:left w:val="nil"/>
              <w:bottom w:val="single" w:sz="4" w:space="0" w:color="auto"/>
              <w:right w:val="nil"/>
            </w:tcBorders>
            <w:shd w:val="clear" w:color="auto" w:fill="auto"/>
            <w:noWrap/>
            <w:vAlign w:val="center"/>
            <w:hideMark/>
          </w:tcPr>
          <w:p w14:paraId="407082F0" w14:textId="082CA8EA"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988" w:type="dxa"/>
            <w:tcBorders>
              <w:top w:val="nil"/>
              <w:left w:val="single" w:sz="4" w:space="0" w:color="auto"/>
              <w:bottom w:val="single" w:sz="4" w:space="0" w:color="auto"/>
              <w:right w:val="nil"/>
            </w:tcBorders>
            <w:shd w:val="clear" w:color="auto" w:fill="auto"/>
            <w:noWrap/>
            <w:vAlign w:val="bottom"/>
            <w:hideMark/>
          </w:tcPr>
          <w:p w14:paraId="375C063B"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w:t>
            </w:r>
            <w:r w:rsidR="005A5E17" w:rsidRPr="00F85178">
              <w:rPr>
                <w:rFonts w:eastAsia="Times New Roman"/>
                <w:szCs w:val="24"/>
                <w:lang w:eastAsia="cs-CZ"/>
              </w:rPr>
              <w:t xml:space="preserve"> </w:t>
            </w:r>
            <w:r w:rsidRPr="00F85178">
              <w:rPr>
                <w:rFonts w:eastAsia="Times New Roman"/>
                <w:szCs w:val="24"/>
                <w:lang w:eastAsia="cs-CZ"/>
              </w:rPr>
              <w:t>859</w:t>
            </w:r>
          </w:p>
        </w:tc>
        <w:tc>
          <w:tcPr>
            <w:tcW w:w="876" w:type="dxa"/>
            <w:tcBorders>
              <w:top w:val="nil"/>
              <w:left w:val="nil"/>
              <w:bottom w:val="single" w:sz="4" w:space="0" w:color="auto"/>
              <w:right w:val="single" w:sz="4" w:space="0" w:color="auto"/>
            </w:tcBorders>
            <w:shd w:val="clear" w:color="auto" w:fill="auto"/>
            <w:noWrap/>
            <w:vAlign w:val="center"/>
            <w:hideMark/>
          </w:tcPr>
          <w:p w14:paraId="6067E57D" w14:textId="3458D062"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789" w:type="dxa"/>
            <w:tcBorders>
              <w:top w:val="nil"/>
              <w:left w:val="nil"/>
              <w:bottom w:val="single" w:sz="4" w:space="0" w:color="auto"/>
              <w:right w:val="nil"/>
            </w:tcBorders>
            <w:shd w:val="clear" w:color="auto" w:fill="auto"/>
            <w:noWrap/>
            <w:vAlign w:val="bottom"/>
            <w:hideMark/>
          </w:tcPr>
          <w:p w14:paraId="0CDBE75F"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42</w:t>
            </w:r>
          </w:p>
        </w:tc>
        <w:tc>
          <w:tcPr>
            <w:tcW w:w="1002" w:type="dxa"/>
            <w:tcBorders>
              <w:top w:val="nil"/>
              <w:left w:val="nil"/>
              <w:bottom w:val="single" w:sz="4" w:space="0" w:color="auto"/>
              <w:right w:val="single" w:sz="4" w:space="0" w:color="auto"/>
            </w:tcBorders>
            <w:shd w:val="clear" w:color="auto" w:fill="auto"/>
            <w:noWrap/>
            <w:vAlign w:val="center"/>
            <w:hideMark/>
          </w:tcPr>
          <w:p w14:paraId="6B47DDC2" w14:textId="4E3EFBFE"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+45 %</w:t>
            </w:r>
          </w:p>
        </w:tc>
        <w:tc>
          <w:tcPr>
            <w:tcW w:w="1540" w:type="dxa"/>
            <w:tcBorders>
              <w:top w:val="nil"/>
              <w:left w:val="nil"/>
              <w:bottom w:val="single" w:sz="4" w:space="0" w:color="auto"/>
              <w:right w:val="nil"/>
            </w:tcBorders>
            <w:shd w:val="clear" w:color="auto" w:fill="auto"/>
            <w:noWrap/>
            <w:vAlign w:val="center"/>
            <w:hideMark/>
          </w:tcPr>
          <w:p w14:paraId="3F1348CC"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99</w:t>
            </w:r>
            <w:r w:rsidR="005A5E17" w:rsidRPr="00F85178">
              <w:rPr>
                <w:rFonts w:eastAsia="Times New Roman"/>
                <w:szCs w:val="24"/>
                <w:lang w:eastAsia="cs-CZ"/>
              </w:rPr>
              <w:t>,</w:t>
            </w:r>
            <w:r w:rsidRPr="00F85178">
              <w:rPr>
                <w:rFonts w:eastAsia="Times New Roman"/>
                <w:szCs w:val="24"/>
                <w:lang w:eastAsia="cs-CZ"/>
              </w:rPr>
              <w:t>5 %</w:t>
            </w:r>
          </w:p>
        </w:tc>
      </w:tr>
      <w:tr w:rsidR="00F85178" w:rsidRPr="00F85178" w14:paraId="6EBE6C61"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663BA1EA"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Č. Budějovice</w:t>
            </w:r>
          </w:p>
        </w:tc>
        <w:tc>
          <w:tcPr>
            <w:tcW w:w="1049" w:type="dxa"/>
            <w:tcBorders>
              <w:top w:val="nil"/>
              <w:left w:val="nil"/>
              <w:bottom w:val="single" w:sz="4" w:space="0" w:color="auto"/>
              <w:right w:val="nil"/>
            </w:tcBorders>
            <w:shd w:val="clear" w:color="auto" w:fill="auto"/>
            <w:noWrap/>
            <w:vAlign w:val="bottom"/>
            <w:hideMark/>
          </w:tcPr>
          <w:p w14:paraId="18BF6CCB"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w:t>
            </w:r>
            <w:r w:rsidR="005A5E17" w:rsidRPr="00F85178">
              <w:rPr>
                <w:rFonts w:eastAsia="Times New Roman"/>
                <w:szCs w:val="24"/>
                <w:lang w:eastAsia="cs-CZ"/>
              </w:rPr>
              <w:t xml:space="preserve"> </w:t>
            </w:r>
            <w:r w:rsidRPr="00F85178">
              <w:rPr>
                <w:rFonts w:eastAsia="Times New Roman"/>
                <w:szCs w:val="24"/>
                <w:lang w:eastAsia="cs-CZ"/>
              </w:rPr>
              <w:t>104</w:t>
            </w:r>
          </w:p>
        </w:tc>
        <w:tc>
          <w:tcPr>
            <w:tcW w:w="876" w:type="dxa"/>
            <w:tcBorders>
              <w:top w:val="nil"/>
              <w:left w:val="nil"/>
              <w:bottom w:val="single" w:sz="4" w:space="0" w:color="auto"/>
              <w:right w:val="nil"/>
            </w:tcBorders>
            <w:shd w:val="clear" w:color="auto" w:fill="auto"/>
            <w:noWrap/>
            <w:vAlign w:val="center"/>
            <w:hideMark/>
          </w:tcPr>
          <w:p w14:paraId="02BD78F9" w14:textId="6156288C"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88" w:type="dxa"/>
            <w:tcBorders>
              <w:top w:val="nil"/>
              <w:left w:val="single" w:sz="4" w:space="0" w:color="auto"/>
              <w:bottom w:val="single" w:sz="4" w:space="0" w:color="auto"/>
              <w:right w:val="nil"/>
            </w:tcBorders>
            <w:shd w:val="clear" w:color="auto" w:fill="auto"/>
            <w:noWrap/>
            <w:vAlign w:val="bottom"/>
            <w:hideMark/>
          </w:tcPr>
          <w:p w14:paraId="39D6980A"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w:t>
            </w:r>
            <w:r w:rsidR="005A5E17" w:rsidRPr="00F85178">
              <w:rPr>
                <w:rFonts w:eastAsia="Times New Roman"/>
                <w:szCs w:val="24"/>
                <w:lang w:eastAsia="cs-CZ"/>
              </w:rPr>
              <w:t xml:space="preserve"> </w:t>
            </w:r>
            <w:r w:rsidRPr="00F85178">
              <w:rPr>
                <w:rFonts w:eastAsia="Times New Roman"/>
                <w:szCs w:val="24"/>
                <w:lang w:eastAsia="cs-CZ"/>
              </w:rPr>
              <w:t>083</w:t>
            </w:r>
          </w:p>
        </w:tc>
        <w:tc>
          <w:tcPr>
            <w:tcW w:w="876" w:type="dxa"/>
            <w:tcBorders>
              <w:top w:val="nil"/>
              <w:left w:val="nil"/>
              <w:bottom w:val="single" w:sz="4" w:space="0" w:color="auto"/>
              <w:right w:val="single" w:sz="4" w:space="0" w:color="auto"/>
            </w:tcBorders>
            <w:shd w:val="clear" w:color="auto" w:fill="auto"/>
            <w:noWrap/>
            <w:vAlign w:val="center"/>
            <w:hideMark/>
          </w:tcPr>
          <w:p w14:paraId="78937838" w14:textId="415E6491"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789" w:type="dxa"/>
            <w:tcBorders>
              <w:top w:val="nil"/>
              <w:left w:val="nil"/>
              <w:bottom w:val="single" w:sz="4" w:space="0" w:color="auto"/>
              <w:right w:val="nil"/>
            </w:tcBorders>
            <w:shd w:val="clear" w:color="auto" w:fill="auto"/>
            <w:noWrap/>
            <w:vAlign w:val="bottom"/>
            <w:hideMark/>
          </w:tcPr>
          <w:p w14:paraId="4C780337"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101</w:t>
            </w:r>
          </w:p>
        </w:tc>
        <w:tc>
          <w:tcPr>
            <w:tcW w:w="1002" w:type="dxa"/>
            <w:tcBorders>
              <w:top w:val="nil"/>
              <w:left w:val="nil"/>
              <w:bottom w:val="single" w:sz="4" w:space="0" w:color="auto"/>
              <w:right w:val="single" w:sz="4" w:space="0" w:color="auto"/>
            </w:tcBorders>
            <w:shd w:val="clear" w:color="auto" w:fill="auto"/>
            <w:noWrap/>
            <w:vAlign w:val="center"/>
            <w:hideMark/>
          </w:tcPr>
          <w:p w14:paraId="33202D06" w14:textId="5D44E31E"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+26 %</w:t>
            </w:r>
          </w:p>
        </w:tc>
        <w:tc>
          <w:tcPr>
            <w:tcW w:w="1540" w:type="dxa"/>
            <w:tcBorders>
              <w:top w:val="nil"/>
              <w:left w:val="nil"/>
              <w:bottom w:val="single" w:sz="4" w:space="0" w:color="auto"/>
              <w:right w:val="nil"/>
            </w:tcBorders>
            <w:shd w:val="clear" w:color="auto" w:fill="auto"/>
            <w:noWrap/>
            <w:vAlign w:val="center"/>
            <w:hideMark/>
          </w:tcPr>
          <w:p w14:paraId="746C0310"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98</w:t>
            </w:r>
            <w:r w:rsidR="005A5E17" w:rsidRPr="00F85178">
              <w:rPr>
                <w:rFonts w:eastAsia="Times New Roman"/>
                <w:szCs w:val="24"/>
                <w:lang w:eastAsia="cs-CZ"/>
              </w:rPr>
              <w:t>,</w:t>
            </w:r>
            <w:r w:rsidRPr="00F85178">
              <w:rPr>
                <w:rFonts w:eastAsia="Times New Roman"/>
                <w:szCs w:val="24"/>
                <w:lang w:eastAsia="cs-CZ"/>
              </w:rPr>
              <w:t>1 %</w:t>
            </w:r>
          </w:p>
        </w:tc>
      </w:tr>
      <w:tr w:rsidR="00F85178" w:rsidRPr="00F85178" w14:paraId="2C5900CF"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1A50B0EA"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Plzeň</w:t>
            </w:r>
          </w:p>
        </w:tc>
        <w:tc>
          <w:tcPr>
            <w:tcW w:w="1049" w:type="dxa"/>
            <w:tcBorders>
              <w:top w:val="nil"/>
              <w:left w:val="nil"/>
              <w:bottom w:val="single" w:sz="4" w:space="0" w:color="auto"/>
              <w:right w:val="nil"/>
            </w:tcBorders>
            <w:shd w:val="clear" w:color="auto" w:fill="auto"/>
            <w:noWrap/>
            <w:vAlign w:val="bottom"/>
            <w:hideMark/>
          </w:tcPr>
          <w:p w14:paraId="249FB53C"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w:t>
            </w:r>
            <w:r w:rsidR="005A5E17" w:rsidRPr="00F85178">
              <w:rPr>
                <w:rFonts w:eastAsia="Times New Roman"/>
                <w:szCs w:val="24"/>
                <w:lang w:eastAsia="cs-CZ"/>
              </w:rPr>
              <w:t xml:space="preserve"> </w:t>
            </w:r>
            <w:r w:rsidRPr="00F85178">
              <w:rPr>
                <w:rFonts w:eastAsia="Times New Roman"/>
                <w:szCs w:val="24"/>
                <w:lang w:eastAsia="cs-CZ"/>
              </w:rPr>
              <w:t>335</w:t>
            </w:r>
          </w:p>
        </w:tc>
        <w:tc>
          <w:tcPr>
            <w:tcW w:w="876" w:type="dxa"/>
            <w:tcBorders>
              <w:top w:val="nil"/>
              <w:left w:val="nil"/>
              <w:bottom w:val="single" w:sz="4" w:space="0" w:color="auto"/>
              <w:right w:val="nil"/>
            </w:tcBorders>
            <w:shd w:val="clear" w:color="auto" w:fill="auto"/>
            <w:noWrap/>
            <w:vAlign w:val="center"/>
            <w:hideMark/>
          </w:tcPr>
          <w:p w14:paraId="1DF8896E" w14:textId="36C9EAF0"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88" w:type="dxa"/>
            <w:tcBorders>
              <w:top w:val="nil"/>
              <w:left w:val="single" w:sz="4" w:space="0" w:color="auto"/>
              <w:bottom w:val="single" w:sz="4" w:space="0" w:color="auto"/>
              <w:right w:val="nil"/>
            </w:tcBorders>
            <w:shd w:val="clear" w:color="auto" w:fill="auto"/>
            <w:noWrap/>
            <w:vAlign w:val="bottom"/>
            <w:hideMark/>
          </w:tcPr>
          <w:p w14:paraId="62BCF123"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w:t>
            </w:r>
            <w:r w:rsidR="005A5E17" w:rsidRPr="00F85178">
              <w:rPr>
                <w:rFonts w:eastAsia="Times New Roman"/>
                <w:szCs w:val="24"/>
                <w:lang w:eastAsia="cs-CZ"/>
              </w:rPr>
              <w:t xml:space="preserve"> </w:t>
            </w:r>
            <w:r w:rsidRPr="00F85178">
              <w:rPr>
                <w:rFonts w:eastAsia="Times New Roman"/>
                <w:szCs w:val="24"/>
                <w:lang w:eastAsia="cs-CZ"/>
              </w:rPr>
              <w:t>394</w:t>
            </w:r>
          </w:p>
        </w:tc>
        <w:tc>
          <w:tcPr>
            <w:tcW w:w="876" w:type="dxa"/>
            <w:tcBorders>
              <w:top w:val="nil"/>
              <w:left w:val="nil"/>
              <w:bottom w:val="single" w:sz="4" w:space="0" w:color="auto"/>
              <w:right w:val="single" w:sz="4" w:space="0" w:color="auto"/>
            </w:tcBorders>
            <w:shd w:val="clear" w:color="auto" w:fill="auto"/>
            <w:noWrap/>
            <w:vAlign w:val="center"/>
            <w:hideMark/>
          </w:tcPr>
          <w:p w14:paraId="057BC40E" w14:textId="7B46C862"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789" w:type="dxa"/>
            <w:tcBorders>
              <w:top w:val="nil"/>
              <w:left w:val="nil"/>
              <w:bottom w:val="single" w:sz="4" w:space="0" w:color="auto"/>
              <w:right w:val="nil"/>
            </w:tcBorders>
            <w:shd w:val="clear" w:color="auto" w:fill="auto"/>
            <w:noWrap/>
            <w:vAlign w:val="bottom"/>
            <w:hideMark/>
          </w:tcPr>
          <w:p w14:paraId="781CF59E"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154</w:t>
            </w:r>
          </w:p>
        </w:tc>
        <w:tc>
          <w:tcPr>
            <w:tcW w:w="1002" w:type="dxa"/>
            <w:tcBorders>
              <w:top w:val="nil"/>
              <w:left w:val="nil"/>
              <w:bottom w:val="single" w:sz="4" w:space="0" w:color="auto"/>
              <w:right w:val="single" w:sz="4" w:space="0" w:color="auto"/>
            </w:tcBorders>
            <w:shd w:val="clear" w:color="auto" w:fill="auto"/>
            <w:noWrap/>
            <w:vAlign w:val="center"/>
            <w:hideMark/>
          </w:tcPr>
          <w:p w14:paraId="0A07B8DF" w14:textId="65825794"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-28 %</w:t>
            </w:r>
          </w:p>
        </w:tc>
        <w:tc>
          <w:tcPr>
            <w:tcW w:w="1540" w:type="dxa"/>
            <w:tcBorders>
              <w:top w:val="nil"/>
              <w:left w:val="nil"/>
              <w:bottom w:val="single" w:sz="4" w:space="0" w:color="auto"/>
              <w:right w:val="nil"/>
            </w:tcBorders>
            <w:shd w:val="clear" w:color="auto" w:fill="auto"/>
            <w:noWrap/>
            <w:vAlign w:val="center"/>
            <w:hideMark/>
          </w:tcPr>
          <w:p w14:paraId="654BE9E6"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102</w:t>
            </w:r>
            <w:r w:rsidR="005A5E17" w:rsidRPr="00F85178">
              <w:rPr>
                <w:rFonts w:eastAsia="Times New Roman"/>
                <w:szCs w:val="24"/>
                <w:lang w:eastAsia="cs-CZ"/>
              </w:rPr>
              <w:t>,</w:t>
            </w:r>
            <w:r w:rsidRPr="00F85178">
              <w:rPr>
                <w:rFonts w:eastAsia="Times New Roman"/>
                <w:szCs w:val="24"/>
                <w:lang w:eastAsia="cs-CZ"/>
              </w:rPr>
              <w:t>5 %</w:t>
            </w:r>
          </w:p>
        </w:tc>
      </w:tr>
      <w:tr w:rsidR="00F85178" w:rsidRPr="00F85178" w14:paraId="7F49A212"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6D80E062"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Ústí n. Labem</w:t>
            </w:r>
          </w:p>
        </w:tc>
        <w:tc>
          <w:tcPr>
            <w:tcW w:w="1049" w:type="dxa"/>
            <w:tcBorders>
              <w:top w:val="nil"/>
              <w:left w:val="nil"/>
              <w:bottom w:val="single" w:sz="4" w:space="0" w:color="auto"/>
              <w:right w:val="nil"/>
            </w:tcBorders>
            <w:shd w:val="clear" w:color="auto" w:fill="auto"/>
            <w:noWrap/>
            <w:vAlign w:val="bottom"/>
            <w:hideMark/>
          </w:tcPr>
          <w:p w14:paraId="042D11FB"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266</w:t>
            </w:r>
          </w:p>
        </w:tc>
        <w:tc>
          <w:tcPr>
            <w:tcW w:w="876" w:type="dxa"/>
            <w:tcBorders>
              <w:top w:val="nil"/>
              <w:left w:val="nil"/>
              <w:bottom w:val="single" w:sz="4" w:space="0" w:color="auto"/>
              <w:right w:val="nil"/>
            </w:tcBorders>
            <w:shd w:val="clear" w:color="auto" w:fill="auto"/>
            <w:noWrap/>
            <w:vAlign w:val="center"/>
            <w:hideMark/>
          </w:tcPr>
          <w:p w14:paraId="50177FC2" w14:textId="5466ABE5"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988" w:type="dxa"/>
            <w:tcBorders>
              <w:top w:val="nil"/>
              <w:left w:val="single" w:sz="4" w:space="0" w:color="auto"/>
              <w:bottom w:val="single" w:sz="4" w:space="0" w:color="auto"/>
              <w:right w:val="nil"/>
            </w:tcBorders>
            <w:shd w:val="clear" w:color="auto" w:fill="auto"/>
            <w:noWrap/>
            <w:vAlign w:val="bottom"/>
            <w:hideMark/>
          </w:tcPr>
          <w:p w14:paraId="308D0A72"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317</w:t>
            </w:r>
          </w:p>
        </w:tc>
        <w:tc>
          <w:tcPr>
            <w:tcW w:w="876" w:type="dxa"/>
            <w:tcBorders>
              <w:top w:val="nil"/>
              <w:left w:val="nil"/>
              <w:bottom w:val="single" w:sz="4" w:space="0" w:color="auto"/>
              <w:right w:val="single" w:sz="4" w:space="0" w:color="auto"/>
            </w:tcBorders>
            <w:shd w:val="clear" w:color="auto" w:fill="auto"/>
            <w:noWrap/>
            <w:vAlign w:val="center"/>
            <w:hideMark/>
          </w:tcPr>
          <w:p w14:paraId="2DD69081" w14:textId="01DD55F3"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789" w:type="dxa"/>
            <w:tcBorders>
              <w:top w:val="nil"/>
              <w:left w:val="nil"/>
              <w:bottom w:val="single" w:sz="4" w:space="0" w:color="auto"/>
              <w:right w:val="nil"/>
            </w:tcBorders>
            <w:shd w:val="clear" w:color="auto" w:fill="auto"/>
            <w:noWrap/>
            <w:vAlign w:val="bottom"/>
            <w:hideMark/>
          </w:tcPr>
          <w:p w14:paraId="1B727D95"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344</w:t>
            </w:r>
          </w:p>
        </w:tc>
        <w:tc>
          <w:tcPr>
            <w:tcW w:w="1002" w:type="dxa"/>
            <w:tcBorders>
              <w:top w:val="nil"/>
              <w:left w:val="nil"/>
              <w:bottom w:val="single" w:sz="4" w:space="0" w:color="auto"/>
              <w:right w:val="single" w:sz="4" w:space="0" w:color="auto"/>
            </w:tcBorders>
            <w:shd w:val="clear" w:color="auto" w:fill="auto"/>
            <w:noWrap/>
            <w:vAlign w:val="center"/>
            <w:hideMark/>
          </w:tcPr>
          <w:p w14:paraId="12487301" w14:textId="2336F204"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540" w:type="dxa"/>
            <w:tcBorders>
              <w:top w:val="nil"/>
              <w:left w:val="nil"/>
              <w:bottom w:val="single" w:sz="4" w:space="0" w:color="auto"/>
              <w:right w:val="nil"/>
            </w:tcBorders>
            <w:shd w:val="clear" w:color="auto" w:fill="auto"/>
            <w:noWrap/>
            <w:vAlign w:val="center"/>
            <w:hideMark/>
          </w:tcPr>
          <w:p w14:paraId="0070B7D9"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101</w:t>
            </w:r>
            <w:r w:rsidR="005A5E17" w:rsidRPr="00F85178">
              <w:rPr>
                <w:rFonts w:eastAsia="Times New Roman"/>
                <w:szCs w:val="24"/>
                <w:lang w:eastAsia="cs-CZ"/>
              </w:rPr>
              <w:t>,</w:t>
            </w:r>
            <w:r w:rsidRPr="00F85178">
              <w:rPr>
                <w:rFonts w:eastAsia="Times New Roman"/>
                <w:szCs w:val="24"/>
                <w:lang w:eastAsia="cs-CZ"/>
              </w:rPr>
              <w:t>6 %</w:t>
            </w:r>
          </w:p>
        </w:tc>
      </w:tr>
      <w:tr w:rsidR="00F85178" w:rsidRPr="00F85178" w14:paraId="54CED24D"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46DB8D1E"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Hr. Králové</w:t>
            </w:r>
          </w:p>
        </w:tc>
        <w:tc>
          <w:tcPr>
            <w:tcW w:w="1049" w:type="dxa"/>
            <w:tcBorders>
              <w:top w:val="nil"/>
              <w:left w:val="nil"/>
              <w:bottom w:val="single" w:sz="4" w:space="0" w:color="auto"/>
              <w:right w:val="nil"/>
            </w:tcBorders>
            <w:shd w:val="clear" w:color="auto" w:fill="auto"/>
            <w:noWrap/>
            <w:vAlign w:val="bottom"/>
            <w:hideMark/>
          </w:tcPr>
          <w:p w14:paraId="6FC19196"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w:t>
            </w:r>
            <w:r w:rsidR="005A5E17" w:rsidRPr="00F85178">
              <w:rPr>
                <w:rFonts w:eastAsia="Times New Roman"/>
                <w:szCs w:val="24"/>
                <w:lang w:eastAsia="cs-CZ"/>
              </w:rPr>
              <w:t xml:space="preserve"> </w:t>
            </w:r>
            <w:r w:rsidRPr="00F85178">
              <w:rPr>
                <w:rFonts w:eastAsia="Times New Roman"/>
                <w:szCs w:val="24"/>
                <w:lang w:eastAsia="cs-CZ"/>
              </w:rPr>
              <w:t>934</w:t>
            </w:r>
          </w:p>
        </w:tc>
        <w:tc>
          <w:tcPr>
            <w:tcW w:w="876" w:type="dxa"/>
            <w:tcBorders>
              <w:top w:val="nil"/>
              <w:left w:val="nil"/>
              <w:bottom w:val="single" w:sz="4" w:space="0" w:color="auto"/>
              <w:right w:val="nil"/>
            </w:tcBorders>
            <w:shd w:val="clear" w:color="auto" w:fill="auto"/>
            <w:noWrap/>
            <w:vAlign w:val="center"/>
            <w:hideMark/>
          </w:tcPr>
          <w:p w14:paraId="6FFB1197" w14:textId="0DEF59C7"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88" w:type="dxa"/>
            <w:tcBorders>
              <w:top w:val="nil"/>
              <w:left w:val="single" w:sz="4" w:space="0" w:color="auto"/>
              <w:bottom w:val="single" w:sz="4" w:space="0" w:color="auto"/>
              <w:right w:val="nil"/>
            </w:tcBorders>
            <w:shd w:val="clear" w:color="auto" w:fill="auto"/>
            <w:noWrap/>
            <w:vAlign w:val="bottom"/>
            <w:hideMark/>
          </w:tcPr>
          <w:p w14:paraId="0DDEAF7E"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1</w:t>
            </w:r>
            <w:r w:rsidR="005A5E17" w:rsidRPr="00F85178">
              <w:rPr>
                <w:rFonts w:eastAsia="Times New Roman"/>
                <w:szCs w:val="24"/>
                <w:lang w:eastAsia="cs-CZ"/>
              </w:rPr>
              <w:t xml:space="preserve"> </w:t>
            </w:r>
            <w:r w:rsidRPr="00F85178">
              <w:rPr>
                <w:rFonts w:eastAsia="Times New Roman"/>
                <w:szCs w:val="24"/>
                <w:lang w:eastAsia="cs-CZ"/>
              </w:rPr>
              <w:t>934</w:t>
            </w:r>
          </w:p>
        </w:tc>
        <w:tc>
          <w:tcPr>
            <w:tcW w:w="876" w:type="dxa"/>
            <w:tcBorders>
              <w:top w:val="nil"/>
              <w:left w:val="nil"/>
              <w:bottom w:val="single" w:sz="4" w:space="0" w:color="auto"/>
              <w:right w:val="single" w:sz="4" w:space="0" w:color="auto"/>
            </w:tcBorders>
            <w:shd w:val="clear" w:color="auto" w:fill="auto"/>
            <w:noWrap/>
            <w:vAlign w:val="center"/>
            <w:hideMark/>
          </w:tcPr>
          <w:p w14:paraId="32FF1BF6" w14:textId="3253D500"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789" w:type="dxa"/>
            <w:tcBorders>
              <w:top w:val="nil"/>
              <w:left w:val="nil"/>
              <w:bottom w:val="single" w:sz="4" w:space="0" w:color="auto"/>
              <w:right w:val="nil"/>
            </w:tcBorders>
            <w:shd w:val="clear" w:color="auto" w:fill="auto"/>
            <w:noWrap/>
            <w:vAlign w:val="bottom"/>
            <w:hideMark/>
          </w:tcPr>
          <w:p w14:paraId="7FE08621"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92</w:t>
            </w:r>
          </w:p>
        </w:tc>
        <w:tc>
          <w:tcPr>
            <w:tcW w:w="1002" w:type="dxa"/>
            <w:tcBorders>
              <w:top w:val="nil"/>
              <w:left w:val="nil"/>
              <w:bottom w:val="single" w:sz="4" w:space="0" w:color="auto"/>
              <w:right w:val="single" w:sz="4" w:space="0" w:color="auto"/>
            </w:tcBorders>
            <w:shd w:val="clear" w:color="auto" w:fill="auto"/>
            <w:noWrap/>
            <w:vAlign w:val="center"/>
            <w:hideMark/>
          </w:tcPr>
          <w:p w14:paraId="6386910E" w14:textId="551F3332"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540" w:type="dxa"/>
            <w:tcBorders>
              <w:top w:val="nil"/>
              <w:left w:val="nil"/>
              <w:bottom w:val="single" w:sz="4" w:space="0" w:color="auto"/>
              <w:right w:val="nil"/>
            </w:tcBorders>
            <w:shd w:val="clear" w:color="auto" w:fill="auto"/>
            <w:noWrap/>
            <w:vAlign w:val="center"/>
            <w:hideMark/>
          </w:tcPr>
          <w:p w14:paraId="3C77A3AC"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100</w:t>
            </w:r>
            <w:r w:rsidR="005A5E17" w:rsidRPr="00F85178">
              <w:rPr>
                <w:rFonts w:eastAsia="Times New Roman"/>
                <w:szCs w:val="24"/>
                <w:lang w:eastAsia="cs-CZ"/>
              </w:rPr>
              <w:t>,</w:t>
            </w:r>
            <w:r w:rsidRPr="00F85178">
              <w:rPr>
                <w:rFonts w:eastAsia="Times New Roman"/>
                <w:szCs w:val="24"/>
                <w:lang w:eastAsia="cs-CZ"/>
              </w:rPr>
              <w:t>0 %</w:t>
            </w:r>
          </w:p>
        </w:tc>
      </w:tr>
      <w:tr w:rsidR="00F85178" w:rsidRPr="00F85178" w14:paraId="3E413C5A" w14:textId="77777777" w:rsidTr="00394490">
        <w:trPr>
          <w:trHeight w:val="315"/>
        </w:trPr>
        <w:tc>
          <w:tcPr>
            <w:tcW w:w="2020" w:type="dxa"/>
            <w:tcBorders>
              <w:top w:val="nil"/>
              <w:left w:val="nil"/>
              <w:bottom w:val="single" w:sz="4" w:space="0" w:color="auto"/>
              <w:right w:val="nil"/>
            </w:tcBorders>
            <w:shd w:val="clear" w:color="auto" w:fill="auto"/>
            <w:noWrap/>
            <w:vAlign w:val="bottom"/>
            <w:hideMark/>
          </w:tcPr>
          <w:p w14:paraId="1D66C57E"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Brno</w:t>
            </w:r>
          </w:p>
        </w:tc>
        <w:tc>
          <w:tcPr>
            <w:tcW w:w="1049" w:type="dxa"/>
            <w:tcBorders>
              <w:top w:val="nil"/>
              <w:left w:val="nil"/>
              <w:bottom w:val="single" w:sz="4" w:space="0" w:color="auto"/>
              <w:right w:val="nil"/>
            </w:tcBorders>
            <w:shd w:val="clear" w:color="auto" w:fill="auto"/>
            <w:noWrap/>
            <w:vAlign w:val="bottom"/>
            <w:hideMark/>
          </w:tcPr>
          <w:p w14:paraId="0AB32D5F"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121</w:t>
            </w:r>
          </w:p>
        </w:tc>
        <w:tc>
          <w:tcPr>
            <w:tcW w:w="876" w:type="dxa"/>
            <w:tcBorders>
              <w:top w:val="nil"/>
              <w:left w:val="nil"/>
              <w:bottom w:val="single" w:sz="4" w:space="0" w:color="auto"/>
              <w:right w:val="nil"/>
            </w:tcBorders>
            <w:shd w:val="clear" w:color="auto" w:fill="auto"/>
            <w:noWrap/>
            <w:vAlign w:val="center"/>
            <w:hideMark/>
          </w:tcPr>
          <w:p w14:paraId="16E04AA4" w14:textId="28FBE8F8"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88" w:type="dxa"/>
            <w:tcBorders>
              <w:top w:val="nil"/>
              <w:left w:val="single" w:sz="4" w:space="0" w:color="auto"/>
              <w:bottom w:val="single" w:sz="4" w:space="0" w:color="auto"/>
              <w:right w:val="nil"/>
            </w:tcBorders>
            <w:shd w:val="clear" w:color="auto" w:fill="auto"/>
            <w:noWrap/>
            <w:vAlign w:val="bottom"/>
            <w:hideMark/>
          </w:tcPr>
          <w:p w14:paraId="359C20BD"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151</w:t>
            </w:r>
          </w:p>
        </w:tc>
        <w:tc>
          <w:tcPr>
            <w:tcW w:w="876" w:type="dxa"/>
            <w:tcBorders>
              <w:top w:val="nil"/>
              <w:left w:val="nil"/>
              <w:bottom w:val="single" w:sz="4" w:space="0" w:color="auto"/>
              <w:right w:val="single" w:sz="4" w:space="0" w:color="auto"/>
            </w:tcBorders>
            <w:shd w:val="clear" w:color="auto" w:fill="auto"/>
            <w:noWrap/>
            <w:vAlign w:val="center"/>
            <w:hideMark/>
          </w:tcPr>
          <w:p w14:paraId="41A0BE1D" w14:textId="632549D5"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789" w:type="dxa"/>
            <w:tcBorders>
              <w:top w:val="nil"/>
              <w:left w:val="nil"/>
              <w:bottom w:val="single" w:sz="4" w:space="0" w:color="auto"/>
              <w:right w:val="nil"/>
            </w:tcBorders>
            <w:shd w:val="clear" w:color="auto" w:fill="auto"/>
            <w:noWrap/>
            <w:vAlign w:val="bottom"/>
            <w:hideMark/>
          </w:tcPr>
          <w:p w14:paraId="4EAA3500"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202</w:t>
            </w:r>
          </w:p>
        </w:tc>
        <w:tc>
          <w:tcPr>
            <w:tcW w:w="1002" w:type="dxa"/>
            <w:tcBorders>
              <w:top w:val="nil"/>
              <w:left w:val="nil"/>
              <w:bottom w:val="single" w:sz="4" w:space="0" w:color="auto"/>
              <w:right w:val="single" w:sz="4" w:space="0" w:color="auto"/>
            </w:tcBorders>
            <w:shd w:val="clear" w:color="auto" w:fill="auto"/>
            <w:noWrap/>
            <w:vAlign w:val="center"/>
            <w:hideMark/>
          </w:tcPr>
          <w:p w14:paraId="72C0325D" w14:textId="288E651E"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540" w:type="dxa"/>
            <w:tcBorders>
              <w:top w:val="nil"/>
              <w:left w:val="nil"/>
              <w:bottom w:val="single" w:sz="4" w:space="0" w:color="auto"/>
              <w:right w:val="nil"/>
            </w:tcBorders>
            <w:shd w:val="clear" w:color="auto" w:fill="auto"/>
            <w:noWrap/>
            <w:vAlign w:val="center"/>
            <w:hideMark/>
          </w:tcPr>
          <w:p w14:paraId="5259132B"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101</w:t>
            </w:r>
            <w:r w:rsidR="005A5E17" w:rsidRPr="00F85178">
              <w:rPr>
                <w:rFonts w:eastAsia="Times New Roman"/>
                <w:szCs w:val="24"/>
                <w:lang w:eastAsia="cs-CZ"/>
              </w:rPr>
              <w:t>,</w:t>
            </w:r>
            <w:r w:rsidRPr="00F85178">
              <w:rPr>
                <w:rFonts w:eastAsia="Times New Roman"/>
                <w:szCs w:val="24"/>
                <w:lang w:eastAsia="cs-CZ"/>
              </w:rPr>
              <w:t>0 %</w:t>
            </w:r>
          </w:p>
        </w:tc>
      </w:tr>
      <w:tr w:rsidR="00F85178" w:rsidRPr="00F85178" w14:paraId="7F1AC0CE" w14:textId="77777777" w:rsidTr="00394490">
        <w:trPr>
          <w:trHeight w:val="330"/>
        </w:trPr>
        <w:tc>
          <w:tcPr>
            <w:tcW w:w="2020" w:type="dxa"/>
            <w:tcBorders>
              <w:top w:val="nil"/>
              <w:left w:val="nil"/>
              <w:bottom w:val="double" w:sz="6" w:space="0" w:color="auto"/>
              <w:right w:val="nil"/>
            </w:tcBorders>
            <w:shd w:val="clear" w:color="auto" w:fill="auto"/>
            <w:noWrap/>
            <w:vAlign w:val="bottom"/>
            <w:hideMark/>
          </w:tcPr>
          <w:p w14:paraId="67B51977" w14:textId="77777777" w:rsidR="00394490" w:rsidRPr="00F85178" w:rsidRDefault="00394490" w:rsidP="00394490">
            <w:pPr>
              <w:spacing w:line="240" w:lineRule="auto"/>
              <w:jc w:val="left"/>
              <w:rPr>
                <w:rFonts w:eastAsia="Times New Roman"/>
                <w:szCs w:val="24"/>
                <w:lang w:eastAsia="cs-CZ"/>
              </w:rPr>
            </w:pPr>
            <w:r w:rsidRPr="00F85178">
              <w:rPr>
                <w:rFonts w:eastAsia="Times New Roman"/>
                <w:szCs w:val="24"/>
                <w:lang w:eastAsia="cs-CZ"/>
              </w:rPr>
              <w:t>KS Ostrava</w:t>
            </w:r>
          </w:p>
        </w:tc>
        <w:tc>
          <w:tcPr>
            <w:tcW w:w="1049" w:type="dxa"/>
            <w:tcBorders>
              <w:top w:val="nil"/>
              <w:left w:val="nil"/>
              <w:bottom w:val="double" w:sz="6" w:space="0" w:color="auto"/>
              <w:right w:val="nil"/>
            </w:tcBorders>
            <w:shd w:val="clear" w:color="auto" w:fill="auto"/>
            <w:noWrap/>
            <w:vAlign w:val="bottom"/>
            <w:hideMark/>
          </w:tcPr>
          <w:p w14:paraId="299EE317"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945</w:t>
            </w:r>
          </w:p>
        </w:tc>
        <w:tc>
          <w:tcPr>
            <w:tcW w:w="876" w:type="dxa"/>
            <w:tcBorders>
              <w:top w:val="nil"/>
              <w:left w:val="nil"/>
              <w:bottom w:val="double" w:sz="6" w:space="0" w:color="auto"/>
              <w:right w:val="nil"/>
            </w:tcBorders>
            <w:shd w:val="clear" w:color="auto" w:fill="auto"/>
            <w:noWrap/>
            <w:vAlign w:val="center"/>
            <w:hideMark/>
          </w:tcPr>
          <w:p w14:paraId="4F7AC2AB" w14:textId="79CA0996"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988" w:type="dxa"/>
            <w:tcBorders>
              <w:top w:val="nil"/>
              <w:left w:val="single" w:sz="4" w:space="0" w:color="auto"/>
              <w:bottom w:val="double" w:sz="6" w:space="0" w:color="auto"/>
              <w:right w:val="nil"/>
            </w:tcBorders>
            <w:shd w:val="clear" w:color="auto" w:fill="auto"/>
            <w:noWrap/>
            <w:vAlign w:val="bottom"/>
            <w:hideMark/>
          </w:tcPr>
          <w:p w14:paraId="338B07BE"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w:t>
            </w:r>
            <w:r w:rsidR="005A5E17" w:rsidRPr="00F85178">
              <w:rPr>
                <w:rFonts w:eastAsia="Times New Roman"/>
                <w:szCs w:val="24"/>
                <w:lang w:eastAsia="cs-CZ"/>
              </w:rPr>
              <w:t xml:space="preserve"> </w:t>
            </w:r>
            <w:r w:rsidRPr="00F85178">
              <w:rPr>
                <w:rFonts w:eastAsia="Times New Roman"/>
                <w:szCs w:val="24"/>
                <w:lang w:eastAsia="cs-CZ"/>
              </w:rPr>
              <w:t>968</w:t>
            </w:r>
          </w:p>
        </w:tc>
        <w:tc>
          <w:tcPr>
            <w:tcW w:w="876" w:type="dxa"/>
            <w:tcBorders>
              <w:top w:val="nil"/>
              <w:left w:val="nil"/>
              <w:bottom w:val="double" w:sz="6" w:space="0" w:color="auto"/>
              <w:right w:val="single" w:sz="4" w:space="0" w:color="auto"/>
            </w:tcBorders>
            <w:shd w:val="clear" w:color="auto" w:fill="auto"/>
            <w:noWrap/>
            <w:vAlign w:val="center"/>
            <w:hideMark/>
          </w:tcPr>
          <w:p w14:paraId="77B4D3E5" w14:textId="56DEA997"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89" w:type="dxa"/>
            <w:tcBorders>
              <w:top w:val="nil"/>
              <w:left w:val="nil"/>
              <w:bottom w:val="double" w:sz="6" w:space="0" w:color="auto"/>
              <w:right w:val="nil"/>
            </w:tcBorders>
            <w:shd w:val="clear" w:color="auto" w:fill="auto"/>
            <w:noWrap/>
            <w:vAlign w:val="bottom"/>
            <w:hideMark/>
          </w:tcPr>
          <w:p w14:paraId="6F31EA28" w14:textId="77777777" w:rsidR="00394490" w:rsidRPr="00F85178" w:rsidRDefault="00394490" w:rsidP="00394490">
            <w:pPr>
              <w:spacing w:line="240" w:lineRule="auto"/>
              <w:jc w:val="center"/>
              <w:rPr>
                <w:rFonts w:eastAsia="Times New Roman"/>
                <w:szCs w:val="24"/>
                <w:lang w:eastAsia="cs-CZ"/>
              </w:rPr>
            </w:pPr>
            <w:r w:rsidRPr="00F85178">
              <w:rPr>
                <w:rFonts w:eastAsia="Times New Roman"/>
                <w:szCs w:val="24"/>
                <w:lang w:eastAsia="cs-CZ"/>
              </w:rPr>
              <w:t>335</w:t>
            </w:r>
          </w:p>
        </w:tc>
        <w:tc>
          <w:tcPr>
            <w:tcW w:w="1002" w:type="dxa"/>
            <w:tcBorders>
              <w:top w:val="nil"/>
              <w:left w:val="nil"/>
              <w:bottom w:val="double" w:sz="6" w:space="0" w:color="auto"/>
              <w:right w:val="single" w:sz="4" w:space="0" w:color="auto"/>
            </w:tcBorders>
            <w:shd w:val="clear" w:color="auto" w:fill="auto"/>
            <w:noWrap/>
            <w:vAlign w:val="center"/>
            <w:hideMark/>
          </w:tcPr>
          <w:p w14:paraId="68F0E502" w14:textId="371CE77D" w:rsidR="00394490" w:rsidRPr="00F85178" w:rsidRDefault="00394490" w:rsidP="00394490">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1540" w:type="dxa"/>
            <w:tcBorders>
              <w:top w:val="nil"/>
              <w:left w:val="nil"/>
              <w:bottom w:val="nil"/>
              <w:right w:val="nil"/>
            </w:tcBorders>
            <w:shd w:val="clear" w:color="auto" w:fill="auto"/>
            <w:noWrap/>
            <w:vAlign w:val="center"/>
            <w:hideMark/>
          </w:tcPr>
          <w:p w14:paraId="7C8E6DE4" w14:textId="77777777" w:rsidR="00394490" w:rsidRPr="00F85178" w:rsidRDefault="00394490" w:rsidP="005A5E17">
            <w:pPr>
              <w:spacing w:line="240" w:lineRule="auto"/>
              <w:jc w:val="center"/>
              <w:rPr>
                <w:rFonts w:eastAsia="Times New Roman"/>
                <w:szCs w:val="24"/>
                <w:lang w:eastAsia="cs-CZ"/>
              </w:rPr>
            </w:pPr>
            <w:r w:rsidRPr="00F85178">
              <w:rPr>
                <w:rFonts w:eastAsia="Times New Roman"/>
                <w:szCs w:val="24"/>
                <w:lang w:eastAsia="cs-CZ"/>
              </w:rPr>
              <w:t>100</w:t>
            </w:r>
            <w:r w:rsidR="005A5E17" w:rsidRPr="00F85178">
              <w:rPr>
                <w:rFonts w:eastAsia="Times New Roman"/>
                <w:szCs w:val="24"/>
                <w:lang w:eastAsia="cs-CZ"/>
              </w:rPr>
              <w:t>,</w:t>
            </w:r>
            <w:r w:rsidRPr="00F85178">
              <w:rPr>
                <w:rFonts w:eastAsia="Times New Roman"/>
                <w:szCs w:val="24"/>
                <w:lang w:eastAsia="cs-CZ"/>
              </w:rPr>
              <w:t>6 %</w:t>
            </w:r>
          </w:p>
        </w:tc>
      </w:tr>
      <w:tr w:rsidR="00F85178" w:rsidRPr="00F85178" w14:paraId="22112111" w14:textId="77777777" w:rsidTr="00394490">
        <w:trPr>
          <w:trHeight w:val="345"/>
        </w:trPr>
        <w:tc>
          <w:tcPr>
            <w:tcW w:w="2020" w:type="dxa"/>
            <w:tcBorders>
              <w:top w:val="nil"/>
              <w:left w:val="nil"/>
              <w:bottom w:val="double" w:sz="6" w:space="0" w:color="auto"/>
              <w:right w:val="nil"/>
            </w:tcBorders>
            <w:shd w:val="clear" w:color="auto" w:fill="auto"/>
            <w:noWrap/>
            <w:vAlign w:val="bottom"/>
            <w:hideMark/>
          </w:tcPr>
          <w:p w14:paraId="40639E24" w14:textId="77777777" w:rsidR="00394490" w:rsidRPr="00F85178" w:rsidRDefault="00394490" w:rsidP="00394490">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49" w:type="dxa"/>
            <w:tcBorders>
              <w:top w:val="nil"/>
              <w:left w:val="nil"/>
              <w:bottom w:val="double" w:sz="6" w:space="0" w:color="auto"/>
              <w:right w:val="nil"/>
            </w:tcBorders>
            <w:shd w:val="clear" w:color="auto" w:fill="auto"/>
            <w:noWrap/>
            <w:vAlign w:val="bottom"/>
            <w:hideMark/>
          </w:tcPr>
          <w:p w14:paraId="48B695EE"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22</w:t>
            </w:r>
            <w:r w:rsidR="005A5E17" w:rsidRPr="00F85178">
              <w:rPr>
                <w:rFonts w:eastAsia="Times New Roman"/>
                <w:b/>
                <w:bCs/>
                <w:szCs w:val="24"/>
                <w:lang w:eastAsia="cs-CZ"/>
              </w:rPr>
              <w:t xml:space="preserve"> </w:t>
            </w:r>
            <w:r w:rsidRPr="00F85178">
              <w:rPr>
                <w:rFonts w:eastAsia="Times New Roman"/>
                <w:b/>
                <w:bCs/>
                <w:szCs w:val="24"/>
                <w:lang w:eastAsia="cs-CZ"/>
              </w:rPr>
              <w:t>332</w:t>
            </w:r>
          </w:p>
        </w:tc>
        <w:tc>
          <w:tcPr>
            <w:tcW w:w="876" w:type="dxa"/>
            <w:tcBorders>
              <w:top w:val="nil"/>
              <w:left w:val="nil"/>
              <w:bottom w:val="double" w:sz="6" w:space="0" w:color="auto"/>
              <w:right w:val="nil"/>
            </w:tcBorders>
            <w:shd w:val="clear" w:color="auto" w:fill="auto"/>
            <w:noWrap/>
            <w:vAlign w:val="center"/>
            <w:hideMark/>
          </w:tcPr>
          <w:p w14:paraId="1FA2B6E9" w14:textId="6AE973E2" w:rsidR="00394490" w:rsidRPr="00F85178" w:rsidRDefault="00394490" w:rsidP="00394490">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c>
          <w:tcPr>
            <w:tcW w:w="988" w:type="dxa"/>
            <w:tcBorders>
              <w:top w:val="nil"/>
              <w:left w:val="single" w:sz="4" w:space="0" w:color="auto"/>
              <w:bottom w:val="double" w:sz="6" w:space="0" w:color="auto"/>
              <w:right w:val="nil"/>
            </w:tcBorders>
            <w:shd w:val="clear" w:color="auto" w:fill="auto"/>
            <w:noWrap/>
            <w:vAlign w:val="bottom"/>
            <w:hideMark/>
          </w:tcPr>
          <w:p w14:paraId="404FCE41"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22</w:t>
            </w:r>
            <w:r w:rsidR="005A5E17" w:rsidRPr="00F85178">
              <w:rPr>
                <w:rFonts w:eastAsia="Times New Roman"/>
                <w:b/>
                <w:bCs/>
                <w:szCs w:val="24"/>
                <w:lang w:eastAsia="cs-CZ"/>
              </w:rPr>
              <w:t xml:space="preserve"> </w:t>
            </w:r>
            <w:r w:rsidRPr="00F85178">
              <w:rPr>
                <w:rFonts w:eastAsia="Times New Roman"/>
                <w:b/>
                <w:bCs/>
                <w:szCs w:val="24"/>
                <w:lang w:eastAsia="cs-CZ"/>
              </w:rPr>
              <w:t>411</w:t>
            </w:r>
          </w:p>
        </w:tc>
        <w:tc>
          <w:tcPr>
            <w:tcW w:w="876" w:type="dxa"/>
            <w:tcBorders>
              <w:top w:val="nil"/>
              <w:left w:val="nil"/>
              <w:bottom w:val="double" w:sz="6" w:space="0" w:color="auto"/>
              <w:right w:val="single" w:sz="4" w:space="0" w:color="auto"/>
            </w:tcBorders>
            <w:shd w:val="clear" w:color="auto" w:fill="auto"/>
            <w:noWrap/>
            <w:vAlign w:val="center"/>
            <w:hideMark/>
          </w:tcPr>
          <w:p w14:paraId="50A863A3" w14:textId="190F9E43" w:rsidR="00394490" w:rsidRPr="00F85178" w:rsidRDefault="00394490" w:rsidP="00394490">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c>
          <w:tcPr>
            <w:tcW w:w="789" w:type="dxa"/>
            <w:tcBorders>
              <w:top w:val="nil"/>
              <w:left w:val="nil"/>
              <w:bottom w:val="double" w:sz="6" w:space="0" w:color="auto"/>
              <w:right w:val="nil"/>
            </w:tcBorders>
            <w:shd w:val="clear" w:color="auto" w:fill="auto"/>
            <w:noWrap/>
            <w:vAlign w:val="bottom"/>
            <w:hideMark/>
          </w:tcPr>
          <w:p w14:paraId="67033DC1" w14:textId="77777777" w:rsidR="00394490" w:rsidRPr="00F85178" w:rsidRDefault="00394490" w:rsidP="00394490">
            <w:pPr>
              <w:spacing w:line="240" w:lineRule="auto"/>
              <w:jc w:val="center"/>
              <w:rPr>
                <w:rFonts w:eastAsia="Times New Roman"/>
                <w:b/>
                <w:bCs/>
                <w:szCs w:val="24"/>
                <w:lang w:eastAsia="cs-CZ"/>
              </w:rPr>
            </w:pPr>
            <w:r w:rsidRPr="00F85178">
              <w:rPr>
                <w:rFonts w:eastAsia="Times New Roman"/>
                <w:b/>
                <w:bCs/>
                <w:szCs w:val="24"/>
                <w:lang w:eastAsia="cs-CZ"/>
              </w:rPr>
              <w:t>1</w:t>
            </w:r>
            <w:r w:rsidR="005A5E17" w:rsidRPr="00F85178">
              <w:rPr>
                <w:rFonts w:eastAsia="Times New Roman"/>
                <w:b/>
                <w:bCs/>
                <w:szCs w:val="24"/>
                <w:lang w:eastAsia="cs-CZ"/>
              </w:rPr>
              <w:t xml:space="preserve"> </w:t>
            </w:r>
            <w:r w:rsidRPr="00F85178">
              <w:rPr>
                <w:rFonts w:eastAsia="Times New Roman"/>
                <w:b/>
                <w:bCs/>
                <w:szCs w:val="24"/>
                <w:lang w:eastAsia="cs-CZ"/>
              </w:rPr>
              <w:t>501</w:t>
            </w:r>
          </w:p>
        </w:tc>
        <w:tc>
          <w:tcPr>
            <w:tcW w:w="1002" w:type="dxa"/>
            <w:tcBorders>
              <w:top w:val="nil"/>
              <w:left w:val="nil"/>
              <w:bottom w:val="double" w:sz="6" w:space="0" w:color="auto"/>
              <w:right w:val="single" w:sz="4" w:space="0" w:color="auto"/>
            </w:tcBorders>
            <w:shd w:val="clear" w:color="auto" w:fill="auto"/>
            <w:noWrap/>
            <w:vAlign w:val="center"/>
            <w:hideMark/>
          </w:tcPr>
          <w:p w14:paraId="0264F147" w14:textId="07373F3E" w:rsidR="00394490" w:rsidRPr="00F85178" w:rsidRDefault="00394490" w:rsidP="00394490">
            <w:pPr>
              <w:spacing w:line="240" w:lineRule="auto"/>
              <w:jc w:val="center"/>
              <w:rPr>
                <w:rFonts w:eastAsia="Times New Roman"/>
                <w:b/>
                <w:bCs/>
                <w:sz w:val="20"/>
                <w:szCs w:val="20"/>
                <w:lang w:eastAsia="cs-CZ"/>
              </w:rPr>
            </w:pPr>
            <w:r w:rsidRPr="00F85178">
              <w:rPr>
                <w:rFonts w:eastAsia="Times New Roman"/>
                <w:b/>
                <w:bCs/>
                <w:sz w:val="20"/>
                <w:szCs w:val="20"/>
                <w:lang w:eastAsia="cs-CZ"/>
              </w:rPr>
              <w:t>-5 %</w:t>
            </w:r>
          </w:p>
        </w:tc>
        <w:tc>
          <w:tcPr>
            <w:tcW w:w="1540" w:type="dxa"/>
            <w:tcBorders>
              <w:top w:val="double" w:sz="6" w:space="0" w:color="auto"/>
              <w:left w:val="nil"/>
              <w:bottom w:val="double" w:sz="6" w:space="0" w:color="auto"/>
              <w:right w:val="nil"/>
            </w:tcBorders>
            <w:shd w:val="clear" w:color="auto" w:fill="auto"/>
            <w:noWrap/>
            <w:vAlign w:val="center"/>
            <w:hideMark/>
          </w:tcPr>
          <w:p w14:paraId="7588F44D" w14:textId="77777777" w:rsidR="00394490" w:rsidRPr="00F85178" w:rsidRDefault="00394490" w:rsidP="005A5E17">
            <w:pPr>
              <w:spacing w:line="240" w:lineRule="auto"/>
              <w:jc w:val="center"/>
              <w:rPr>
                <w:rFonts w:eastAsia="Times New Roman"/>
                <w:b/>
                <w:bCs/>
                <w:szCs w:val="24"/>
                <w:lang w:eastAsia="cs-CZ"/>
              </w:rPr>
            </w:pPr>
            <w:r w:rsidRPr="00F85178">
              <w:rPr>
                <w:rFonts w:eastAsia="Times New Roman"/>
                <w:b/>
                <w:bCs/>
                <w:szCs w:val="24"/>
                <w:lang w:eastAsia="cs-CZ"/>
              </w:rPr>
              <w:t>100</w:t>
            </w:r>
            <w:r w:rsidR="005A5E17" w:rsidRPr="00F85178">
              <w:rPr>
                <w:rFonts w:eastAsia="Times New Roman"/>
                <w:b/>
                <w:bCs/>
                <w:szCs w:val="24"/>
                <w:lang w:eastAsia="cs-CZ"/>
              </w:rPr>
              <w:t>,</w:t>
            </w:r>
            <w:r w:rsidRPr="00F85178">
              <w:rPr>
                <w:rFonts w:eastAsia="Times New Roman"/>
                <w:b/>
                <w:bCs/>
                <w:szCs w:val="24"/>
                <w:lang w:eastAsia="cs-CZ"/>
              </w:rPr>
              <w:t>4 %</w:t>
            </w:r>
          </w:p>
        </w:tc>
      </w:tr>
    </w:tbl>
    <w:p w14:paraId="062E53BC" w14:textId="77777777" w:rsidR="005C5C8D" w:rsidRPr="00F85178" w:rsidRDefault="005C5C8D" w:rsidP="00183021">
      <w:pPr>
        <w:pStyle w:val="OdstavecASR"/>
      </w:pPr>
      <w:r w:rsidRPr="00F85178">
        <w:t>Dále v grafu vidíme, že počet nevyřízených věcí je stabilní a vzhledem k ročnímu nápadu a vyřízeným věcem velmi nízký. To úzce souvisí s nízkými délkami řízení. Také z toho plyne, že DT je velmi nízký.</w:t>
      </w:r>
      <w:r w:rsidR="00183021" w:rsidRPr="00F85178">
        <w:t xml:space="preserve"> V posledních dvou letech počet nevyřízených věcí poklesl, což zřejmě souvisí s poklesem v počtu příchozích věcí. Míra vyřizování se takřka u všech soudů silně blížila 100 %.</w:t>
      </w:r>
    </w:p>
    <w:p w14:paraId="3A4EFC82" w14:textId="77777777" w:rsidR="00AD74B8" w:rsidRPr="00F85178" w:rsidRDefault="00AD74B8" w:rsidP="00AD74B8">
      <w:pPr>
        <w:pStyle w:val="Nadpis3"/>
        <w:rPr>
          <w:color w:val="auto"/>
        </w:rPr>
      </w:pPr>
      <w:bookmarkStart w:id="494" w:name="_Toc515871265"/>
      <w:bookmarkStart w:id="495" w:name="_Toc14076914"/>
      <w:r w:rsidRPr="00F85178">
        <w:rPr>
          <w:color w:val="auto"/>
        </w:rPr>
        <w:t>Disposition time</w:t>
      </w:r>
      <w:bookmarkEnd w:id="494"/>
      <w:bookmarkEnd w:id="495"/>
    </w:p>
    <w:p w14:paraId="0339DD53" w14:textId="77777777" w:rsidR="00AD74B8" w:rsidRPr="00F85178" w:rsidRDefault="00AD74B8" w:rsidP="00AD74B8">
      <w:pPr>
        <w:pStyle w:val="Podtitul"/>
        <w:rPr>
          <w:color w:val="auto"/>
        </w:rPr>
      </w:pPr>
      <w:bookmarkStart w:id="496" w:name="_Toc515871396"/>
      <w:bookmarkStart w:id="497" w:name="_Toc11135127"/>
      <w:bookmarkStart w:id="498" w:name="_Toc1383755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66</w:t>
      </w:r>
      <w:r w:rsidRPr="00F85178">
        <w:rPr>
          <w:noProof/>
          <w:color w:val="auto"/>
        </w:rPr>
        <w:fldChar w:fldCharType="end"/>
      </w:r>
      <w:r w:rsidRPr="00F85178">
        <w:rPr>
          <w:color w:val="auto"/>
        </w:rPr>
        <w:t>: KS – DT odvolacího trestního řízení v letech 2008–</w:t>
      </w:r>
      <w:bookmarkEnd w:id="496"/>
      <w:r w:rsidR="0015485A" w:rsidRPr="00F85178">
        <w:rPr>
          <w:color w:val="auto"/>
        </w:rPr>
        <w:t>2018</w:t>
      </w:r>
      <w:bookmarkEnd w:id="497"/>
      <w:bookmarkEnd w:id="498"/>
    </w:p>
    <w:p w14:paraId="5DEC6150" w14:textId="77777777" w:rsidR="002E74C9" w:rsidRPr="00F85178" w:rsidRDefault="00890295" w:rsidP="00205FD6">
      <w:r>
        <w:rPr>
          <w:noProof/>
          <w:lang w:eastAsia="cs-CZ"/>
        </w:rPr>
        <w:drawing>
          <wp:inline distT="0" distB="0" distL="0" distR="0" wp14:anchorId="15E1C19F" wp14:editId="10CDA571">
            <wp:extent cx="5118100" cy="3746500"/>
            <wp:effectExtent l="0" t="0" r="0" b="0"/>
            <wp:docPr id="69" name="Obrázek 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1"/>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05E21B1" w14:textId="77777777" w:rsidR="00183021" w:rsidRPr="00F85178" w:rsidRDefault="005C5C8D" w:rsidP="00183021">
      <w:pPr>
        <w:pStyle w:val="OdstavecASR"/>
      </w:pPr>
      <w:r w:rsidRPr="00F85178">
        <w:t>Výsledky v této podkapitole korespondují s výsledky z </w:t>
      </w:r>
      <w:proofErr w:type="gramStart"/>
      <w:r w:rsidRPr="00F85178">
        <w:t>podkapitol </w:t>
      </w:r>
      <w:r w:rsidRPr="00F85178">
        <w:fldChar w:fldCharType="begin"/>
      </w:r>
      <w:r w:rsidRPr="00F85178">
        <w:instrText xml:space="preserve"> REF _Ref511391169 \r \h </w:instrText>
      </w:r>
      <w:r w:rsidRPr="00F85178">
        <w:fldChar w:fldCharType="separate"/>
      </w:r>
      <w:r w:rsidR="00306940">
        <w:t>3.5.1</w:t>
      </w:r>
      <w:proofErr w:type="gramEnd"/>
      <w:r w:rsidRPr="00F85178">
        <w:fldChar w:fldCharType="end"/>
      </w:r>
      <w:r w:rsidRPr="00F85178">
        <w:t xml:space="preserve"> a </w:t>
      </w:r>
      <w:r w:rsidRPr="00F85178">
        <w:fldChar w:fldCharType="begin"/>
      </w:r>
      <w:r w:rsidRPr="00F85178">
        <w:instrText xml:space="preserve"> REF _Ref511391173 \r \h </w:instrText>
      </w:r>
      <w:r w:rsidRPr="00F85178">
        <w:fldChar w:fldCharType="separate"/>
      </w:r>
      <w:r w:rsidR="00306940">
        <w:t>3.5.2</w:t>
      </w:r>
      <w:r w:rsidRPr="00F85178">
        <w:fldChar w:fldCharType="end"/>
      </w:r>
      <w:r w:rsidRPr="00F85178">
        <w:t xml:space="preserve">. Z grafu je patrné, že DT je opravdu nízký a neměnný, což vyplývá z poměru vyřízených a nevyřízených věcí a toho, že jsou tyto ukazatele také poměrně neměnné. </w:t>
      </w:r>
      <w:r w:rsidR="00183021" w:rsidRPr="00F85178">
        <w:t>V tabulce 5</w:t>
      </w:r>
      <w:r w:rsidR="005A5E17" w:rsidRPr="00F85178">
        <w:t>4</w:t>
      </w:r>
      <w:r w:rsidR="00183021" w:rsidRPr="00F85178">
        <w:t xml:space="preserve"> vidíme, že relativní změny jsou u</w:t>
      </w:r>
      <w:r w:rsidR="005A5E17" w:rsidRPr="00F85178">
        <w:t> </w:t>
      </w:r>
      <w:r w:rsidR="00183021" w:rsidRPr="00F85178">
        <w:t>některých soudů celkem velké. Například nárůst 40 % u MS Praha. V absolutních číslech se ale jedná pouze o změny v řádech dnů. Změny se navíc vzájemně „vykompenzují“, takže celorepublikový ukazatel je takřka neměnný.</w:t>
      </w:r>
      <w:bookmarkStart w:id="499" w:name="_Toc515871489"/>
    </w:p>
    <w:p w14:paraId="463F55CC" w14:textId="77777777" w:rsidR="002E74C9" w:rsidRPr="00F85178" w:rsidRDefault="002E74C9" w:rsidP="00183021">
      <w:pPr>
        <w:pStyle w:val="Podtitul"/>
        <w:rPr>
          <w:color w:val="auto"/>
        </w:rPr>
      </w:pPr>
      <w:bookmarkStart w:id="500" w:name="_Toc11133256"/>
      <w:bookmarkStart w:id="501" w:name="_Toc13837477"/>
      <w:r w:rsidRPr="00F85178">
        <w:rPr>
          <w:color w:val="auto"/>
        </w:rPr>
        <w:t xml:space="preserve">Tabulka </w:t>
      </w:r>
      <w:r w:rsidR="00D842DE" w:rsidRPr="00F85178">
        <w:rPr>
          <w:noProof/>
          <w:color w:val="auto"/>
        </w:rPr>
        <w:fldChar w:fldCharType="begin"/>
      </w:r>
      <w:r w:rsidR="00D842DE" w:rsidRPr="00F85178">
        <w:rPr>
          <w:noProof/>
          <w:color w:val="auto"/>
        </w:rPr>
        <w:instrText xml:space="preserve"> SEQ Tabulka \* ARABIC </w:instrText>
      </w:r>
      <w:r w:rsidR="00D842DE" w:rsidRPr="00F85178">
        <w:rPr>
          <w:noProof/>
          <w:color w:val="auto"/>
        </w:rPr>
        <w:fldChar w:fldCharType="separate"/>
      </w:r>
      <w:r w:rsidR="00306940">
        <w:rPr>
          <w:noProof/>
          <w:color w:val="auto"/>
        </w:rPr>
        <w:t>54</w:t>
      </w:r>
      <w:r w:rsidR="00D842DE" w:rsidRPr="00F85178">
        <w:rPr>
          <w:noProof/>
          <w:color w:val="auto"/>
        </w:rPr>
        <w:fldChar w:fldCharType="end"/>
      </w:r>
      <w:r w:rsidRPr="00F85178">
        <w:rPr>
          <w:color w:val="auto"/>
        </w:rPr>
        <w:t>: KS – DT odvolacího trestního řízení dle soudů</w:t>
      </w:r>
      <w:bookmarkEnd w:id="499"/>
      <w:bookmarkEnd w:id="500"/>
      <w:bookmarkEnd w:id="501"/>
    </w:p>
    <w:tbl>
      <w:tblPr>
        <w:tblW w:w="5960" w:type="dxa"/>
        <w:tblInd w:w="55" w:type="dxa"/>
        <w:tblCellMar>
          <w:left w:w="70" w:type="dxa"/>
          <w:right w:w="70" w:type="dxa"/>
        </w:tblCellMar>
        <w:tblLook w:val="04A0" w:firstRow="1" w:lastRow="0" w:firstColumn="1" w:lastColumn="0" w:noHBand="0" w:noVBand="1"/>
      </w:tblPr>
      <w:tblGrid>
        <w:gridCol w:w="2780"/>
        <w:gridCol w:w="988"/>
        <w:gridCol w:w="2192"/>
      </w:tblGrid>
      <w:tr w:rsidR="00F85178" w:rsidRPr="00F85178" w14:paraId="67A3796E" w14:textId="77777777" w:rsidTr="00FF7EB3">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6CB4C6D" w14:textId="77777777" w:rsidR="00FF7EB3" w:rsidRPr="00F85178" w:rsidRDefault="00FF7EB3" w:rsidP="00FF7EB3">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403FB8DB" w14:textId="77777777" w:rsidR="00FF7EB3" w:rsidRPr="00F85178" w:rsidRDefault="00FF7EB3" w:rsidP="00FF7EB3">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44E0BAE5" w14:textId="77777777" w:rsidTr="00FF7EB3">
        <w:trPr>
          <w:trHeight w:val="330"/>
        </w:trPr>
        <w:tc>
          <w:tcPr>
            <w:tcW w:w="2780" w:type="dxa"/>
            <w:tcBorders>
              <w:top w:val="nil"/>
              <w:left w:val="nil"/>
              <w:bottom w:val="single" w:sz="4" w:space="0" w:color="auto"/>
              <w:right w:val="nil"/>
            </w:tcBorders>
            <w:shd w:val="clear" w:color="auto" w:fill="auto"/>
            <w:noWrap/>
            <w:vAlign w:val="bottom"/>
            <w:hideMark/>
          </w:tcPr>
          <w:p w14:paraId="057662EE"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MS Praha</w:t>
            </w:r>
          </w:p>
        </w:tc>
        <w:tc>
          <w:tcPr>
            <w:tcW w:w="988" w:type="dxa"/>
            <w:tcBorders>
              <w:top w:val="nil"/>
              <w:left w:val="nil"/>
              <w:bottom w:val="single" w:sz="4" w:space="0" w:color="auto"/>
              <w:right w:val="nil"/>
            </w:tcBorders>
            <w:shd w:val="clear" w:color="auto" w:fill="auto"/>
            <w:noWrap/>
            <w:vAlign w:val="bottom"/>
            <w:hideMark/>
          </w:tcPr>
          <w:p w14:paraId="29BE0281"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23</w:t>
            </w:r>
          </w:p>
        </w:tc>
        <w:tc>
          <w:tcPr>
            <w:tcW w:w="2192" w:type="dxa"/>
            <w:tcBorders>
              <w:top w:val="nil"/>
              <w:left w:val="nil"/>
              <w:bottom w:val="single" w:sz="4" w:space="0" w:color="auto"/>
              <w:right w:val="nil"/>
            </w:tcBorders>
            <w:shd w:val="clear" w:color="auto" w:fill="auto"/>
            <w:noWrap/>
            <w:vAlign w:val="center"/>
            <w:hideMark/>
          </w:tcPr>
          <w:p w14:paraId="7972D19F" w14:textId="1C746326"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+40 %</w:t>
            </w:r>
          </w:p>
        </w:tc>
      </w:tr>
      <w:tr w:rsidR="00F85178" w:rsidRPr="00F85178" w14:paraId="798F749B"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7C6EC006"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Praha</w:t>
            </w:r>
          </w:p>
        </w:tc>
        <w:tc>
          <w:tcPr>
            <w:tcW w:w="988" w:type="dxa"/>
            <w:tcBorders>
              <w:top w:val="nil"/>
              <w:left w:val="nil"/>
              <w:bottom w:val="single" w:sz="4" w:space="0" w:color="auto"/>
              <w:right w:val="nil"/>
            </w:tcBorders>
            <w:shd w:val="clear" w:color="auto" w:fill="auto"/>
            <w:noWrap/>
            <w:vAlign w:val="bottom"/>
            <w:hideMark/>
          </w:tcPr>
          <w:p w14:paraId="3FC9A868"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5</w:t>
            </w:r>
          </w:p>
        </w:tc>
        <w:tc>
          <w:tcPr>
            <w:tcW w:w="2192" w:type="dxa"/>
            <w:tcBorders>
              <w:top w:val="nil"/>
              <w:left w:val="nil"/>
              <w:bottom w:val="single" w:sz="4" w:space="0" w:color="auto"/>
              <w:right w:val="nil"/>
            </w:tcBorders>
            <w:shd w:val="clear" w:color="auto" w:fill="auto"/>
            <w:noWrap/>
            <w:vAlign w:val="center"/>
            <w:hideMark/>
          </w:tcPr>
          <w:p w14:paraId="364E6BEF" w14:textId="380C7515"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+25 %</w:t>
            </w:r>
          </w:p>
        </w:tc>
      </w:tr>
      <w:tr w:rsidR="00F85178" w:rsidRPr="00F85178" w14:paraId="40E11BB1"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0F7954C6"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Č. Budějovice</w:t>
            </w:r>
          </w:p>
        </w:tc>
        <w:tc>
          <w:tcPr>
            <w:tcW w:w="988" w:type="dxa"/>
            <w:tcBorders>
              <w:top w:val="nil"/>
              <w:left w:val="nil"/>
              <w:bottom w:val="single" w:sz="4" w:space="0" w:color="auto"/>
              <w:right w:val="nil"/>
            </w:tcBorders>
            <w:shd w:val="clear" w:color="auto" w:fill="auto"/>
            <w:noWrap/>
            <w:vAlign w:val="bottom"/>
            <w:hideMark/>
          </w:tcPr>
          <w:p w14:paraId="3CB5EA26"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34</w:t>
            </w:r>
          </w:p>
        </w:tc>
        <w:tc>
          <w:tcPr>
            <w:tcW w:w="2192" w:type="dxa"/>
            <w:tcBorders>
              <w:top w:val="nil"/>
              <w:left w:val="nil"/>
              <w:bottom w:val="single" w:sz="4" w:space="0" w:color="auto"/>
              <w:right w:val="nil"/>
            </w:tcBorders>
            <w:shd w:val="clear" w:color="auto" w:fill="auto"/>
            <w:noWrap/>
            <w:vAlign w:val="center"/>
            <w:hideMark/>
          </w:tcPr>
          <w:p w14:paraId="29E492D1" w14:textId="50F47D05"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+33 %</w:t>
            </w:r>
          </w:p>
        </w:tc>
      </w:tr>
      <w:tr w:rsidR="00F85178" w:rsidRPr="00F85178" w14:paraId="2CAE4B4E"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16F01EE2"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Plzeň</w:t>
            </w:r>
          </w:p>
        </w:tc>
        <w:tc>
          <w:tcPr>
            <w:tcW w:w="988" w:type="dxa"/>
            <w:tcBorders>
              <w:top w:val="nil"/>
              <w:left w:val="nil"/>
              <w:bottom w:val="single" w:sz="4" w:space="0" w:color="auto"/>
              <w:right w:val="nil"/>
            </w:tcBorders>
            <w:shd w:val="clear" w:color="auto" w:fill="auto"/>
            <w:noWrap/>
            <w:vAlign w:val="bottom"/>
            <w:hideMark/>
          </w:tcPr>
          <w:p w14:paraId="14DD85D1"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23</w:t>
            </w:r>
          </w:p>
        </w:tc>
        <w:tc>
          <w:tcPr>
            <w:tcW w:w="2192" w:type="dxa"/>
            <w:tcBorders>
              <w:top w:val="nil"/>
              <w:left w:val="nil"/>
              <w:bottom w:val="single" w:sz="4" w:space="0" w:color="auto"/>
              <w:right w:val="nil"/>
            </w:tcBorders>
            <w:shd w:val="clear" w:color="auto" w:fill="auto"/>
            <w:noWrap/>
            <w:vAlign w:val="center"/>
            <w:hideMark/>
          </w:tcPr>
          <w:p w14:paraId="116361DE" w14:textId="4E6D1337"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-20 %</w:t>
            </w:r>
          </w:p>
        </w:tc>
      </w:tr>
      <w:tr w:rsidR="00F85178" w:rsidRPr="00F85178" w14:paraId="0FE6930C"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358BB804"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Ústí n. Labem</w:t>
            </w:r>
          </w:p>
        </w:tc>
        <w:tc>
          <w:tcPr>
            <w:tcW w:w="988" w:type="dxa"/>
            <w:tcBorders>
              <w:top w:val="nil"/>
              <w:left w:val="nil"/>
              <w:bottom w:val="single" w:sz="4" w:space="0" w:color="auto"/>
              <w:right w:val="nil"/>
            </w:tcBorders>
            <w:shd w:val="clear" w:color="auto" w:fill="auto"/>
            <w:noWrap/>
            <w:vAlign w:val="bottom"/>
            <w:hideMark/>
          </w:tcPr>
          <w:p w14:paraId="4C1F52A2"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38</w:t>
            </w:r>
          </w:p>
        </w:tc>
        <w:tc>
          <w:tcPr>
            <w:tcW w:w="2192" w:type="dxa"/>
            <w:tcBorders>
              <w:top w:val="nil"/>
              <w:left w:val="nil"/>
              <w:bottom w:val="single" w:sz="4" w:space="0" w:color="auto"/>
              <w:right w:val="nil"/>
            </w:tcBorders>
            <w:shd w:val="clear" w:color="auto" w:fill="auto"/>
            <w:noWrap/>
            <w:vAlign w:val="center"/>
            <w:hideMark/>
          </w:tcPr>
          <w:p w14:paraId="68B2013E" w14:textId="4986FC1F"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F85178" w:rsidRPr="00F85178" w14:paraId="07F6E1B6"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1BA3FFF0"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Hr. Králové</w:t>
            </w:r>
          </w:p>
        </w:tc>
        <w:tc>
          <w:tcPr>
            <w:tcW w:w="988" w:type="dxa"/>
            <w:tcBorders>
              <w:top w:val="nil"/>
              <w:left w:val="nil"/>
              <w:bottom w:val="single" w:sz="4" w:space="0" w:color="auto"/>
              <w:right w:val="nil"/>
            </w:tcBorders>
            <w:shd w:val="clear" w:color="auto" w:fill="auto"/>
            <w:noWrap/>
            <w:vAlign w:val="bottom"/>
            <w:hideMark/>
          </w:tcPr>
          <w:p w14:paraId="7D9E6616"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17</w:t>
            </w:r>
          </w:p>
        </w:tc>
        <w:tc>
          <w:tcPr>
            <w:tcW w:w="2192" w:type="dxa"/>
            <w:tcBorders>
              <w:top w:val="nil"/>
              <w:left w:val="nil"/>
              <w:bottom w:val="single" w:sz="4" w:space="0" w:color="auto"/>
              <w:right w:val="nil"/>
            </w:tcBorders>
            <w:shd w:val="clear" w:color="auto" w:fill="auto"/>
            <w:noWrap/>
            <w:vAlign w:val="center"/>
            <w:hideMark/>
          </w:tcPr>
          <w:p w14:paraId="40BF5A45" w14:textId="5A83149E"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+13 %</w:t>
            </w:r>
          </w:p>
        </w:tc>
      </w:tr>
      <w:tr w:rsidR="00F85178" w:rsidRPr="00F85178" w14:paraId="1D217034" w14:textId="77777777" w:rsidTr="00FF7EB3">
        <w:trPr>
          <w:trHeight w:val="315"/>
        </w:trPr>
        <w:tc>
          <w:tcPr>
            <w:tcW w:w="2780" w:type="dxa"/>
            <w:tcBorders>
              <w:top w:val="nil"/>
              <w:left w:val="nil"/>
              <w:bottom w:val="single" w:sz="4" w:space="0" w:color="auto"/>
              <w:right w:val="nil"/>
            </w:tcBorders>
            <w:shd w:val="clear" w:color="auto" w:fill="auto"/>
            <w:noWrap/>
            <w:vAlign w:val="bottom"/>
            <w:hideMark/>
          </w:tcPr>
          <w:p w14:paraId="253DB206"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Brno</w:t>
            </w:r>
          </w:p>
        </w:tc>
        <w:tc>
          <w:tcPr>
            <w:tcW w:w="988" w:type="dxa"/>
            <w:tcBorders>
              <w:top w:val="nil"/>
              <w:left w:val="nil"/>
              <w:bottom w:val="single" w:sz="4" w:space="0" w:color="auto"/>
              <w:right w:val="nil"/>
            </w:tcBorders>
            <w:shd w:val="clear" w:color="auto" w:fill="auto"/>
            <w:noWrap/>
            <w:vAlign w:val="bottom"/>
            <w:hideMark/>
          </w:tcPr>
          <w:p w14:paraId="4AE35EC7"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23</w:t>
            </w:r>
          </w:p>
        </w:tc>
        <w:tc>
          <w:tcPr>
            <w:tcW w:w="2192" w:type="dxa"/>
            <w:tcBorders>
              <w:top w:val="nil"/>
              <w:left w:val="nil"/>
              <w:bottom w:val="single" w:sz="4" w:space="0" w:color="auto"/>
              <w:right w:val="nil"/>
            </w:tcBorders>
            <w:shd w:val="clear" w:color="auto" w:fill="auto"/>
            <w:noWrap/>
            <w:vAlign w:val="center"/>
            <w:hideMark/>
          </w:tcPr>
          <w:p w14:paraId="0FB7E6E4" w14:textId="71BAC5B1"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349CDB91" w14:textId="77777777" w:rsidTr="00FF7EB3">
        <w:trPr>
          <w:trHeight w:val="330"/>
        </w:trPr>
        <w:tc>
          <w:tcPr>
            <w:tcW w:w="2780" w:type="dxa"/>
            <w:tcBorders>
              <w:top w:val="nil"/>
              <w:left w:val="nil"/>
              <w:bottom w:val="double" w:sz="6" w:space="0" w:color="auto"/>
              <w:right w:val="nil"/>
            </w:tcBorders>
            <w:shd w:val="clear" w:color="auto" w:fill="auto"/>
            <w:noWrap/>
            <w:vAlign w:val="bottom"/>
            <w:hideMark/>
          </w:tcPr>
          <w:p w14:paraId="26DA3749" w14:textId="77777777" w:rsidR="00FF7EB3" w:rsidRPr="00F85178" w:rsidRDefault="00FF7EB3" w:rsidP="00FF7EB3">
            <w:pPr>
              <w:spacing w:line="240" w:lineRule="auto"/>
              <w:jc w:val="left"/>
              <w:rPr>
                <w:rFonts w:eastAsia="Times New Roman"/>
                <w:szCs w:val="24"/>
                <w:lang w:eastAsia="cs-CZ"/>
              </w:rPr>
            </w:pPr>
            <w:r w:rsidRPr="00F85178">
              <w:rPr>
                <w:rFonts w:eastAsia="Times New Roman"/>
                <w:szCs w:val="24"/>
                <w:lang w:eastAsia="cs-CZ"/>
              </w:rPr>
              <w:t>KS Ostrava</w:t>
            </w:r>
          </w:p>
        </w:tc>
        <w:tc>
          <w:tcPr>
            <w:tcW w:w="988" w:type="dxa"/>
            <w:tcBorders>
              <w:top w:val="nil"/>
              <w:left w:val="nil"/>
              <w:bottom w:val="double" w:sz="6" w:space="0" w:color="auto"/>
              <w:right w:val="nil"/>
            </w:tcBorders>
            <w:shd w:val="clear" w:color="auto" w:fill="auto"/>
            <w:noWrap/>
            <w:vAlign w:val="bottom"/>
            <w:hideMark/>
          </w:tcPr>
          <w:p w14:paraId="1C87AE6F" w14:textId="77777777" w:rsidR="00FF7EB3" w:rsidRPr="00F85178" w:rsidRDefault="00FF7EB3" w:rsidP="00FF7EB3">
            <w:pPr>
              <w:spacing w:line="240" w:lineRule="auto"/>
              <w:jc w:val="center"/>
              <w:rPr>
                <w:rFonts w:eastAsia="Times New Roman"/>
                <w:szCs w:val="24"/>
                <w:lang w:eastAsia="cs-CZ"/>
              </w:rPr>
            </w:pPr>
            <w:r w:rsidRPr="00F85178">
              <w:rPr>
                <w:rFonts w:eastAsia="Times New Roman"/>
                <w:szCs w:val="24"/>
                <w:lang w:eastAsia="cs-CZ"/>
              </w:rPr>
              <w:t>31</w:t>
            </w:r>
          </w:p>
        </w:tc>
        <w:tc>
          <w:tcPr>
            <w:tcW w:w="2192" w:type="dxa"/>
            <w:tcBorders>
              <w:top w:val="nil"/>
              <w:left w:val="nil"/>
              <w:bottom w:val="double" w:sz="6" w:space="0" w:color="auto"/>
              <w:right w:val="nil"/>
            </w:tcBorders>
            <w:shd w:val="clear" w:color="auto" w:fill="auto"/>
            <w:noWrap/>
            <w:vAlign w:val="center"/>
            <w:hideMark/>
          </w:tcPr>
          <w:p w14:paraId="1C3B93AC" w14:textId="253EFE67" w:rsidR="00FF7EB3" w:rsidRPr="00F85178" w:rsidRDefault="00FF7EB3" w:rsidP="00FF7EB3">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F85178" w:rsidRPr="00F85178" w14:paraId="7F6E6A77" w14:textId="77777777" w:rsidTr="00FF7EB3">
        <w:trPr>
          <w:trHeight w:val="345"/>
        </w:trPr>
        <w:tc>
          <w:tcPr>
            <w:tcW w:w="2780" w:type="dxa"/>
            <w:tcBorders>
              <w:top w:val="nil"/>
              <w:left w:val="nil"/>
              <w:bottom w:val="double" w:sz="6" w:space="0" w:color="auto"/>
              <w:right w:val="nil"/>
            </w:tcBorders>
            <w:shd w:val="clear" w:color="auto" w:fill="auto"/>
            <w:noWrap/>
            <w:vAlign w:val="bottom"/>
            <w:hideMark/>
          </w:tcPr>
          <w:p w14:paraId="00A0185B" w14:textId="77777777" w:rsidR="00FF7EB3" w:rsidRPr="00F85178" w:rsidRDefault="00FF7EB3" w:rsidP="00FF7EB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988" w:type="dxa"/>
            <w:tcBorders>
              <w:top w:val="nil"/>
              <w:left w:val="nil"/>
              <w:bottom w:val="double" w:sz="6" w:space="0" w:color="auto"/>
              <w:right w:val="nil"/>
            </w:tcBorders>
            <w:shd w:val="clear" w:color="auto" w:fill="auto"/>
            <w:noWrap/>
            <w:vAlign w:val="bottom"/>
            <w:hideMark/>
          </w:tcPr>
          <w:p w14:paraId="18D303E6" w14:textId="77777777" w:rsidR="00FF7EB3" w:rsidRPr="00F85178" w:rsidRDefault="00FF7EB3" w:rsidP="00FF7EB3">
            <w:pPr>
              <w:spacing w:line="240" w:lineRule="auto"/>
              <w:jc w:val="center"/>
              <w:rPr>
                <w:rFonts w:eastAsia="Times New Roman"/>
                <w:b/>
                <w:bCs/>
                <w:szCs w:val="24"/>
                <w:lang w:eastAsia="cs-CZ"/>
              </w:rPr>
            </w:pPr>
            <w:r w:rsidRPr="00F85178">
              <w:rPr>
                <w:rFonts w:eastAsia="Times New Roman"/>
                <w:b/>
                <w:bCs/>
                <w:szCs w:val="24"/>
                <w:lang w:eastAsia="cs-CZ"/>
              </w:rPr>
              <w:t>24</w:t>
            </w:r>
          </w:p>
        </w:tc>
        <w:tc>
          <w:tcPr>
            <w:tcW w:w="2192" w:type="dxa"/>
            <w:tcBorders>
              <w:top w:val="nil"/>
              <w:left w:val="nil"/>
              <w:bottom w:val="double" w:sz="6" w:space="0" w:color="auto"/>
              <w:right w:val="nil"/>
            </w:tcBorders>
            <w:shd w:val="clear" w:color="auto" w:fill="auto"/>
            <w:noWrap/>
            <w:vAlign w:val="center"/>
            <w:hideMark/>
          </w:tcPr>
          <w:p w14:paraId="724941CE" w14:textId="7CB28CDB" w:rsidR="00FF7EB3" w:rsidRPr="00F85178" w:rsidRDefault="00FF7EB3" w:rsidP="00FF7EB3">
            <w:pPr>
              <w:spacing w:line="240" w:lineRule="auto"/>
              <w:jc w:val="center"/>
              <w:rPr>
                <w:rFonts w:eastAsia="Times New Roman"/>
                <w:b/>
                <w:bCs/>
                <w:sz w:val="20"/>
                <w:szCs w:val="20"/>
                <w:lang w:eastAsia="cs-CZ"/>
              </w:rPr>
            </w:pPr>
            <w:r w:rsidRPr="00F85178">
              <w:rPr>
                <w:rFonts w:eastAsia="Times New Roman"/>
                <w:b/>
                <w:bCs/>
                <w:sz w:val="20"/>
                <w:szCs w:val="20"/>
                <w:lang w:eastAsia="cs-CZ"/>
              </w:rPr>
              <w:t>+1 %</w:t>
            </w:r>
          </w:p>
        </w:tc>
      </w:tr>
    </w:tbl>
    <w:p w14:paraId="49F74BBE" w14:textId="77777777" w:rsidR="00183021" w:rsidRPr="00F85178" w:rsidRDefault="00183021" w:rsidP="0020179A">
      <w:pPr>
        <w:rPr>
          <w:sz w:val="4"/>
        </w:rPr>
      </w:pPr>
      <w:r w:rsidRPr="00F85178">
        <w:rPr>
          <w:sz w:val="4"/>
        </w:rPr>
        <w:br w:type="page"/>
      </w:r>
    </w:p>
    <w:p w14:paraId="2F21A33F" w14:textId="77777777" w:rsidR="002E74C9" w:rsidRPr="00F85178" w:rsidRDefault="002E74C9" w:rsidP="002E74C9">
      <w:pPr>
        <w:pStyle w:val="Nadpis2"/>
      </w:pPr>
      <w:bookmarkStart w:id="502" w:name="_Toc515871266"/>
      <w:bookmarkStart w:id="503" w:name="_Toc14076915"/>
      <w:r w:rsidRPr="00F85178">
        <w:t>Správní agenda</w:t>
      </w:r>
      <w:bookmarkEnd w:id="502"/>
      <w:bookmarkEnd w:id="503"/>
    </w:p>
    <w:p w14:paraId="38807EF4" w14:textId="77777777" w:rsidR="00B20C8C" w:rsidRPr="00F85178" w:rsidRDefault="00B20C8C" w:rsidP="00B20C8C">
      <w:pPr>
        <w:pStyle w:val="OdstavecASR"/>
      </w:pPr>
      <w:r w:rsidRPr="00F85178">
        <w:t>Správní agenda krajských soudů zahrnuje rejstříky A (všeobecná správní agenda), Af (agenda ve věcech finanční správy), Ad (sociální a důchodová agenda) a Az (azylová agenda). V roce 2010 došlo ke změně ve vykazování. Do roku 2009 totiž správní agenda zahrnovala rejstříky Az, Ca a Cad. K žádným dalším změnám ve vedení statistik nedošlo. V roce 2012 došlo ke změně v příslušnosti správních soudů, která do určité míry ulevila Městskému soudu v Praze.</w:t>
      </w:r>
    </w:p>
    <w:p w14:paraId="34933307" w14:textId="77777777" w:rsidR="00AF6161" w:rsidRPr="00F85178" w:rsidRDefault="00AF6161" w:rsidP="00AF6161">
      <w:pPr>
        <w:pStyle w:val="Nadpis3"/>
        <w:rPr>
          <w:color w:val="auto"/>
        </w:rPr>
      </w:pPr>
      <w:bookmarkStart w:id="504" w:name="_Toc515871267"/>
      <w:bookmarkStart w:id="505" w:name="_Toc14076916"/>
      <w:r w:rsidRPr="00F85178">
        <w:rPr>
          <w:color w:val="auto"/>
        </w:rPr>
        <w:t>Délka řízení</w:t>
      </w:r>
      <w:bookmarkEnd w:id="504"/>
      <w:bookmarkEnd w:id="505"/>
    </w:p>
    <w:p w14:paraId="0E196BF6" w14:textId="77777777" w:rsidR="00B20C8C" w:rsidRPr="00F85178" w:rsidRDefault="00B20C8C" w:rsidP="00B20C8C">
      <w:pPr>
        <w:pStyle w:val="OdstavecASR"/>
      </w:pPr>
      <w:r w:rsidRPr="00F85178">
        <w:t>Z grafu vyplývá, že délka řízení vykazovala až do roku 2014 (respektive 2015) jasný stoupající trend. Ten byl způsoben především tím, že správní úseky soudů byly značně zatížené</w:t>
      </w:r>
      <w:r w:rsidR="00DA44AE" w:rsidRPr="00F85178">
        <w:t>,</w:t>
      </w:r>
      <w:r w:rsidRPr="00F85178">
        <w:t xml:space="preserve"> a soudy, především pak MS Praha, stíhaly vyřizovat správní věci jen s velkými obtížemi.</w:t>
      </w:r>
    </w:p>
    <w:p w14:paraId="004F7CBC" w14:textId="77777777" w:rsidR="00B20C8C" w:rsidRPr="00F85178" w:rsidRDefault="00B20C8C" w:rsidP="00B20C8C">
      <w:pPr>
        <w:pStyle w:val="OdstavecASR"/>
      </w:pPr>
      <w:r w:rsidRPr="00F85178">
        <w:t>Teprve v posledních letech se podařilo rostoucí trend v délce řízení zastavit. V roce 2017 sice mírně vzrostl medián, ale na druhou stranu zase klesl devadesátý percentil.</w:t>
      </w:r>
      <w:r w:rsidR="00183021" w:rsidRPr="00F85178">
        <w:t xml:space="preserve"> V roce 2018 dokonce klesl medián, průměr i devadesátý percentil. Z toho by se mohlo zdát, že se situace ve správním soudnictví zlepšuje. Nicméně</w:t>
      </w:r>
      <w:r w:rsidR="00DA44AE" w:rsidRPr="00F85178">
        <w:t xml:space="preserve"> </w:t>
      </w:r>
      <w:r w:rsidR="00183021" w:rsidRPr="00F85178">
        <w:t>je třeba zkontrolovat další ukazatele.</w:t>
      </w:r>
    </w:p>
    <w:p w14:paraId="3D75E134" w14:textId="77777777" w:rsidR="0032015B" w:rsidRDefault="00B20C8C" w:rsidP="00B20C8C">
      <w:pPr>
        <w:pStyle w:val="OdstavecASR"/>
      </w:pPr>
      <w:r w:rsidRPr="00F85178">
        <w:t xml:space="preserve">Z tabulky 55 vyčteme, že MS Praha opravdu vykazuje </w:t>
      </w:r>
      <w:r w:rsidR="003B4F05">
        <w:t xml:space="preserve">velmi vysoké </w:t>
      </w:r>
      <w:r w:rsidRPr="00F85178">
        <w:t>délky řízení, což potvrzuje výše uvedené tvrzení o zatíženosti soudů.</w:t>
      </w:r>
      <w:r w:rsidR="003B4F05">
        <w:t xml:space="preserve"> Vysoké délky řízení ale už vykazuje i například KS Brno.</w:t>
      </w:r>
    </w:p>
    <w:p w14:paraId="7B3CFAA9" w14:textId="0B3CFB00" w:rsidR="00B20C8C" w:rsidRPr="00F85178" w:rsidRDefault="00B20C8C" w:rsidP="00B20C8C">
      <w:pPr>
        <w:pStyle w:val="OdstavecASR"/>
      </w:pPr>
      <w:r w:rsidRPr="00F85178">
        <w:t>Rozdíl mezi MS Praha a ostatními soudy byl nicméně v letech 2016 a 2017 výrazně menší než dříve, což můžeme považovat za příznivé znamení. Největší rozdíl registrujeme v roce 2014, kdy byla mediánová délka řízení v Praze 763 dnů a 310 dnů ve zbytku ČR.</w:t>
      </w:r>
    </w:p>
    <w:p w14:paraId="6D691C11" w14:textId="77777777" w:rsidR="002E74C9" w:rsidRPr="00F85178" w:rsidRDefault="000D1FDF" w:rsidP="000D1FDF">
      <w:pPr>
        <w:pStyle w:val="Podtitul"/>
        <w:rPr>
          <w:color w:val="auto"/>
        </w:rPr>
      </w:pPr>
      <w:bookmarkStart w:id="506" w:name="_Toc515871397"/>
      <w:bookmarkStart w:id="507" w:name="_Toc11135128"/>
      <w:bookmarkStart w:id="508" w:name="_Toc1383756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67</w:t>
      </w:r>
      <w:r w:rsidRPr="00F85178">
        <w:rPr>
          <w:noProof/>
          <w:color w:val="auto"/>
        </w:rPr>
        <w:fldChar w:fldCharType="end"/>
      </w:r>
      <w:r w:rsidRPr="00F85178">
        <w:rPr>
          <w:color w:val="auto"/>
        </w:rPr>
        <w:t>: KS – délka správního řízení u KS v letech 2008–201</w:t>
      </w:r>
      <w:bookmarkEnd w:id="506"/>
      <w:r w:rsidRPr="00F85178">
        <w:rPr>
          <w:color w:val="auto"/>
        </w:rPr>
        <w:t>8</w:t>
      </w:r>
      <w:bookmarkEnd w:id="507"/>
      <w:bookmarkEnd w:id="508"/>
    </w:p>
    <w:p w14:paraId="746696CF" w14:textId="77777777" w:rsidR="000D1FDF" w:rsidRPr="00F85178" w:rsidRDefault="00890295" w:rsidP="00205FD6">
      <w:r>
        <w:rPr>
          <w:noProof/>
          <w:lang w:eastAsia="cs-CZ"/>
        </w:rPr>
        <w:drawing>
          <wp:inline distT="0" distB="0" distL="0" distR="0" wp14:anchorId="3C5087C3" wp14:editId="78752804">
            <wp:extent cx="5118100" cy="3746500"/>
            <wp:effectExtent l="0" t="0" r="0" b="0"/>
            <wp:docPr id="70" name="Obrázek 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2"/>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EB46CED" w14:textId="77777777" w:rsidR="005A13BB" w:rsidRPr="00F85178" w:rsidRDefault="00B20C8C" w:rsidP="00205FD6">
      <w:r w:rsidRPr="00F85178">
        <w:t>Poměrně zajímavý je fakt, že mediánová délka řízení je u některých krajských soudů vyšší než průměrná délka řízení. To je v oblasti soudnictví značně nezvyklé, neboť průměrné délky řízení jsou obvykle „taženy“ extrémně vysokými hodnotami. Ani u ostatních soudů nejsou rozdíly mezi mediánem a průměrem příliš velké.</w:t>
      </w:r>
    </w:p>
    <w:p w14:paraId="0AC37EF7" w14:textId="77777777" w:rsidR="005A13BB" w:rsidRPr="00F85178" w:rsidRDefault="005A13BB" w:rsidP="005A13BB">
      <w:pPr>
        <w:pStyle w:val="Podtitul"/>
        <w:rPr>
          <w:color w:val="auto"/>
        </w:rPr>
      </w:pPr>
      <w:bookmarkStart w:id="509" w:name="_Toc515871490"/>
      <w:bookmarkStart w:id="510" w:name="_Toc11133257"/>
      <w:bookmarkStart w:id="511" w:name="_Toc1383747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55</w:t>
      </w:r>
      <w:r w:rsidRPr="00F85178">
        <w:rPr>
          <w:noProof/>
          <w:color w:val="auto"/>
        </w:rPr>
        <w:fldChar w:fldCharType="end"/>
      </w:r>
      <w:r w:rsidRPr="00F85178">
        <w:rPr>
          <w:color w:val="auto"/>
        </w:rPr>
        <w:t>: KS – délky správního řízení dle soudů</w:t>
      </w:r>
      <w:bookmarkEnd w:id="509"/>
      <w:bookmarkEnd w:id="510"/>
      <w:bookmarkEnd w:id="511"/>
    </w:p>
    <w:tbl>
      <w:tblPr>
        <w:tblW w:w="7520" w:type="dxa"/>
        <w:tblCellMar>
          <w:left w:w="70" w:type="dxa"/>
          <w:right w:w="70" w:type="dxa"/>
        </w:tblCellMar>
        <w:tblLook w:val="04A0" w:firstRow="1" w:lastRow="0" w:firstColumn="1" w:lastColumn="0" w:noHBand="0" w:noVBand="1"/>
      </w:tblPr>
      <w:tblGrid>
        <w:gridCol w:w="2480"/>
        <w:gridCol w:w="637"/>
        <w:gridCol w:w="979"/>
        <w:gridCol w:w="636"/>
        <w:gridCol w:w="979"/>
        <w:gridCol w:w="830"/>
        <w:gridCol w:w="979"/>
      </w:tblGrid>
      <w:tr w:rsidR="00F85178" w:rsidRPr="00F85178" w14:paraId="59C1F44A" w14:textId="77777777" w:rsidTr="005A13BB">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08EA8C6C" w14:textId="1565D923" w:rsidR="005A13BB" w:rsidRPr="00F85178" w:rsidRDefault="00F2120F" w:rsidP="005A13BB">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2919B1AD"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1075B95C" w14:textId="77777777" w:rsidTr="005A13BB">
        <w:trPr>
          <w:trHeight w:val="330"/>
        </w:trPr>
        <w:tc>
          <w:tcPr>
            <w:tcW w:w="2480" w:type="dxa"/>
            <w:vMerge/>
            <w:tcBorders>
              <w:top w:val="double" w:sz="6" w:space="0" w:color="auto"/>
              <w:left w:val="nil"/>
              <w:bottom w:val="double" w:sz="6" w:space="0" w:color="000000"/>
              <w:right w:val="nil"/>
            </w:tcBorders>
            <w:vAlign w:val="center"/>
            <w:hideMark/>
          </w:tcPr>
          <w:p w14:paraId="00C5AECD" w14:textId="77777777" w:rsidR="005A13BB" w:rsidRPr="00F85178" w:rsidRDefault="005A13BB" w:rsidP="005A13BB">
            <w:pPr>
              <w:spacing w:line="240" w:lineRule="auto"/>
              <w:jc w:val="left"/>
              <w:rPr>
                <w:rFonts w:eastAsia="Times New Roman"/>
                <w:b/>
                <w:bCs/>
                <w:szCs w:val="24"/>
                <w:lang w:eastAsia="cs-CZ"/>
              </w:rPr>
            </w:pPr>
          </w:p>
        </w:tc>
        <w:tc>
          <w:tcPr>
            <w:tcW w:w="1616" w:type="dxa"/>
            <w:gridSpan w:val="2"/>
            <w:tcBorders>
              <w:top w:val="nil"/>
              <w:left w:val="nil"/>
              <w:bottom w:val="double" w:sz="6" w:space="0" w:color="auto"/>
              <w:right w:val="nil"/>
            </w:tcBorders>
            <w:shd w:val="clear" w:color="auto" w:fill="auto"/>
            <w:noWrap/>
            <w:vAlign w:val="center"/>
            <w:hideMark/>
          </w:tcPr>
          <w:p w14:paraId="3ACFA1E0"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15"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A81D914"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809" w:type="dxa"/>
            <w:gridSpan w:val="2"/>
            <w:tcBorders>
              <w:top w:val="nil"/>
              <w:left w:val="nil"/>
              <w:bottom w:val="double" w:sz="6" w:space="0" w:color="auto"/>
              <w:right w:val="nil"/>
            </w:tcBorders>
            <w:shd w:val="clear" w:color="auto" w:fill="auto"/>
            <w:noWrap/>
            <w:vAlign w:val="center"/>
            <w:hideMark/>
          </w:tcPr>
          <w:p w14:paraId="7271BD3D"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6CD8B7F7" w14:textId="77777777" w:rsidTr="005A13BB">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0F54BCFE"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MS Praha</w:t>
            </w:r>
          </w:p>
        </w:tc>
        <w:tc>
          <w:tcPr>
            <w:tcW w:w="637" w:type="dxa"/>
            <w:tcBorders>
              <w:top w:val="single" w:sz="4" w:space="0" w:color="auto"/>
              <w:left w:val="nil"/>
              <w:bottom w:val="single" w:sz="4" w:space="0" w:color="auto"/>
              <w:right w:val="nil"/>
            </w:tcBorders>
            <w:shd w:val="clear" w:color="auto" w:fill="auto"/>
            <w:noWrap/>
            <w:vAlign w:val="bottom"/>
            <w:hideMark/>
          </w:tcPr>
          <w:p w14:paraId="40E30316"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569</w:t>
            </w:r>
          </w:p>
        </w:tc>
        <w:tc>
          <w:tcPr>
            <w:tcW w:w="979" w:type="dxa"/>
            <w:tcBorders>
              <w:top w:val="single" w:sz="4" w:space="0" w:color="auto"/>
              <w:left w:val="nil"/>
              <w:bottom w:val="single" w:sz="4" w:space="0" w:color="auto"/>
              <w:right w:val="nil"/>
            </w:tcBorders>
            <w:shd w:val="clear" w:color="auto" w:fill="auto"/>
            <w:noWrap/>
            <w:vAlign w:val="center"/>
            <w:hideMark/>
          </w:tcPr>
          <w:p w14:paraId="5FFA4047"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636" w:type="dxa"/>
            <w:tcBorders>
              <w:top w:val="nil"/>
              <w:left w:val="single" w:sz="4" w:space="0" w:color="auto"/>
              <w:bottom w:val="single" w:sz="4" w:space="0" w:color="auto"/>
              <w:right w:val="nil"/>
            </w:tcBorders>
            <w:shd w:val="clear" w:color="auto" w:fill="auto"/>
            <w:noWrap/>
            <w:vAlign w:val="bottom"/>
            <w:hideMark/>
          </w:tcPr>
          <w:p w14:paraId="1E80C31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427</w:t>
            </w:r>
          </w:p>
        </w:tc>
        <w:tc>
          <w:tcPr>
            <w:tcW w:w="979" w:type="dxa"/>
            <w:tcBorders>
              <w:top w:val="nil"/>
              <w:left w:val="nil"/>
              <w:bottom w:val="single" w:sz="4" w:space="0" w:color="auto"/>
              <w:right w:val="single" w:sz="4" w:space="0" w:color="auto"/>
            </w:tcBorders>
            <w:shd w:val="clear" w:color="auto" w:fill="auto"/>
            <w:noWrap/>
            <w:vAlign w:val="center"/>
            <w:hideMark/>
          </w:tcPr>
          <w:p w14:paraId="4CC99815"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-31 %</w:t>
            </w:r>
          </w:p>
        </w:tc>
        <w:tc>
          <w:tcPr>
            <w:tcW w:w="830" w:type="dxa"/>
            <w:tcBorders>
              <w:top w:val="single" w:sz="4" w:space="0" w:color="auto"/>
              <w:left w:val="nil"/>
              <w:bottom w:val="single" w:sz="4" w:space="0" w:color="auto"/>
              <w:right w:val="nil"/>
            </w:tcBorders>
            <w:shd w:val="clear" w:color="auto" w:fill="auto"/>
            <w:noWrap/>
            <w:vAlign w:val="bottom"/>
            <w:hideMark/>
          </w:tcPr>
          <w:p w14:paraId="6CDC3D16"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1</w:t>
            </w:r>
            <w:r w:rsidR="00DA44AE" w:rsidRPr="00F85178">
              <w:rPr>
                <w:rFonts w:eastAsia="Times New Roman"/>
                <w:szCs w:val="24"/>
                <w:lang w:eastAsia="cs-CZ"/>
              </w:rPr>
              <w:t xml:space="preserve"> </w:t>
            </w:r>
            <w:r w:rsidRPr="00F85178">
              <w:rPr>
                <w:rFonts w:eastAsia="Times New Roman"/>
                <w:szCs w:val="24"/>
                <w:lang w:eastAsia="cs-CZ"/>
              </w:rPr>
              <w:t>231</w:t>
            </w:r>
          </w:p>
        </w:tc>
        <w:tc>
          <w:tcPr>
            <w:tcW w:w="979" w:type="dxa"/>
            <w:tcBorders>
              <w:top w:val="single" w:sz="4" w:space="0" w:color="auto"/>
              <w:left w:val="nil"/>
              <w:bottom w:val="single" w:sz="4" w:space="0" w:color="auto"/>
              <w:right w:val="nil"/>
            </w:tcBorders>
            <w:shd w:val="clear" w:color="auto" w:fill="auto"/>
            <w:noWrap/>
            <w:vAlign w:val="center"/>
            <w:hideMark/>
          </w:tcPr>
          <w:p w14:paraId="58205E91"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5747CC2F"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51167005"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Praha</w:t>
            </w:r>
          </w:p>
        </w:tc>
        <w:tc>
          <w:tcPr>
            <w:tcW w:w="637" w:type="dxa"/>
            <w:tcBorders>
              <w:top w:val="nil"/>
              <w:left w:val="nil"/>
              <w:bottom w:val="single" w:sz="4" w:space="0" w:color="auto"/>
              <w:right w:val="nil"/>
            </w:tcBorders>
            <w:shd w:val="clear" w:color="auto" w:fill="auto"/>
            <w:noWrap/>
            <w:vAlign w:val="bottom"/>
            <w:hideMark/>
          </w:tcPr>
          <w:p w14:paraId="64D4623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366</w:t>
            </w:r>
          </w:p>
        </w:tc>
        <w:tc>
          <w:tcPr>
            <w:tcW w:w="979" w:type="dxa"/>
            <w:tcBorders>
              <w:top w:val="nil"/>
              <w:left w:val="nil"/>
              <w:bottom w:val="single" w:sz="4" w:space="0" w:color="auto"/>
              <w:right w:val="nil"/>
            </w:tcBorders>
            <w:shd w:val="clear" w:color="auto" w:fill="auto"/>
            <w:noWrap/>
            <w:vAlign w:val="center"/>
            <w:hideMark/>
          </w:tcPr>
          <w:p w14:paraId="42C95949"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636" w:type="dxa"/>
            <w:tcBorders>
              <w:top w:val="nil"/>
              <w:left w:val="single" w:sz="4" w:space="0" w:color="auto"/>
              <w:bottom w:val="single" w:sz="4" w:space="0" w:color="auto"/>
              <w:right w:val="nil"/>
            </w:tcBorders>
            <w:shd w:val="clear" w:color="auto" w:fill="auto"/>
            <w:noWrap/>
            <w:vAlign w:val="bottom"/>
            <w:hideMark/>
          </w:tcPr>
          <w:p w14:paraId="417315E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278</w:t>
            </w:r>
          </w:p>
        </w:tc>
        <w:tc>
          <w:tcPr>
            <w:tcW w:w="979" w:type="dxa"/>
            <w:tcBorders>
              <w:top w:val="nil"/>
              <w:left w:val="nil"/>
              <w:bottom w:val="single" w:sz="4" w:space="0" w:color="auto"/>
              <w:right w:val="single" w:sz="4" w:space="0" w:color="auto"/>
            </w:tcBorders>
            <w:shd w:val="clear" w:color="auto" w:fill="auto"/>
            <w:noWrap/>
            <w:vAlign w:val="center"/>
            <w:hideMark/>
          </w:tcPr>
          <w:p w14:paraId="771CAE63"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-25 %</w:t>
            </w:r>
          </w:p>
        </w:tc>
        <w:tc>
          <w:tcPr>
            <w:tcW w:w="830" w:type="dxa"/>
            <w:tcBorders>
              <w:top w:val="nil"/>
              <w:left w:val="nil"/>
              <w:bottom w:val="single" w:sz="4" w:space="0" w:color="auto"/>
              <w:right w:val="nil"/>
            </w:tcBorders>
            <w:shd w:val="clear" w:color="auto" w:fill="auto"/>
            <w:noWrap/>
            <w:vAlign w:val="bottom"/>
            <w:hideMark/>
          </w:tcPr>
          <w:p w14:paraId="225AF9E3"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839</w:t>
            </w:r>
          </w:p>
        </w:tc>
        <w:tc>
          <w:tcPr>
            <w:tcW w:w="979" w:type="dxa"/>
            <w:tcBorders>
              <w:top w:val="nil"/>
              <w:left w:val="nil"/>
              <w:bottom w:val="single" w:sz="4" w:space="0" w:color="auto"/>
              <w:right w:val="nil"/>
            </w:tcBorders>
            <w:shd w:val="clear" w:color="auto" w:fill="auto"/>
            <w:noWrap/>
            <w:vAlign w:val="center"/>
            <w:hideMark/>
          </w:tcPr>
          <w:p w14:paraId="17313EED"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1DFB1074"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787108DA"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Č. Budějovice</w:t>
            </w:r>
          </w:p>
        </w:tc>
        <w:tc>
          <w:tcPr>
            <w:tcW w:w="637" w:type="dxa"/>
            <w:tcBorders>
              <w:top w:val="nil"/>
              <w:left w:val="nil"/>
              <w:bottom w:val="single" w:sz="4" w:space="0" w:color="auto"/>
              <w:right w:val="nil"/>
            </w:tcBorders>
            <w:shd w:val="clear" w:color="auto" w:fill="auto"/>
            <w:noWrap/>
            <w:vAlign w:val="bottom"/>
            <w:hideMark/>
          </w:tcPr>
          <w:p w14:paraId="236D94F9"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207</w:t>
            </w:r>
          </w:p>
        </w:tc>
        <w:tc>
          <w:tcPr>
            <w:tcW w:w="979" w:type="dxa"/>
            <w:tcBorders>
              <w:top w:val="nil"/>
              <w:left w:val="nil"/>
              <w:bottom w:val="single" w:sz="4" w:space="0" w:color="auto"/>
              <w:right w:val="nil"/>
            </w:tcBorders>
            <w:shd w:val="clear" w:color="auto" w:fill="auto"/>
            <w:noWrap/>
            <w:vAlign w:val="center"/>
            <w:hideMark/>
          </w:tcPr>
          <w:p w14:paraId="3DF8DF03"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-24 %</w:t>
            </w:r>
          </w:p>
        </w:tc>
        <w:tc>
          <w:tcPr>
            <w:tcW w:w="636" w:type="dxa"/>
            <w:tcBorders>
              <w:top w:val="nil"/>
              <w:left w:val="single" w:sz="4" w:space="0" w:color="auto"/>
              <w:bottom w:val="single" w:sz="4" w:space="0" w:color="auto"/>
              <w:right w:val="nil"/>
            </w:tcBorders>
            <w:shd w:val="clear" w:color="auto" w:fill="auto"/>
            <w:noWrap/>
            <w:vAlign w:val="bottom"/>
            <w:hideMark/>
          </w:tcPr>
          <w:p w14:paraId="0F9045A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147</w:t>
            </w:r>
          </w:p>
        </w:tc>
        <w:tc>
          <w:tcPr>
            <w:tcW w:w="979" w:type="dxa"/>
            <w:tcBorders>
              <w:top w:val="nil"/>
              <w:left w:val="nil"/>
              <w:bottom w:val="single" w:sz="4" w:space="0" w:color="auto"/>
              <w:right w:val="single" w:sz="4" w:space="0" w:color="auto"/>
            </w:tcBorders>
            <w:shd w:val="clear" w:color="auto" w:fill="auto"/>
            <w:noWrap/>
            <w:vAlign w:val="center"/>
            <w:hideMark/>
          </w:tcPr>
          <w:p w14:paraId="2CCD60DA"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-27 %</w:t>
            </w:r>
          </w:p>
        </w:tc>
        <w:tc>
          <w:tcPr>
            <w:tcW w:w="830" w:type="dxa"/>
            <w:tcBorders>
              <w:top w:val="nil"/>
              <w:left w:val="nil"/>
              <w:bottom w:val="single" w:sz="4" w:space="0" w:color="auto"/>
              <w:right w:val="nil"/>
            </w:tcBorders>
            <w:shd w:val="clear" w:color="auto" w:fill="auto"/>
            <w:noWrap/>
            <w:vAlign w:val="bottom"/>
            <w:hideMark/>
          </w:tcPr>
          <w:p w14:paraId="5E0959B8"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440</w:t>
            </w:r>
          </w:p>
        </w:tc>
        <w:tc>
          <w:tcPr>
            <w:tcW w:w="979" w:type="dxa"/>
            <w:tcBorders>
              <w:top w:val="nil"/>
              <w:left w:val="nil"/>
              <w:bottom w:val="single" w:sz="4" w:space="0" w:color="auto"/>
              <w:right w:val="nil"/>
            </w:tcBorders>
            <w:shd w:val="clear" w:color="auto" w:fill="auto"/>
            <w:noWrap/>
            <w:vAlign w:val="center"/>
            <w:hideMark/>
          </w:tcPr>
          <w:p w14:paraId="27C3CF79"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-21 %</w:t>
            </w:r>
          </w:p>
        </w:tc>
      </w:tr>
      <w:tr w:rsidR="00F85178" w:rsidRPr="00F85178" w14:paraId="2673C69A"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43B2EE29"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Plzeň</w:t>
            </w:r>
          </w:p>
        </w:tc>
        <w:tc>
          <w:tcPr>
            <w:tcW w:w="637" w:type="dxa"/>
            <w:tcBorders>
              <w:top w:val="nil"/>
              <w:left w:val="nil"/>
              <w:bottom w:val="single" w:sz="4" w:space="0" w:color="auto"/>
              <w:right w:val="nil"/>
            </w:tcBorders>
            <w:shd w:val="clear" w:color="auto" w:fill="auto"/>
            <w:noWrap/>
            <w:vAlign w:val="bottom"/>
            <w:hideMark/>
          </w:tcPr>
          <w:p w14:paraId="42676154"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258</w:t>
            </w:r>
          </w:p>
        </w:tc>
        <w:tc>
          <w:tcPr>
            <w:tcW w:w="979" w:type="dxa"/>
            <w:tcBorders>
              <w:top w:val="nil"/>
              <w:left w:val="nil"/>
              <w:bottom w:val="single" w:sz="4" w:space="0" w:color="auto"/>
              <w:right w:val="nil"/>
            </w:tcBorders>
            <w:shd w:val="clear" w:color="auto" w:fill="auto"/>
            <w:noWrap/>
            <w:vAlign w:val="center"/>
            <w:hideMark/>
          </w:tcPr>
          <w:p w14:paraId="130DA378"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636" w:type="dxa"/>
            <w:tcBorders>
              <w:top w:val="nil"/>
              <w:left w:val="single" w:sz="4" w:space="0" w:color="auto"/>
              <w:bottom w:val="single" w:sz="4" w:space="0" w:color="auto"/>
              <w:right w:val="nil"/>
            </w:tcBorders>
            <w:shd w:val="clear" w:color="auto" w:fill="auto"/>
            <w:noWrap/>
            <w:vAlign w:val="bottom"/>
            <w:hideMark/>
          </w:tcPr>
          <w:p w14:paraId="0D44DECE"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277</w:t>
            </w:r>
          </w:p>
        </w:tc>
        <w:tc>
          <w:tcPr>
            <w:tcW w:w="979" w:type="dxa"/>
            <w:tcBorders>
              <w:top w:val="nil"/>
              <w:left w:val="nil"/>
              <w:bottom w:val="single" w:sz="4" w:space="0" w:color="auto"/>
              <w:right w:val="single" w:sz="4" w:space="0" w:color="auto"/>
            </w:tcBorders>
            <w:shd w:val="clear" w:color="auto" w:fill="auto"/>
            <w:noWrap/>
            <w:vAlign w:val="center"/>
            <w:hideMark/>
          </w:tcPr>
          <w:p w14:paraId="26243EC2"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30" w:type="dxa"/>
            <w:tcBorders>
              <w:top w:val="nil"/>
              <w:left w:val="nil"/>
              <w:bottom w:val="single" w:sz="4" w:space="0" w:color="auto"/>
              <w:right w:val="nil"/>
            </w:tcBorders>
            <w:shd w:val="clear" w:color="auto" w:fill="auto"/>
            <w:noWrap/>
            <w:vAlign w:val="bottom"/>
            <w:hideMark/>
          </w:tcPr>
          <w:p w14:paraId="57885B9C"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481</w:t>
            </w:r>
          </w:p>
        </w:tc>
        <w:tc>
          <w:tcPr>
            <w:tcW w:w="979" w:type="dxa"/>
            <w:tcBorders>
              <w:top w:val="nil"/>
              <w:left w:val="nil"/>
              <w:bottom w:val="single" w:sz="4" w:space="0" w:color="auto"/>
              <w:right w:val="nil"/>
            </w:tcBorders>
            <w:shd w:val="clear" w:color="auto" w:fill="auto"/>
            <w:noWrap/>
            <w:vAlign w:val="center"/>
            <w:hideMark/>
          </w:tcPr>
          <w:p w14:paraId="252F6649"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296EB833"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4296D1BE"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Ústí n. Labem</w:t>
            </w:r>
          </w:p>
        </w:tc>
        <w:tc>
          <w:tcPr>
            <w:tcW w:w="637" w:type="dxa"/>
            <w:tcBorders>
              <w:top w:val="nil"/>
              <w:left w:val="nil"/>
              <w:bottom w:val="single" w:sz="4" w:space="0" w:color="auto"/>
              <w:right w:val="nil"/>
            </w:tcBorders>
            <w:shd w:val="clear" w:color="auto" w:fill="auto"/>
            <w:noWrap/>
            <w:vAlign w:val="bottom"/>
            <w:hideMark/>
          </w:tcPr>
          <w:p w14:paraId="2EF95106"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436</w:t>
            </w:r>
          </w:p>
        </w:tc>
        <w:tc>
          <w:tcPr>
            <w:tcW w:w="979" w:type="dxa"/>
            <w:tcBorders>
              <w:top w:val="nil"/>
              <w:left w:val="nil"/>
              <w:bottom w:val="single" w:sz="4" w:space="0" w:color="auto"/>
              <w:right w:val="nil"/>
            </w:tcBorders>
            <w:shd w:val="clear" w:color="auto" w:fill="auto"/>
            <w:noWrap/>
            <w:vAlign w:val="center"/>
            <w:hideMark/>
          </w:tcPr>
          <w:p w14:paraId="2DA61558"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636" w:type="dxa"/>
            <w:tcBorders>
              <w:top w:val="nil"/>
              <w:left w:val="single" w:sz="4" w:space="0" w:color="auto"/>
              <w:bottom w:val="single" w:sz="4" w:space="0" w:color="auto"/>
              <w:right w:val="nil"/>
            </w:tcBorders>
            <w:shd w:val="clear" w:color="auto" w:fill="auto"/>
            <w:noWrap/>
            <w:vAlign w:val="bottom"/>
            <w:hideMark/>
          </w:tcPr>
          <w:p w14:paraId="578D935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363</w:t>
            </w:r>
          </w:p>
        </w:tc>
        <w:tc>
          <w:tcPr>
            <w:tcW w:w="979" w:type="dxa"/>
            <w:tcBorders>
              <w:top w:val="nil"/>
              <w:left w:val="nil"/>
              <w:bottom w:val="single" w:sz="4" w:space="0" w:color="auto"/>
              <w:right w:val="single" w:sz="4" w:space="0" w:color="auto"/>
            </w:tcBorders>
            <w:shd w:val="clear" w:color="auto" w:fill="auto"/>
            <w:noWrap/>
            <w:vAlign w:val="center"/>
            <w:hideMark/>
          </w:tcPr>
          <w:p w14:paraId="6D5AE159"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830" w:type="dxa"/>
            <w:tcBorders>
              <w:top w:val="nil"/>
              <w:left w:val="nil"/>
              <w:bottom w:val="single" w:sz="4" w:space="0" w:color="auto"/>
              <w:right w:val="nil"/>
            </w:tcBorders>
            <w:shd w:val="clear" w:color="auto" w:fill="auto"/>
            <w:noWrap/>
            <w:vAlign w:val="bottom"/>
            <w:hideMark/>
          </w:tcPr>
          <w:p w14:paraId="5284049F"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938</w:t>
            </w:r>
          </w:p>
        </w:tc>
        <w:tc>
          <w:tcPr>
            <w:tcW w:w="979" w:type="dxa"/>
            <w:tcBorders>
              <w:top w:val="nil"/>
              <w:left w:val="nil"/>
              <w:bottom w:val="single" w:sz="4" w:space="0" w:color="auto"/>
              <w:right w:val="nil"/>
            </w:tcBorders>
            <w:shd w:val="clear" w:color="auto" w:fill="auto"/>
            <w:noWrap/>
            <w:vAlign w:val="center"/>
            <w:hideMark/>
          </w:tcPr>
          <w:p w14:paraId="2DB23A2E"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-2 %</w:t>
            </w:r>
          </w:p>
        </w:tc>
      </w:tr>
      <w:tr w:rsidR="00F85178" w:rsidRPr="00F85178" w14:paraId="22C828CF"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179D4CEE"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Hr. Králové</w:t>
            </w:r>
          </w:p>
        </w:tc>
        <w:tc>
          <w:tcPr>
            <w:tcW w:w="637" w:type="dxa"/>
            <w:tcBorders>
              <w:top w:val="nil"/>
              <w:left w:val="nil"/>
              <w:bottom w:val="single" w:sz="4" w:space="0" w:color="auto"/>
              <w:right w:val="nil"/>
            </w:tcBorders>
            <w:shd w:val="clear" w:color="auto" w:fill="auto"/>
            <w:noWrap/>
            <w:vAlign w:val="bottom"/>
            <w:hideMark/>
          </w:tcPr>
          <w:p w14:paraId="089CF61E"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382</w:t>
            </w:r>
          </w:p>
        </w:tc>
        <w:tc>
          <w:tcPr>
            <w:tcW w:w="979" w:type="dxa"/>
            <w:tcBorders>
              <w:top w:val="nil"/>
              <w:left w:val="nil"/>
              <w:bottom w:val="single" w:sz="4" w:space="0" w:color="auto"/>
              <w:right w:val="nil"/>
            </w:tcBorders>
            <w:shd w:val="clear" w:color="auto" w:fill="auto"/>
            <w:noWrap/>
            <w:vAlign w:val="center"/>
            <w:hideMark/>
          </w:tcPr>
          <w:p w14:paraId="089AA475"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+20 %</w:t>
            </w:r>
          </w:p>
        </w:tc>
        <w:tc>
          <w:tcPr>
            <w:tcW w:w="636" w:type="dxa"/>
            <w:tcBorders>
              <w:top w:val="nil"/>
              <w:left w:val="single" w:sz="4" w:space="0" w:color="auto"/>
              <w:bottom w:val="single" w:sz="4" w:space="0" w:color="auto"/>
              <w:right w:val="nil"/>
            </w:tcBorders>
            <w:shd w:val="clear" w:color="auto" w:fill="auto"/>
            <w:noWrap/>
            <w:vAlign w:val="bottom"/>
            <w:hideMark/>
          </w:tcPr>
          <w:p w14:paraId="2FA3E1E4"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367</w:t>
            </w:r>
          </w:p>
        </w:tc>
        <w:tc>
          <w:tcPr>
            <w:tcW w:w="979" w:type="dxa"/>
            <w:tcBorders>
              <w:top w:val="nil"/>
              <w:left w:val="nil"/>
              <w:bottom w:val="single" w:sz="4" w:space="0" w:color="auto"/>
              <w:right w:val="single" w:sz="4" w:space="0" w:color="auto"/>
            </w:tcBorders>
            <w:shd w:val="clear" w:color="auto" w:fill="auto"/>
            <w:noWrap/>
            <w:vAlign w:val="center"/>
            <w:hideMark/>
          </w:tcPr>
          <w:p w14:paraId="3D1DA2F2"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830" w:type="dxa"/>
            <w:tcBorders>
              <w:top w:val="nil"/>
              <w:left w:val="nil"/>
              <w:bottom w:val="single" w:sz="4" w:space="0" w:color="auto"/>
              <w:right w:val="nil"/>
            </w:tcBorders>
            <w:shd w:val="clear" w:color="auto" w:fill="auto"/>
            <w:noWrap/>
            <w:vAlign w:val="bottom"/>
            <w:hideMark/>
          </w:tcPr>
          <w:p w14:paraId="350103D1"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653</w:t>
            </w:r>
          </w:p>
        </w:tc>
        <w:tc>
          <w:tcPr>
            <w:tcW w:w="979" w:type="dxa"/>
            <w:tcBorders>
              <w:top w:val="nil"/>
              <w:left w:val="nil"/>
              <w:bottom w:val="single" w:sz="4" w:space="0" w:color="auto"/>
              <w:right w:val="nil"/>
            </w:tcBorders>
            <w:shd w:val="clear" w:color="auto" w:fill="auto"/>
            <w:noWrap/>
            <w:vAlign w:val="center"/>
            <w:hideMark/>
          </w:tcPr>
          <w:p w14:paraId="02FC43F8"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+24 %</w:t>
            </w:r>
          </w:p>
        </w:tc>
      </w:tr>
      <w:tr w:rsidR="00F85178" w:rsidRPr="00F85178" w14:paraId="2060C850" w14:textId="77777777" w:rsidTr="005A13BB">
        <w:trPr>
          <w:trHeight w:val="315"/>
        </w:trPr>
        <w:tc>
          <w:tcPr>
            <w:tcW w:w="2480" w:type="dxa"/>
            <w:tcBorders>
              <w:top w:val="nil"/>
              <w:left w:val="nil"/>
              <w:bottom w:val="single" w:sz="4" w:space="0" w:color="auto"/>
              <w:right w:val="nil"/>
            </w:tcBorders>
            <w:shd w:val="clear" w:color="auto" w:fill="auto"/>
            <w:noWrap/>
            <w:vAlign w:val="bottom"/>
            <w:hideMark/>
          </w:tcPr>
          <w:p w14:paraId="73D24B04"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Brno</w:t>
            </w:r>
          </w:p>
        </w:tc>
        <w:tc>
          <w:tcPr>
            <w:tcW w:w="637" w:type="dxa"/>
            <w:tcBorders>
              <w:top w:val="nil"/>
              <w:left w:val="nil"/>
              <w:bottom w:val="single" w:sz="4" w:space="0" w:color="auto"/>
              <w:right w:val="nil"/>
            </w:tcBorders>
            <w:shd w:val="clear" w:color="auto" w:fill="auto"/>
            <w:noWrap/>
            <w:vAlign w:val="bottom"/>
            <w:hideMark/>
          </w:tcPr>
          <w:p w14:paraId="6594C3AC"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516</w:t>
            </w:r>
          </w:p>
        </w:tc>
        <w:tc>
          <w:tcPr>
            <w:tcW w:w="979" w:type="dxa"/>
            <w:tcBorders>
              <w:top w:val="nil"/>
              <w:left w:val="nil"/>
              <w:bottom w:val="single" w:sz="4" w:space="0" w:color="auto"/>
              <w:right w:val="nil"/>
            </w:tcBorders>
            <w:shd w:val="clear" w:color="auto" w:fill="auto"/>
            <w:noWrap/>
            <w:vAlign w:val="center"/>
            <w:hideMark/>
          </w:tcPr>
          <w:p w14:paraId="17239AFE"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636" w:type="dxa"/>
            <w:tcBorders>
              <w:top w:val="nil"/>
              <w:left w:val="single" w:sz="4" w:space="0" w:color="auto"/>
              <w:bottom w:val="single" w:sz="4" w:space="0" w:color="auto"/>
              <w:right w:val="nil"/>
            </w:tcBorders>
            <w:shd w:val="clear" w:color="auto" w:fill="auto"/>
            <w:noWrap/>
            <w:vAlign w:val="bottom"/>
            <w:hideMark/>
          </w:tcPr>
          <w:p w14:paraId="4BFDBF44"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592</w:t>
            </w:r>
          </w:p>
        </w:tc>
        <w:tc>
          <w:tcPr>
            <w:tcW w:w="979" w:type="dxa"/>
            <w:tcBorders>
              <w:top w:val="nil"/>
              <w:left w:val="nil"/>
              <w:bottom w:val="single" w:sz="4" w:space="0" w:color="auto"/>
              <w:right w:val="single" w:sz="4" w:space="0" w:color="auto"/>
            </w:tcBorders>
            <w:shd w:val="clear" w:color="auto" w:fill="auto"/>
            <w:noWrap/>
            <w:vAlign w:val="center"/>
            <w:hideMark/>
          </w:tcPr>
          <w:p w14:paraId="609F67FF"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830" w:type="dxa"/>
            <w:tcBorders>
              <w:top w:val="nil"/>
              <w:left w:val="nil"/>
              <w:bottom w:val="single" w:sz="4" w:space="0" w:color="auto"/>
              <w:right w:val="nil"/>
            </w:tcBorders>
            <w:shd w:val="clear" w:color="auto" w:fill="auto"/>
            <w:noWrap/>
            <w:vAlign w:val="bottom"/>
            <w:hideMark/>
          </w:tcPr>
          <w:p w14:paraId="5E6588BD"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806</w:t>
            </w:r>
          </w:p>
        </w:tc>
        <w:tc>
          <w:tcPr>
            <w:tcW w:w="979" w:type="dxa"/>
            <w:tcBorders>
              <w:top w:val="nil"/>
              <w:left w:val="nil"/>
              <w:bottom w:val="single" w:sz="4" w:space="0" w:color="auto"/>
              <w:right w:val="nil"/>
            </w:tcBorders>
            <w:shd w:val="clear" w:color="auto" w:fill="auto"/>
            <w:noWrap/>
            <w:vAlign w:val="center"/>
            <w:hideMark/>
          </w:tcPr>
          <w:p w14:paraId="783B9219"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1F87A1D0" w14:textId="77777777" w:rsidTr="005A13BB">
        <w:trPr>
          <w:trHeight w:val="330"/>
        </w:trPr>
        <w:tc>
          <w:tcPr>
            <w:tcW w:w="2480" w:type="dxa"/>
            <w:tcBorders>
              <w:top w:val="nil"/>
              <w:left w:val="nil"/>
              <w:bottom w:val="double" w:sz="6" w:space="0" w:color="auto"/>
              <w:right w:val="nil"/>
            </w:tcBorders>
            <w:shd w:val="clear" w:color="auto" w:fill="auto"/>
            <w:noWrap/>
            <w:vAlign w:val="bottom"/>
            <w:hideMark/>
          </w:tcPr>
          <w:p w14:paraId="3BF16906" w14:textId="77777777" w:rsidR="005A13BB" w:rsidRPr="00F85178" w:rsidRDefault="005A13BB" w:rsidP="005A13BB">
            <w:pPr>
              <w:spacing w:line="240" w:lineRule="auto"/>
              <w:jc w:val="left"/>
              <w:rPr>
                <w:rFonts w:eastAsia="Times New Roman"/>
                <w:szCs w:val="24"/>
                <w:lang w:eastAsia="cs-CZ"/>
              </w:rPr>
            </w:pPr>
            <w:r w:rsidRPr="00F85178">
              <w:rPr>
                <w:rFonts w:eastAsia="Times New Roman"/>
                <w:szCs w:val="24"/>
                <w:lang w:eastAsia="cs-CZ"/>
              </w:rPr>
              <w:t>KS Ostrava</w:t>
            </w:r>
          </w:p>
        </w:tc>
        <w:tc>
          <w:tcPr>
            <w:tcW w:w="637" w:type="dxa"/>
            <w:tcBorders>
              <w:top w:val="nil"/>
              <w:left w:val="nil"/>
              <w:bottom w:val="double" w:sz="6" w:space="0" w:color="auto"/>
              <w:right w:val="nil"/>
            </w:tcBorders>
            <w:shd w:val="clear" w:color="auto" w:fill="auto"/>
            <w:noWrap/>
            <w:vAlign w:val="bottom"/>
            <w:hideMark/>
          </w:tcPr>
          <w:p w14:paraId="3756DB5B"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345</w:t>
            </w:r>
          </w:p>
        </w:tc>
        <w:tc>
          <w:tcPr>
            <w:tcW w:w="979" w:type="dxa"/>
            <w:tcBorders>
              <w:top w:val="nil"/>
              <w:left w:val="nil"/>
              <w:bottom w:val="double" w:sz="6" w:space="0" w:color="auto"/>
              <w:right w:val="nil"/>
            </w:tcBorders>
            <w:shd w:val="clear" w:color="auto" w:fill="auto"/>
            <w:noWrap/>
            <w:vAlign w:val="center"/>
            <w:hideMark/>
          </w:tcPr>
          <w:p w14:paraId="1A29F32D"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636" w:type="dxa"/>
            <w:tcBorders>
              <w:top w:val="nil"/>
              <w:left w:val="single" w:sz="4" w:space="0" w:color="auto"/>
              <w:bottom w:val="double" w:sz="6" w:space="0" w:color="auto"/>
              <w:right w:val="nil"/>
            </w:tcBorders>
            <w:shd w:val="clear" w:color="auto" w:fill="auto"/>
            <w:noWrap/>
            <w:vAlign w:val="bottom"/>
            <w:hideMark/>
          </w:tcPr>
          <w:p w14:paraId="5662B2E7"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304</w:t>
            </w:r>
          </w:p>
        </w:tc>
        <w:tc>
          <w:tcPr>
            <w:tcW w:w="979" w:type="dxa"/>
            <w:tcBorders>
              <w:top w:val="nil"/>
              <w:left w:val="nil"/>
              <w:bottom w:val="double" w:sz="6" w:space="0" w:color="auto"/>
              <w:right w:val="single" w:sz="4" w:space="0" w:color="auto"/>
            </w:tcBorders>
            <w:shd w:val="clear" w:color="auto" w:fill="auto"/>
            <w:noWrap/>
            <w:vAlign w:val="center"/>
            <w:hideMark/>
          </w:tcPr>
          <w:p w14:paraId="2376328B"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+17 %</w:t>
            </w:r>
          </w:p>
        </w:tc>
        <w:tc>
          <w:tcPr>
            <w:tcW w:w="830" w:type="dxa"/>
            <w:tcBorders>
              <w:top w:val="nil"/>
              <w:left w:val="nil"/>
              <w:bottom w:val="double" w:sz="6" w:space="0" w:color="auto"/>
              <w:right w:val="nil"/>
            </w:tcBorders>
            <w:shd w:val="clear" w:color="auto" w:fill="auto"/>
            <w:noWrap/>
            <w:vAlign w:val="bottom"/>
            <w:hideMark/>
          </w:tcPr>
          <w:p w14:paraId="087DC42F" w14:textId="77777777" w:rsidR="005A13BB" w:rsidRPr="00F85178" w:rsidRDefault="005A13BB" w:rsidP="005A13BB">
            <w:pPr>
              <w:spacing w:line="240" w:lineRule="auto"/>
              <w:jc w:val="center"/>
              <w:rPr>
                <w:rFonts w:eastAsia="Times New Roman"/>
                <w:szCs w:val="24"/>
                <w:lang w:eastAsia="cs-CZ"/>
              </w:rPr>
            </w:pPr>
            <w:r w:rsidRPr="00F85178">
              <w:rPr>
                <w:rFonts w:eastAsia="Times New Roman"/>
                <w:szCs w:val="24"/>
                <w:lang w:eastAsia="cs-CZ"/>
              </w:rPr>
              <w:t>712</w:t>
            </w:r>
          </w:p>
        </w:tc>
        <w:tc>
          <w:tcPr>
            <w:tcW w:w="979" w:type="dxa"/>
            <w:tcBorders>
              <w:top w:val="nil"/>
              <w:left w:val="nil"/>
              <w:bottom w:val="double" w:sz="6" w:space="0" w:color="auto"/>
              <w:right w:val="nil"/>
            </w:tcBorders>
            <w:shd w:val="clear" w:color="auto" w:fill="auto"/>
            <w:noWrap/>
            <w:vAlign w:val="center"/>
            <w:hideMark/>
          </w:tcPr>
          <w:p w14:paraId="5BDBEFB4" w14:textId="77777777" w:rsidR="005A13BB" w:rsidRPr="00F85178" w:rsidRDefault="005A13BB" w:rsidP="005A13BB">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5A13BB" w:rsidRPr="00F85178" w14:paraId="12A34908" w14:textId="77777777" w:rsidTr="005A13BB">
        <w:trPr>
          <w:trHeight w:val="345"/>
        </w:trPr>
        <w:tc>
          <w:tcPr>
            <w:tcW w:w="2480" w:type="dxa"/>
            <w:tcBorders>
              <w:top w:val="nil"/>
              <w:left w:val="nil"/>
              <w:bottom w:val="double" w:sz="6" w:space="0" w:color="auto"/>
              <w:right w:val="nil"/>
            </w:tcBorders>
            <w:shd w:val="clear" w:color="auto" w:fill="auto"/>
            <w:noWrap/>
            <w:vAlign w:val="bottom"/>
            <w:hideMark/>
          </w:tcPr>
          <w:p w14:paraId="31575EBD" w14:textId="77777777" w:rsidR="005A13BB" w:rsidRPr="00F85178" w:rsidRDefault="005A13BB" w:rsidP="005A13BB">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37" w:type="dxa"/>
            <w:tcBorders>
              <w:top w:val="nil"/>
              <w:left w:val="nil"/>
              <w:bottom w:val="double" w:sz="6" w:space="0" w:color="auto"/>
              <w:right w:val="nil"/>
            </w:tcBorders>
            <w:shd w:val="clear" w:color="auto" w:fill="auto"/>
            <w:noWrap/>
            <w:vAlign w:val="bottom"/>
            <w:hideMark/>
          </w:tcPr>
          <w:p w14:paraId="7FDA38A5"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440</w:t>
            </w:r>
          </w:p>
        </w:tc>
        <w:tc>
          <w:tcPr>
            <w:tcW w:w="979" w:type="dxa"/>
            <w:tcBorders>
              <w:top w:val="nil"/>
              <w:left w:val="nil"/>
              <w:bottom w:val="double" w:sz="6" w:space="0" w:color="auto"/>
              <w:right w:val="nil"/>
            </w:tcBorders>
            <w:shd w:val="clear" w:color="auto" w:fill="auto"/>
            <w:noWrap/>
            <w:vAlign w:val="center"/>
            <w:hideMark/>
          </w:tcPr>
          <w:p w14:paraId="71BC16C9" w14:textId="77777777" w:rsidR="005A13BB" w:rsidRPr="00F85178" w:rsidRDefault="005A13BB" w:rsidP="005A13BB">
            <w:pPr>
              <w:spacing w:line="240" w:lineRule="auto"/>
              <w:jc w:val="center"/>
              <w:rPr>
                <w:rFonts w:eastAsia="Times New Roman"/>
                <w:b/>
                <w:bCs/>
                <w:sz w:val="20"/>
                <w:szCs w:val="20"/>
                <w:lang w:eastAsia="cs-CZ"/>
              </w:rPr>
            </w:pPr>
            <w:r w:rsidRPr="00F85178">
              <w:rPr>
                <w:rFonts w:eastAsia="Times New Roman"/>
                <w:b/>
                <w:bCs/>
                <w:sz w:val="20"/>
                <w:szCs w:val="20"/>
                <w:lang w:eastAsia="cs-CZ"/>
              </w:rPr>
              <w:t>-9 %</w:t>
            </w:r>
          </w:p>
        </w:tc>
        <w:tc>
          <w:tcPr>
            <w:tcW w:w="636" w:type="dxa"/>
            <w:tcBorders>
              <w:top w:val="nil"/>
              <w:left w:val="single" w:sz="4" w:space="0" w:color="auto"/>
              <w:bottom w:val="double" w:sz="6" w:space="0" w:color="auto"/>
              <w:right w:val="nil"/>
            </w:tcBorders>
            <w:shd w:val="clear" w:color="auto" w:fill="auto"/>
            <w:noWrap/>
            <w:vAlign w:val="bottom"/>
            <w:hideMark/>
          </w:tcPr>
          <w:p w14:paraId="57C31F2B"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362</w:t>
            </w:r>
          </w:p>
        </w:tc>
        <w:tc>
          <w:tcPr>
            <w:tcW w:w="979" w:type="dxa"/>
            <w:tcBorders>
              <w:top w:val="nil"/>
              <w:left w:val="nil"/>
              <w:bottom w:val="double" w:sz="6" w:space="0" w:color="auto"/>
              <w:right w:val="single" w:sz="4" w:space="0" w:color="auto"/>
            </w:tcBorders>
            <w:shd w:val="clear" w:color="auto" w:fill="auto"/>
            <w:noWrap/>
            <w:vAlign w:val="center"/>
            <w:hideMark/>
          </w:tcPr>
          <w:p w14:paraId="738FA217" w14:textId="77777777" w:rsidR="005A13BB" w:rsidRPr="00F85178" w:rsidRDefault="005A13BB" w:rsidP="005A13BB">
            <w:pPr>
              <w:spacing w:line="240" w:lineRule="auto"/>
              <w:jc w:val="center"/>
              <w:rPr>
                <w:rFonts w:eastAsia="Times New Roman"/>
                <w:b/>
                <w:bCs/>
                <w:sz w:val="20"/>
                <w:szCs w:val="20"/>
                <w:lang w:eastAsia="cs-CZ"/>
              </w:rPr>
            </w:pPr>
            <w:r w:rsidRPr="00F85178">
              <w:rPr>
                <w:rFonts w:eastAsia="Times New Roman"/>
                <w:b/>
                <w:bCs/>
                <w:sz w:val="20"/>
                <w:szCs w:val="20"/>
                <w:lang w:eastAsia="cs-CZ"/>
              </w:rPr>
              <w:t>-9 %</w:t>
            </w:r>
          </w:p>
        </w:tc>
        <w:tc>
          <w:tcPr>
            <w:tcW w:w="830" w:type="dxa"/>
            <w:tcBorders>
              <w:top w:val="nil"/>
              <w:left w:val="nil"/>
              <w:bottom w:val="double" w:sz="6" w:space="0" w:color="auto"/>
              <w:right w:val="nil"/>
            </w:tcBorders>
            <w:shd w:val="clear" w:color="auto" w:fill="auto"/>
            <w:noWrap/>
            <w:vAlign w:val="bottom"/>
            <w:hideMark/>
          </w:tcPr>
          <w:p w14:paraId="684A34A7" w14:textId="77777777" w:rsidR="005A13BB" w:rsidRPr="00F85178" w:rsidRDefault="005A13BB" w:rsidP="005A13BB">
            <w:pPr>
              <w:spacing w:line="240" w:lineRule="auto"/>
              <w:jc w:val="center"/>
              <w:rPr>
                <w:rFonts w:eastAsia="Times New Roman"/>
                <w:b/>
                <w:bCs/>
                <w:szCs w:val="24"/>
                <w:lang w:eastAsia="cs-CZ"/>
              </w:rPr>
            </w:pPr>
            <w:r w:rsidRPr="00F85178">
              <w:rPr>
                <w:rFonts w:eastAsia="Times New Roman"/>
                <w:b/>
                <w:bCs/>
                <w:szCs w:val="24"/>
                <w:lang w:eastAsia="cs-CZ"/>
              </w:rPr>
              <w:t>961</w:t>
            </w:r>
          </w:p>
        </w:tc>
        <w:tc>
          <w:tcPr>
            <w:tcW w:w="979" w:type="dxa"/>
            <w:tcBorders>
              <w:top w:val="nil"/>
              <w:left w:val="nil"/>
              <w:bottom w:val="double" w:sz="6" w:space="0" w:color="auto"/>
              <w:right w:val="nil"/>
            </w:tcBorders>
            <w:shd w:val="clear" w:color="auto" w:fill="auto"/>
            <w:noWrap/>
            <w:vAlign w:val="center"/>
            <w:hideMark/>
          </w:tcPr>
          <w:p w14:paraId="01D2E4E1" w14:textId="77777777" w:rsidR="005A13BB" w:rsidRPr="00F85178" w:rsidRDefault="005A13BB" w:rsidP="005A13BB">
            <w:pPr>
              <w:spacing w:line="240" w:lineRule="auto"/>
              <w:jc w:val="center"/>
              <w:rPr>
                <w:rFonts w:eastAsia="Times New Roman"/>
                <w:b/>
                <w:bCs/>
                <w:sz w:val="20"/>
                <w:szCs w:val="20"/>
                <w:lang w:eastAsia="cs-CZ"/>
              </w:rPr>
            </w:pPr>
            <w:r w:rsidRPr="00F85178">
              <w:rPr>
                <w:rFonts w:eastAsia="Times New Roman"/>
                <w:b/>
                <w:bCs/>
                <w:sz w:val="20"/>
                <w:szCs w:val="20"/>
                <w:lang w:eastAsia="cs-CZ"/>
              </w:rPr>
              <w:t>-11 %</w:t>
            </w:r>
          </w:p>
        </w:tc>
      </w:tr>
    </w:tbl>
    <w:p w14:paraId="1D3581B7" w14:textId="77777777" w:rsidR="005A13BB" w:rsidRPr="00F85178" w:rsidRDefault="005A13BB" w:rsidP="00205FD6"/>
    <w:p w14:paraId="28BE10BD" w14:textId="77777777" w:rsidR="005A13BB" w:rsidRPr="00F85178" w:rsidRDefault="00B20C8C" w:rsidP="00B20C8C">
      <w:pPr>
        <w:pStyle w:val="OdstavecASR"/>
      </w:pPr>
      <w:r w:rsidRPr="00F85178">
        <w:t>Stejně jako u ostatních agend, na závěr jsou délky řízení zobrazeny v histogramu. Šířka intervalu je 50 dnů. V porovnání s ostatními prvostupňovými agendami je ve správní agendě vysoký medián, ale na druhou stranu se ve správní agendě vyskytuje daleko méně extrémně dlouhých řízení – pouze asi 2 % věcí trvaly déle než 1 500 dnů.</w:t>
      </w:r>
    </w:p>
    <w:p w14:paraId="1E94F289" w14:textId="77777777" w:rsidR="005A13BB" w:rsidRPr="00F85178" w:rsidRDefault="005A13BB" w:rsidP="005A13BB">
      <w:pPr>
        <w:pStyle w:val="Podtitul"/>
        <w:rPr>
          <w:color w:val="auto"/>
        </w:rPr>
      </w:pPr>
      <w:bookmarkStart w:id="512" w:name="_Toc515871398"/>
      <w:bookmarkStart w:id="513" w:name="_Toc11135129"/>
      <w:bookmarkStart w:id="514" w:name="_Toc1383756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68</w:t>
      </w:r>
      <w:r w:rsidRPr="00F85178">
        <w:rPr>
          <w:color w:val="auto"/>
        </w:rPr>
        <w:fldChar w:fldCharType="end"/>
      </w:r>
      <w:r w:rsidRPr="00F85178">
        <w:rPr>
          <w:color w:val="auto"/>
        </w:rPr>
        <w:t>: KS – distribuce délek správního řízení</w:t>
      </w:r>
      <w:bookmarkEnd w:id="512"/>
      <w:bookmarkEnd w:id="513"/>
      <w:bookmarkEnd w:id="514"/>
    </w:p>
    <w:p w14:paraId="53293D5F" w14:textId="77777777" w:rsidR="005A13BB" w:rsidRPr="00F85178" w:rsidRDefault="00890295" w:rsidP="00205FD6">
      <w:r>
        <w:rPr>
          <w:noProof/>
          <w:lang w:eastAsia="cs-CZ"/>
        </w:rPr>
        <w:drawing>
          <wp:inline distT="0" distB="0" distL="0" distR="0" wp14:anchorId="418D1C09" wp14:editId="5D796567">
            <wp:extent cx="5118100" cy="3746500"/>
            <wp:effectExtent l="0" t="0" r="0" b="0"/>
            <wp:docPr id="71" name="Obrázek 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3"/>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02449EA" w14:textId="77777777" w:rsidR="00FF7EB3" w:rsidRPr="00F85178" w:rsidRDefault="00FF7EB3" w:rsidP="00205FD6"/>
    <w:p w14:paraId="3B347F22" w14:textId="77777777" w:rsidR="006F3EA1" w:rsidRPr="00F85178" w:rsidRDefault="006F3EA1" w:rsidP="00FF7EB3">
      <w:pPr>
        <w:pStyle w:val="Nadpis3"/>
        <w:rPr>
          <w:color w:val="auto"/>
        </w:rPr>
      </w:pPr>
      <w:bookmarkStart w:id="515" w:name="_Toc515871268"/>
      <w:bookmarkStart w:id="516" w:name="_Toc14076917"/>
      <w:r w:rsidRPr="00F85178">
        <w:rPr>
          <w:color w:val="auto"/>
        </w:rPr>
        <w:t>Vyřizování věcí</w:t>
      </w:r>
      <w:bookmarkEnd w:id="515"/>
      <w:bookmarkEnd w:id="516"/>
    </w:p>
    <w:p w14:paraId="67FE0F32" w14:textId="77777777" w:rsidR="00183021" w:rsidRPr="00F85178" w:rsidRDefault="00B20C8C" w:rsidP="00183021">
      <w:pPr>
        <w:pStyle w:val="OdstavecASR"/>
      </w:pPr>
      <w:bookmarkStart w:id="517" w:name="_Toc515871399"/>
      <w:r w:rsidRPr="00F85178">
        <w:t xml:space="preserve">Z grafu níže je patrné, že nápad se v průběhu let poměrně rychle mění. To může plynout z legislativních změn, ze změn v jednotlivých agendách (např. v azylové agendě) nebo jednorázových šoků. Počet vyřízených věcí samozřejmě s určitým zpožděním kopíruje počet věcí napadlých. Po roce 2013 vidíme dva znepokojivé jevy. Počet příchozích věcí poměrně rychle stoupá a zároveň převyšuje počet věcí vyřízených, což vede k trvalému růstu v počtu nevyřízených věcí. Přidáme-li k tomu fakt, </w:t>
      </w:r>
      <w:r w:rsidR="00DA44AE" w:rsidRPr="00F85178">
        <w:t xml:space="preserve">že </w:t>
      </w:r>
      <w:r w:rsidR="00183021" w:rsidRPr="00F85178">
        <w:t>délka řízení v roce 2018 klesla, vyvolává to obavu, že se na soudech začínají hromadit složitější věci. Fakt, že délky řízení v posledních letech již nestoupají</w:t>
      </w:r>
      <w:r w:rsidR="00DA44AE" w:rsidRPr="00F85178">
        <w:t>,</w:t>
      </w:r>
      <w:r w:rsidR="00183021" w:rsidRPr="00F85178">
        <w:t xml:space="preserve"> tak v tomto případě nemusí být dobrým znamením.</w:t>
      </w:r>
    </w:p>
    <w:p w14:paraId="1899D4D2" w14:textId="77777777" w:rsidR="00B20C8C" w:rsidRPr="00F85178" w:rsidRDefault="00B20C8C" w:rsidP="00B20C8C">
      <w:pPr>
        <w:pStyle w:val="OdstavecASR"/>
      </w:pPr>
      <w:r w:rsidRPr="00F85178">
        <w:t>Pohled na počty nevyřízených věcí ukazuje, že počet extrémně dlouho nevyřízených věcí (déle než 3 roky) nestoupá, roste ale skupina věcí, které jsou nevyřízené 1 až 3 roky. Většina těchto věcí tedy bude mít (až bude pravomocně skončena) větší délku řízení než je současná mediánová délka.</w:t>
      </w:r>
    </w:p>
    <w:p w14:paraId="60864617" w14:textId="77777777" w:rsidR="005A13BB" w:rsidRPr="00F85178" w:rsidRDefault="00CC18A4" w:rsidP="00CC18A4">
      <w:pPr>
        <w:pStyle w:val="Podtitul"/>
        <w:rPr>
          <w:color w:val="auto"/>
        </w:rPr>
      </w:pPr>
      <w:bookmarkStart w:id="518" w:name="_Toc11135130"/>
      <w:bookmarkStart w:id="519" w:name="_Toc13837562"/>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69</w:t>
      </w:r>
      <w:r w:rsidRPr="00F85178">
        <w:rPr>
          <w:noProof/>
          <w:color w:val="auto"/>
        </w:rPr>
        <w:fldChar w:fldCharType="end"/>
      </w:r>
      <w:r w:rsidRPr="00F85178">
        <w:rPr>
          <w:color w:val="auto"/>
        </w:rPr>
        <w:t>: KS – vyřizování správních věcí v letech 2008–201</w:t>
      </w:r>
      <w:bookmarkEnd w:id="517"/>
      <w:r w:rsidRPr="00F85178">
        <w:rPr>
          <w:color w:val="auto"/>
        </w:rPr>
        <w:t>8</w:t>
      </w:r>
      <w:bookmarkEnd w:id="518"/>
      <w:bookmarkEnd w:id="519"/>
    </w:p>
    <w:p w14:paraId="1A3BDD57" w14:textId="77777777" w:rsidR="007F4FB7" w:rsidRPr="00F85178" w:rsidRDefault="00890295" w:rsidP="00205FD6">
      <w:r>
        <w:rPr>
          <w:noProof/>
          <w:lang w:eastAsia="cs-CZ"/>
        </w:rPr>
        <w:drawing>
          <wp:inline distT="0" distB="0" distL="0" distR="0" wp14:anchorId="1533FBFC" wp14:editId="0656A4AE">
            <wp:extent cx="5118100" cy="3746500"/>
            <wp:effectExtent l="0" t="0" r="0" b="0"/>
            <wp:docPr id="72" name="Obrázek 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4"/>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5A70530" w14:textId="77777777" w:rsidR="007F4FB7" w:rsidRPr="00F85178" w:rsidRDefault="00B20C8C" w:rsidP="00FF7EB3">
      <w:pPr>
        <w:pStyle w:val="OdstavecASR"/>
      </w:pPr>
      <w:r w:rsidRPr="00F85178">
        <w:t>Z jednotlivých soudů dokázal vyřídit více nebo stejně věcí</w:t>
      </w:r>
      <w:r w:rsidR="00DA44AE" w:rsidRPr="00F85178">
        <w:t>,</w:t>
      </w:r>
      <w:r w:rsidRPr="00F85178">
        <w:t xml:space="preserve"> než přišlo</w:t>
      </w:r>
      <w:r w:rsidR="00DA44AE" w:rsidRPr="00F85178">
        <w:t>,</w:t>
      </w:r>
      <w:r w:rsidRPr="00F85178">
        <w:t xml:space="preserve"> MS Praha</w:t>
      </w:r>
      <w:r w:rsidR="00385A8D" w:rsidRPr="00F85178">
        <w:t>.</w:t>
      </w:r>
      <w:r w:rsidRPr="00F85178">
        <w:t xml:space="preserve"> U ostatních soudů převyšoval počet příchozích věci počet věcí vyřízených. U některých soudů byl rozdíl výrazný (především KS Ústí nad Labem). Vidíme tedy, které soudy stíhají vyřizovat své příchozí věci a které ne. Data v této podkapitole ale nejsou nijak normalizována, takže nelze činit závěry o celkové zatíženosti jednotlivých soudů. K tomu slouží ostatní podkapitoly.</w:t>
      </w:r>
      <w:r w:rsidR="007F4FB7" w:rsidRPr="00F85178">
        <w:br w:type="page"/>
      </w:r>
    </w:p>
    <w:p w14:paraId="737EA6DA" w14:textId="77777777" w:rsidR="00CC18A4" w:rsidRPr="00F85178" w:rsidRDefault="007F4FB7" w:rsidP="007F4FB7">
      <w:pPr>
        <w:pStyle w:val="Podtitul"/>
        <w:rPr>
          <w:color w:val="auto"/>
        </w:rPr>
      </w:pPr>
      <w:bookmarkStart w:id="520" w:name="_Toc515871491"/>
      <w:bookmarkStart w:id="521" w:name="_Toc11133258"/>
      <w:bookmarkStart w:id="522" w:name="_Toc1383747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56</w:t>
      </w:r>
      <w:r w:rsidRPr="00F85178">
        <w:rPr>
          <w:noProof/>
          <w:color w:val="auto"/>
        </w:rPr>
        <w:fldChar w:fldCharType="end"/>
      </w:r>
      <w:r w:rsidRPr="00F85178">
        <w:rPr>
          <w:color w:val="auto"/>
        </w:rPr>
        <w:t>: KS – vyřizování správních věcí dle soudů</w:t>
      </w:r>
      <w:bookmarkEnd w:id="520"/>
      <w:bookmarkEnd w:id="521"/>
      <w:bookmarkEnd w:id="522"/>
    </w:p>
    <w:tbl>
      <w:tblPr>
        <w:tblW w:w="9260" w:type="dxa"/>
        <w:tblCellMar>
          <w:left w:w="70" w:type="dxa"/>
          <w:right w:w="70" w:type="dxa"/>
        </w:tblCellMar>
        <w:tblLook w:val="04A0" w:firstRow="1" w:lastRow="0" w:firstColumn="1" w:lastColumn="0" w:noHBand="0" w:noVBand="1"/>
      </w:tblPr>
      <w:tblGrid>
        <w:gridCol w:w="2020"/>
        <w:gridCol w:w="913"/>
        <w:gridCol w:w="957"/>
        <w:gridCol w:w="974"/>
        <w:gridCol w:w="957"/>
        <w:gridCol w:w="943"/>
        <w:gridCol w:w="957"/>
        <w:gridCol w:w="1539"/>
      </w:tblGrid>
      <w:tr w:rsidR="00F85178" w:rsidRPr="00F85178" w14:paraId="42354976" w14:textId="77777777" w:rsidTr="007F4FB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5CD3DDAC" w14:textId="3CD870A3" w:rsidR="007F4FB7" w:rsidRPr="00F85178" w:rsidRDefault="00F2120F" w:rsidP="007F4FB7">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701" w:type="dxa"/>
            <w:gridSpan w:val="6"/>
            <w:tcBorders>
              <w:top w:val="double" w:sz="6" w:space="0" w:color="auto"/>
              <w:left w:val="nil"/>
              <w:bottom w:val="nil"/>
              <w:right w:val="single" w:sz="4" w:space="0" w:color="000000"/>
            </w:tcBorders>
            <w:shd w:val="clear" w:color="auto" w:fill="auto"/>
            <w:noWrap/>
            <w:vAlign w:val="center"/>
            <w:hideMark/>
          </w:tcPr>
          <w:p w14:paraId="46EBFFA7"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Počet věcí</w:t>
            </w:r>
          </w:p>
        </w:tc>
        <w:tc>
          <w:tcPr>
            <w:tcW w:w="1539" w:type="dxa"/>
            <w:vMerge w:val="restart"/>
            <w:tcBorders>
              <w:top w:val="double" w:sz="6" w:space="0" w:color="auto"/>
              <w:left w:val="nil"/>
              <w:bottom w:val="double" w:sz="6" w:space="0" w:color="000000"/>
              <w:right w:val="nil"/>
            </w:tcBorders>
            <w:shd w:val="clear" w:color="auto" w:fill="auto"/>
            <w:vAlign w:val="center"/>
            <w:hideMark/>
          </w:tcPr>
          <w:p w14:paraId="66BB8048"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Míra vyřizování</w:t>
            </w:r>
          </w:p>
        </w:tc>
      </w:tr>
      <w:tr w:rsidR="00F85178" w:rsidRPr="00F85178" w14:paraId="1C450961" w14:textId="77777777" w:rsidTr="007F4FB7">
        <w:trPr>
          <w:trHeight w:val="330"/>
        </w:trPr>
        <w:tc>
          <w:tcPr>
            <w:tcW w:w="2020" w:type="dxa"/>
            <w:vMerge/>
            <w:tcBorders>
              <w:top w:val="double" w:sz="6" w:space="0" w:color="auto"/>
              <w:left w:val="nil"/>
              <w:bottom w:val="double" w:sz="6" w:space="0" w:color="000000"/>
              <w:right w:val="nil"/>
            </w:tcBorders>
            <w:vAlign w:val="center"/>
            <w:hideMark/>
          </w:tcPr>
          <w:p w14:paraId="114FFEA6" w14:textId="77777777" w:rsidR="007F4FB7" w:rsidRPr="00F85178" w:rsidRDefault="007F4FB7" w:rsidP="007F4FB7">
            <w:pPr>
              <w:spacing w:line="240" w:lineRule="auto"/>
              <w:jc w:val="left"/>
              <w:rPr>
                <w:rFonts w:eastAsia="Times New Roman"/>
                <w:b/>
                <w:bCs/>
                <w:szCs w:val="24"/>
                <w:lang w:eastAsia="cs-CZ"/>
              </w:rPr>
            </w:pPr>
          </w:p>
        </w:tc>
        <w:tc>
          <w:tcPr>
            <w:tcW w:w="1870" w:type="dxa"/>
            <w:gridSpan w:val="2"/>
            <w:tcBorders>
              <w:top w:val="nil"/>
              <w:left w:val="nil"/>
              <w:bottom w:val="double" w:sz="6" w:space="0" w:color="auto"/>
              <w:right w:val="nil"/>
            </w:tcBorders>
            <w:shd w:val="clear" w:color="auto" w:fill="auto"/>
            <w:noWrap/>
            <w:vAlign w:val="center"/>
            <w:hideMark/>
          </w:tcPr>
          <w:p w14:paraId="44E8E46C"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31"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58FCCF7"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900" w:type="dxa"/>
            <w:gridSpan w:val="2"/>
            <w:tcBorders>
              <w:top w:val="nil"/>
              <w:left w:val="nil"/>
              <w:bottom w:val="double" w:sz="6" w:space="0" w:color="auto"/>
              <w:right w:val="single" w:sz="4" w:space="0" w:color="000000"/>
            </w:tcBorders>
            <w:shd w:val="clear" w:color="auto" w:fill="auto"/>
            <w:noWrap/>
            <w:vAlign w:val="center"/>
            <w:hideMark/>
          </w:tcPr>
          <w:p w14:paraId="68B6EF61"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Nevyřízeno</w:t>
            </w:r>
          </w:p>
        </w:tc>
        <w:tc>
          <w:tcPr>
            <w:tcW w:w="1539" w:type="dxa"/>
            <w:vMerge/>
            <w:tcBorders>
              <w:top w:val="double" w:sz="6" w:space="0" w:color="auto"/>
              <w:left w:val="nil"/>
              <w:bottom w:val="double" w:sz="6" w:space="0" w:color="000000"/>
              <w:right w:val="nil"/>
            </w:tcBorders>
            <w:vAlign w:val="center"/>
            <w:hideMark/>
          </w:tcPr>
          <w:p w14:paraId="4D0A394C" w14:textId="77777777" w:rsidR="007F4FB7" w:rsidRPr="00F85178" w:rsidRDefault="007F4FB7" w:rsidP="007F4FB7">
            <w:pPr>
              <w:spacing w:line="240" w:lineRule="auto"/>
              <w:jc w:val="left"/>
              <w:rPr>
                <w:rFonts w:eastAsia="Times New Roman"/>
                <w:b/>
                <w:bCs/>
                <w:szCs w:val="24"/>
                <w:lang w:eastAsia="cs-CZ"/>
              </w:rPr>
            </w:pPr>
          </w:p>
        </w:tc>
      </w:tr>
      <w:tr w:rsidR="00F85178" w:rsidRPr="00F85178" w14:paraId="2B493FAD" w14:textId="77777777" w:rsidTr="007F4FB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1F858FE1"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MS Praha</w:t>
            </w:r>
          </w:p>
        </w:tc>
        <w:tc>
          <w:tcPr>
            <w:tcW w:w="913" w:type="dxa"/>
            <w:tcBorders>
              <w:top w:val="single" w:sz="4" w:space="0" w:color="auto"/>
              <w:left w:val="nil"/>
              <w:bottom w:val="single" w:sz="4" w:space="0" w:color="auto"/>
              <w:right w:val="nil"/>
            </w:tcBorders>
            <w:shd w:val="clear" w:color="auto" w:fill="auto"/>
            <w:noWrap/>
            <w:vAlign w:val="bottom"/>
            <w:hideMark/>
          </w:tcPr>
          <w:p w14:paraId="61ED62B5"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3 549</w:t>
            </w:r>
          </w:p>
        </w:tc>
        <w:tc>
          <w:tcPr>
            <w:tcW w:w="957" w:type="dxa"/>
            <w:tcBorders>
              <w:top w:val="single" w:sz="4" w:space="0" w:color="auto"/>
              <w:left w:val="nil"/>
              <w:bottom w:val="single" w:sz="4" w:space="0" w:color="auto"/>
              <w:right w:val="nil"/>
            </w:tcBorders>
            <w:shd w:val="clear" w:color="auto" w:fill="auto"/>
            <w:noWrap/>
            <w:vAlign w:val="center"/>
            <w:hideMark/>
          </w:tcPr>
          <w:p w14:paraId="6AF0ADE4" w14:textId="4F1503BF"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974" w:type="dxa"/>
            <w:tcBorders>
              <w:top w:val="single" w:sz="4" w:space="0" w:color="auto"/>
              <w:left w:val="single" w:sz="4" w:space="0" w:color="auto"/>
              <w:bottom w:val="single" w:sz="4" w:space="0" w:color="auto"/>
              <w:right w:val="nil"/>
            </w:tcBorders>
            <w:shd w:val="clear" w:color="auto" w:fill="auto"/>
            <w:noWrap/>
            <w:vAlign w:val="bottom"/>
            <w:hideMark/>
          </w:tcPr>
          <w:p w14:paraId="2E4BF280"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3 404</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32A2D6EB" w14:textId="743D8429"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43" w:type="dxa"/>
            <w:tcBorders>
              <w:top w:val="single" w:sz="4" w:space="0" w:color="auto"/>
              <w:left w:val="nil"/>
              <w:bottom w:val="single" w:sz="4" w:space="0" w:color="auto"/>
              <w:right w:val="nil"/>
            </w:tcBorders>
            <w:shd w:val="clear" w:color="auto" w:fill="auto"/>
            <w:noWrap/>
            <w:vAlign w:val="bottom"/>
            <w:hideMark/>
          </w:tcPr>
          <w:p w14:paraId="2C1BB49D"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4 831</w:t>
            </w:r>
          </w:p>
        </w:tc>
        <w:tc>
          <w:tcPr>
            <w:tcW w:w="957" w:type="dxa"/>
            <w:tcBorders>
              <w:top w:val="single" w:sz="4" w:space="0" w:color="auto"/>
              <w:left w:val="nil"/>
              <w:bottom w:val="single" w:sz="4" w:space="0" w:color="auto"/>
              <w:right w:val="single" w:sz="4" w:space="0" w:color="auto"/>
            </w:tcBorders>
            <w:shd w:val="clear" w:color="auto" w:fill="auto"/>
            <w:noWrap/>
            <w:vAlign w:val="center"/>
            <w:hideMark/>
          </w:tcPr>
          <w:p w14:paraId="3DECAA33" w14:textId="77040790"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39" w:type="dxa"/>
            <w:tcBorders>
              <w:top w:val="nil"/>
              <w:left w:val="nil"/>
              <w:bottom w:val="single" w:sz="4" w:space="0" w:color="auto"/>
              <w:right w:val="nil"/>
            </w:tcBorders>
            <w:shd w:val="clear" w:color="auto" w:fill="auto"/>
            <w:noWrap/>
            <w:vAlign w:val="center"/>
            <w:hideMark/>
          </w:tcPr>
          <w:p w14:paraId="3B4A4516"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95</w:t>
            </w:r>
            <w:r w:rsidR="00FF7EB3" w:rsidRPr="00F85178">
              <w:rPr>
                <w:rFonts w:eastAsia="Times New Roman"/>
                <w:szCs w:val="24"/>
                <w:lang w:eastAsia="cs-CZ"/>
              </w:rPr>
              <w:t>,</w:t>
            </w:r>
            <w:r w:rsidRPr="00F85178">
              <w:rPr>
                <w:rFonts w:eastAsia="Times New Roman"/>
                <w:szCs w:val="24"/>
                <w:lang w:eastAsia="cs-CZ"/>
              </w:rPr>
              <w:t>9 %</w:t>
            </w:r>
          </w:p>
        </w:tc>
      </w:tr>
      <w:tr w:rsidR="00F85178" w:rsidRPr="00F85178" w14:paraId="26EA3CAC"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341C8BCB"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Praha</w:t>
            </w:r>
          </w:p>
        </w:tc>
        <w:tc>
          <w:tcPr>
            <w:tcW w:w="913" w:type="dxa"/>
            <w:tcBorders>
              <w:top w:val="nil"/>
              <w:left w:val="nil"/>
              <w:bottom w:val="single" w:sz="4" w:space="0" w:color="auto"/>
              <w:right w:val="nil"/>
            </w:tcBorders>
            <w:shd w:val="clear" w:color="auto" w:fill="auto"/>
            <w:noWrap/>
            <w:vAlign w:val="bottom"/>
            <w:hideMark/>
          </w:tcPr>
          <w:p w14:paraId="462BAA36"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011</w:t>
            </w:r>
          </w:p>
        </w:tc>
        <w:tc>
          <w:tcPr>
            <w:tcW w:w="957" w:type="dxa"/>
            <w:tcBorders>
              <w:top w:val="nil"/>
              <w:left w:val="nil"/>
              <w:bottom w:val="single" w:sz="4" w:space="0" w:color="auto"/>
              <w:right w:val="nil"/>
            </w:tcBorders>
            <w:shd w:val="clear" w:color="auto" w:fill="auto"/>
            <w:noWrap/>
            <w:vAlign w:val="center"/>
            <w:hideMark/>
          </w:tcPr>
          <w:p w14:paraId="142DADB1" w14:textId="70A30417"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974" w:type="dxa"/>
            <w:tcBorders>
              <w:top w:val="nil"/>
              <w:left w:val="single" w:sz="4" w:space="0" w:color="auto"/>
              <w:bottom w:val="single" w:sz="4" w:space="0" w:color="auto"/>
              <w:right w:val="nil"/>
            </w:tcBorders>
            <w:shd w:val="clear" w:color="auto" w:fill="auto"/>
            <w:noWrap/>
            <w:vAlign w:val="bottom"/>
            <w:hideMark/>
          </w:tcPr>
          <w:p w14:paraId="376D0B22"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763</w:t>
            </w:r>
          </w:p>
        </w:tc>
        <w:tc>
          <w:tcPr>
            <w:tcW w:w="957" w:type="dxa"/>
            <w:tcBorders>
              <w:top w:val="nil"/>
              <w:left w:val="nil"/>
              <w:bottom w:val="single" w:sz="4" w:space="0" w:color="auto"/>
              <w:right w:val="single" w:sz="4" w:space="0" w:color="auto"/>
            </w:tcBorders>
            <w:shd w:val="clear" w:color="auto" w:fill="auto"/>
            <w:noWrap/>
            <w:vAlign w:val="center"/>
            <w:hideMark/>
          </w:tcPr>
          <w:p w14:paraId="6D50FB27" w14:textId="38E0CC09"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43" w:type="dxa"/>
            <w:tcBorders>
              <w:top w:val="nil"/>
              <w:left w:val="nil"/>
              <w:bottom w:val="single" w:sz="4" w:space="0" w:color="auto"/>
              <w:right w:val="nil"/>
            </w:tcBorders>
            <w:shd w:val="clear" w:color="auto" w:fill="auto"/>
            <w:noWrap/>
            <w:vAlign w:val="bottom"/>
            <w:hideMark/>
          </w:tcPr>
          <w:p w14:paraId="56C00545"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983</w:t>
            </w:r>
          </w:p>
        </w:tc>
        <w:tc>
          <w:tcPr>
            <w:tcW w:w="957" w:type="dxa"/>
            <w:tcBorders>
              <w:top w:val="nil"/>
              <w:left w:val="nil"/>
              <w:bottom w:val="single" w:sz="4" w:space="0" w:color="auto"/>
              <w:right w:val="single" w:sz="4" w:space="0" w:color="auto"/>
            </w:tcBorders>
            <w:shd w:val="clear" w:color="auto" w:fill="auto"/>
            <w:noWrap/>
            <w:vAlign w:val="center"/>
            <w:hideMark/>
          </w:tcPr>
          <w:p w14:paraId="1F971CE2" w14:textId="23003B7B"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+34 %</w:t>
            </w:r>
          </w:p>
        </w:tc>
        <w:tc>
          <w:tcPr>
            <w:tcW w:w="1539" w:type="dxa"/>
            <w:tcBorders>
              <w:top w:val="nil"/>
              <w:left w:val="nil"/>
              <w:bottom w:val="single" w:sz="4" w:space="0" w:color="auto"/>
              <w:right w:val="nil"/>
            </w:tcBorders>
            <w:shd w:val="clear" w:color="auto" w:fill="auto"/>
            <w:noWrap/>
            <w:vAlign w:val="center"/>
            <w:hideMark/>
          </w:tcPr>
          <w:p w14:paraId="033BC466"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75</w:t>
            </w:r>
            <w:r w:rsidR="00FF7EB3" w:rsidRPr="00F85178">
              <w:rPr>
                <w:rFonts w:eastAsia="Times New Roman"/>
                <w:szCs w:val="24"/>
                <w:lang w:eastAsia="cs-CZ"/>
              </w:rPr>
              <w:t>,</w:t>
            </w:r>
            <w:r w:rsidRPr="00F85178">
              <w:rPr>
                <w:rFonts w:eastAsia="Times New Roman"/>
                <w:szCs w:val="24"/>
                <w:lang w:eastAsia="cs-CZ"/>
              </w:rPr>
              <w:t>5 %</w:t>
            </w:r>
          </w:p>
        </w:tc>
      </w:tr>
      <w:tr w:rsidR="00F85178" w:rsidRPr="00F85178" w14:paraId="06A6C7C6"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03264E22"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Č. Budějovice</w:t>
            </w:r>
          </w:p>
        </w:tc>
        <w:tc>
          <w:tcPr>
            <w:tcW w:w="913" w:type="dxa"/>
            <w:tcBorders>
              <w:top w:val="nil"/>
              <w:left w:val="nil"/>
              <w:bottom w:val="single" w:sz="4" w:space="0" w:color="auto"/>
              <w:right w:val="nil"/>
            </w:tcBorders>
            <w:shd w:val="clear" w:color="auto" w:fill="auto"/>
            <w:noWrap/>
            <w:vAlign w:val="bottom"/>
            <w:hideMark/>
          </w:tcPr>
          <w:p w14:paraId="6F9028F1"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499</w:t>
            </w:r>
          </w:p>
        </w:tc>
        <w:tc>
          <w:tcPr>
            <w:tcW w:w="957" w:type="dxa"/>
            <w:tcBorders>
              <w:top w:val="nil"/>
              <w:left w:val="nil"/>
              <w:bottom w:val="single" w:sz="4" w:space="0" w:color="auto"/>
              <w:right w:val="nil"/>
            </w:tcBorders>
            <w:shd w:val="clear" w:color="auto" w:fill="auto"/>
            <w:noWrap/>
            <w:vAlign w:val="center"/>
            <w:hideMark/>
          </w:tcPr>
          <w:p w14:paraId="087FA768" w14:textId="5AF698BA"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974" w:type="dxa"/>
            <w:tcBorders>
              <w:top w:val="nil"/>
              <w:left w:val="single" w:sz="4" w:space="0" w:color="auto"/>
              <w:bottom w:val="single" w:sz="4" w:space="0" w:color="auto"/>
              <w:right w:val="nil"/>
            </w:tcBorders>
            <w:shd w:val="clear" w:color="auto" w:fill="auto"/>
            <w:noWrap/>
            <w:vAlign w:val="bottom"/>
            <w:hideMark/>
          </w:tcPr>
          <w:p w14:paraId="244602F2"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464</w:t>
            </w:r>
          </w:p>
        </w:tc>
        <w:tc>
          <w:tcPr>
            <w:tcW w:w="957" w:type="dxa"/>
            <w:tcBorders>
              <w:top w:val="nil"/>
              <w:left w:val="nil"/>
              <w:bottom w:val="single" w:sz="4" w:space="0" w:color="auto"/>
              <w:right w:val="single" w:sz="4" w:space="0" w:color="auto"/>
            </w:tcBorders>
            <w:shd w:val="clear" w:color="auto" w:fill="auto"/>
            <w:noWrap/>
            <w:vAlign w:val="center"/>
            <w:hideMark/>
          </w:tcPr>
          <w:p w14:paraId="2CEBC04D" w14:textId="414DF681"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943" w:type="dxa"/>
            <w:tcBorders>
              <w:top w:val="nil"/>
              <w:left w:val="nil"/>
              <w:bottom w:val="single" w:sz="4" w:space="0" w:color="auto"/>
              <w:right w:val="nil"/>
            </w:tcBorders>
            <w:shd w:val="clear" w:color="auto" w:fill="auto"/>
            <w:noWrap/>
            <w:vAlign w:val="bottom"/>
            <w:hideMark/>
          </w:tcPr>
          <w:p w14:paraId="6B3D2143"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247</w:t>
            </w:r>
          </w:p>
        </w:tc>
        <w:tc>
          <w:tcPr>
            <w:tcW w:w="957" w:type="dxa"/>
            <w:tcBorders>
              <w:top w:val="nil"/>
              <w:left w:val="nil"/>
              <w:bottom w:val="single" w:sz="4" w:space="0" w:color="auto"/>
              <w:right w:val="single" w:sz="4" w:space="0" w:color="auto"/>
            </w:tcBorders>
            <w:shd w:val="clear" w:color="auto" w:fill="auto"/>
            <w:noWrap/>
            <w:vAlign w:val="center"/>
            <w:hideMark/>
          </w:tcPr>
          <w:p w14:paraId="2331F8A2" w14:textId="66F69205"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539" w:type="dxa"/>
            <w:tcBorders>
              <w:top w:val="nil"/>
              <w:left w:val="nil"/>
              <w:bottom w:val="single" w:sz="4" w:space="0" w:color="auto"/>
              <w:right w:val="nil"/>
            </w:tcBorders>
            <w:shd w:val="clear" w:color="auto" w:fill="auto"/>
            <w:noWrap/>
            <w:vAlign w:val="center"/>
            <w:hideMark/>
          </w:tcPr>
          <w:p w14:paraId="4F1C2AE7"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93</w:t>
            </w:r>
            <w:r w:rsidR="00FF7EB3" w:rsidRPr="00F85178">
              <w:rPr>
                <w:rFonts w:eastAsia="Times New Roman"/>
                <w:szCs w:val="24"/>
                <w:lang w:eastAsia="cs-CZ"/>
              </w:rPr>
              <w:t>,</w:t>
            </w:r>
            <w:r w:rsidRPr="00F85178">
              <w:rPr>
                <w:rFonts w:eastAsia="Times New Roman"/>
                <w:szCs w:val="24"/>
                <w:lang w:eastAsia="cs-CZ"/>
              </w:rPr>
              <w:t>0 %</w:t>
            </w:r>
          </w:p>
        </w:tc>
      </w:tr>
      <w:tr w:rsidR="00F85178" w:rsidRPr="00F85178" w14:paraId="1C36954E"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474AA0F7"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Plzeň</w:t>
            </w:r>
          </w:p>
        </w:tc>
        <w:tc>
          <w:tcPr>
            <w:tcW w:w="913" w:type="dxa"/>
            <w:tcBorders>
              <w:top w:val="nil"/>
              <w:left w:val="nil"/>
              <w:bottom w:val="single" w:sz="4" w:space="0" w:color="auto"/>
              <w:right w:val="nil"/>
            </w:tcBorders>
            <w:shd w:val="clear" w:color="auto" w:fill="auto"/>
            <w:noWrap/>
            <w:vAlign w:val="bottom"/>
            <w:hideMark/>
          </w:tcPr>
          <w:p w14:paraId="150DF9C0"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023</w:t>
            </w:r>
          </w:p>
        </w:tc>
        <w:tc>
          <w:tcPr>
            <w:tcW w:w="957" w:type="dxa"/>
            <w:tcBorders>
              <w:top w:val="nil"/>
              <w:left w:val="nil"/>
              <w:bottom w:val="single" w:sz="4" w:space="0" w:color="auto"/>
              <w:right w:val="nil"/>
            </w:tcBorders>
            <w:shd w:val="clear" w:color="auto" w:fill="auto"/>
            <w:noWrap/>
            <w:vAlign w:val="center"/>
            <w:hideMark/>
          </w:tcPr>
          <w:p w14:paraId="5433024E" w14:textId="1C4CBDE2"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+21 %</w:t>
            </w:r>
          </w:p>
        </w:tc>
        <w:tc>
          <w:tcPr>
            <w:tcW w:w="974" w:type="dxa"/>
            <w:tcBorders>
              <w:top w:val="nil"/>
              <w:left w:val="single" w:sz="4" w:space="0" w:color="auto"/>
              <w:bottom w:val="single" w:sz="4" w:space="0" w:color="auto"/>
              <w:right w:val="nil"/>
            </w:tcBorders>
            <w:shd w:val="clear" w:color="auto" w:fill="auto"/>
            <w:noWrap/>
            <w:vAlign w:val="bottom"/>
            <w:hideMark/>
          </w:tcPr>
          <w:p w14:paraId="43EC5615"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849</w:t>
            </w:r>
          </w:p>
        </w:tc>
        <w:tc>
          <w:tcPr>
            <w:tcW w:w="957" w:type="dxa"/>
            <w:tcBorders>
              <w:top w:val="nil"/>
              <w:left w:val="nil"/>
              <w:bottom w:val="single" w:sz="4" w:space="0" w:color="auto"/>
              <w:right w:val="single" w:sz="4" w:space="0" w:color="auto"/>
            </w:tcBorders>
            <w:shd w:val="clear" w:color="auto" w:fill="auto"/>
            <w:noWrap/>
            <w:vAlign w:val="center"/>
            <w:hideMark/>
          </w:tcPr>
          <w:p w14:paraId="5CAF451C" w14:textId="471D4870"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943" w:type="dxa"/>
            <w:tcBorders>
              <w:top w:val="nil"/>
              <w:left w:val="nil"/>
              <w:bottom w:val="single" w:sz="4" w:space="0" w:color="auto"/>
              <w:right w:val="nil"/>
            </w:tcBorders>
            <w:shd w:val="clear" w:color="auto" w:fill="auto"/>
            <w:noWrap/>
            <w:vAlign w:val="bottom"/>
            <w:hideMark/>
          </w:tcPr>
          <w:p w14:paraId="4AFB2913"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712</w:t>
            </w:r>
          </w:p>
        </w:tc>
        <w:tc>
          <w:tcPr>
            <w:tcW w:w="957" w:type="dxa"/>
            <w:tcBorders>
              <w:top w:val="nil"/>
              <w:left w:val="nil"/>
              <w:bottom w:val="single" w:sz="4" w:space="0" w:color="auto"/>
              <w:right w:val="single" w:sz="4" w:space="0" w:color="auto"/>
            </w:tcBorders>
            <w:shd w:val="clear" w:color="auto" w:fill="auto"/>
            <w:noWrap/>
            <w:vAlign w:val="center"/>
            <w:hideMark/>
          </w:tcPr>
          <w:p w14:paraId="206398F1" w14:textId="4970D983"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+33 %</w:t>
            </w:r>
          </w:p>
        </w:tc>
        <w:tc>
          <w:tcPr>
            <w:tcW w:w="1539" w:type="dxa"/>
            <w:tcBorders>
              <w:top w:val="nil"/>
              <w:left w:val="nil"/>
              <w:bottom w:val="single" w:sz="4" w:space="0" w:color="auto"/>
              <w:right w:val="nil"/>
            </w:tcBorders>
            <w:shd w:val="clear" w:color="auto" w:fill="auto"/>
            <w:noWrap/>
            <w:vAlign w:val="center"/>
            <w:hideMark/>
          </w:tcPr>
          <w:p w14:paraId="27EF23A1"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83</w:t>
            </w:r>
            <w:r w:rsidR="00FF7EB3" w:rsidRPr="00F85178">
              <w:rPr>
                <w:rFonts w:eastAsia="Times New Roman"/>
                <w:szCs w:val="24"/>
                <w:lang w:eastAsia="cs-CZ"/>
              </w:rPr>
              <w:t>,</w:t>
            </w:r>
            <w:r w:rsidRPr="00F85178">
              <w:rPr>
                <w:rFonts w:eastAsia="Times New Roman"/>
                <w:szCs w:val="24"/>
                <w:lang w:eastAsia="cs-CZ"/>
              </w:rPr>
              <w:t>0 %</w:t>
            </w:r>
          </w:p>
        </w:tc>
      </w:tr>
      <w:tr w:rsidR="00F85178" w:rsidRPr="00F85178" w14:paraId="57B0D10B"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750AA58D"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Ústí n. Labem</w:t>
            </w:r>
          </w:p>
        </w:tc>
        <w:tc>
          <w:tcPr>
            <w:tcW w:w="913" w:type="dxa"/>
            <w:tcBorders>
              <w:top w:val="nil"/>
              <w:left w:val="nil"/>
              <w:bottom w:val="single" w:sz="4" w:space="0" w:color="auto"/>
              <w:right w:val="nil"/>
            </w:tcBorders>
            <w:shd w:val="clear" w:color="auto" w:fill="auto"/>
            <w:noWrap/>
            <w:vAlign w:val="bottom"/>
            <w:hideMark/>
          </w:tcPr>
          <w:p w14:paraId="347E18B8"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883</w:t>
            </w:r>
          </w:p>
        </w:tc>
        <w:tc>
          <w:tcPr>
            <w:tcW w:w="957" w:type="dxa"/>
            <w:tcBorders>
              <w:top w:val="nil"/>
              <w:left w:val="nil"/>
              <w:bottom w:val="single" w:sz="4" w:space="0" w:color="auto"/>
              <w:right w:val="nil"/>
            </w:tcBorders>
            <w:shd w:val="clear" w:color="auto" w:fill="auto"/>
            <w:noWrap/>
            <w:vAlign w:val="center"/>
            <w:hideMark/>
          </w:tcPr>
          <w:p w14:paraId="6487267B" w14:textId="095554DA"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974" w:type="dxa"/>
            <w:tcBorders>
              <w:top w:val="nil"/>
              <w:left w:val="single" w:sz="4" w:space="0" w:color="auto"/>
              <w:bottom w:val="single" w:sz="4" w:space="0" w:color="auto"/>
              <w:right w:val="nil"/>
            </w:tcBorders>
            <w:shd w:val="clear" w:color="auto" w:fill="auto"/>
            <w:noWrap/>
            <w:vAlign w:val="bottom"/>
            <w:hideMark/>
          </w:tcPr>
          <w:p w14:paraId="2FDC1C25"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860</w:t>
            </w:r>
          </w:p>
        </w:tc>
        <w:tc>
          <w:tcPr>
            <w:tcW w:w="957" w:type="dxa"/>
            <w:tcBorders>
              <w:top w:val="nil"/>
              <w:left w:val="nil"/>
              <w:bottom w:val="single" w:sz="4" w:space="0" w:color="auto"/>
              <w:right w:val="single" w:sz="4" w:space="0" w:color="auto"/>
            </w:tcBorders>
            <w:shd w:val="clear" w:color="auto" w:fill="auto"/>
            <w:noWrap/>
            <w:vAlign w:val="center"/>
            <w:hideMark/>
          </w:tcPr>
          <w:p w14:paraId="2A307AA7" w14:textId="29A4F601"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943" w:type="dxa"/>
            <w:tcBorders>
              <w:top w:val="nil"/>
              <w:left w:val="nil"/>
              <w:bottom w:val="single" w:sz="4" w:space="0" w:color="auto"/>
              <w:right w:val="nil"/>
            </w:tcBorders>
            <w:shd w:val="clear" w:color="auto" w:fill="auto"/>
            <w:noWrap/>
            <w:vAlign w:val="bottom"/>
            <w:hideMark/>
          </w:tcPr>
          <w:p w14:paraId="20DE2FE3"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138</w:t>
            </w:r>
          </w:p>
        </w:tc>
        <w:tc>
          <w:tcPr>
            <w:tcW w:w="957" w:type="dxa"/>
            <w:tcBorders>
              <w:top w:val="nil"/>
              <w:left w:val="nil"/>
              <w:bottom w:val="single" w:sz="4" w:space="0" w:color="auto"/>
              <w:right w:val="single" w:sz="4" w:space="0" w:color="auto"/>
            </w:tcBorders>
            <w:shd w:val="clear" w:color="auto" w:fill="auto"/>
            <w:noWrap/>
            <w:vAlign w:val="center"/>
            <w:hideMark/>
          </w:tcPr>
          <w:p w14:paraId="06DFDB6E" w14:textId="387E50CA"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539" w:type="dxa"/>
            <w:tcBorders>
              <w:top w:val="nil"/>
              <w:left w:val="nil"/>
              <w:bottom w:val="single" w:sz="4" w:space="0" w:color="auto"/>
              <w:right w:val="nil"/>
            </w:tcBorders>
            <w:shd w:val="clear" w:color="auto" w:fill="auto"/>
            <w:noWrap/>
            <w:vAlign w:val="center"/>
            <w:hideMark/>
          </w:tcPr>
          <w:p w14:paraId="54F1B4C5"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97</w:t>
            </w:r>
            <w:r w:rsidR="00FF7EB3" w:rsidRPr="00F85178">
              <w:rPr>
                <w:rFonts w:eastAsia="Times New Roman"/>
                <w:szCs w:val="24"/>
                <w:lang w:eastAsia="cs-CZ"/>
              </w:rPr>
              <w:t>,</w:t>
            </w:r>
            <w:r w:rsidRPr="00F85178">
              <w:rPr>
                <w:rFonts w:eastAsia="Times New Roman"/>
                <w:szCs w:val="24"/>
                <w:lang w:eastAsia="cs-CZ"/>
              </w:rPr>
              <w:t>4 %</w:t>
            </w:r>
          </w:p>
        </w:tc>
      </w:tr>
      <w:tr w:rsidR="00F85178" w:rsidRPr="00F85178" w14:paraId="171C048E"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355066EB"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Hr. Králové</w:t>
            </w:r>
          </w:p>
        </w:tc>
        <w:tc>
          <w:tcPr>
            <w:tcW w:w="913" w:type="dxa"/>
            <w:tcBorders>
              <w:top w:val="nil"/>
              <w:left w:val="nil"/>
              <w:bottom w:val="single" w:sz="4" w:space="0" w:color="auto"/>
              <w:right w:val="nil"/>
            </w:tcBorders>
            <w:shd w:val="clear" w:color="auto" w:fill="auto"/>
            <w:noWrap/>
            <w:vAlign w:val="bottom"/>
            <w:hideMark/>
          </w:tcPr>
          <w:p w14:paraId="688909A1"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893</w:t>
            </w:r>
          </w:p>
        </w:tc>
        <w:tc>
          <w:tcPr>
            <w:tcW w:w="957" w:type="dxa"/>
            <w:tcBorders>
              <w:top w:val="nil"/>
              <w:left w:val="nil"/>
              <w:bottom w:val="single" w:sz="4" w:space="0" w:color="auto"/>
              <w:right w:val="nil"/>
            </w:tcBorders>
            <w:shd w:val="clear" w:color="auto" w:fill="auto"/>
            <w:noWrap/>
            <w:vAlign w:val="center"/>
            <w:hideMark/>
          </w:tcPr>
          <w:p w14:paraId="6C435188" w14:textId="60EE39B6"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974" w:type="dxa"/>
            <w:tcBorders>
              <w:top w:val="nil"/>
              <w:left w:val="single" w:sz="4" w:space="0" w:color="auto"/>
              <w:bottom w:val="single" w:sz="4" w:space="0" w:color="auto"/>
              <w:right w:val="nil"/>
            </w:tcBorders>
            <w:shd w:val="clear" w:color="auto" w:fill="auto"/>
            <w:noWrap/>
            <w:vAlign w:val="bottom"/>
            <w:hideMark/>
          </w:tcPr>
          <w:p w14:paraId="6D9BCBC2"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779</w:t>
            </w:r>
          </w:p>
        </w:tc>
        <w:tc>
          <w:tcPr>
            <w:tcW w:w="957" w:type="dxa"/>
            <w:tcBorders>
              <w:top w:val="nil"/>
              <w:left w:val="nil"/>
              <w:bottom w:val="single" w:sz="4" w:space="0" w:color="auto"/>
              <w:right w:val="single" w:sz="4" w:space="0" w:color="auto"/>
            </w:tcBorders>
            <w:shd w:val="clear" w:color="auto" w:fill="auto"/>
            <w:noWrap/>
            <w:vAlign w:val="center"/>
            <w:hideMark/>
          </w:tcPr>
          <w:p w14:paraId="0CE4CD56" w14:textId="2E28DD46"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943" w:type="dxa"/>
            <w:tcBorders>
              <w:top w:val="nil"/>
              <w:left w:val="nil"/>
              <w:bottom w:val="single" w:sz="4" w:space="0" w:color="auto"/>
              <w:right w:val="nil"/>
            </w:tcBorders>
            <w:shd w:val="clear" w:color="auto" w:fill="auto"/>
            <w:noWrap/>
            <w:vAlign w:val="bottom"/>
            <w:hideMark/>
          </w:tcPr>
          <w:p w14:paraId="40A61975"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896</w:t>
            </w:r>
          </w:p>
        </w:tc>
        <w:tc>
          <w:tcPr>
            <w:tcW w:w="957" w:type="dxa"/>
            <w:tcBorders>
              <w:top w:val="nil"/>
              <w:left w:val="nil"/>
              <w:bottom w:val="single" w:sz="4" w:space="0" w:color="auto"/>
              <w:right w:val="single" w:sz="4" w:space="0" w:color="auto"/>
            </w:tcBorders>
            <w:shd w:val="clear" w:color="auto" w:fill="auto"/>
            <w:noWrap/>
            <w:vAlign w:val="center"/>
            <w:hideMark/>
          </w:tcPr>
          <w:p w14:paraId="3F2B86B4" w14:textId="70BD9E51"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539" w:type="dxa"/>
            <w:tcBorders>
              <w:top w:val="nil"/>
              <w:left w:val="nil"/>
              <w:bottom w:val="single" w:sz="4" w:space="0" w:color="auto"/>
              <w:right w:val="nil"/>
            </w:tcBorders>
            <w:shd w:val="clear" w:color="auto" w:fill="auto"/>
            <w:noWrap/>
            <w:vAlign w:val="center"/>
            <w:hideMark/>
          </w:tcPr>
          <w:p w14:paraId="03DB8222"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87</w:t>
            </w:r>
            <w:r w:rsidR="00FF7EB3" w:rsidRPr="00F85178">
              <w:rPr>
                <w:rFonts w:eastAsia="Times New Roman"/>
                <w:szCs w:val="24"/>
                <w:lang w:eastAsia="cs-CZ"/>
              </w:rPr>
              <w:t>,</w:t>
            </w:r>
            <w:r w:rsidRPr="00F85178">
              <w:rPr>
                <w:rFonts w:eastAsia="Times New Roman"/>
                <w:szCs w:val="24"/>
                <w:lang w:eastAsia="cs-CZ"/>
              </w:rPr>
              <w:t>2 %</w:t>
            </w:r>
          </w:p>
        </w:tc>
      </w:tr>
      <w:tr w:rsidR="00F85178" w:rsidRPr="00F85178" w14:paraId="0BC958FC" w14:textId="77777777" w:rsidTr="007F4FB7">
        <w:trPr>
          <w:trHeight w:val="315"/>
        </w:trPr>
        <w:tc>
          <w:tcPr>
            <w:tcW w:w="2020" w:type="dxa"/>
            <w:tcBorders>
              <w:top w:val="nil"/>
              <w:left w:val="nil"/>
              <w:bottom w:val="single" w:sz="4" w:space="0" w:color="auto"/>
              <w:right w:val="nil"/>
            </w:tcBorders>
            <w:shd w:val="clear" w:color="auto" w:fill="auto"/>
            <w:noWrap/>
            <w:vAlign w:val="bottom"/>
            <w:hideMark/>
          </w:tcPr>
          <w:p w14:paraId="28E789E3"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Brno</w:t>
            </w:r>
          </w:p>
        </w:tc>
        <w:tc>
          <w:tcPr>
            <w:tcW w:w="913" w:type="dxa"/>
            <w:tcBorders>
              <w:top w:val="nil"/>
              <w:left w:val="nil"/>
              <w:bottom w:val="single" w:sz="4" w:space="0" w:color="auto"/>
              <w:right w:val="nil"/>
            </w:tcBorders>
            <w:shd w:val="clear" w:color="auto" w:fill="auto"/>
            <w:noWrap/>
            <w:vAlign w:val="bottom"/>
            <w:hideMark/>
          </w:tcPr>
          <w:p w14:paraId="55A19C2F"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950</w:t>
            </w:r>
          </w:p>
        </w:tc>
        <w:tc>
          <w:tcPr>
            <w:tcW w:w="957" w:type="dxa"/>
            <w:tcBorders>
              <w:top w:val="nil"/>
              <w:left w:val="nil"/>
              <w:bottom w:val="single" w:sz="4" w:space="0" w:color="auto"/>
              <w:right w:val="nil"/>
            </w:tcBorders>
            <w:shd w:val="clear" w:color="auto" w:fill="auto"/>
            <w:noWrap/>
            <w:vAlign w:val="center"/>
            <w:hideMark/>
          </w:tcPr>
          <w:p w14:paraId="33F1A54B" w14:textId="356F8C1A"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74" w:type="dxa"/>
            <w:tcBorders>
              <w:top w:val="nil"/>
              <w:left w:val="single" w:sz="4" w:space="0" w:color="auto"/>
              <w:bottom w:val="single" w:sz="4" w:space="0" w:color="auto"/>
              <w:right w:val="nil"/>
            </w:tcBorders>
            <w:shd w:val="clear" w:color="auto" w:fill="auto"/>
            <w:noWrap/>
            <w:vAlign w:val="bottom"/>
            <w:hideMark/>
          </w:tcPr>
          <w:p w14:paraId="585F0F80"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884</w:t>
            </w:r>
          </w:p>
        </w:tc>
        <w:tc>
          <w:tcPr>
            <w:tcW w:w="957" w:type="dxa"/>
            <w:tcBorders>
              <w:top w:val="nil"/>
              <w:left w:val="nil"/>
              <w:bottom w:val="single" w:sz="4" w:space="0" w:color="auto"/>
              <w:right w:val="single" w:sz="4" w:space="0" w:color="auto"/>
            </w:tcBorders>
            <w:shd w:val="clear" w:color="auto" w:fill="auto"/>
            <w:noWrap/>
            <w:vAlign w:val="center"/>
            <w:hideMark/>
          </w:tcPr>
          <w:p w14:paraId="51E298DC" w14:textId="135E92E5"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43" w:type="dxa"/>
            <w:tcBorders>
              <w:top w:val="nil"/>
              <w:left w:val="nil"/>
              <w:bottom w:val="single" w:sz="4" w:space="0" w:color="auto"/>
              <w:right w:val="nil"/>
            </w:tcBorders>
            <w:shd w:val="clear" w:color="auto" w:fill="auto"/>
            <w:noWrap/>
            <w:vAlign w:val="bottom"/>
            <w:hideMark/>
          </w:tcPr>
          <w:p w14:paraId="7D0F1752"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2</w:t>
            </w:r>
            <w:r w:rsidR="00FF7EB3" w:rsidRPr="00F85178">
              <w:rPr>
                <w:rFonts w:eastAsia="Times New Roman"/>
                <w:szCs w:val="24"/>
                <w:lang w:eastAsia="cs-CZ"/>
              </w:rPr>
              <w:t xml:space="preserve"> </w:t>
            </w:r>
            <w:r w:rsidRPr="00F85178">
              <w:rPr>
                <w:rFonts w:eastAsia="Times New Roman"/>
                <w:szCs w:val="24"/>
                <w:lang w:eastAsia="cs-CZ"/>
              </w:rPr>
              <w:t>139</w:t>
            </w:r>
          </w:p>
        </w:tc>
        <w:tc>
          <w:tcPr>
            <w:tcW w:w="957" w:type="dxa"/>
            <w:tcBorders>
              <w:top w:val="nil"/>
              <w:left w:val="nil"/>
              <w:bottom w:val="single" w:sz="4" w:space="0" w:color="auto"/>
              <w:right w:val="single" w:sz="4" w:space="0" w:color="auto"/>
            </w:tcBorders>
            <w:shd w:val="clear" w:color="auto" w:fill="auto"/>
            <w:noWrap/>
            <w:vAlign w:val="center"/>
            <w:hideMark/>
          </w:tcPr>
          <w:p w14:paraId="46FE981B" w14:textId="2E361FAD"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539" w:type="dxa"/>
            <w:tcBorders>
              <w:top w:val="nil"/>
              <w:left w:val="nil"/>
              <w:bottom w:val="single" w:sz="4" w:space="0" w:color="auto"/>
              <w:right w:val="nil"/>
            </w:tcBorders>
            <w:shd w:val="clear" w:color="auto" w:fill="auto"/>
            <w:noWrap/>
            <w:vAlign w:val="center"/>
            <w:hideMark/>
          </w:tcPr>
          <w:p w14:paraId="301E0C44"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96</w:t>
            </w:r>
            <w:r w:rsidR="00FF7EB3" w:rsidRPr="00F85178">
              <w:rPr>
                <w:rFonts w:eastAsia="Times New Roman"/>
                <w:szCs w:val="24"/>
                <w:lang w:eastAsia="cs-CZ"/>
              </w:rPr>
              <w:t>,</w:t>
            </w:r>
            <w:r w:rsidRPr="00F85178">
              <w:rPr>
                <w:rFonts w:eastAsia="Times New Roman"/>
                <w:szCs w:val="24"/>
                <w:lang w:eastAsia="cs-CZ"/>
              </w:rPr>
              <w:t>6 %</w:t>
            </w:r>
          </w:p>
        </w:tc>
      </w:tr>
      <w:tr w:rsidR="00F85178" w:rsidRPr="00F85178" w14:paraId="6D2C3C71" w14:textId="77777777" w:rsidTr="007F4FB7">
        <w:trPr>
          <w:trHeight w:val="330"/>
        </w:trPr>
        <w:tc>
          <w:tcPr>
            <w:tcW w:w="2020" w:type="dxa"/>
            <w:tcBorders>
              <w:top w:val="nil"/>
              <w:left w:val="nil"/>
              <w:bottom w:val="double" w:sz="6" w:space="0" w:color="auto"/>
              <w:right w:val="nil"/>
            </w:tcBorders>
            <w:shd w:val="clear" w:color="auto" w:fill="auto"/>
            <w:noWrap/>
            <w:vAlign w:val="bottom"/>
            <w:hideMark/>
          </w:tcPr>
          <w:p w14:paraId="46676B93" w14:textId="77777777" w:rsidR="007F4FB7" w:rsidRPr="00F85178" w:rsidRDefault="007F4FB7" w:rsidP="007F4FB7">
            <w:pPr>
              <w:spacing w:line="240" w:lineRule="auto"/>
              <w:jc w:val="left"/>
              <w:rPr>
                <w:rFonts w:eastAsia="Times New Roman"/>
                <w:szCs w:val="24"/>
                <w:lang w:eastAsia="cs-CZ"/>
              </w:rPr>
            </w:pPr>
            <w:r w:rsidRPr="00F85178">
              <w:rPr>
                <w:rFonts w:eastAsia="Times New Roman"/>
                <w:szCs w:val="24"/>
                <w:lang w:eastAsia="cs-CZ"/>
              </w:rPr>
              <w:t>KS Ostrava</w:t>
            </w:r>
          </w:p>
        </w:tc>
        <w:tc>
          <w:tcPr>
            <w:tcW w:w="913" w:type="dxa"/>
            <w:tcBorders>
              <w:top w:val="nil"/>
              <w:left w:val="nil"/>
              <w:bottom w:val="double" w:sz="6" w:space="0" w:color="auto"/>
              <w:right w:val="nil"/>
            </w:tcBorders>
            <w:shd w:val="clear" w:color="auto" w:fill="auto"/>
            <w:noWrap/>
            <w:vAlign w:val="bottom"/>
            <w:hideMark/>
          </w:tcPr>
          <w:p w14:paraId="0896D0CE"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310</w:t>
            </w:r>
          </w:p>
        </w:tc>
        <w:tc>
          <w:tcPr>
            <w:tcW w:w="957" w:type="dxa"/>
            <w:tcBorders>
              <w:top w:val="nil"/>
              <w:left w:val="nil"/>
              <w:bottom w:val="double" w:sz="6" w:space="0" w:color="auto"/>
              <w:right w:val="nil"/>
            </w:tcBorders>
            <w:shd w:val="clear" w:color="auto" w:fill="auto"/>
            <w:noWrap/>
            <w:vAlign w:val="center"/>
            <w:hideMark/>
          </w:tcPr>
          <w:p w14:paraId="1CD51F9E" w14:textId="6D6A0A6F"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974" w:type="dxa"/>
            <w:tcBorders>
              <w:top w:val="nil"/>
              <w:left w:val="single" w:sz="4" w:space="0" w:color="auto"/>
              <w:bottom w:val="double" w:sz="6" w:space="0" w:color="auto"/>
              <w:right w:val="nil"/>
            </w:tcBorders>
            <w:shd w:val="clear" w:color="auto" w:fill="auto"/>
            <w:noWrap/>
            <w:vAlign w:val="bottom"/>
            <w:hideMark/>
          </w:tcPr>
          <w:p w14:paraId="372AAD64"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1</w:t>
            </w:r>
            <w:r w:rsidR="00FF7EB3" w:rsidRPr="00F85178">
              <w:rPr>
                <w:rFonts w:eastAsia="Times New Roman"/>
                <w:szCs w:val="24"/>
                <w:lang w:eastAsia="cs-CZ"/>
              </w:rPr>
              <w:t xml:space="preserve"> </w:t>
            </w:r>
            <w:r w:rsidRPr="00F85178">
              <w:rPr>
                <w:rFonts w:eastAsia="Times New Roman"/>
                <w:szCs w:val="24"/>
                <w:lang w:eastAsia="cs-CZ"/>
              </w:rPr>
              <w:t>442</w:t>
            </w:r>
          </w:p>
        </w:tc>
        <w:tc>
          <w:tcPr>
            <w:tcW w:w="957" w:type="dxa"/>
            <w:tcBorders>
              <w:top w:val="nil"/>
              <w:left w:val="nil"/>
              <w:bottom w:val="double" w:sz="6" w:space="0" w:color="auto"/>
              <w:right w:val="single" w:sz="4" w:space="0" w:color="auto"/>
            </w:tcBorders>
            <w:shd w:val="clear" w:color="auto" w:fill="auto"/>
            <w:noWrap/>
            <w:vAlign w:val="center"/>
            <w:hideMark/>
          </w:tcPr>
          <w:p w14:paraId="7B4AA99F" w14:textId="181F3552"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+33 %</w:t>
            </w:r>
          </w:p>
        </w:tc>
        <w:tc>
          <w:tcPr>
            <w:tcW w:w="943" w:type="dxa"/>
            <w:tcBorders>
              <w:top w:val="nil"/>
              <w:left w:val="nil"/>
              <w:bottom w:val="double" w:sz="6" w:space="0" w:color="auto"/>
              <w:right w:val="nil"/>
            </w:tcBorders>
            <w:shd w:val="clear" w:color="auto" w:fill="auto"/>
            <w:noWrap/>
            <w:vAlign w:val="bottom"/>
            <w:hideMark/>
          </w:tcPr>
          <w:p w14:paraId="7A5A1FDC" w14:textId="77777777" w:rsidR="007F4FB7" w:rsidRPr="00F85178" w:rsidRDefault="007F4FB7" w:rsidP="007F4FB7">
            <w:pPr>
              <w:spacing w:line="240" w:lineRule="auto"/>
              <w:jc w:val="center"/>
              <w:rPr>
                <w:rFonts w:eastAsia="Times New Roman"/>
                <w:szCs w:val="24"/>
                <w:lang w:eastAsia="cs-CZ"/>
              </w:rPr>
            </w:pPr>
            <w:r w:rsidRPr="00F85178">
              <w:rPr>
                <w:rFonts w:eastAsia="Times New Roman"/>
                <w:szCs w:val="24"/>
                <w:lang w:eastAsia="cs-CZ"/>
              </w:rPr>
              <w:t>851</w:t>
            </w:r>
          </w:p>
        </w:tc>
        <w:tc>
          <w:tcPr>
            <w:tcW w:w="957" w:type="dxa"/>
            <w:tcBorders>
              <w:top w:val="nil"/>
              <w:left w:val="nil"/>
              <w:bottom w:val="double" w:sz="6" w:space="0" w:color="auto"/>
              <w:right w:val="single" w:sz="4" w:space="0" w:color="auto"/>
            </w:tcBorders>
            <w:shd w:val="clear" w:color="auto" w:fill="auto"/>
            <w:noWrap/>
            <w:vAlign w:val="center"/>
            <w:hideMark/>
          </w:tcPr>
          <w:p w14:paraId="6E8538B9" w14:textId="004D3AF9" w:rsidR="007F4FB7" w:rsidRPr="00F85178" w:rsidRDefault="007F4FB7" w:rsidP="007F4FB7">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1539" w:type="dxa"/>
            <w:tcBorders>
              <w:top w:val="nil"/>
              <w:left w:val="nil"/>
              <w:bottom w:val="nil"/>
              <w:right w:val="nil"/>
            </w:tcBorders>
            <w:shd w:val="clear" w:color="auto" w:fill="auto"/>
            <w:noWrap/>
            <w:vAlign w:val="center"/>
            <w:hideMark/>
          </w:tcPr>
          <w:p w14:paraId="07DE1084" w14:textId="77777777" w:rsidR="007F4FB7" w:rsidRPr="00F85178" w:rsidRDefault="007F4FB7" w:rsidP="00FF7EB3">
            <w:pPr>
              <w:spacing w:line="240" w:lineRule="auto"/>
              <w:jc w:val="center"/>
              <w:rPr>
                <w:rFonts w:eastAsia="Times New Roman"/>
                <w:szCs w:val="24"/>
                <w:lang w:eastAsia="cs-CZ"/>
              </w:rPr>
            </w:pPr>
            <w:r w:rsidRPr="00F85178">
              <w:rPr>
                <w:rFonts w:eastAsia="Times New Roman"/>
                <w:szCs w:val="24"/>
                <w:lang w:eastAsia="cs-CZ"/>
              </w:rPr>
              <w:t>110</w:t>
            </w:r>
            <w:r w:rsidR="00FF7EB3" w:rsidRPr="00F85178">
              <w:rPr>
                <w:rFonts w:eastAsia="Times New Roman"/>
                <w:szCs w:val="24"/>
                <w:lang w:eastAsia="cs-CZ"/>
              </w:rPr>
              <w:t>,</w:t>
            </w:r>
            <w:r w:rsidRPr="00F85178">
              <w:rPr>
                <w:rFonts w:eastAsia="Times New Roman"/>
                <w:szCs w:val="24"/>
                <w:lang w:eastAsia="cs-CZ"/>
              </w:rPr>
              <w:t>1 %</w:t>
            </w:r>
          </w:p>
        </w:tc>
      </w:tr>
      <w:tr w:rsidR="007F4FB7" w:rsidRPr="00F85178" w14:paraId="2A2A1427" w14:textId="77777777" w:rsidTr="007F4FB7">
        <w:trPr>
          <w:trHeight w:val="345"/>
        </w:trPr>
        <w:tc>
          <w:tcPr>
            <w:tcW w:w="2020" w:type="dxa"/>
            <w:tcBorders>
              <w:top w:val="nil"/>
              <w:left w:val="nil"/>
              <w:bottom w:val="double" w:sz="6" w:space="0" w:color="auto"/>
              <w:right w:val="nil"/>
            </w:tcBorders>
            <w:shd w:val="clear" w:color="auto" w:fill="auto"/>
            <w:noWrap/>
            <w:vAlign w:val="bottom"/>
            <w:hideMark/>
          </w:tcPr>
          <w:p w14:paraId="5517A67F" w14:textId="77777777" w:rsidR="007F4FB7" w:rsidRPr="00F85178" w:rsidRDefault="007F4FB7" w:rsidP="007F4FB7">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913" w:type="dxa"/>
            <w:tcBorders>
              <w:top w:val="nil"/>
              <w:left w:val="nil"/>
              <w:bottom w:val="double" w:sz="6" w:space="0" w:color="auto"/>
              <w:right w:val="nil"/>
            </w:tcBorders>
            <w:shd w:val="clear" w:color="auto" w:fill="auto"/>
            <w:noWrap/>
            <w:vAlign w:val="bottom"/>
            <w:hideMark/>
          </w:tcPr>
          <w:p w14:paraId="075B4243"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11</w:t>
            </w:r>
            <w:r w:rsidR="00FF7EB3" w:rsidRPr="00F85178">
              <w:rPr>
                <w:rFonts w:eastAsia="Times New Roman"/>
                <w:b/>
                <w:bCs/>
                <w:szCs w:val="24"/>
                <w:lang w:eastAsia="cs-CZ"/>
              </w:rPr>
              <w:t xml:space="preserve"> </w:t>
            </w:r>
            <w:r w:rsidRPr="00F85178">
              <w:rPr>
                <w:rFonts w:eastAsia="Times New Roman"/>
                <w:b/>
                <w:bCs/>
                <w:szCs w:val="24"/>
                <w:lang w:eastAsia="cs-CZ"/>
              </w:rPr>
              <w:t>118</w:t>
            </w:r>
          </w:p>
        </w:tc>
        <w:tc>
          <w:tcPr>
            <w:tcW w:w="957" w:type="dxa"/>
            <w:tcBorders>
              <w:top w:val="nil"/>
              <w:left w:val="nil"/>
              <w:bottom w:val="double" w:sz="6" w:space="0" w:color="auto"/>
              <w:right w:val="nil"/>
            </w:tcBorders>
            <w:shd w:val="clear" w:color="auto" w:fill="auto"/>
            <w:noWrap/>
            <w:vAlign w:val="center"/>
            <w:hideMark/>
          </w:tcPr>
          <w:p w14:paraId="5309BBF0" w14:textId="2DDC0E11" w:rsidR="007F4FB7" w:rsidRPr="00F85178" w:rsidRDefault="007F4FB7" w:rsidP="007F4FB7">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974" w:type="dxa"/>
            <w:tcBorders>
              <w:top w:val="nil"/>
              <w:left w:val="single" w:sz="4" w:space="0" w:color="auto"/>
              <w:bottom w:val="double" w:sz="6" w:space="0" w:color="auto"/>
              <w:right w:val="nil"/>
            </w:tcBorders>
            <w:shd w:val="clear" w:color="auto" w:fill="auto"/>
            <w:noWrap/>
            <w:vAlign w:val="bottom"/>
            <w:hideMark/>
          </w:tcPr>
          <w:p w14:paraId="377BB77C"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10</w:t>
            </w:r>
            <w:r w:rsidR="00FF7EB3" w:rsidRPr="00F85178">
              <w:rPr>
                <w:rFonts w:eastAsia="Times New Roman"/>
                <w:b/>
                <w:bCs/>
                <w:szCs w:val="24"/>
                <w:lang w:eastAsia="cs-CZ"/>
              </w:rPr>
              <w:t xml:space="preserve"> </w:t>
            </w:r>
            <w:r w:rsidRPr="00F85178">
              <w:rPr>
                <w:rFonts w:eastAsia="Times New Roman"/>
                <w:b/>
                <w:bCs/>
                <w:szCs w:val="24"/>
                <w:lang w:eastAsia="cs-CZ"/>
              </w:rPr>
              <w:t>445</w:t>
            </w:r>
          </w:p>
        </w:tc>
        <w:tc>
          <w:tcPr>
            <w:tcW w:w="957" w:type="dxa"/>
            <w:tcBorders>
              <w:top w:val="nil"/>
              <w:left w:val="nil"/>
              <w:bottom w:val="double" w:sz="6" w:space="0" w:color="auto"/>
              <w:right w:val="single" w:sz="4" w:space="0" w:color="auto"/>
            </w:tcBorders>
            <w:shd w:val="clear" w:color="auto" w:fill="auto"/>
            <w:noWrap/>
            <w:vAlign w:val="center"/>
            <w:hideMark/>
          </w:tcPr>
          <w:p w14:paraId="203AECF6" w14:textId="6E147113" w:rsidR="007F4FB7" w:rsidRPr="00F85178" w:rsidRDefault="007F4FB7" w:rsidP="007F4FB7">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943" w:type="dxa"/>
            <w:tcBorders>
              <w:top w:val="nil"/>
              <w:left w:val="nil"/>
              <w:bottom w:val="double" w:sz="6" w:space="0" w:color="auto"/>
              <w:right w:val="nil"/>
            </w:tcBorders>
            <w:shd w:val="clear" w:color="auto" w:fill="auto"/>
            <w:noWrap/>
            <w:vAlign w:val="bottom"/>
            <w:hideMark/>
          </w:tcPr>
          <w:p w14:paraId="0FA155D6" w14:textId="77777777" w:rsidR="007F4FB7" w:rsidRPr="00F85178" w:rsidRDefault="007F4FB7" w:rsidP="007F4FB7">
            <w:pPr>
              <w:spacing w:line="240" w:lineRule="auto"/>
              <w:jc w:val="center"/>
              <w:rPr>
                <w:rFonts w:eastAsia="Times New Roman"/>
                <w:b/>
                <w:bCs/>
                <w:szCs w:val="24"/>
                <w:lang w:eastAsia="cs-CZ"/>
              </w:rPr>
            </w:pPr>
            <w:r w:rsidRPr="00F85178">
              <w:rPr>
                <w:rFonts w:eastAsia="Times New Roman"/>
                <w:b/>
                <w:bCs/>
                <w:szCs w:val="24"/>
                <w:lang w:eastAsia="cs-CZ"/>
              </w:rPr>
              <w:t>11</w:t>
            </w:r>
            <w:r w:rsidR="00FF7EB3" w:rsidRPr="00F85178">
              <w:rPr>
                <w:rFonts w:eastAsia="Times New Roman"/>
                <w:b/>
                <w:bCs/>
                <w:szCs w:val="24"/>
                <w:lang w:eastAsia="cs-CZ"/>
              </w:rPr>
              <w:t xml:space="preserve"> </w:t>
            </w:r>
            <w:r w:rsidRPr="00F85178">
              <w:rPr>
                <w:rFonts w:eastAsia="Times New Roman"/>
                <w:b/>
                <w:bCs/>
                <w:szCs w:val="24"/>
                <w:lang w:eastAsia="cs-CZ"/>
              </w:rPr>
              <w:t>797</w:t>
            </w:r>
          </w:p>
        </w:tc>
        <w:tc>
          <w:tcPr>
            <w:tcW w:w="957" w:type="dxa"/>
            <w:tcBorders>
              <w:top w:val="nil"/>
              <w:left w:val="nil"/>
              <w:bottom w:val="double" w:sz="6" w:space="0" w:color="auto"/>
              <w:right w:val="single" w:sz="4" w:space="0" w:color="auto"/>
            </w:tcBorders>
            <w:shd w:val="clear" w:color="auto" w:fill="auto"/>
            <w:noWrap/>
            <w:vAlign w:val="center"/>
            <w:hideMark/>
          </w:tcPr>
          <w:p w14:paraId="3B66BC9F" w14:textId="2142D865" w:rsidR="007F4FB7" w:rsidRPr="00F85178" w:rsidRDefault="007F4FB7" w:rsidP="007F4FB7">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c>
          <w:tcPr>
            <w:tcW w:w="1539" w:type="dxa"/>
            <w:tcBorders>
              <w:top w:val="double" w:sz="6" w:space="0" w:color="auto"/>
              <w:left w:val="nil"/>
              <w:bottom w:val="double" w:sz="6" w:space="0" w:color="auto"/>
              <w:right w:val="nil"/>
            </w:tcBorders>
            <w:shd w:val="clear" w:color="auto" w:fill="auto"/>
            <w:noWrap/>
            <w:vAlign w:val="center"/>
            <w:hideMark/>
          </w:tcPr>
          <w:p w14:paraId="6F5EFD58" w14:textId="77777777" w:rsidR="007F4FB7" w:rsidRPr="00F85178" w:rsidRDefault="007F4FB7" w:rsidP="00FF7EB3">
            <w:pPr>
              <w:spacing w:line="240" w:lineRule="auto"/>
              <w:jc w:val="center"/>
              <w:rPr>
                <w:rFonts w:eastAsia="Times New Roman"/>
                <w:b/>
                <w:bCs/>
                <w:szCs w:val="24"/>
                <w:lang w:eastAsia="cs-CZ"/>
              </w:rPr>
            </w:pPr>
            <w:r w:rsidRPr="00F85178">
              <w:rPr>
                <w:rFonts w:eastAsia="Times New Roman"/>
                <w:b/>
                <w:bCs/>
                <w:szCs w:val="24"/>
                <w:lang w:eastAsia="cs-CZ"/>
              </w:rPr>
              <w:t>93</w:t>
            </w:r>
            <w:r w:rsidR="00FF7EB3" w:rsidRPr="00F85178">
              <w:rPr>
                <w:rFonts w:eastAsia="Times New Roman"/>
                <w:b/>
                <w:bCs/>
                <w:szCs w:val="24"/>
                <w:lang w:eastAsia="cs-CZ"/>
              </w:rPr>
              <w:t>,</w:t>
            </w:r>
            <w:r w:rsidRPr="00F85178">
              <w:rPr>
                <w:rFonts w:eastAsia="Times New Roman"/>
                <w:b/>
                <w:bCs/>
                <w:szCs w:val="24"/>
                <w:lang w:eastAsia="cs-CZ"/>
              </w:rPr>
              <w:t>9 %</w:t>
            </w:r>
          </w:p>
        </w:tc>
      </w:tr>
    </w:tbl>
    <w:p w14:paraId="2B53E753" w14:textId="77777777" w:rsidR="007F4FB7" w:rsidRPr="00F85178" w:rsidRDefault="007F4FB7" w:rsidP="00205FD6"/>
    <w:p w14:paraId="4CDE15BF" w14:textId="77777777" w:rsidR="00B20C8C" w:rsidRPr="00F85178" w:rsidRDefault="00B20C8C" w:rsidP="00B20C8C">
      <w:pPr>
        <w:pStyle w:val="OdstavecASR"/>
      </w:pPr>
      <w:r w:rsidRPr="00F85178">
        <w:t xml:space="preserve">U správní agendy se ještě můžeme podívat, jak se měnilo složení příchozích věcí. K tomu slouží následující skládaný plošný graf. Graf ukazuje, že od roku 2012 roste počet příchozích věcí ve všeobecné správní agendě (rejstřík A). </w:t>
      </w:r>
      <w:r w:rsidR="00DA44AE" w:rsidRPr="00F85178">
        <w:t>V roce 2012</w:t>
      </w:r>
      <w:r w:rsidRPr="00F85178">
        <w:t xml:space="preserve">, kdy začal růst rejstřík A, byl počet příchozích věcí v tomto rejstříku 3 895 (45,4 % z celkového počtu příchozích věcí ve správním soudnictví). V roce </w:t>
      </w:r>
      <w:r w:rsidR="00D06ACA" w:rsidRPr="00F85178">
        <w:t xml:space="preserve">2018 </w:t>
      </w:r>
      <w:r w:rsidRPr="00F85178">
        <w:t xml:space="preserve">přišlo v tomto rejstříku </w:t>
      </w:r>
      <w:r w:rsidR="00385A8D" w:rsidRPr="00F85178">
        <w:t>7</w:t>
      </w:r>
      <w:r w:rsidR="00DA44AE" w:rsidRPr="00F85178">
        <w:t xml:space="preserve"> </w:t>
      </w:r>
      <w:r w:rsidR="00385A8D" w:rsidRPr="00F85178">
        <w:t>002</w:t>
      </w:r>
      <w:r w:rsidRPr="00F85178">
        <w:t xml:space="preserve"> věcí (6</w:t>
      </w:r>
      <w:r w:rsidR="00385A8D" w:rsidRPr="00F85178">
        <w:t>2</w:t>
      </w:r>
      <w:r w:rsidRPr="00F85178">
        <w:t>,</w:t>
      </w:r>
      <w:r w:rsidR="00385A8D" w:rsidRPr="00F85178">
        <w:t>9</w:t>
      </w:r>
      <w:r w:rsidRPr="00F85178">
        <w:t> % z celkového počtu). V posledních letech roste také azylová agenda (rejstřík Az).</w:t>
      </w:r>
    </w:p>
    <w:p w14:paraId="7EF51BDF" w14:textId="77777777" w:rsidR="007F4FB7" w:rsidRPr="00F85178" w:rsidRDefault="007F4FB7" w:rsidP="007F4FB7">
      <w:pPr>
        <w:pStyle w:val="Podtitul"/>
        <w:rPr>
          <w:color w:val="auto"/>
        </w:rPr>
      </w:pPr>
      <w:bookmarkStart w:id="523" w:name="_Toc515871400"/>
      <w:bookmarkStart w:id="524" w:name="_Toc11135131"/>
      <w:bookmarkStart w:id="525" w:name="_Toc1383756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70</w:t>
      </w:r>
      <w:r w:rsidRPr="00F85178">
        <w:rPr>
          <w:noProof/>
          <w:color w:val="auto"/>
        </w:rPr>
        <w:fldChar w:fldCharType="end"/>
      </w:r>
      <w:r w:rsidRPr="00F85178">
        <w:rPr>
          <w:color w:val="auto"/>
        </w:rPr>
        <w:t>: KS – vývoj počtu příchozích věcí dle agend správního soudnictví</w:t>
      </w:r>
      <w:bookmarkEnd w:id="523"/>
      <w:bookmarkEnd w:id="524"/>
      <w:bookmarkEnd w:id="525"/>
    </w:p>
    <w:p w14:paraId="1C3B31E6" w14:textId="77777777" w:rsidR="00A7520C" w:rsidRPr="00F85178" w:rsidRDefault="00890295" w:rsidP="00205FD6">
      <w:r>
        <w:rPr>
          <w:noProof/>
          <w:lang w:eastAsia="cs-CZ"/>
        </w:rPr>
        <w:drawing>
          <wp:inline distT="0" distB="0" distL="0" distR="0" wp14:anchorId="44F8482E" wp14:editId="03F5E38F">
            <wp:extent cx="5118100" cy="3746500"/>
            <wp:effectExtent l="0" t="0" r="0" b="0"/>
            <wp:docPr id="73" name="Obrázek 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5"/>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5F61002" w14:textId="77777777" w:rsidR="00B20C8C" w:rsidRPr="00F85178" w:rsidRDefault="00B20C8C" w:rsidP="00B20C8C">
      <w:pPr>
        <w:pStyle w:val="OdstavecASR"/>
      </w:pPr>
      <w:r w:rsidRPr="00F85178">
        <w:t xml:space="preserve">Další tabulka ukazuje složení nevyřízených věcí ve správním soudnictví k 31. 12. </w:t>
      </w:r>
      <w:r w:rsidR="00D06ACA" w:rsidRPr="00F85178">
        <w:t>2018</w:t>
      </w:r>
      <w:r w:rsidRPr="00F85178">
        <w:t>. Za nejtěžší bývá v průměru považována agenda Af, toto tvrzení je ovšem nutno brát s rezervou (zejména vzhledem k vysoké variabilitě skladby „zbytkové“ všeobecné agendy A). Tato agenda také tvoří výrazně větší část počtu nevyřízených věcí, než je její podíl na celkovém počtu ve věcech příchozích. To koresponduje s výše uvedeným tvrzením a ukazuje, že agenda Af je opravdu nejsložitější. U soudu zůstávají tyto věci v průměru nejdéle nevyřízené. To pak potvrzuje i délka řízení získaná z pravomocně skončených věcí.</w:t>
      </w:r>
    </w:p>
    <w:p w14:paraId="6BD0F331" w14:textId="77777777" w:rsidR="007F4FB7" w:rsidRPr="00F85178" w:rsidRDefault="00A7520C" w:rsidP="00A7520C">
      <w:pPr>
        <w:pStyle w:val="Podtitul"/>
        <w:rPr>
          <w:color w:val="auto"/>
        </w:rPr>
      </w:pPr>
      <w:bookmarkStart w:id="526" w:name="_Toc515871492"/>
      <w:bookmarkStart w:id="527" w:name="_Toc11133259"/>
      <w:bookmarkStart w:id="528" w:name="_Toc13837480"/>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57</w:t>
      </w:r>
      <w:r w:rsidRPr="00F85178">
        <w:rPr>
          <w:noProof/>
          <w:color w:val="auto"/>
        </w:rPr>
        <w:fldChar w:fldCharType="end"/>
      </w:r>
      <w:r w:rsidRPr="00F85178">
        <w:rPr>
          <w:color w:val="auto"/>
        </w:rPr>
        <w:t>: KS – podíl nevyřízených věcí druhů agendy správního soudnictví</w:t>
      </w:r>
      <w:bookmarkEnd w:id="526"/>
      <w:bookmarkEnd w:id="527"/>
      <w:bookmarkEnd w:id="528"/>
    </w:p>
    <w:tbl>
      <w:tblPr>
        <w:tblW w:w="6200" w:type="dxa"/>
        <w:tblCellMar>
          <w:left w:w="70" w:type="dxa"/>
          <w:right w:w="70" w:type="dxa"/>
        </w:tblCellMar>
        <w:tblLook w:val="04A0" w:firstRow="1" w:lastRow="0" w:firstColumn="1" w:lastColumn="0" w:noHBand="0" w:noVBand="1"/>
      </w:tblPr>
      <w:tblGrid>
        <w:gridCol w:w="2200"/>
        <w:gridCol w:w="1000"/>
        <w:gridCol w:w="1000"/>
        <w:gridCol w:w="1000"/>
        <w:gridCol w:w="1000"/>
      </w:tblGrid>
      <w:tr w:rsidR="00F85178" w:rsidRPr="00F85178" w14:paraId="22FF1B2E" w14:textId="77777777" w:rsidTr="00A7520C">
        <w:trPr>
          <w:trHeight w:val="345"/>
        </w:trPr>
        <w:tc>
          <w:tcPr>
            <w:tcW w:w="2200" w:type="dxa"/>
            <w:vMerge w:val="restart"/>
            <w:tcBorders>
              <w:top w:val="double" w:sz="6" w:space="0" w:color="auto"/>
              <w:left w:val="nil"/>
              <w:bottom w:val="double" w:sz="6" w:space="0" w:color="000000"/>
              <w:right w:val="nil"/>
            </w:tcBorders>
            <w:shd w:val="clear" w:color="auto" w:fill="auto"/>
            <w:vAlign w:val="center"/>
            <w:hideMark/>
          </w:tcPr>
          <w:p w14:paraId="4A0E902B"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4000" w:type="dxa"/>
            <w:gridSpan w:val="4"/>
            <w:tcBorders>
              <w:top w:val="double" w:sz="6" w:space="0" w:color="auto"/>
              <w:left w:val="nil"/>
              <w:bottom w:val="nil"/>
              <w:right w:val="nil"/>
            </w:tcBorders>
            <w:shd w:val="clear" w:color="auto" w:fill="auto"/>
            <w:noWrap/>
            <w:vAlign w:val="bottom"/>
            <w:hideMark/>
          </w:tcPr>
          <w:p w14:paraId="2BBD94B8"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Agenda</w:t>
            </w:r>
          </w:p>
        </w:tc>
      </w:tr>
      <w:tr w:rsidR="00F85178" w:rsidRPr="00F85178" w14:paraId="30F48D02" w14:textId="77777777" w:rsidTr="00A7520C">
        <w:trPr>
          <w:trHeight w:val="345"/>
        </w:trPr>
        <w:tc>
          <w:tcPr>
            <w:tcW w:w="2200" w:type="dxa"/>
            <w:vMerge/>
            <w:tcBorders>
              <w:top w:val="double" w:sz="6" w:space="0" w:color="auto"/>
              <w:left w:val="nil"/>
              <w:bottom w:val="double" w:sz="6" w:space="0" w:color="000000"/>
              <w:right w:val="nil"/>
            </w:tcBorders>
            <w:vAlign w:val="center"/>
            <w:hideMark/>
          </w:tcPr>
          <w:p w14:paraId="2FC2805D" w14:textId="77777777" w:rsidR="00A7520C" w:rsidRPr="00F85178" w:rsidRDefault="00A7520C" w:rsidP="00A7520C">
            <w:pPr>
              <w:spacing w:line="240" w:lineRule="auto"/>
              <w:jc w:val="left"/>
              <w:rPr>
                <w:rFonts w:eastAsia="Times New Roman"/>
                <w:b/>
                <w:bCs/>
                <w:szCs w:val="24"/>
                <w:lang w:eastAsia="cs-CZ"/>
              </w:rPr>
            </w:pPr>
          </w:p>
        </w:tc>
        <w:tc>
          <w:tcPr>
            <w:tcW w:w="1000" w:type="dxa"/>
            <w:tcBorders>
              <w:top w:val="nil"/>
              <w:left w:val="nil"/>
              <w:bottom w:val="double" w:sz="6" w:space="0" w:color="auto"/>
              <w:right w:val="nil"/>
            </w:tcBorders>
            <w:shd w:val="clear" w:color="auto" w:fill="auto"/>
            <w:vAlign w:val="center"/>
            <w:hideMark/>
          </w:tcPr>
          <w:p w14:paraId="53C342A8"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A</w:t>
            </w:r>
          </w:p>
        </w:tc>
        <w:tc>
          <w:tcPr>
            <w:tcW w:w="1000" w:type="dxa"/>
            <w:tcBorders>
              <w:top w:val="nil"/>
              <w:left w:val="nil"/>
              <w:bottom w:val="double" w:sz="6" w:space="0" w:color="auto"/>
              <w:right w:val="nil"/>
            </w:tcBorders>
            <w:shd w:val="clear" w:color="auto" w:fill="auto"/>
            <w:vAlign w:val="center"/>
            <w:hideMark/>
          </w:tcPr>
          <w:p w14:paraId="04E0FCD4"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Af</w:t>
            </w:r>
          </w:p>
        </w:tc>
        <w:tc>
          <w:tcPr>
            <w:tcW w:w="1000" w:type="dxa"/>
            <w:tcBorders>
              <w:top w:val="nil"/>
              <w:left w:val="nil"/>
              <w:bottom w:val="double" w:sz="6" w:space="0" w:color="auto"/>
              <w:right w:val="nil"/>
            </w:tcBorders>
            <w:shd w:val="clear" w:color="auto" w:fill="auto"/>
            <w:vAlign w:val="center"/>
            <w:hideMark/>
          </w:tcPr>
          <w:p w14:paraId="465003AB"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Ad</w:t>
            </w:r>
          </w:p>
        </w:tc>
        <w:tc>
          <w:tcPr>
            <w:tcW w:w="1000" w:type="dxa"/>
            <w:tcBorders>
              <w:top w:val="nil"/>
              <w:left w:val="nil"/>
              <w:bottom w:val="double" w:sz="6" w:space="0" w:color="auto"/>
              <w:right w:val="nil"/>
            </w:tcBorders>
            <w:shd w:val="clear" w:color="auto" w:fill="auto"/>
            <w:vAlign w:val="center"/>
            <w:hideMark/>
          </w:tcPr>
          <w:p w14:paraId="06A988DF"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Az</w:t>
            </w:r>
          </w:p>
        </w:tc>
      </w:tr>
      <w:tr w:rsidR="00F85178" w:rsidRPr="00F85178" w14:paraId="6FF807E4" w14:textId="77777777" w:rsidTr="00A7520C">
        <w:trPr>
          <w:trHeight w:val="330"/>
        </w:trPr>
        <w:tc>
          <w:tcPr>
            <w:tcW w:w="2200" w:type="dxa"/>
            <w:tcBorders>
              <w:top w:val="nil"/>
              <w:left w:val="nil"/>
              <w:bottom w:val="single" w:sz="4" w:space="0" w:color="auto"/>
              <w:right w:val="nil"/>
            </w:tcBorders>
            <w:shd w:val="clear" w:color="auto" w:fill="auto"/>
            <w:noWrap/>
            <w:vAlign w:val="bottom"/>
            <w:hideMark/>
          </w:tcPr>
          <w:p w14:paraId="30D24FD5"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MS Praha</w:t>
            </w:r>
          </w:p>
        </w:tc>
        <w:tc>
          <w:tcPr>
            <w:tcW w:w="1000" w:type="dxa"/>
            <w:tcBorders>
              <w:top w:val="nil"/>
              <w:left w:val="nil"/>
              <w:bottom w:val="single" w:sz="4" w:space="0" w:color="auto"/>
              <w:right w:val="nil"/>
            </w:tcBorders>
            <w:shd w:val="clear" w:color="auto" w:fill="auto"/>
            <w:noWrap/>
            <w:vAlign w:val="bottom"/>
            <w:hideMark/>
          </w:tcPr>
          <w:p w14:paraId="0F4D6A82"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55,02</w:t>
            </w:r>
          </w:p>
        </w:tc>
        <w:tc>
          <w:tcPr>
            <w:tcW w:w="1000" w:type="dxa"/>
            <w:tcBorders>
              <w:top w:val="nil"/>
              <w:left w:val="nil"/>
              <w:bottom w:val="single" w:sz="4" w:space="0" w:color="auto"/>
              <w:right w:val="nil"/>
            </w:tcBorders>
            <w:shd w:val="clear" w:color="auto" w:fill="auto"/>
            <w:noWrap/>
            <w:vAlign w:val="bottom"/>
            <w:hideMark/>
          </w:tcPr>
          <w:p w14:paraId="27FBC5AF"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25,44</w:t>
            </w:r>
          </w:p>
        </w:tc>
        <w:tc>
          <w:tcPr>
            <w:tcW w:w="1000" w:type="dxa"/>
            <w:tcBorders>
              <w:top w:val="nil"/>
              <w:left w:val="nil"/>
              <w:bottom w:val="single" w:sz="4" w:space="0" w:color="auto"/>
              <w:right w:val="nil"/>
            </w:tcBorders>
            <w:shd w:val="clear" w:color="auto" w:fill="auto"/>
            <w:noWrap/>
            <w:vAlign w:val="bottom"/>
            <w:hideMark/>
          </w:tcPr>
          <w:p w14:paraId="00DB96DB"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12,05</w:t>
            </w:r>
          </w:p>
        </w:tc>
        <w:tc>
          <w:tcPr>
            <w:tcW w:w="1000" w:type="dxa"/>
            <w:tcBorders>
              <w:top w:val="nil"/>
              <w:left w:val="nil"/>
              <w:bottom w:val="single" w:sz="4" w:space="0" w:color="auto"/>
              <w:right w:val="nil"/>
            </w:tcBorders>
            <w:shd w:val="clear" w:color="auto" w:fill="auto"/>
            <w:noWrap/>
            <w:vAlign w:val="bottom"/>
            <w:hideMark/>
          </w:tcPr>
          <w:p w14:paraId="0336FF97"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7,49</w:t>
            </w:r>
          </w:p>
        </w:tc>
      </w:tr>
      <w:tr w:rsidR="00F85178" w:rsidRPr="00F85178" w14:paraId="09D1653A"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19539879"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Praha</w:t>
            </w:r>
          </w:p>
        </w:tc>
        <w:tc>
          <w:tcPr>
            <w:tcW w:w="1000" w:type="dxa"/>
            <w:tcBorders>
              <w:top w:val="nil"/>
              <w:left w:val="nil"/>
              <w:bottom w:val="single" w:sz="4" w:space="0" w:color="auto"/>
              <w:right w:val="nil"/>
            </w:tcBorders>
            <w:shd w:val="clear" w:color="auto" w:fill="auto"/>
            <w:noWrap/>
            <w:vAlign w:val="bottom"/>
            <w:hideMark/>
          </w:tcPr>
          <w:p w14:paraId="370D0EA2"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64,70</w:t>
            </w:r>
          </w:p>
        </w:tc>
        <w:tc>
          <w:tcPr>
            <w:tcW w:w="1000" w:type="dxa"/>
            <w:tcBorders>
              <w:top w:val="nil"/>
              <w:left w:val="nil"/>
              <w:bottom w:val="single" w:sz="4" w:space="0" w:color="auto"/>
              <w:right w:val="nil"/>
            </w:tcBorders>
            <w:shd w:val="clear" w:color="auto" w:fill="auto"/>
            <w:noWrap/>
            <w:vAlign w:val="bottom"/>
            <w:hideMark/>
          </w:tcPr>
          <w:p w14:paraId="0AF72AEE"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21,87</w:t>
            </w:r>
          </w:p>
        </w:tc>
        <w:tc>
          <w:tcPr>
            <w:tcW w:w="1000" w:type="dxa"/>
            <w:tcBorders>
              <w:top w:val="nil"/>
              <w:left w:val="nil"/>
              <w:bottom w:val="single" w:sz="4" w:space="0" w:color="auto"/>
              <w:right w:val="nil"/>
            </w:tcBorders>
            <w:shd w:val="clear" w:color="auto" w:fill="auto"/>
            <w:noWrap/>
            <w:vAlign w:val="bottom"/>
            <w:hideMark/>
          </w:tcPr>
          <w:p w14:paraId="4736AA47"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10,07</w:t>
            </w:r>
          </w:p>
        </w:tc>
        <w:tc>
          <w:tcPr>
            <w:tcW w:w="1000" w:type="dxa"/>
            <w:tcBorders>
              <w:top w:val="nil"/>
              <w:left w:val="nil"/>
              <w:bottom w:val="single" w:sz="4" w:space="0" w:color="auto"/>
              <w:right w:val="nil"/>
            </w:tcBorders>
            <w:shd w:val="clear" w:color="auto" w:fill="auto"/>
            <w:noWrap/>
            <w:vAlign w:val="bottom"/>
            <w:hideMark/>
          </w:tcPr>
          <w:p w14:paraId="172F3A04"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3,36</w:t>
            </w:r>
          </w:p>
        </w:tc>
      </w:tr>
      <w:tr w:rsidR="00F85178" w:rsidRPr="00F85178" w14:paraId="1ADBBA77"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41251745"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Č. Budějovice</w:t>
            </w:r>
          </w:p>
        </w:tc>
        <w:tc>
          <w:tcPr>
            <w:tcW w:w="1000" w:type="dxa"/>
            <w:tcBorders>
              <w:top w:val="nil"/>
              <w:left w:val="nil"/>
              <w:bottom w:val="single" w:sz="4" w:space="0" w:color="auto"/>
              <w:right w:val="nil"/>
            </w:tcBorders>
            <w:shd w:val="clear" w:color="auto" w:fill="auto"/>
            <w:noWrap/>
            <w:vAlign w:val="bottom"/>
            <w:hideMark/>
          </w:tcPr>
          <w:p w14:paraId="46FA8A8E"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65,59</w:t>
            </w:r>
          </w:p>
        </w:tc>
        <w:tc>
          <w:tcPr>
            <w:tcW w:w="1000" w:type="dxa"/>
            <w:tcBorders>
              <w:top w:val="nil"/>
              <w:left w:val="nil"/>
              <w:bottom w:val="single" w:sz="4" w:space="0" w:color="auto"/>
              <w:right w:val="nil"/>
            </w:tcBorders>
            <w:shd w:val="clear" w:color="auto" w:fill="auto"/>
            <w:noWrap/>
            <w:vAlign w:val="bottom"/>
            <w:hideMark/>
          </w:tcPr>
          <w:p w14:paraId="14A25749"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18,62</w:t>
            </w:r>
          </w:p>
        </w:tc>
        <w:tc>
          <w:tcPr>
            <w:tcW w:w="1000" w:type="dxa"/>
            <w:tcBorders>
              <w:top w:val="nil"/>
              <w:left w:val="nil"/>
              <w:bottom w:val="single" w:sz="4" w:space="0" w:color="auto"/>
              <w:right w:val="nil"/>
            </w:tcBorders>
            <w:shd w:val="clear" w:color="auto" w:fill="auto"/>
            <w:noWrap/>
            <w:vAlign w:val="bottom"/>
            <w:hideMark/>
          </w:tcPr>
          <w:p w14:paraId="32FB3C00"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14,57</w:t>
            </w:r>
          </w:p>
        </w:tc>
        <w:tc>
          <w:tcPr>
            <w:tcW w:w="1000" w:type="dxa"/>
            <w:tcBorders>
              <w:top w:val="nil"/>
              <w:left w:val="nil"/>
              <w:bottom w:val="single" w:sz="4" w:space="0" w:color="auto"/>
              <w:right w:val="nil"/>
            </w:tcBorders>
            <w:shd w:val="clear" w:color="auto" w:fill="auto"/>
            <w:noWrap/>
            <w:vAlign w:val="bottom"/>
            <w:hideMark/>
          </w:tcPr>
          <w:p w14:paraId="6B39937B"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1,21</w:t>
            </w:r>
          </w:p>
        </w:tc>
      </w:tr>
      <w:tr w:rsidR="00F85178" w:rsidRPr="00F85178" w14:paraId="3CBDE5CA"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7A8D268B"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Plzeň</w:t>
            </w:r>
          </w:p>
        </w:tc>
        <w:tc>
          <w:tcPr>
            <w:tcW w:w="1000" w:type="dxa"/>
            <w:tcBorders>
              <w:top w:val="nil"/>
              <w:left w:val="nil"/>
              <w:bottom w:val="single" w:sz="4" w:space="0" w:color="auto"/>
              <w:right w:val="nil"/>
            </w:tcBorders>
            <w:shd w:val="clear" w:color="auto" w:fill="auto"/>
            <w:noWrap/>
            <w:vAlign w:val="bottom"/>
            <w:hideMark/>
          </w:tcPr>
          <w:p w14:paraId="140C8EFF"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69,38</w:t>
            </w:r>
          </w:p>
        </w:tc>
        <w:tc>
          <w:tcPr>
            <w:tcW w:w="1000" w:type="dxa"/>
            <w:tcBorders>
              <w:top w:val="nil"/>
              <w:left w:val="nil"/>
              <w:bottom w:val="single" w:sz="4" w:space="0" w:color="auto"/>
              <w:right w:val="nil"/>
            </w:tcBorders>
            <w:shd w:val="clear" w:color="auto" w:fill="auto"/>
            <w:noWrap/>
            <w:vAlign w:val="bottom"/>
            <w:hideMark/>
          </w:tcPr>
          <w:p w14:paraId="40D680B6"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16,29</w:t>
            </w:r>
          </w:p>
        </w:tc>
        <w:tc>
          <w:tcPr>
            <w:tcW w:w="1000" w:type="dxa"/>
            <w:tcBorders>
              <w:top w:val="nil"/>
              <w:left w:val="nil"/>
              <w:bottom w:val="single" w:sz="4" w:space="0" w:color="auto"/>
              <w:right w:val="nil"/>
            </w:tcBorders>
            <w:shd w:val="clear" w:color="auto" w:fill="auto"/>
            <w:noWrap/>
            <w:vAlign w:val="bottom"/>
            <w:hideMark/>
          </w:tcPr>
          <w:p w14:paraId="0014A92D"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10,67</w:t>
            </w:r>
          </w:p>
        </w:tc>
        <w:tc>
          <w:tcPr>
            <w:tcW w:w="1000" w:type="dxa"/>
            <w:tcBorders>
              <w:top w:val="nil"/>
              <w:left w:val="nil"/>
              <w:bottom w:val="single" w:sz="4" w:space="0" w:color="auto"/>
              <w:right w:val="nil"/>
            </w:tcBorders>
            <w:shd w:val="clear" w:color="auto" w:fill="auto"/>
            <w:noWrap/>
            <w:vAlign w:val="bottom"/>
            <w:hideMark/>
          </w:tcPr>
          <w:p w14:paraId="33AADBC5"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3,65</w:t>
            </w:r>
          </w:p>
        </w:tc>
      </w:tr>
      <w:tr w:rsidR="00F85178" w:rsidRPr="00F85178" w14:paraId="567D0F9C"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5C2559F6"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Ústí n. Labem</w:t>
            </w:r>
          </w:p>
        </w:tc>
        <w:tc>
          <w:tcPr>
            <w:tcW w:w="1000" w:type="dxa"/>
            <w:tcBorders>
              <w:top w:val="nil"/>
              <w:left w:val="nil"/>
              <w:bottom w:val="single" w:sz="4" w:space="0" w:color="auto"/>
              <w:right w:val="nil"/>
            </w:tcBorders>
            <w:shd w:val="clear" w:color="auto" w:fill="auto"/>
            <w:noWrap/>
            <w:vAlign w:val="bottom"/>
            <w:hideMark/>
          </w:tcPr>
          <w:p w14:paraId="1FF91B92"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60,28</w:t>
            </w:r>
          </w:p>
        </w:tc>
        <w:tc>
          <w:tcPr>
            <w:tcW w:w="1000" w:type="dxa"/>
            <w:tcBorders>
              <w:top w:val="nil"/>
              <w:left w:val="nil"/>
              <w:bottom w:val="single" w:sz="4" w:space="0" w:color="auto"/>
              <w:right w:val="nil"/>
            </w:tcBorders>
            <w:shd w:val="clear" w:color="auto" w:fill="auto"/>
            <w:noWrap/>
            <w:vAlign w:val="bottom"/>
            <w:hideMark/>
          </w:tcPr>
          <w:p w14:paraId="32A3646A"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23,73</w:t>
            </w:r>
          </w:p>
        </w:tc>
        <w:tc>
          <w:tcPr>
            <w:tcW w:w="1000" w:type="dxa"/>
            <w:tcBorders>
              <w:top w:val="nil"/>
              <w:left w:val="nil"/>
              <w:bottom w:val="single" w:sz="4" w:space="0" w:color="auto"/>
              <w:right w:val="nil"/>
            </w:tcBorders>
            <w:shd w:val="clear" w:color="auto" w:fill="auto"/>
            <w:noWrap/>
            <w:vAlign w:val="bottom"/>
            <w:hideMark/>
          </w:tcPr>
          <w:p w14:paraId="41500F13"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13,71</w:t>
            </w:r>
          </w:p>
        </w:tc>
        <w:tc>
          <w:tcPr>
            <w:tcW w:w="1000" w:type="dxa"/>
            <w:tcBorders>
              <w:top w:val="nil"/>
              <w:left w:val="nil"/>
              <w:bottom w:val="single" w:sz="4" w:space="0" w:color="auto"/>
              <w:right w:val="nil"/>
            </w:tcBorders>
            <w:shd w:val="clear" w:color="auto" w:fill="auto"/>
            <w:noWrap/>
            <w:vAlign w:val="bottom"/>
            <w:hideMark/>
          </w:tcPr>
          <w:p w14:paraId="375F1A34"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2,28</w:t>
            </w:r>
          </w:p>
        </w:tc>
      </w:tr>
      <w:tr w:rsidR="00F85178" w:rsidRPr="00F85178" w14:paraId="66F5E1D5"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16CCC1E5"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Hr. Králové</w:t>
            </w:r>
          </w:p>
        </w:tc>
        <w:tc>
          <w:tcPr>
            <w:tcW w:w="1000" w:type="dxa"/>
            <w:tcBorders>
              <w:top w:val="nil"/>
              <w:left w:val="nil"/>
              <w:bottom w:val="single" w:sz="4" w:space="0" w:color="auto"/>
              <w:right w:val="nil"/>
            </w:tcBorders>
            <w:shd w:val="clear" w:color="auto" w:fill="auto"/>
            <w:noWrap/>
            <w:vAlign w:val="bottom"/>
            <w:hideMark/>
          </w:tcPr>
          <w:p w14:paraId="48372916"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47,43</w:t>
            </w:r>
          </w:p>
        </w:tc>
        <w:tc>
          <w:tcPr>
            <w:tcW w:w="1000" w:type="dxa"/>
            <w:tcBorders>
              <w:top w:val="nil"/>
              <w:left w:val="nil"/>
              <w:bottom w:val="single" w:sz="4" w:space="0" w:color="auto"/>
              <w:right w:val="nil"/>
            </w:tcBorders>
            <w:shd w:val="clear" w:color="auto" w:fill="auto"/>
            <w:noWrap/>
            <w:vAlign w:val="bottom"/>
            <w:hideMark/>
          </w:tcPr>
          <w:p w14:paraId="073001FE"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16,85</w:t>
            </w:r>
          </w:p>
        </w:tc>
        <w:tc>
          <w:tcPr>
            <w:tcW w:w="1000" w:type="dxa"/>
            <w:tcBorders>
              <w:top w:val="nil"/>
              <w:left w:val="nil"/>
              <w:bottom w:val="single" w:sz="4" w:space="0" w:color="auto"/>
              <w:right w:val="nil"/>
            </w:tcBorders>
            <w:shd w:val="clear" w:color="auto" w:fill="auto"/>
            <w:noWrap/>
            <w:vAlign w:val="bottom"/>
            <w:hideMark/>
          </w:tcPr>
          <w:p w14:paraId="57C92E4F"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11,27</w:t>
            </w:r>
          </w:p>
        </w:tc>
        <w:tc>
          <w:tcPr>
            <w:tcW w:w="1000" w:type="dxa"/>
            <w:tcBorders>
              <w:top w:val="nil"/>
              <w:left w:val="nil"/>
              <w:bottom w:val="single" w:sz="4" w:space="0" w:color="auto"/>
              <w:right w:val="nil"/>
            </w:tcBorders>
            <w:shd w:val="clear" w:color="auto" w:fill="auto"/>
            <w:noWrap/>
            <w:vAlign w:val="bottom"/>
            <w:hideMark/>
          </w:tcPr>
          <w:p w14:paraId="5C028003"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24,44</w:t>
            </w:r>
          </w:p>
        </w:tc>
      </w:tr>
      <w:tr w:rsidR="00F85178" w:rsidRPr="00F85178" w14:paraId="7209D303" w14:textId="77777777" w:rsidTr="00A7520C">
        <w:trPr>
          <w:trHeight w:val="315"/>
        </w:trPr>
        <w:tc>
          <w:tcPr>
            <w:tcW w:w="2200" w:type="dxa"/>
            <w:tcBorders>
              <w:top w:val="nil"/>
              <w:left w:val="nil"/>
              <w:bottom w:val="single" w:sz="4" w:space="0" w:color="auto"/>
              <w:right w:val="nil"/>
            </w:tcBorders>
            <w:shd w:val="clear" w:color="auto" w:fill="auto"/>
            <w:noWrap/>
            <w:vAlign w:val="bottom"/>
            <w:hideMark/>
          </w:tcPr>
          <w:p w14:paraId="01E5940E"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Brno</w:t>
            </w:r>
          </w:p>
        </w:tc>
        <w:tc>
          <w:tcPr>
            <w:tcW w:w="1000" w:type="dxa"/>
            <w:tcBorders>
              <w:top w:val="nil"/>
              <w:left w:val="nil"/>
              <w:bottom w:val="single" w:sz="4" w:space="0" w:color="auto"/>
              <w:right w:val="nil"/>
            </w:tcBorders>
            <w:shd w:val="clear" w:color="auto" w:fill="auto"/>
            <w:noWrap/>
            <w:vAlign w:val="bottom"/>
            <w:hideMark/>
          </w:tcPr>
          <w:p w14:paraId="5F6D913C"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56,90</w:t>
            </w:r>
          </w:p>
        </w:tc>
        <w:tc>
          <w:tcPr>
            <w:tcW w:w="1000" w:type="dxa"/>
            <w:tcBorders>
              <w:top w:val="nil"/>
              <w:left w:val="nil"/>
              <w:bottom w:val="single" w:sz="4" w:space="0" w:color="auto"/>
              <w:right w:val="nil"/>
            </w:tcBorders>
            <w:shd w:val="clear" w:color="auto" w:fill="auto"/>
            <w:noWrap/>
            <w:vAlign w:val="bottom"/>
            <w:hideMark/>
          </w:tcPr>
          <w:p w14:paraId="096994D4"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31,88</w:t>
            </w:r>
          </w:p>
        </w:tc>
        <w:tc>
          <w:tcPr>
            <w:tcW w:w="1000" w:type="dxa"/>
            <w:tcBorders>
              <w:top w:val="nil"/>
              <w:left w:val="nil"/>
              <w:bottom w:val="single" w:sz="4" w:space="0" w:color="auto"/>
              <w:right w:val="nil"/>
            </w:tcBorders>
            <w:shd w:val="clear" w:color="auto" w:fill="auto"/>
            <w:noWrap/>
            <w:vAlign w:val="bottom"/>
            <w:hideMark/>
          </w:tcPr>
          <w:p w14:paraId="327F2DF5"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7,67</w:t>
            </w:r>
          </w:p>
        </w:tc>
        <w:tc>
          <w:tcPr>
            <w:tcW w:w="1000" w:type="dxa"/>
            <w:tcBorders>
              <w:top w:val="nil"/>
              <w:left w:val="nil"/>
              <w:bottom w:val="single" w:sz="4" w:space="0" w:color="auto"/>
              <w:right w:val="nil"/>
            </w:tcBorders>
            <w:shd w:val="clear" w:color="auto" w:fill="auto"/>
            <w:noWrap/>
            <w:vAlign w:val="bottom"/>
            <w:hideMark/>
          </w:tcPr>
          <w:p w14:paraId="5412D889"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3,55</w:t>
            </w:r>
          </w:p>
        </w:tc>
      </w:tr>
      <w:tr w:rsidR="00F85178" w:rsidRPr="00F85178" w14:paraId="6F0FF9D3" w14:textId="77777777" w:rsidTr="00A7520C">
        <w:trPr>
          <w:trHeight w:val="330"/>
        </w:trPr>
        <w:tc>
          <w:tcPr>
            <w:tcW w:w="2200" w:type="dxa"/>
            <w:tcBorders>
              <w:top w:val="nil"/>
              <w:left w:val="nil"/>
              <w:bottom w:val="double" w:sz="6" w:space="0" w:color="auto"/>
              <w:right w:val="nil"/>
            </w:tcBorders>
            <w:shd w:val="clear" w:color="auto" w:fill="auto"/>
            <w:noWrap/>
            <w:vAlign w:val="bottom"/>
            <w:hideMark/>
          </w:tcPr>
          <w:p w14:paraId="7DF112B9" w14:textId="77777777" w:rsidR="00A7520C" w:rsidRPr="00F85178" w:rsidRDefault="00A7520C" w:rsidP="00A7520C">
            <w:pPr>
              <w:spacing w:line="240" w:lineRule="auto"/>
              <w:jc w:val="left"/>
              <w:rPr>
                <w:rFonts w:eastAsia="Times New Roman"/>
                <w:szCs w:val="24"/>
                <w:lang w:eastAsia="cs-CZ"/>
              </w:rPr>
            </w:pPr>
            <w:r w:rsidRPr="00F85178">
              <w:rPr>
                <w:rFonts w:eastAsia="Times New Roman"/>
                <w:szCs w:val="24"/>
                <w:lang w:eastAsia="cs-CZ"/>
              </w:rPr>
              <w:t>KS Ostrava</w:t>
            </w:r>
          </w:p>
        </w:tc>
        <w:tc>
          <w:tcPr>
            <w:tcW w:w="1000" w:type="dxa"/>
            <w:tcBorders>
              <w:top w:val="nil"/>
              <w:left w:val="nil"/>
              <w:bottom w:val="double" w:sz="6" w:space="0" w:color="auto"/>
              <w:right w:val="nil"/>
            </w:tcBorders>
            <w:shd w:val="clear" w:color="auto" w:fill="auto"/>
            <w:noWrap/>
            <w:vAlign w:val="bottom"/>
            <w:hideMark/>
          </w:tcPr>
          <w:p w14:paraId="24682E22"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40,19</w:t>
            </w:r>
          </w:p>
        </w:tc>
        <w:tc>
          <w:tcPr>
            <w:tcW w:w="1000" w:type="dxa"/>
            <w:tcBorders>
              <w:top w:val="nil"/>
              <w:left w:val="nil"/>
              <w:bottom w:val="double" w:sz="6" w:space="0" w:color="auto"/>
              <w:right w:val="nil"/>
            </w:tcBorders>
            <w:shd w:val="clear" w:color="auto" w:fill="auto"/>
            <w:noWrap/>
            <w:vAlign w:val="bottom"/>
            <w:hideMark/>
          </w:tcPr>
          <w:p w14:paraId="4BBE899F"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28,20</w:t>
            </w:r>
          </w:p>
        </w:tc>
        <w:tc>
          <w:tcPr>
            <w:tcW w:w="1000" w:type="dxa"/>
            <w:tcBorders>
              <w:top w:val="nil"/>
              <w:left w:val="nil"/>
              <w:bottom w:val="double" w:sz="6" w:space="0" w:color="auto"/>
              <w:right w:val="nil"/>
            </w:tcBorders>
            <w:shd w:val="clear" w:color="auto" w:fill="auto"/>
            <w:noWrap/>
            <w:vAlign w:val="bottom"/>
            <w:hideMark/>
          </w:tcPr>
          <w:p w14:paraId="67B2663C"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25,97</w:t>
            </w:r>
          </w:p>
        </w:tc>
        <w:tc>
          <w:tcPr>
            <w:tcW w:w="1000" w:type="dxa"/>
            <w:tcBorders>
              <w:top w:val="nil"/>
              <w:left w:val="nil"/>
              <w:bottom w:val="double" w:sz="6" w:space="0" w:color="auto"/>
              <w:right w:val="nil"/>
            </w:tcBorders>
            <w:shd w:val="clear" w:color="auto" w:fill="auto"/>
            <w:noWrap/>
            <w:vAlign w:val="bottom"/>
            <w:hideMark/>
          </w:tcPr>
          <w:p w14:paraId="420904F5" w14:textId="77777777" w:rsidR="00A7520C" w:rsidRPr="00F85178" w:rsidRDefault="00A7520C" w:rsidP="00A7520C">
            <w:pPr>
              <w:spacing w:line="240" w:lineRule="auto"/>
              <w:jc w:val="center"/>
              <w:rPr>
                <w:rFonts w:eastAsia="Times New Roman"/>
                <w:szCs w:val="24"/>
                <w:lang w:eastAsia="cs-CZ"/>
              </w:rPr>
            </w:pPr>
            <w:r w:rsidRPr="00F85178">
              <w:rPr>
                <w:rFonts w:eastAsia="Times New Roman"/>
                <w:szCs w:val="24"/>
                <w:lang w:eastAsia="cs-CZ"/>
              </w:rPr>
              <w:t>5,64</w:t>
            </w:r>
          </w:p>
        </w:tc>
      </w:tr>
      <w:tr w:rsidR="00A7520C" w:rsidRPr="00F85178" w14:paraId="06418202" w14:textId="77777777" w:rsidTr="00A7520C">
        <w:trPr>
          <w:trHeight w:val="345"/>
        </w:trPr>
        <w:tc>
          <w:tcPr>
            <w:tcW w:w="2200" w:type="dxa"/>
            <w:tcBorders>
              <w:top w:val="nil"/>
              <w:left w:val="nil"/>
              <w:bottom w:val="double" w:sz="6" w:space="0" w:color="auto"/>
              <w:right w:val="nil"/>
            </w:tcBorders>
            <w:shd w:val="clear" w:color="auto" w:fill="auto"/>
            <w:noWrap/>
            <w:vAlign w:val="bottom"/>
            <w:hideMark/>
          </w:tcPr>
          <w:p w14:paraId="52F01727" w14:textId="77777777" w:rsidR="00A7520C" w:rsidRPr="00F85178" w:rsidRDefault="00A7520C" w:rsidP="00A7520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00" w:type="dxa"/>
            <w:tcBorders>
              <w:top w:val="nil"/>
              <w:left w:val="nil"/>
              <w:bottom w:val="double" w:sz="6" w:space="0" w:color="auto"/>
              <w:right w:val="nil"/>
            </w:tcBorders>
            <w:shd w:val="clear" w:color="auto" w:fill="auto"/>
            <w:noWrap/>
            <w:vAlign w:val="bottom"/>
            <w:hideMark/>
          </w:tcPr>
          <w:p w14:paraId="5FB5049D"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56,12</w:t>
            </w:r>
          </w:p>
        </w:tc>
        <w:tc>
          <w:tcPr>
            <w:tcW w:w="1000" w:type="dxa"/>
            <w:tcBorders>
              <w:top w:val="nil"/>
              <w:left w:val="nil"/>
              <w:bottom w:val="double" w:sz="6" w:space="0" w:color="auto"/>
              <w:right w:val="nil"/>
            </w:tcBorders>
            <w:shd w:val="clear" w:color="auto" w:fill="auto"/>
            <w:noWrap/>
            <w:vAlign w:val="bottom"/>
            <w:hideMark/>
          </w:tcPr>
          <w:p w14:paraId="3E7EE5E2"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25,00</w:t>
            </w:r>
          </w:p>
        </w:tc>
        <w:tc>
          <w:tcPr>
            <w:tcW w:w="1000" w:type="dxa"/>
            <w:tcBorders>
              <w:top w:val="nil"/>
              <w:left w:val="nil"/>
              <w:bottom w:val="double" w:sz="6" w:space="0" w:color="auto"/>
              <w:right w:val="nil"/>
            </w:tcBorders>
            <w:shd w:val="clear" w:color="auto" w:fill="auto"/>
            <w:noWrap/>
            <w:vAlign w:val="bottom"/>
            <w:hideMark/>
          </w:tcPr>
          <w:p w14:paraId="2545E9B1"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12,16</w:t>
            </w:r>
          </w:p>
        </w:tc>
        <w:tc>
          <w:tcPr>
            <w:tcW w:w="1000" w:type="dxa"/>
            <w:tcBorders>
              <w:top w:val="nil"/>
              <w:left w:val="nil"/>
              <w:bottom w:val="double" w:sz="6" w:space="0" w:color="auto"/>
              <w:right w:val="nil"/>
            </w:tcBorders>
            <w:shd w:val="clear" w:color="auto" w:fill="auto"/>
            <w:noWrap/>
            <w:vAlign w:val="bottom"/>
            <w:hideMark/>
          </w:tcPr>
          <w:p w14:paraId="0622F5EF" w14:textId="77777777" w:rsidR="00A7520C" w:rsidRPr="00F85178" w:rsidRDefault="00A7520C" w:rsidP="00A7520C">
            <w:pPr>
              <w:spacing w:line="240" w:lineRule="auto"/>
              <w:jc w:val="center"/>
              <w:rPr>
                <w:rFonts w:eastAsia="Times New Roman"/>
                <w:b/>
                <w:bCs/>
                <w:szCs w:val="24"/>
                <w:lang w:eastAsia="cs-CZ"/>
              </w:rPr>
            </w:pPr>
            <w:r w:rsidRPr="00F85178">
              <w:rPr>
                <w:rFonts w:eastAsia="Times New Roman"/>
                <w:b/>
                <w:bCs/>
                <w:szCs w:val="24"/>
                <w:lang w:eastAsia="cs-CZ"/>
              </w:rPr>
              <w:t>6,72</w:t>
            </w:r>
          </w:p>
        </w:tc>
      </w:tr>
    </w:tbl>
    <w:p w14:paraId="1A253256" w14:textId="77777777" w:rsidR="00A7520C" w:rsidRPr="00F85178" w:rsidRDefault="00A7520C" w:rsidP="00205FD6"/>
    <w:p w14:paraId="2008DC25" w14:textId="77777777" w:rsidR="00B20C8C" w:rsidRPr="00F85178" w:rsidRDefault="00B20C8C" w:rsidP="00B20C8C">
      <w:pPr>
        <w:pStyle w:val="OdstavecASR"/>
      </w:pPr>
      <w:r w:rsidRPr="00F85178">
        <w:t>V tabulce dále vidíme, že největší podíl tvoří tato agenda v Ostravě, v Brně a </w:t>
      </w:r>
      <w:r w:rsidR="00396D30">
        <w:t>u</w:t>
      </w:r>
      <w:r w:rsidR="00F66201">
        <w:t> MS Praha</w:t>
      </w:r>
      <w:r w:rsidRPr="00F85178">
        <w:t xml:space="preserve">. Naopak </w:t>
      </w:r>
      <w:r w:rsidR="009F039E" w:rsidRPr="00F85178">
        <w:t xml:space="preserve">asi čtvrtinu </w:t>
      </w:r>
      <w:r w:rsidRPr="00F85178">
        <w:t>nevyřízených věcí tvoří azylová agenda u KS v Hradci Králové.</w:t>
      </w:r>
    </w:p>
    <w:p w14:paraId="0EF23530" w14:textId="77777777" w:rsidR="00A7520C" w:rsidRPr="00F85178" w:rsidRDefault="00A7520C" w:rsidP="00A7520C">
      <w:pPr>
        <w:pStyle w:val="Nadpis3"/>
        <w:rPr>
          <w:color w:val="auto"/>
        </w:rPr>
      </w:pPr>
      <w:bookmarkStart w:id="529" w:name="_Toc515871269"/>
      <w:bookmarkStart w:id="530" w:name="_Toc14076918"/>
      <w:r w:rsidRPr="00F85178">
        <w:rPr>
          <w:color w:val="auto"/>
        </w:rPr>
        <w:t>Vyřizování věcí v přepočtu na soudce</w:t>
      </w:r>
      <w:bookmarkEnd w:id="529"/>
      <w:bookmarkEnd w:id="530"/>
    </w:p>
    <w:p w14:paraId="7CEF1952" w14:textId="77777777" w:rsidR="00B20C8C" w:rsidRPr="00F85178" w:rsidRDefault="00B20C8C" w:rsidP="00B20C8C">
      <w:pPr>
        <w:pStyle w:val="OdstavecASR"/>
      </w:pPr>
      <w:r w:rsidRPr="00F85178">
        <w:t>Na rozdíl od ostatních agend můžeme počet soudců, kteří vyřizují správní agendu, jednoduše dohledat, což umožňuje přepočítat vyřizování věcí na soudce stejně jako u okresních soudů.</w:t>
      </w:r>
    </w:p>
    <w:p w14:paraId="7BAB6967" w14:textId="77777777" w:rsidR="00B20C8C" w:rsidRPr="00F85178" w:rsidRDefault="00B20C8C" w:rsidP="00B20C8C">
      <w:pPr>
        <w:pStyle w:val="OdstavecASR"/>
      </w:pPr>
      <w:r w:rsidRPr="00F85178">
        <w:t>Zobrazit zde vývoj v čase nemá smysl, protože počet soudců je velmi stabilní a časové řady by měly takřka stejný průběh jako časové řady v předchozí podkapitole. V tabulce tedy uvádíme údaje za rok 2017.</w:t>
      </w:r>
    </w:p>
    <w:p w14:paraId="79F7961E" w14:textId="77777777" w:rsidR="009867AC" w:rsidRPr="00F85178" w:rsidRDefault="009867AC" w:rsidP="009867AC">
      <w:pPr>
        <w:pStyle w:val="Podtitul"/>
        <w:rPr>
          <w:color w:val="auto"/>
        </w:rPr>
      </w:pPr>
      <w:bookmarkStart w:id="531" w:name="_Toc515871493"/>
      <w:bookmarkStart w:id="532" w:name="_Toc11133260"/>
      <w:bookmarkStart w:id="533" w:name="_Toc13837481"/>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58</w:t>
      </w:r>
      <w:r w:rsidRPr="00F85178">
        <w:rPr>
          <w:noProof/>
          <w:color w:val="auto"/>
        </w:rPr>
        <w:fldChar w:fldCharType="end"/>
      </w:r>
      <w:r w:rsidRPr="00F85178">
        <w:rPr>
          <w:color w:val="auto"/>
        </w:rPr>
        <w:t>: KS – vyřizování správních věcí na soudce dle soudů</w:t>
      </w:r>
      <w:bookmarkEnd w:id="531"/>
      <w:bookmarkEnd w:id="532"/>
      <w:bookmarkEnd w:id="533"/>
    </w:p>
    <w:tbl>
      <w:tblPr>
        <w:tblW w:w="7720" w:type="dxa"/>
        <w:tblCellMar>
          <w:left w:w="70" w:type="dxa"/>
          <w:right w:w="70" w:type="dxa"/>
        </w:tblCellMar>
        <w:tblLook w:val="04A0" w:firstRow="1" w:lastRow="0" w:firstColumn="1" w:lastColumn="0" w:noHBand="0" w:noVBand="1"/>
      </w:tblPr>
      <w:tblGrid>
        <w:gridCol w:w="2020"/>
        <w:gridCol w:w="749"/>
        <w:gridCol w:w="1151"/>
        <w:gridCol w:w="749"/>
        <w:gridCol w:w="1151"/>
        <w:gridCol w:w="749"/>
        <w:gridCol w:w="1151"/>
      </w:tblGrid>
      <w:tr w:rsidR="00F85178" w:rsidRPr="00F85178" w14:paraId="476BE886" w14:textId="77777777" w:rsidTr="00FF7EB3">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2A46E6EC" w14:textId="05544032" w:rsidR="009867AC" w:rsidRPr="00F85178" w:rsidRDefault="00F2120F" w:rsidP="009867AC">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700" w:type="dxa"/>
            <w:gridSpan w:val="6"/>
            <w:tcBorders>
              <w:top w:val="double" w:sz="6" w:space="0" w:color="auto"/>
              <w:left w:val="nil"/>
              <w:bottom w:val="nil"/>
            </w:tcBorders>
            <w:shd w:val="clear" w:color="auto" w:fill="auto"/>
            <w:noWrap/>
            <w:vAlign w:val="center"/>
            <w:hideMark/>
          </w:tcPr>
          <w:p w14:paraId="7D15C678"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2F147432" w14:textId="77777777" w:rsidTr="00FF7EB3">
        <w:trPr>
          <w:trHeight w:val="330"/>
        </w:trPr>
        <w:tc>
          <w:tcPr>
            <w:tcW w:w="2020" w:type="dxa"/>
            <w:vMerge/>
            <w:tcBorders>
              <w:top w:val="double" w:sz="6" w:space="0" w:color="auto"/>
              <w:left w:val="nil"/>
              <w:bottom w:val="double" w:sz="6" w:space="0" w:color="000000"/>
              <w:right w:val="nil"/>
            </w:tcBorders>
            <w:vAlign w:val="center"/>
            <w:hideMark/>
          </w:tcPr>
          <w:p w14:paraId="11C42B22" w14:textId="77777777" w:rsidR="009867AC" w:rsidRPr="00F85178" w:rsidRDefault="009867AC" w:rsidP="009867AC">
            <w:pPr>
              <w:spacing w:line="240" w:lineRule="auto"/>
              <w:jc w:val="left"/>
              <w:rPr>
                <w:rFonts w:eastAsia="Times New Roman"/>
                <w:b/>
                <w:bCs/>
                <w:szCs w:val="24"/>
                <w:lang w:eastAsia="cs-CZ"/>
              </w:rPr>
            </w:pPr>
          </w:p>
        </w:tc>
        <w:tc>
          <w:tcPr>
            <w:tcW w:w="1900" w:type="dxa"/>
            <w:gridSpan w:val="2"/>
            <w:tcBorders>
              <w:top w:val="nil"/>
              <w:left w:val="nil"/>
              <w:bottom w:val="double" w:sz="6" w:space="0" w:color="auto"/>
              <w:right w:val="nil"/>
            </w:tcBorders>
            <w:shd w:val="clear" w:color="auto" w:fill="auto"/>
            <w:noWrap/>
            <w:vAlign w:val="center"/>
            <w:hideMark/>
          </w:tcPr>
          <w:p w14:paraId="2DB771A6"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00"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718FACEB"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900" w:type="dxa"/>
            <w:gridSpan w:val="2"/>
            <w:tcBorders>
              <w:top w:val="nil"/>
              <w:left w:val="nil"/>
              <w:bottom w:val="double" w:sz="6" w:space="0" w:color="auto"/>
            </w:tcBorders>
            <w:shd w:val="clear" w:color="auto" w:fill="auto"/>
            <w:noWrap/>
            <w:vAlign w:val="center"/>
            <w:hideMark/>
          </w:tcPr>
          <w:p w14:paraId="2FE99561"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Nevyřízeno</w:t>
            </w:r>
          </w:p>
        </w:tc>
      </w:tr>
      <w:tr w:rsidR="00F85178" w:rsidRPr="00F85178" w14:paraId="036867DE" w14:textId="77777777" w:rsidTr="00FF7EB3">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3EBA605B"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MS Praha</w:t>
            </w:r>
          </w:p>
        </w:tc>
        <w:tc>
          <w:tcPr>
            <w:tcW w:w="749" w:type="dxa"/>
            <w:tcBorders>
              <w:top w:val="single" w:sz="4" w:space="0" w:color="auto"/>
              <w:left w:val="nil"/>
              <w:bottom w:val="single" w:sz="4" w:space="0" w:color="auto"/>
              <w:right w:val="nil"/>
            </w:tcBorders>
            <w:shd w:val="clear" w:color="auto" w:fill="auto"/>
            <w:noWrap/>
            <w:vAlign w:val="bottom"/>
            <w:hideMark/>
          </w:tcPr>
          <w:p w14:paraId="0F0F53C2"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131</w:t>
            </w:r>
          </w:p>
        </w:tc>
        <w:tc>
          <w:tcPr>
            <w:tcW w:w="1151" w:type="dxa"/>
            <w:tcBorders>
              <w:top w:val="single" w:sz="4" w:space="0" w:color="auto"/>
              <w:left w:val="nil"/>
              <w:bottom w:val="single" w:sz="4" w:space="0" w:color="auto"/>
              <w:right w:val="nil"/>
            </w:tcBorders>
            <w:shd w:val="clear" w:color="auto" w:fill="auto"/>
            <w:noWrap/>
            <w:vAlign w:val="center"/>
            <w:hideMark/>
          </w:tcPr>
          <w:p w14:paraId="5A0D0501" w14:textId="7169E826"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749" w:type="dxa"/>
            <w:tcBorders>
              <w:top w:val="single" w:sz="4" w:space="0" w:color="auto"/>
              <w:left w:val="single" w:sz="4" w:space="0" w:color="auto"/>
              <w:bottom w:val="single" w:sz="4" w:space="0" w:color="auto"/>
              <w:right w:val="nil"/>
            </w:tcBorders>
            <w:shd w:val="clear" w:color="auto" w:fill="auto"/>
            <w:noWrap/>
            <w:vAlign w:val="bottom"/>
            <w:hideMark/>
          </w:tcPr>
          <w:p w14:paraId="4085D4CD"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126</w:t>
            </w:r>
          </w:p>
        </w:tc>
        <w:tc>
          <w:tcPr>
            <w:tcW w:w="1151" w:type="dxa"/>
            <w:tcBorders>
              <w:top w:val="single" w:sz="4" w:space="0" w:color="auto"/>
              <w:left w:val="nil"/>
              <w:bottom w:val="single" w:sz="4" w:space="0" w:color="auto"/>
              <w:right w:val="single" w:sz="4" w:space="0" w:color="auto"/>
            </w:tcBorders>
            <w:shd w:val="clear" w:color="auto" w:fill="auto"/>
            <w:noWrap/>
            <w:vAlign w:val="center"/>
            <w:hideMark/>
          </w:tcPr>
          <w:p w14:paraId="6941835A" w14:textId="06FBF956"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49" w:type="dxa"/>
            <w:tcBorders>
              <w:top w:val="single" w:sz="4" w:space="0" w:color="auto"/>
              <w:left w:val="nil"/>
              <w:bottom w:val="single" w:sz="4" w:space="0" w:color="auto"/>
              <w:right w:val="nil"/>
            </w:tcBorders>
            <w:shd w:val="clear" w:color="auto" w:fill="auto"/>
            <w:noWrap/>
            <w:vAlign w:val="bottom"/>
            <w:hideMark/>
          </w:tcPr>
          <w:p w14:paraId="11590D75"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179</w:t>
            </w:r>
          </w:p>
        </w:tc>
        <w:tc>
          <w:tcPr>
            <w:tcW w:w="1151" w:type="dxa"/>
            <w:tcBorders>
              <w:top w:val="single" w:sz="4" w:space="0" w:color="auto"/>
              <w:left w:val="nil"/>
              <w:bottom w:val="single" w:sz="4" w:space="0" w:color="auto"/>
            </w:tcBorders>
            <w:shd w:val="clear" w:color="auto" w:fill="auto"/>
            <w:noWrap/>
            <w:vAlign w:val="center"/>
            <w:hideMark/>
          </w:tcPr>
          <w:p w14:paraId="2065FB5A" w14:textId="0B9911B7"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1E1EA825"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57655DA7"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Praha</w:t>
            </w:r>
          </w:p>
        </w:tc>
        <w:tc>
          <w:tcPr>
            <w:tcW w:w="749" w:type="dxa"/>
            <w:tcBorders>
              <w:top w:val="nil"/>
              <w:left w:val="nil"/>
              <w:bottom w:val="single" w:sz="4" w:space="0" w:color="auto"/>
              <w:right w:val="nil"/>
            </w:tcBorders>
            <w:shd w:val="clear" w:color="auto" w:fill="auto"/>
            <w:noWrap/>
            <w:vAlign w:val="bottom"/>
            <w:hideMark/>
          </w:tcPr>
          <w:p w14:paraId="66C6BDBC"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144</w:t>
            </w:r>
          </w:p>
        </w:tc>
        <w:tc>
          <w:tcPr>
            <w:tcW w:w="1151" w:type="dxa"/>
            <w:tcBorders>
              <w:top w:val="nil"/>
              <w:left w:val="nil"/>
              <w:bottom w:val="single" w:sz="4" w:space="0" w:color="auto"/>
              <w:right w:val="nil"/>
            </w:tcBorders>
            <w:shd w:val="clear" w:color="auto" w:fill="auto"/>
            <w:noWrap/>
            <w:vAlign w:val="center"/>
            <w:hideMark/>
          </w:tcPr>
          <w:p w14:paraId="7169CEFA" w14:textId="0A49592C"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749" w:type="dxa"/>
            <w:tcBorders>
              <w:top w:val="nil"/>
              <w:left w:val="single" w:sz="4" w:space="0" w:color="auto"/>
              <w:bottom w:val="single" w:sz="4" w:space="0" w:color="auto"/>
              <w:right w:val="nil"/>
            </w:tcBorders>
            <w:shd w:val="clear" w:color="auto" w:fill="auto"/>
            <w:noWrap/>
            <w:vAlign w:val="bottom"/>
            <w:hideMark/>
          </w:tcPr>
          <w:p w14:paraId="03364C6D"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109</w:t>
            </w:r>
          </w:p>
        </w:tc>
        <w:tc>
          <w:tcPr>
            <w:tcW w:w="1151" w:type="dxa"/>
            <w:tcBorders>
              <w:top w:val="nil"/>
              <w:left w:val="nil"/>
              <w:bottom w:val="single" w:sz="4" w:space="0" w:color="auto"/>
              <w:right w:val="single" w:sz="4" w:space="0" w:color="auto"/>
            </w:tcBorders>
            <w:shd w:val="clear" w:color="auto" w:fill="auto"/>
            <w:noWrap/>
            <w:vAlign w:val="center"/>
            <w:hideMark/>
          </w:tcPr>
          <w:p w14:paraId="551EB1F6" w14:textId="3AEEAF99"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749" w:type="dxa"/>
            <w:tcBorders>
              <w:top w:val="nil"/>
              <w:left w:val="nil"/>
              <w:bottom w:val="single" w:sz="4" w:space="0" w:color="auto"/>
              <w:right w:val="nil"/>
            </w:tcBorders>
            <w:shd w:val="clear" w:color="auto" w:fill="auto"/>
            <w:noWrap/>
            <w:vAlign w:val="bottom"/>
            <w:hideMark/>
          </w:tcPr>
          <w:p w14:paraId="159E0556"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140</w:t>
            </w:r>
          </w:p>
        </w:tc>
        <w:tc>
          <w:tcPr>
            <w:tcW w:w="1151" w:type="dxa"/>
            <w:tcBorders>
              <w:top w:val="nil"/>
              <w:left w:val="nil"/>
              <w:bottom w:val="single" w:sz="4" w:space="0" w:color="auto"/>
            </w:tcBorders>
            <w:shd w:val="clear" w:color="auto" w:fill="auto"/>
            <w:noWrap/>
            <w:vAlign w:val="center"/>
            <w:hideMark/>
          </w:tcPr>
          <w:p w14:paraId="6A3F6BFD" w14:textId="71D3466A"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+34 %</w:t>
            </w:r>
          </w:p>
        </w:tc>
      </w:tr>
      <w:tr w:rsidR="00F85178" w:rsidRPr="00F85178" w14:paraId="6AD3D08F"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1925681D"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Č. Budějovice</w:t>
            </w:r>
          </w:p>
        </w:tc>
        <w:tc>
          <w:tcPr>
            <w:tcW w:w="749" w:type="dxa"/>
            <w:tcBorders>
              <w:top w:val="nil"/>
              <w:left w:val="nil"/>
              <w:bottom w:val="single" w:sz="4" w:space="0" w:color="auto"/>
              <w:right w:val="nil"/>
            </w:tcBorders>
            <w:shd w:val="clear" w:color="auto" w:fill="auto"/>
            <w:noWrap/>
            <w:vAlign w:val="bottom"/>
            <w:hideMark/>
          </w:tcPr>
          <w:p w14:paraId="4B17DDC0"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100</w:t>
            </w:r>
          </w:p>
        </w:tc>
        <w:tc>
          <w:tcPr>
            <w:tcW w:w="1151" w:type="dxa"/>
            <w:tcBorders>
              <w:top w:val="nil"/>
              <w:left w:val="nil"/>
              <w:bottom w:val="single" w:sz="4" w:space="0" w:color="auto"/>
              <w:right w:val="nil"/>
            </w:tcBorders>
            <w:shd w:val="clear" w:color="auto" w:fill="auto"/>
            <w:noWrap/>
            <w:vAlign w:val="center"/>
            <w:hideMark/>
          </w:tcPr>
          <w:p w14:paraId="6DA2F7F2" w14:textId="5141356F"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749" w:type="dxa"/>
            <w:tcBorders>
              <w:top w:val="nil"/>
              <w:left w:val="single" w:sz="4" w:space="0" w:color="auto"/>
              <w:bottom w:val="single" w:sz="4" w:space="0" w:color="auto"/>
              <w:right w:val="nil"/>
            </w:tcBorders>
            <w:shd w:val="clear" w:color="auto" w:fill="auto"/>
            <w:noWrap/>
            <w:vAlign w:val="bottom"/>
            <w:hideMark/>
          </w:tcPr>
          <w:p w14:paraId="200F0005"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93</w:t>
            </w:r>
          </w:p>
        </w:tc>
        <w:tc>
          <w:tcPr>
            <w:tcW w:w="1151" w:type="dxa"/>
            <w:tcBorders>
              <w:top w:val="nil"/>
              <w:left w:val="nil"/>
              <w:bottom w:val="single" w:sz="4" w:space="0" w:color="auto"/>
              <w:right w:val="single" w:sz="4" w:space="0" w:color="auto"/>
            </w:tcBorders>
            <w:shd w:val="clear" w:color="auto" w:fill="auto"/>
            <w:noWrap/>
            <w:vAlign w:val="center"/>
            <w:hideMark/>
          </w:tcPr>
          <w:p w14:paraId="7A807217" w14:textId="4DABD6F0"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749" w:type="dxa"/>
            <w:tcBorders>
              <w:top w:val="nil"/>
              <w:left w:val="nil"/>
              <w:bottom w:val="single" w:sz="4" w:space="0" w:color="auto"/>
              <w:right w:val="nil"/>
            </w:tcBorders>
            <w:shd w:val="clear" w:color="auto" w:fill="auto"/>
            <w:noWrap/>
            <w:vAlign w:val="bottom"/>
            <w:hideMark/>
          </w:tcPr>
          <w:p w14:paraId="2CA5D7FD"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49</w:t>
            </w:r>
          </w:p>
        </w:tc>
        <w:tc>
          <w:tcPr>
            <w:tcW w:w="1151" w:type="dxa"/>
            <w:tcBorders>
              <w:top w:val="nil"/>
              <w:left w:val="nil"/>
              <w:bottom w:val="single" w:sz="4" w:space="0" w:color="auto"/>
            </w:tcBorders>
            <w:shd w:val="clear" w:color="auto" w:fill="auto"/>
            <w:noWrap/>
            <w:vAlign w:val="center"/>
            <w:hideMark/>
          </w:tcPr>
          <w:p w14:paraId="715BD3A8" w14:textId="54619971"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F85178" w:rsidRPr="00F85178" w14:paraId="41222A51"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5AF4F9F4"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Plzeň</w:t>
            </w:r>
          </w:p>
        </w:tc>
        <w:tc>
          <w:tcPr>
            <w:tcW w:w="749" w:type="dxa"/>
            <w:tcBorders>
              <w:top w:val="nil"/>
              <w:left w:val="nil"/>
              <w:bottom w:val="single" w:sz="4" w:space="0" w:color="auto"/>
              <w:right w:val="nil"/>
            </w:tcBorders>
            <w:shd w:val="clear" w:color="auto" w:fill="auto"/>
            <w:noWrap/>
            <w:vAlign w:val="bottom"/>
            <w:hideMark/>
          </w:tcPr>
          <w:p w14:paraId="0325F729"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146</w:t>
            </w:r>
          </w:p>
        </w:tc>
        <w:tc>
          <w:tcPr>
            <w:tcW w:w="1151" w:type="dxa"/>
            <w:tcBorders>
              <w:top w:val="nil"/>
              <w:left w:val="nil"/>
              <w:bottom w:val="single" w:sz="4" w:space="0" w:color="auto"/>
              <w:right w:val="nil"/>
            </w:tcBorders>
            <w:shd w:val="clear" w:color="auto" w:fill="auto"/>
            <w:noWrap/>
            <w:vAlign w:val="center"/>
            <w:hideMark/>
          </w:tcPr>
          <w:p w14:paraId="62879A7D" w14:textId="3F485F3D"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+21 %</w:t>
            </w:r>
          </w:p>
        </w:tc>
        <w:tc>
          <w:tcPr>
            <w:tcW w:w="749" w:type="dxa"/>
            <w:tcBorders>
              <w:top w:val="nil"/>
              <w:left w:val="single" w:sz="4" w:space="0" w:color="auto"/>
              <w:bottom w:val="single" w:sz="4" w:space="0" w:color="auto"/>
              <w:right w:val="nil"/>
            </w:tcBorders>
            <w:shd w:val="clear" w:color="auto" w:fill="auto"/>
            <w:noWrap/>
            <w:vAlign w:val="bottom"/>
            <w:hideMark/>
          </w:tcPr>
          <w:p w14:paraId="073E88E7"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121</w:t>
            </w:r>
          </w:p>
        </w:tc>
        <w:tc>
          <w:tcPr>
            <w:tcW w:w="1151" w:type="dxa"/>
            <w:tcBorders>
              <w:top w:val="nil"/>
              <w:left w:val="nil"/>
              <w:bottom w:val="single" w:sz="4" w:space="0" w:color="auto"/>
              <w:right w:val="single" w:sz="4" w:space="0" w:color="auto"/>
            </w:tcBorders>
            <w:shd w:val="clear" w:color="auto" w:fill="auto"/>
            <w:noWrap/>
            <w:vAlign w:val="center"/>
            <w:hideMark/>
          </w:tcPr>
          <w:p w14:paraId="0516C815" w14:textId="567A832C"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49" w:type="dxa"/>
            <w:tcBorders>
              <w:top w:val="nil"/>
              <w:left w:val="nil"/>
              <w:bottom w:val="single" w:sz="4" w:space="0" w:color="auto"/>
              <w:right w:val="nil"/>
            </w:tcBorders>
            <w:shd w:val="clear" w:color="auto" w:fill="auto"/>
            <w:noWrap/>
            <w:vAlign w:val="bottom"/>
            <w:hideMark/>
          </w:tcPr>
          <w:p w14:paraId="56069004"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102</w:t>
            </w:r>
          </w:p>
        </w:tc>
        <w:tc>
          <w:tcPr>
            <w:tcW w:w="1151" w:type="dxa"/>
            <w:tcBorders>
              <w:top w:val="nil"/>
              <w:left w:val="nil"/>
              <w:bottom w:val="single" w:sz="4" w:space="0" w:color="auto"/>
            </w:tcBorders>
            <w:shd w:val="clear" w:color="auto" w:fill="auto"/>
            <w:noWrap/>
            <w:vAlign w:val="center"/>
            <w:hideMark/>
          </w:tcPr>
          <w:p w14:paraId="54CFC0BE" w14:textId="35070AEC"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+33 %</w:t>
            </w:r>
          </w:p>
        </w:tc>
      </w:tr>
      <w:tr w:rsidR="00F85178" w:rsidRPr="00F85178" w14:paraId="3FCD1022"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56BE317A"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Ústí n. Labem</w:t>
            </w:r>
          </w:p>
        </w:tc>
        <w:tc>
          <w:tcPr>
            <w:tcW w:w="749" w:type="dxa"/>
            <w:tcBorders>
              <w:top w:val="nil"/>
              <w:left w:val="nil"/>
              <w:bottom w:val="single" w:sz="4" w:space="0" w:color="auto"/>
              <w:right w:val="nil"/>
            </w:tcBorders>
            <w:shd w:val="clear" w:color="auto" w:fill="auto"/>
            <w:noWrap/>
            <w:vAlign w:val="bottom"/>
            <w:hideMark/>
          </w:tcPr>
          <w:p w14:paraId="597CFD2B"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177</w:t>
            </w:r>
          </w:p>
        </w:tc>
        <w:tc>
          <w:tcPr>
            <w:tcW w:w="1151" w:type="dxa"/>
            <w:tcBorders>
              <w:top w:val="nil"/>
              <w:left w:val="nil"/>
              <w:bottom w:val="single" w:sz="4" w:space="0" w:color="auto"/>
              <w:right w:val="nil"/>
            </w:tcBorders>
            <w:shd w:val="clear" w:color="auto" w:fill="auto"/>
            <w:noWrap/>
            <w:vAlign w:val="center"/>
            <w:hideMark/>
          </w:tcPr>
          <w:p w14:paraId="2B095162" w14:textId="6A3AD4B3"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749" w:type="dxa"/>
            <w:tcBorders>
              <w:top w:val="nil"/>
              <w:left w:val="single" w:sz="4" w:space="0" w:color="auto"/>
              <w:bottom w:val="single" w:sz="4" w:space="0" w:color="auto"/>
              <w:right w:val="nil"/>
            </w:tcBorders>
            <w:shd w:val="clear" w:color="auto" w:fill="auto"/>
            <w:noWrap/>
            <w:vAlign w:val="bottom"/>
            <w:hideMark/>
          </w:tcPr>
          <w:p w14:paraId="1F83F29F"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172</w:t>
            </w:r>
          </w:p>
        </w:tc>
        <w:tc>
          <w:tcPr>
            <w:tcW w:w="1151" w:type="dxa"/>
            <w:tcBorders>
              <w:top w:val="nil"/>
              <w:left w:val="nil"/>
              <w:bottom w:val="single" w:sz="4" w:space="0" w:color="auto"/>
              <w:right w:val="single" w:sz="4" w:space="0" w:color="auto"/>
            </w:tcBorders>
            <w:shd w:val="clear" w:color="auto" w:fill="auto"/>
            <w:noWrap/>
            <w:vAlign w:val="center"/>
            <w:hideMark/>
          </w:tcPr>
          <w:p w14:paraId="23FF8552" w14:textId="6DFED67A"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+26 %</w:t>
            </w:r>
          </w:p>
        </w:tc>
        <w:tc>
          <w:tcPr>
            <w:tcW w:w="749" w:type="dxa"/>
            <w:tcBorders>
              <w:top w:val="nil"/>
              <w:left w:val="nil"/>
              <w:bottom w:val="single" w:sz="4" w:space="0" w:color="auto"/>
              <w:right w:val="nil"/>
            </w:tcBorders>
            <w:shd w:val="clear" w:color="auto" w:fill="auto"/>
            <w:noWrap/>
            <w:vAlign w:val="bottom"/>
            <w:hideMark/>
          </w:tcPr>
          <w:p w14:paraId="1CAA602D"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228</w:t>
            </w:r>
          </w:p>
        </w:tc>
        <w:tc>
          <w:tcPr>
            <w:tcW w:w="1151" w:type="dxa"/>
            <w:tcBorders>
              <w:top w:val="nil"/>
              <w:left w:val="nil"/>
              <w:bottom w:val="single" w:sz="4" w:space="0" w:color="auto"/>
            </w:tcBorders>
            <w:shd w:val="clear" w:color="auto" w:fill="auto"/>
            <w:noWrap/>
            <w:vAlign w:val="center"/>
            <w:hideMark/>
          </w:tcPr>
          <w:p w14:paraId="4F385977" w14:textId="64770566"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+23 %</w:t>
            </w:r>
          </w:p>
        </w:tc>
      </w:tr>
      <w:tr w:rsidR="00F85178" w:rsidRPr="00F85178" w14:paraId="74180931"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38F0C364"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Hr. Králové</w:t>
            </w:r>
          </w:p>
        </w:tc>
        <w:tc>
          <w:tcPr>
            <w:tcW w:w="749" w:type="dxa"/>
            <w:tcBorders>
              <w:top w:val="nil"/>
              <w:left w:val="nil"/>
              <w:bottom w:val="single" w:sz="4" w:space="0" w:color="auto"/>
              <w:right w:val="nil"/>
            </w:tcBorders>
            <w:shd w:val="clear" w:color="auto" w:fill="auto"/>
            <w:noWrap/>
            <w:vAlign w:val="bottom"/>
            <w:hideMark/>
          </w:tcPr>
          <w:p w14:paraId="0784A168"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89</w:t>
            </w:r>
          </w:p>
        </w:tc>
        <w:tc>
          <w:tcPr>
            <w:tcW w:w="1151" w:type="dxa"/>
            <w:tcBorders>
              <w:top w:val="nil"/>
              <w:left w:val="nil"/>
              <w:bottom w:val="single" w:sz="4" w:space="0" w:color="auto"/>
              <w:right w:val="nil"/>
            </w:tcBorders>
            <w:shd w:val="clear" w:color="auto" w:fill="auto"/>
            <w:noWrap/>
            <w:vAlign w:val="center"/>
            <w:hideMark/>
          </w:tcPr>
          <w:p w14:paraId="0630D09A" w14:textId="4516F64B"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749" w:type="dxa"/>
            <w:tcBorders>
              <w:top w:val="nil"/>
              <w:left w:val="single" w:sz="4" w:space="0" w:color="auto"/>
              <w:bottom w:val="single" w:sz="4" w:space="0" w:color="auto"/>
              <w:right w:val="nil"/>
            </w:tcBorders>
            <w:shd w:val="clear" w:color="auto" w:fill="auto"/>
            <w:noWrap/>
            <w:vAlign w:val="bottom"/>
            <w:hideMark/>
          </w:tcPr>
          <w:p w14:paraId="19BF51CE"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78</w:t>
            </w:r>
          </w:p>
        </w:tc>
        <w:tc>
          <w:tcPr>
            <w:tcW w:w="1151" w:type="dxa"/>
            <w:tcBorders>
              <w:top w:val="nil"/>
              <w:left w:val="nil"/>
              <w:bottom w:val="single" w:sz="4" w:space="0" w:color="auto"/>
              <w:right w:val="single" w:sz="4" w:space="0" w:color="auto"/>
            </w:tcBorders>
            <w:shd w:val="clear" w:color="auto" w:fill="auto"/>
            <w:noWrap/>
            <w:vAlign w:val="center"/>
            <w:hideMark/>
          </w:tcPr>
          <w:p w14:paraId="5BB2059B" w14:textId="1CF365BA"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749" w:type="dxa"/>
            <w:tcBorders>
              <w:top w:val="nil"/>
              <w:left w:val="nil"/>
              <w:bottom w:val="single" w:sz="4" w:space="0" w:color="auto"/>
              <w:right w:val="nil"/>
            </w:tcBorders>
            <w:shd w:val="clear" w:color="auto" w:fill="auto"/>
            <w:noWrap/>
            <w:vAlign w:val="bottom"/>
            <w:hideMark/>
          </w:tcPr>
          <w:p w14:paraId="578DE6DF"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90</w:t>
            </w:r>
          </w:p>
        </w:tc>
        <w:tc>
          <w:tcPr>
            <w:tcW w:w="1151" w:type="dxa"/>
            <w:tcBorders>
              <w:top w:val="nil"/>
              <w:left w:val="nil"/>
              <w:bottom w:val="single" w:sz="4" w:space="0" w:color="auto"/>
            </w:tcBorders>
            <w:shd w:val="clear" w:color="auto" w:fill="auto"/>
            <w:noWrap/>
            <w:vAlign w:val="center"/>
            <w:hideMark/>
          </w:tcPr>
          <w:p w14:paraId="79DED180" w14:textId="4092592D"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2F9B18B8" w14:textId="77777777" w:rsidTr="00FF7EB3">
        <w:trPr>
          <w:trHeight w:val="315"/>
        </w:trPr>
        <w:tc>
          <w:tcPr>
            <w:tcW w:w="2020" w:type="dxa"/>
            <w:tcBorders>
              <w:top w:val="nil"/>
              <w:left w:val="nil"/>
              <w:bottom w:val="single" w:sz="4" w:space="0" w:color="auto"/>
              <w:right w:val="nil"/>
            </w:tcBorders>
            <w:shd w:val="clear" w:color="auto" w:fill="auto"/>
            <w:noWrap/>
            <w:vAlign w:val="bottom"/>
            <w:hideMark/>
          </w:tcPr>
          <w:p w14:paraId="59259A01"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Brno</w:t>
            </w:r>
          </w:p>
        </w:tc>
        <w:tc>
          <w:tcPr>
            <w:tcW w:w="749" w:type="dxa"/>
            <w:tcBorders>
              <w:top w:val="nil"/>
              <w:left w:val="nil"/>
              <w:bottom w:val="single" w:sz="4" w:space="0" w:color="auto"/>
              <w:right w:val="nil"/>
            </w:tcBorders>
            <w:shd w:val="clear" w:color="auto" w:fill="auto"/>
            <w:noWrap/>
            <w:vAlign w:val="bottom"/>
            <w:hideMark/>
          </w:tcPr>
          <w:p w14:paraId="12920649"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115</w:t>
            </w:r>
          </w:p>
        </w:tc>
        <w:tc>
          <w:tcPr>
            <w:tcW w:w="1151" w:type="dxa"/>
            <w:tcBorders>
              <w:top w:val="nil"/>
              <w:left w:val="nil"/>
              <w:bottom w:val="single" w:sz="4" w:space="0" w:color="auto"/>
              <w:right w:val="nil"/>
            </w:tcBorders>
            <w:shd w:val="clear" w:color="auto" w:fill="auto"/>
            <w:noWrap/>
            <w:vAlign w:val="center"/>
            <w:hideMark/>
          </w:tcPr>
          <w:p w14:paraId="0707E3E8" w14:textId="4973ED90"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749" w:type="dxa"/>
            <w:tcBorders>
              <w:top w:val="nil"/>
              <w:left w:val="single" w:sz="4" w:space="0" w:color="auto"/>
              <w:bottom w:val="single" w:sz="4" w:space="0" w:color="auto"/>
              <w:right w:val="nil"/>
            </w:tcBorders>
            <w:shd w:val="clear" w:color="auto" w:fill="auto"/>
            <w:noWrap/>
            <w:vAlign w:val="bottom"/>
            <w:hideMark/>
          </w:tcPr>
          <w:p w14:paraId="54BEF666"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111</w:t>
            </w:r>
          </w:p>
        </w:tc>
        <w:tc>
          <w:tcPr>
            <w:tcW w:w="1151" w:type="dxa"/>
            <w:tcBorders>
              <w:top w:val="nil"/>
              <w:left w:val="nil"/>
              <w:bottom w:val="single" w:sz="4" w:space="0" w:color="auto"/>
              <w:right w:val="single" w:sz="4" w:space="0" w:color="auto"/>
            </w:tcBorders>
            <w:shd w:val="clear" w:color="auto" w:fill="auto"/>
            <w:noWrap/>
            <w:vAlign w:val="center"/>
            <w:hideMark/>
          </w:tcPr>
          <w:p w14:paraId="3CFF8CF5" w14:textId="7F6D7B76"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-16 %</w:t>
            </w:r>
          </w:p>
        </w:tc>
        <w:tc>
          <w:tcPr>
            <w:tcW w:w="749" w:type="dxa"/>
            <w:tcBorders>
              <w:top w:val="nil"/>
              <w:left w:val="nil"/>
              <w:bottom w:val="single" w:sz="4" w:space="0" w:color="auto"/>
              <w:right w:val="nil"/>
            </w:tcBorders>
            <w:shd w:val="clear" w:color="auto" w:fill="auto"/>
            <w:noWrap/>
            <w:vAlign w:val="bottom"/>
            <w:hideMark/>
          </w:tcPr>
          <w:p w14:paraId="32CF6E0B"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126</w:t>
            </w:r>
          </w:p>
        </w:tc>
        <w:tc>
          <w:tcPr>
            <w:tcW w:w="1151" w:type="dxa"/>
            <w:tcBorders>
              <w:top w:val="nil"/>
              <w:left w:val="nil"/>
              <w:bottom w:val="single" w:sz="4" w:space="0" w:color="auto"/>
            </w:tcBorders>
            <w:shd w:val="clear" w:color="auto" w:fill="auto"/>
            <w:noWrap/>
            <w:vAlign w:val="center"/>
            <w:hideMark/>
          </w:tcPr>
          <w:p w14:paraId="5ABD6A12" w14:textId="26264904"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5BE3CA82" w14:textId="77777777" w:rsidTr="00FF7EB3">
        <w:trPr>
          <w:trHeight w:val="330"/>
        </w:trPr>
        <w:tc>
          <w:tcPr>
            <w:tcW w:w="2020" w:type="dxa"/>
            <w:tcBorders>
              <w:top w:val="nil"/>
              <w:left w:val="nil"/>
              <w:bottom w:val="double" w:sz="6" w:space="0" w:color="auto"/>
              <w:right w:val="nil"/>
            </w:tcBorders>
            <w:shd w:val="clear" w:color="auto" w:fill="auto"/>
            <w:noWrap/>
            <w:vAlign w:val="bottom"/>
            <w:hideMark/>
          </w:tcPr>
          <w:p w14:paraId="6C101F10" w14:textId="77777777" w:rsidR="009867AC" w:rsidRPr="00F85178" w:rsidRDefault="009867AC" w:rsidP="009867AC">
            <w:pPr>
              <w:spacing w:line="240" w:lineRule="auto"/>
              <w:jc w:val="left"/>
              <w:rPr>
                <w:rFonts w:eastAsia="Times New Roman"/>
                <w:szCs w:val="24"/>
                <w:lang w:eastAsia="cs-CZ"/>
              </w:rPr>
            </w:pPr>
            <w:r w:rsidRPr="00F85178">
              <w:rPr>
                <w:rFonts w:eastAsia="Times New Roman"/>
                <w:szCs w:val="24"/>
                <w:lang w:eastAsia="cs-CZ"/>
              </w:rPr>
              <w:t>KS Ostrava</w:t>
            </w:r>
          </w:p>
        </w:tc>
        <w:tc>
          <w:tcPr>
            <w:tcW w:w="749" w:type="dxa"/>
            <w:tcBorders>
              <w:top w:val="nil"/>
              <w:left w:val="nil"/>
              <w:bottom w:val="double" w:sz="6" w:space="0" w:color="auto"/>
              <w:right w:val="nil"/>
            </w:tcBorders>
            <w:shd w:val="clear" w:color="auto" w:fill="auto"/>
            <w:noWrap/>
            <w:vAlign w:val="bottom"/>
            <w:hideMark/>
          </w:tcPr>
          <w:p w14:paraId="418488F2"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131</w:t>
            </w:r>
          </w:p>
        </w:tc>
        <w:tc>
          <w:tcPr>
            <w:tcW w:w="1151" w:type="dxa"/>
            <w:tcBorders>
              <w:top w:val="nil"/>
              <w:left w:val="nil"/>
              <w:bottom w:val="double" w:sz="6" w:space="0" w:color="auto"/>
              <w:right w:val="nil"/>
            </w:tcBorders>
            <w:shd w:val="clear" w:color="auto" w:fill="auto"/>
            <w:noWrap/>
            <w:vAlign w:val="center"/>
            <w:hideMark/>
          </w:tcPr>
          <w:p w14:paraId="1486878E" w14:textId="25CBEEB4"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749" w:type="dxa"/>
            <w:tcBorders>
              <w:top w:val="nil"/>
              <w:left w:val="single" w:sz="4" w:space="0" w:color="auto"/>
              <w:bottom w:val="double" w:sz="6" w:space="0" w:color="auto"/>
              <w:right w:val="nil"/>
            </w:tcBorders>
            <w:shd w:val="clear" w:color="auto" w:fill="auto"/>
            <w:noWrap/>
            <w:vAlign w:val="bottom"/>
            <w:hideMark/>
          </w:tcPr>
          <w:p w14:paraId="080B0BAF"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144</w:t>
            </w:r>
          </w:p>
        </w:tc>
        <w:tc>
          <w:tcPr>
            <w:tcW w:w="1151" w:type="dxa"/>
            <w:tcBorders>
              <w:top w:val="nil"/>
              <w:left w:val="nil"/>
              <w:bottom w:val="double" w:sz="6" w:space="0" w:color="auto"/>
              <w:right w:val="single" w:sz="4" w:space="0" w:color="auto"/>
            </w:tcBorders>
            <w:shd w:val="clear" w:color="auto" w:fill="auto"/>
            <w:noWrap/>
            <w:vAlign w:val="center"/>
            <w:hideMark/>
          </w:tcPr>
          <w:p w14:paraId="2ACBFBC9" w14:textId="1B913779"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+33 %</w:t>
            </w:r>
          </w:p>
        </w:tc>
        <w:tc>
          <w:tcPr>
            <w:tcW w:w="749" w:type="dxa"/>
            <w:tcBorders>
              <w:top w:val="nil"/>
              <w:left w:val="nil"/>
              <w:bottom w:val="double" w:sz="6" w:space="0" w:color="auto"/>
              <w:right w:val="nil"/>
            </w:tcBorders>
            <w:shd w:val="clear" w:color="auto" w:fill="auto"/>
            <w:noWrap/>
            <w:vAlign w:val="bottom"/>
            <w:hideMark/>
          </w:tcPr>
          <w:p w14:paraId="6E87253C" w14:textId="77777777" w:rsidR="009867AC" w:rsidRPr="00F85178" w:rsidRDefault="009867AC" w:rsidP="009867AC">
            <w:pPr>
              <w:spacing w:line="240" w:lineRule="auto"/>
              <w:jc w:val="center"/>
              <w:rPr>
                <w:rFonts w:eastAsia="Times New Roman"/>
                <w:szCs w:val="24"/>
                <w:lang w:eastAsia="cs-CZ"/>
              </w:rPr>
            </w:pPr>
            <w:r w:rsidRPr="00F85178">
              <w:rPr>
                <w:rFonts w:eastAsia="Times New Roman"/>
                <w:szCs w:val="24"/>
                <w:lang w:eastAsia="cs-CZ"/>
              </w:rPr>
              <w:t>85</w:t>
            </w:r>
          </w:p>
        </w:tc>
        <w:tc>
          <w:tcPr>
            <w:tcW w:w="1151" w:type="dxa"/>
            <w:tcBorders>
              <w:top w:val="nil"/>
              <w:left w:val="nil"/>
              <w:bottom w:val="double" w:sz="6" w:space="0" w:color="auto"/>
            </w:tcBorders>
            <w:shd w:val="clear" w:color="auto" w:fill="auto"/>
            <w:noWrap/>
            <w:vAlign w:val="center"/>
            <w:hideMark/>
          </w:tcPr>
          <w:p w14:paraId="51AC591F" w14:textId="2D09ECC2" w:rsidR="009867AC" w:rsidRPr="00F85178" w:rsidRDefault="009867AC" w:rsidP="009867AC">
            <w:pPr>
              <w:spacing w:line="240" w:lineRule="auto"/>
              <w:jc w:val="center"/>
              <w:rPr>
                <w:rFonts w:eastAsia="Times New Roman"/>
                <w:sz w:val="20"/>
                <w:szCs w:val="20"/>
                <w:lang w:eastAsia="cs-CZ"/>
              </w:rPr>
            </w:pPr>
            <w:r w:rsidRPr="00F85178">
              <w:rPr>
                <w:rFonts w:eastAsia="Times New Roman"/>
                <w:sz w:val="20"/>
                <w:szCs w:val="20"/>
                <w:lang w:eastAsia="cs-CZ"/>
              </w:rPr>
              <w:t>-13 %</w:t>
            </w:r>
          </w:p>
        </w:tc>
      </w:tr>
      <w:tr w:rsidR="009867AC" w:rsidRPr="00F85178" w14:paraId="549798FA" w14:textId="77777777" w:rsidTr="00FF7EB3">
        <w:trPr>
          <w:trHeight w:val="345"/>
        </w:trPr>
        <w:tc>
          <w:tcPr>
            <w:tcW w:w="2020" w:type="dxa"/>
            <w:tcBorders>
              <w:top w:val="nil"/>
              <w:left w:val="nil"/>
              <w:bottom w:val="double" w:sz="6" w:space="0" w:color="auto"/>
              <w:right w:val="nil"/>
            </w:tcBorders>
            <w:shd w:val="clear" w:color="auto" w:fill="auto"/>
            <w:noWrap/>
            <w:vAlign w:val="bottom"/>
            <w:hideMark/>
          </w:tcPr>
          <w:p w14:paraId="4CDCCBAC" w14:textId="77777777" w:rsidR="009867AC" w:rsidRPr="00F85178" w:rsidRDefault="009867AC" w:rsidP="009867A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749" w:type="dxa"/>
            <w:tcBorders>
              <w:top w:val="nil"/>
              <w:left w:val="nil"/>
              <w:bottom w:val="double" w:sz="6" w:space="0" w:color="auto"/>
              <w:right w:val="nil"/>
            </w:tcBorders>
            <w:shd w:val="clear" w:color="auto" w:fill="auto"/>
            <w:noWrap/>
            <w:vAlign w:val="bottom"/>
            <w:hideMark/>
          </w:tcPr>
          <w:p w14:paraId="4D7E5548"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126</w:t>
            </w:r>
          </w:p>
        </w:tc>
        <w:tc>
          <w:tcPr>
            <w:tcW w:w="1151" w:type="dxa"/>
            <w:tcBorders>
              <w:top w:val="nil"/>
              <w:left w:val="nil"/>
              <w:bottom w:val="double" w:sz="6" w:space="0" w:color="auto"/>
              <w:right w:val="nil"/>
            </w:tcBorders>
            <w:shd w:val="clear" w:color="auto" w:fill="auto"/>
            <w:noWrap/>
            <w:vAlign w:val="center"/>
            <w:hideMark/>
          </w:tcPr>
          <w:p w14:paraId="029A9628" w14:textId="70CC931C" w:rsidR="009867AC" w:rsidRPr="00F85178" w:rsidRDefault="009867AC" w:rsidP="009867AC">
            <w:pPr>
              <w:spacing w:line="240" w:lineRule="auto"/>
              <w:jc w:val="center"/>
              <w:rPr>
                <w:rFonts w:eastAsia="Times New Roman"/>
                <w:b/>
                <w:bCs/>
                <w:sz w:val="20"/>
                <w:szCs w:val="20"/>
                <w:lang w:eastAsia="cs-CZ"/>
              </w:rPr>
            </w:pPr>
            <w:r w:rsidRPr="00F85178">
              <w:rPr>
                <w:rFonts w:eastAsia="Times New Roman"/>
                <w:b/>
                <w:bCs/>
                <w:sz w:val="20"/>
                <w:szCs w:val="20"/>
                <w:lang w:eastAsia="cs-CZ"/>
              </w:rPr>
              <w:t>+1 %</w:t>
            </w:r>
          </w:p>
        </w:tc>
        <w:tc>
          <w:tcPr>
            <w:tcW w:w="749" w:type="dxa"/>
            <w:tcBorders>
              <w:top w:val="nil"/>
              <w:left w:val="single" w:sz="4" w:space="0" w:color="auto"/>
              <w:bottom w:val="double" w:sz="6" w:space="0" w:color="auto"/>
              <w:right w:val="nil"/>
            </w:tcBorders>
            <w:shd w:val="clear" w:color="auto" w:fill="auto"/>
            <w:noWrap/>
            <w:vAlign w:val="bottom"/>
            <w:hideMark/>
          </w:tcPr>
          <w:p w14:paraId="7F7F3EB0"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119</w:t>
            </w:r>
          </w:p>
        </w:tc>
        <w:tc>
          <w:tcPr>
            <w:tcW w:w="1151" w:type="dxa"/>
            <w:tcBorders>
              <w:top w:val="nil"/>
              <w:left w:val="nil"/>
              <w:bottom w:val="double" w:sz="6" w:space="0" w:color="auto"/>
              <w:right w:val="single" w:sz="4" w:space="0" w:color="auto"/>
            </w:tcBorders>
            <w:shd w:val="clear" w:color="auto" w:fill="auto"/>
            <w:noWrap/>
            <w:vAlign w:val="center"/>
            <w:hideMark/>
          </w:tcPr>
          <w:p w14:paraId="4F94F50D" w14:textId="733481B2" w:rsidR="009867AC" w:rsidRPr="00F85178" w:rsidRDefault="009867AC" w:rsidP="009867AC">
            <w:pPr>
              <w:spacing w:line="240" w:lineRule="auto"/>
              <w:jc w:val="center"/>
              <w:rPr>
                <w:rFonts w:eastAsia="Times New Roman"/>
                <w:b/>
                <w:bCs/>
                <w:sz w:val="20"/>
                <w:szCs w:val="20"/>
                <w:lang w:eastAsia="cs-CZ"/>
              </w:rPr>
            </w:pPr>
            <w:r w:rsidRPr="00F85178">
              <w:rPr>
                <w:rFonts w:eastAsia="Times New Roman"/>
                <w:b/>
                <w:bCs/>
                <w:sz w:val="20"/>
                <w:szCs w:val="20"/>
                <w:lang w:eastAsia="cs-CZ"/>
              </w:rPr>
              <w:t>-0 %</w:t>
            </w:r>
          </w:p>
        </w:tc>
        <w:tc>
          <w:tcPr>
            <w:tcW w:w="749" w:type="dxa"/>
            <w:tcBorders>
              <w:top w:val="nil"/>
              <w:left w:val="nil"/>
              <w:bottom w:val="double" w:sz="6" w:space="0" w:color="auto"/>
              <w:right w:val="nil"/>
            </w:tcBorders>
            <w:shd w:val="clear" w:color="auto" w:fill="auto"/>
            <w:noWrap/>
            <w:vAlign w:val="bottom"/>
            <w:hideMark/>
          </w:tcPr>
          <w:p w14:paraId="2089E218" w14:textId="77777777" w:rsidR="009867AC" w:rsidRPr="00F85178" w:rsidRDefault="009867AC" w:rsidP="009867AC">
            <w:pPr>
              <w:spacing w:line="240" w:lineRule="auto"/>
              <w:jc w:val="center"/>
              <w:rPr>
                <w:rFonts w:eastAsia="Times New Roman"/>
                <w:b/>
                <w:bCs/>
                <w:szCs w:val="24"/>
                <w:lang w:eastAsia="cs-CZ"/>
              </w:rPr>
            </w:pPr>
            <w:r w:rsidRPr="00F85178">
              <w:rPr>
                <w:rFonts w:eastAsia="Times New Roman"/>
                <w:b/>
                <w:bCs/>
                <w:szCs w:val="24"/>
                <w:lang w:eastAsia="cs-CZ"/>
              </w:rPr>
              <w:t>134</w:t>
            </w:r>
          </w:p>
        </w:tc>
        <w:tc>
          <w:tcPr>
            <w:tcW w:w="1151" w:type="dxa"/>
            <w:tcBorders>
              <w:top w:val="nil"/>
              <w:left w:val="nil"/>
              <w:bottom w:val="double" w:sz="6" w:space="0" w:color="auto"/>
            </w:tcBorders>
            <w:shd w:val="clear" w:color="auto" w:fill="auto"/>
            <w:noWrap/>
            <w:vAlign w:val="center"/>
            <w:hideMark/>
          </w:tcPr>
          <w:p w14:paraId="64B37B8C" w14:textId="4060727D" w:rsidR="009867AC" w:rsidRPr="00F85178" w:rsidRDefault="009867AC" w:rsidP="009867AC">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r>
    </w:tbl>
    <w:p w14:paraId="56D496F8" w14:textId="77777777" w:rsidR="00A7520C" w:rsidRPr="00C63DD0" w:rsidRDefault="00A7520C" w:rsidP="00205FD6"/>
    <w:p w14:paraId="34B0945E" w14:textId="77777777" w:rsidR="00BF56F2" w:rsidRPr="00F85178" w:rsidRDefault="00BF56F2" w:rsidP="00BF56F2">
      <w:pPr>
        <w:pStyle w:val="OdstavecASR"/>
      </w:pPr>
      <w:r w:rsidRPr="00F85178">
        <w:t>V tabulce na první pohled upoutá KS Hradec Králové, který má, v porovnání s ostatními krajskými soudy, zjevně silnější zastoupení soudců na správním úseku. Také se liší KS Ústí nad Labem. Počet napadlých a vyřízených věcí na soudce je u ostatních soudů poměrně vyrovnaný.</w:t>
      </w:r>
    </w:p>
    <w:p w14:paraId="75389FAE" w14:textId="77777777" w:rsidR="00BF56F2" w:rsidRPr="00F85178" w:rsidRDefault="008E006C" w:rsidP="00BF56F2">
      <w:pPr>
        <w:pStyle w:val="OdstavecASR"/>
      </w:pPr>
      <w:r w:rsidRPr="00F85178">
        <w:t>V počtu nevyřízených věcí si dle očekávání špatně vede MS Praha. V letech 2017 a 2018 vykázal nejvíce nevyřízených věcí v přepočtu na soudce KS Ústí nad Labem. U tohoto soud</w:t>
      </w:r>
      <w:r w:rsidR="00142F92" w:rsidRPr="00F85178">
        <w:t>u</w:t>
      </w:r>
      <w:r w:rsidRPr="00F85178">
        <w:t xml:space="preserve"> výrazně vzrostl počet nevyřízených věcí na soudce, což je dáno tím, že na správním úseku bylo k 1.</w:t>
      </w:r>
      <w:r w:rsidR="00FF7EB3" w:rsidRPr="00F85178">
        <w:t> </w:t>
      </w:r>
      <w:r w:rsidRPr="00F85178">
        <w:t>1.</w:t>
      </w:r>
      <w:r w:rsidR="00FF7EB3" w:rsidRPr="00F85178">
        <w:t> </w:t>
      </w:r>
      <w:r w:rsidRPr="00F85178">
        <w:t>2018 o</w:t>
      </w:r>
      <w:r w:rsidR="00142F92" w:rsidRPr="00F85178">
        <w:t> </w:t>
      </w:r>
      <w:r w:rsidRPr="00F85178">
        <w:t>jednoho soudce méně než k 1.</w:t>
      </w:r>
      <w:r w:rsidR="00FF7EB3" w:rsidRPr="00F85178">
        <w:t xml:space="preserve"> </w:t>
      </w:r>
      <w:r w:rsidRPr="00F85178">
        <w:t>1.</w:t>
      </w:r>
      <w:r w:rsidR="00FF7EB3" w:rsidRPr="00F85178">
        <w:t xml:space="preserve"> </w:t>
      </w:r>
      <w:r w:rsidRPr="00F85178">
        <w:t>2017. Naopak, například u KS Plzeň zůstal počet soudců stejný, ale vzrostl počet nevyřízených věcí. Nakonec je třeba zdůraznit, že určité rozdíly ve vyřizování věcí i délkách řízení plynou ze složení agendy a její složitosti.</w:t>
      </w:r>
    </w:p>
    <w:p w14:paraId="1852C5A2" w14:textId="77777777" w:rsidR="009867AC" w:rsidRPr="00F85178" w:rsidRDefault="009867AC" w:rsidP="009867AC">
      <w:pPr>
        <w:pStyle w:val="Nadpis3"/>
        <w:rPr>
          <w:color w:val="auto"/>
        </w:rPr>
      </w:pPr>
      <w:bookmarkStart w:id="534" w:name="_Toc515871270"/>
      <w:bookmarkStart w:id="535" w:name="_Toc14076919"/>
      <w:r w:rsidRPr="00F85178">
        <w:rPr>
          <w:color w:val="auto"/>
        </w:rPr>
        <w:t>Disposition time</w:t>
      </w:r>
      <w:bookmarkEnd w:id="534"/>
      <w:bookmarkEnd w:id="535"/>
    </w:p>
    <w:p w14:paraId="3A748F39" w14:textId="77777777" w:rsidR="00CD6766" w:rsidRPr="00F85178" w:rsidRDefault="00CD6766" w:rsidP="00CD6766">
      <w:pPr>
        <w:pStyle w:val="OdstavecASR"/>
      </w:pPr>
      <w:r w:rsidRPr="00F85178">
        <w:t>DT potvrzuje závěry z předchozích podkapitol. Celkově je značně vysoký, což plyne z poměru nevyřízených věcí k vyřízeným. Jedná se o jedinou krajskou agendu, kde celkový počet nevyřízených věcí k 31. 12. 201</w:t>
      </w:r>
      <w:r w:rsidR="00412481" w:rsidRPr="00F85178">
        <w:t>8</w:t>
      </w:r>
      <w:r w:rsidRPr="00F85178">
        <w:t xml:space="preserve"> převyšoval počet věcí vyřízených za rok 201</w:t>
      </w:r>
      <w:r w:rsidR="00412481" w:rsidRPr="00F85178">
        <w:t>8</w:t>
      </w:r>
      <w:r w:rsidRPr="00F85178">
        <w:t>. Z toho pak logicky plyne DT vyšší než 365. Velký nárůst v DT v roce 2011 vyplývá z toho, že v roce 2010 došlo k velkému dočasnému poklesu v nápadu, který se samozřejmě odrazil i v poklesu počtu vyřízených věcí. Vzhledem k vysokým délkám řízení došlo k tomuto poklesu až o rok později. Stejně jako u ostatních ukazatelů DT jasně ukazuje, že největší problémy s vyřizováním správní agendy má MS Praha a KS Ústí nad Labem.</w:t>
      </w:r>
      <w:r w:rsidR="00412481" w:rsidRPr="00F85178">
        <w:t xml:space="preserve"> V roce 2018 k nim ale také přibyl KS Praha</w:t>
      </w:r>
      <w:r w:rsidR="00142F92" w:rsidRPr="00F85178">
        <w:t xml:space="preserve"> </w:t>
      </w:r>
      <w:r w:rsidR="00412481" w:rsidRPr="00F85178">
        <w:t xml:space="preserve">a </w:t>
      </w:r>
      <w:r w:rsidR="00142F92" w:rsidRPr="00F85178">
        <w:t xml:space="preserve">také </w:t>
      </w:r>
      <w:r w:rsidR="00412481" w:rsidRPr="00F85178">
        <w:t>další soudy mají vysoké DT, snad pouze s výjimkou KS Č. Budějovice.</w:t>
      </w:r>
    </w:p>
    <w:p w14:paraId="24A76077" w14:textId="77777777" w:rsidR="009867AC" w:rsidRPr="00F85178" w:rsidRDefault="009867AC" w:rsidP="009867AC">
      <w:pPr>
        <w:pStyle w:val="Podtitul"/>
        <w:rPr>
          <w:color w:val="auto"/>
        </w:rPr>
      </w:pPr>
      <w:bookmarkStart w:id="536" w:name="_Toc515871401"/>
      <w:bookmarkStart w:id="537" w:name="_Toc11135132"/>
      <w:bookmarkStart w:id="538" w:name="_Toc13837564"/>
      <w:r w:rsidRPr="00F85178">
        <w:rPr>
          <w:color w:val="auto"/>
        </w:rPr>
        <w:t xml:space="preserve">Graf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71</w:t>
      </w:r>
      <w:r w:rsidR="00D842DE" w:rsidRPr="00F85178">
        <w:rPr>
          <w:noProof/>
          <w:color w:val="auto"/>
        </w:rPr>
        <w:fldChar w:fldCharType="end"/>
      </w:r>
      <w:r w:rsidRPr="00F85178">
        <w:rPr>
          <w:color w:val="auto"/>
        </w:rPr>
        <w:t>: KS – DT správního řízení v letech 2008–201</w:t>
      </w:r>
      <w:bookmarkEnd w:id="536"/>
      <w:r w:rsidRPr="00F85178">
        <w:rPr>
          <w:color w:val="auto"/>
        </w:rPr>
        <w:t>8</w:t>
      </w:r>
      <w:bookmarkEnd w:id="537"/>
      <w:bookmarkEnd w:id="538"/>
    </w:p>
    <w:p w14:paraId="442C7824" w14:textId="77777777" w:rsidR="00B7764E" w:rsidRPr="00F85178" w:rsidRDefault="00890295" w:rsidP="00B7764E">
      <w:r>
        <w:rPr>
          <w:noProof/>
          <w:lang w:eastAsia="cs-CZ"/>
        </w:rPr>
        <w:drawing>
          <wp:inline distT="0" distB="0" distL="0" distR="0" wp14:anchorId="0B278612" wp14:editId="064F1EF5">
            <wp:extent cx="5118100" cy="3746500"/>
            <wp:effectExtent l="0" t="0" r="0" b="0"/>
            <wp:docPr id="74" name="Obrázek 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7"/>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909DEC8" w14:textId="77777777" w:rsidR="00056527" w:rsidRPr="00F85178" w:rsidRDefault="00056527" w:rsidP="00CD6766">
      <w:pPr>
        <w:pStyle w:val="Podtitul"/>
        <w:pageBreakBefore/>
        <w:rPr>
          <w:color w:val="auto"/>
        </w:rPr>
      </w:pPr>
      <w:bookmarkStart w:id="539" w:name="_Toc515871494"/>
      <w:bookmarkStart w:id="540" w:name="_Toc11133261"/>
      <w:bookmarkStart w:id="541" w:name="_Toc13837482"/>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59</w:t>
      </w:r>
      <w:r w:rsidRPr="00F85178">
        <w:rPr>
          <w:noProof/>
          <w:color w:val="auto"/>
        </w:rPr>
        <w:fldChar w:fldCharType="end"/>
      </w:r>
      <w:r w:rsidRPr="00F85178">
        <w:rPr>
          <w:color w:val="auto"/>
        </w:rPr>
        <w:t>: KS – DT správního řízení dle soudů</w:t>
      </w:r>
      <w:bookmarkEnd w:id="539"/>
      <w:bookmarkEnd w:id="540"/>
      <w:bookmarkEnd w:id="541"/>
    </w:p>
    <w:tbl>
      <w:tblPr>
        <w:tblW w:w="5960" w:type="dxa"/>
        <w:tblCellMar>
          <w:left w:w="70" w:type="dxa"/>
          <w:right w:w="70" w:type="dxa"/>
        </w:tblCellMar>
        <w:tblLook w:val="04A0" w:firstRow="1" w:lastRow="0" w:firstColumn="1" w:lastColumn="0" w:noHBand="0" w:noVBand="1"/>
      </w:tblPr>
      <w:tblGrid>
        <w:gridCol w:w="2780"/>
        <w:gridCol w:w="1253"/>
        <w:gridCol w:w="1927"/>
      </w:tblGrid>
      <w:tr w:rsidR="00F85178" w:rsidRPr="00F85178" w14:paraId="6546CB59" w14:textId="77777777" w:rsidTr="00056527">
        <w:trPr>
          <w:trHeight w:val="345"/>
        </w:trPr>
        <w:tc>
          <w:tcPr>
            <w:tcW w:w="2780" w:type="dxa"/>
            <w:tcBorders>
              <w:top w:val="double" w:sz="6" w:space="0" w:color="auto"/>
              <w:left w:val="nil"/>
              <w:bottom w:val="double" w:sz="6" w:space="0" w:color="auto"/>
              <w:right w:val="nil"/>
            </w:tcBorders>
            <w:shd w:val="clear" w:color="auto" w:fill="auto"/>
            <w:noWrap/>
            <w:vAlign w:val="center"/>
            <w:hideMark/>
          </w:tcPr>
          <w:p w14:paraId="0AB49978" w14:textId="77777777" w:rsidR="00056527" w:rsidRPr="00F85178" w:rsidRDefault="00056527" w:rsidP="00056527">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3180" w:type="dxa"/>
            <w:gridSpan w:val="2"/>
            <w:tcBorders>
              <w:top w:val="double" w:sz="6" w:space="0" w:color="auto"/>
              <w:left w:val="nil"/>
              <w:bottom w:val="double" w:sz="6" w:space="0" w:color="auto"/>
              <w:right w:val="nil"/>
            </w:tcBorders>
            <w:shd w:val="clear" w:color="auto" w:fill="auto"/>
            <w:noWrap/>
            <w:vAlign w:val="center"/>
            <w:hideMark/>
          </w:tcPr>
          <w:p w14:paraId="4D7038FB" w14:textId="77777777" w:rsidR="00056527" w:rsidRPr="00F85178" w:rsidRDefault="00056527" w:rsidP="00056527">
            <w:pPr>
              <w:spacing w:line="240" w:lineRule="auto"/>
              <w:jc w:val="center"/>
              <w:rPr>
                <w:rFonts w:eastAsia="Times New Roman"/>
                <w:b/>
                <w:bCs/>
                <w:szCs w:val="24"/>
                <w:lang w:eastAsia="cs-CZ"/>
              </w:rPr>
            </w:pPr>
            <w:r w:rsidRPr="00F85178">
              <w:rPr>
                <w:rFonts w:eastAsia="Times New Roman"/>
                <w:b/>
                <w:bCs/>
                <w:szCs w:val="24"/>
                <w:lang w:eastAsia="cs-CZ"/>
              </w:rPr>
              <w:t>Disposition time</w:t>
            </w:r>
          </w:p>
        </w:tc>
      </w:tr>
      <w:tr w:rsidR="00F85178" w:rsidRPr="00F85178" w14:paraId="7B658383" w14:textId="77777777" w:rsidTr="00056527">
        <w:trPr>
          <w:trHeight w:val="330"/>
        </w:trPr>
        <w:tc>
          <w:tcPr>
            <w:tcW w:w="2780" w:type="dxa"/>
            <w:tcBorders>
              <w:top w:val="nil"/>
              <w:left w:val="nil"/>
              <w:bottom w:val="single" w:sz="4" w:space="0" w:color="auto"/>
              <w:right w:val="nil"/>
            </w:tcBorders>
            <w:shd w:val="clear" w:color="auto" w:fill="auto"/>
            <w:noWrap/>
            <w:vAlign w:val="bottom"/>
            <w:hideMark/>
          </w:tcPr>
          <w:p w14:paraId="67F41130"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MS Praha</w:t>
            </w:r>
          </w:p>
        </w:tc>
        <w:tc>
          <w:tcPr>
            <w:tcW w:w="1253" w:type="dxa"/>
            <w:tcBorders>
              <w:top w:val="nil"/>
              <w:left w:val="nil"/>
              <w:bottom w:val="single" w:sz="4" w:space="0" w:color="auto"/>
              <w:right w:val="nil"/>
            </w:tcBorders>
            <w:shd w:val="clear" w:color="auto" w:fill="auto"/>
            <w:noWrap/>
            <w:vAlign w:val="bottom"/>
            <w:hideMark/>
          </w:tcPr>
          <w:p w14:paraId="194441F2"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518</w:t>
            </w:r>
          </w:p>
        </w:tc>
        <w:tc>
          <w:tcPr>
            <w:tcW w:w="1927" w:type="dxa"/>
            <w:tcBorders>
              <w:top w:val="nil"/>
              <w:left w:val="nil"/>
              <w:bottom w:val="single" w:sz="4" w:space="0" w:color="auto"/>
              <w:right w:val="nil"/>
            </w:tcBorders>
            <w:shd w:val="clear" w:color="auto" w:fill="auto"/>
            <w:noWrap/>
            <w:vAlign w:val="center"/>
            <w:hideMark/>
          </w:tcPr>
          <w:p w14:paraId="6AA29CC8" w14:textId="6412717F"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-2 %</w:t>
            </w:r>
          </w:p>
        </w:tc>
      </w:tr>
      <w:tr w:rsidR="00F85178" w:rsidRPr="00F85178" w14:paraId="55D48075"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00733726"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Praha</w:t>
            </w:r>
          </w:p>
        </w:tc>
        <w:tc>
          <w:tcPr>
            <w:tcW w:w="1253" w:type="dxa"/>
            <w:tcBorders>
              <w:top w:val="nil"/>
              <w:left w:val="nil"/>
              <w:bottom w:val="single" w:sz="4" w:space="0" w:color="auto"/>
              <w:right w:val="nil"/>
            </w:tcBorders>
            <w:shd w:val="clear" w:color="auto" w:fill="auto"/>
            <w:noWrap/>
            <w:vAlign w:val="bottom"/>
            <w:hideMark/>
          </w:tcPr>
          <w:p w14:paraId="5F175856"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470</w:t>
            </w:r>
          </w:p>
        </w:tc>
        <w:tc>
          <w:tcPr>
            <w:tcW w:w="1927" w:type="dxa"/>
            <w:tcBorders>
              <w:top w:val="nil"/>
              <w:left w:val="nil"/>
              <w:bottom w:val="single" w:sz="4" w:space="0" w:color="auto"/>
              <w:right w:val="nil"/>
            </w:tcBorders>
            <w:shd w:val="clear" w:color="auto" w:fill="auto"/>
            <w:noWrap/>
            <w:vAlign w:val="center"/>
            <w:hideMark/>
          </w:tcPr>
          <w:p w14:paraId="1DA4C98A" w14:textId="3298F9D7"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+38 %</w:t>
            </w:r>
          </w:p>
        </w:tc>
      </w:tr>
      <w:tr w:rsidR="00F85178" w:rsidRPr="00F85178" w14:paraId="5847165C"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5450F3BA"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Č. Budějovice</w:t>
            </w:r>
          </w:p>
        </w:tc>
        <w:tc>
          <w:tcPr>
            <w:tcW w:w="1253" w:type="dxa"/>
            <w:tcBorders>
              <w:top w:val="nil"/>
              <w:left w:val="nil"/>
              <w:bottom w:val="single" w:sz="4" w:space="0" w:color="auto"/>
              <w:right w:val="nil"/>
            </w:tcBorders>
            <w:shd w:val="clear" w:color="auto" w:fill="auto"/>
            <w:noWrap/>
            <w:vAlign w:val="bottom"/>
            <w:hideMark/>
          </w:tcPr>
          <w:p w14:paraId="40A2FDA3"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194</w:t>
            </w:r>
          </w:p>
        </w:tc>
        <w:tc>
          <w:tcPr>
            <w:tcW w:w="1927" w:type="dxa"/>
            <w:tcBorders>
              <w:top w:val="nil"/>
              <w:left w:val="nil"/>
              <w:bottom w:val="single" w:sz="4" w:space="0" w:color="auto"/>
              <w:right w:val="nil"/>
            </w:tcBorders>
            <w:shd w:val="clear" w:color="auto" w:fill="auto"/>
            <w:noWrap/>
            <w:vAlign w:val="center"/>
            <w:hideMark/>
          </w:tcPr>
          <w:p w14:paraId="47E9329A" w14:textId="31B58BBE"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04A09CCA"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3A31AE26"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Plzeň</w:t>
            </w:r>
          </w:p>
        </w:tc>
        <w:tc>
          <w:tcPr>
            <w:tcW w:w="1253" w:type="dxa"/>
            <w:tcBorders>
              <w:top w:val="nil"/>
              <w:left w:val="nil"/>
              <w:bottom w:val="single" w:sz="4" w:space="0" w:color="auto"/>
              <w:right w:val="nil"/>
            </w:tcBorders>
            <w:shd w:val="clear" w:color="auto" w:fill="auto"/>
            <w:noWrap/>
            <w:vAlign w:val="bottom"/>
            <w:hideMark/>
          </w:tcPr>
          <w:p w14:paraId="1EF2C2C5"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306</w:t>
            </w:r>
          </w:p>
        </w:tc>
        <w:tc>
          <w:tcPr>
            <w:tcW w:w="1927" w:type="dxa"/>
            <w:tcBorders>
              <w:top w:val="nil"/>
              <w:left w:val="nil"/>
              <w:bottom w:val="single" w:sz="4" w:space="0" w:color="auto"/>
              <w:right w:val="nil"/>
            </w:tcBorders>
            <w:shd w:val="clear" w:color="auto" w:fill="auto"/>
            <w:noWrap/>
            <w:vAlign w:val="center"/>
            <w:hideMark/>
          </w:tcPr>
          <w:p w14:paraId="6226C6AC" w14:textId="1CBEBB50"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+34 %</w:t>
            </w:r>
          </w:p>
        </w:tc>
      </w:tr>
      <w:tr w:rsidR="00F85178" w:rsidRPr="00F85178" w14:paraId="3BCE43C0"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20AB9EDE"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Ústí n. Labem</w:t>
            </w:r>
          </w:p>
        </w:tc>
        <w:tc>
          <w:tcPr>
            <w:tcW w:w="1253" w:type="dxa"/>
            <w:tcBorders>
              <w:top w:val="nil"/>
              <w:left w:val="nil"/>
              <w:bottom w:val="single" w:sz="4" w:space="0" w:color="auto"/>
              <w:right w:val="nil"/>
            </w:tcBorders>
            <w:shd w:val="clear" w:color="auto" w:fill="auto"/>
            <w:noWrap/>
            <w:vAlign w:val="bottom"/>
            <w:hideMark/>
          </w:tcPr>
          <w:p w14:paraId="72FA67F0"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483</w:t>
            </w:r>
          </w:p>
        </w:tc>
        <w:tc>
          <w:tcPr>
            <w:tcW w:w="1927" w:type="dxa"/>
            <w:tcBorders>
              <w:top w:val="nil"/>
              <w:left w:val="nil"/>
              <w:bottom w:val="single" w:sz="4" w:space="0" w:color="auto"/>
              <w:right w:val="nil"/>
            </w:tcBorders>
            <w:shd w:val="clear" w:color="auto" w:fill="auto"/>
            <w:noWrap/>
            <w:vAlign w:val="center"/>
            <w:hideMark/>
          </w:tcPr>
          <w:p w14:paraId="0B72525C" w14:textId="5C24A3E2"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3BA244D8"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7309FCA8"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Hr. Králové</w:t>
            </w:r>
          </w:p>
        </w:tc>
        <w:tc>
          <w:tcPr>
            <w:tcW w:w="1253" w:type="dxa"/>
            <w:tcBorders>
              <w:top w:val="nil"/>
              <w:left w:val="nil"/>
              <w:bottom w:val="single" w:sz="4" w:space="0" w:color="auto"/>
              <w:right w:val="nil"/>
            </w:tcBorders>
            <w:shd w:val="clear" w:color="auto" w:fill="auto"/>
            <w:noWrap/>
            <w:vAlign w:val="bottom"/>
            <w:hideMark/>
          </w:tcPr>
          <w:p w14:paraId="612EA60D"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420</w:t>
            </w:r>
          </w:p>
        </w:tc>
        <w:tc>
          <w:tcPr>
            <w:tcW w:w="1927" w:type="dxa"/>
            <w:tcBorders>
              <w:top w:val="nil"/>
              <w:left w:val="nil"/>
              <w:bottom w:val="single" w:sz="4" w:space="0" w:color="auto"/>
              <w:right w:val="nil"/>
            </w:tcBorders>
            <w:shd w:val="clear" w:color="auto" w:fill="auto"/>
            <w:noWrap/>
            <w:vAlign w:val="center"/>
            <w:hideMark/>
          </w:tcPr>
          <w:p w14:paraId="55A525A6" w14:textId="04AFFB4F"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+13 %</w:t>
            </w:r>
          </w:p>
        </w:tc>
      </w:tr>
      <w:tr w:rsidR="00F85178" w:rsidRPr="00F85178" w14:paraId="5FB5FA78" w14:textId="77777777" w:rsidTr="00056527">
        <w:trPr>
          <w:trHeight w:val="315"/>
        </w:trPr>
        <w:tc>
          <w:tcPr>
            <w:tcW w:w="2780" w:type="dxa"/>
            <w:tcBorders>
              <w:top w:val="nil"/>
              <w:left w:val="nil"/>
              <w:bottom w:val="single" w:sz="4" w:space="0" w:color="auto"/>
              <w:right w:val="nil"/>
            </w:tcBorders>
            <w:shd w:val="clear" w:color="auto" w:fill="auto"/>
            <w:noWrap/>
            <w:vAlign w:val="bottom"/>
            <w:hideMark/>
          </w:tcPr>
          <w:p w14:paraId="5B37EFC1"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Brno</w:t>
            </w:r>
          </w:p>
        </w:tc>
        <w:tc>
          <w:tcPr>
            <w:tcW w:w="1253" w:type="dxa"/>
            <w:tcBorders>
              <w:top w:val="nil"/>
              <w:left w:val="nil"/>
              <w:bottom w:val="single" w:sz="4" w:space="0" w:color="auto"/>
              <w:right w:val="nil"/>
            </w:tcBorders>
            <w:shd w:val="clear" w:color="auto" w:fill="auto"/>
            <w:noWrap/>
            <w:vAlign w:val="bottom"/>
            <w:hideMark/>
          </w:tcPr>
          <w:p w14:paraId="0BF59E6D"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414</w:t>
            </w:r>
          </w:p>
        </w:tc>
        <w:tc>
          <w:tcPr>
            <w:tcW w:w="1927" w:type="dxa"/>
            <w:tcBorders>
              <w:top w:val="nil"/>
              <w:left w:val="nil"/>
              <w:bottom w:val="single" w:sz="4" w:space="0" w:color="auto"/>
              <w:right w:val="nil"/>
            </w:tcBorders>
            <w:shd w:val="clear" w:color="auto" w:fill="auto"/>
            <w:noWrap/>
            <w:vAlign w:val="center"/>
            <w:hideMark/>
          </w:tcPr>
          <w:p w14:paraId="68CB70DF" w14:textId="6E48AFE2"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+16 %</w:t>
            </w:r>
          </w:p>
        </w:tc>
      </w:tr>
      <w:tr w:rsidR="00F85178" w:rsidRPr="00F85178" w14:paraId="62C40359" w14:textId="77777777" w:rsidTr="00056527">
        <w:trPr>
          <w:trHeight w:val="330"/>
        </w:trPr>
        <w:tc>
          <w:tcPr>
            <w:tcW w:w="2780" w:type="dxa"/>
            <w:tcBorders>
              <w:top w:val="nil"/>
              <w:left w:val="nil"/>
              <w:bottom w:val="double" w:sz="6" w:space="0" w:color="auto"/>
              <w:right w:val="nil"/>
            </w:tcBorders>
            <w:shd w:val="clear" w:color="auto" w:fill="auto"/>
            <w:noWrap/>
            <w:vAlign w:val="bottom"/>
            <w:hideMark/>
          </w:tcPr>
          <w:p w14:paraId="6356B72A" w14:textId="77777777" w:rsidR="00056527" w:rsidRPr="00F85178" w:rsidRDefault="00056527" w:rsidP="00056527">
            <w:pPr>
              <w:spacing w:line="240" w:lineRule="auto"/>
              <w:jc w:val="left"/>
              <w:rPr>
                <w:rFonts w:eastAsia="Times New Roman"/>
                <w:szCs w:val="24"/>
                <w:lang w:eastAsia="cs-CZ"/>
              </w:rPr>
            </w:pPr>
            <w:r w:rsidRPr="00F85178">
              <w:rPr>
                <w:rFonts w:eastAsia="Times New Roman"/>
                <w:szCs w:val="24"/>
                <w:lang w:eastAsia="cs-CZ"/>
              </w:rPr>
              <w:t>KS Ostrava</w:t>
            </w:r>
          </w:p>
        </w:tc>
        <w:tc>
          <w:tcPr>
            <w:tcW w:w="1253" w:type="dxa"/>
            <w:tcBorders>
              <w:top w:val="nil"/>
              <w:left w:val="nil"/>
              <w:bottom w:val="double" w:sz="6" w:space="0" w:color="auto"/>
              <w:right w:val="nil"/>
            </w:tcBorders>
            <w:shd w:val="clear" w:color="auto" w:fill="auto"/>
            <w:noWrap/>
            <w:vAlign w:val="bottom"/>
            <w:hideMark/>
          </w:tcPr>
          <w:p w14:paraId="10BDC3D7" w14:textId="77777777" w:rsidR="00056527" w:rsidRPr="00F85178" w:rsidRDefault="00056527" w:rsidP="00056527">
            <w:pPr>
              <w:spacing w:line="240" w:lineRule="auto"/>
              <w:jc w:val="center"/>
              <w:rPr>
                <w:rFonts w:eastAsia="Times New Roman"/>
                <w:szCs w:val="24"/>
                <w:lang w:eastAsia="cs-CZ"/>
              </w:rPr>
            </w:pPr>
            <w:r w:rsidRPr="00F85178">
              <w:rPr>
                <w:rFonts w:eastAsia="Times New Roman"/>
                <w:szCs w:val="24"/>
                <w:lang w:eastAsia="cs-CZ"/>
              </w:rPr>
              <w:t>215</w:t>
            </w:r>
          </w:p>
        </w:tc>
        <w:tc>
          <w:tcPr>
            <w:tcW w:w="1927" w:type="dxa"/>
            <w:tcBorders>
              <w:top w:val="nil"/>
              <w:left w:val="nil"/>
              <w:bottom w:val="double" w:sz="6" w:space="0" w:color="auto"/>
              <w:right w:val="nil"/>
            </w:tcBorders>
            <w:shd w:val="clear" w:color="auto" w:fill="auto"/>
            <w:noWrap/>
            <w:vAlign w:val="center"/>
            <w:hideMark/>
          </w:tcPr>
          <w:p w14:paraId="5B0ED310" w14:textId="7590550E" w:rsidR="00056527" w:rsidRPr="00F85178" w:rsidRDefault="00056527" w:rsidP="00056527">
            <w:pPr>
              <w:spacing w:line="240" w:lineRule="auto"/>
              <w:jc w:val="center"/>
              <w:rPr>
                <w:rFonts w:eastAsia="Times New Roman"/>
                <w:sz w:val="20"/>
                <w:szCs w:val="20"/>
                <w:lang w:eastAsia="cs-CZ"/>
              </w:rPr>
            </w:pPr>
            <w:r w:rsidRPr="00F85178">
              <w:rPr>
                <w:rFonts w:eastAsia="Times New Roman"/>
                <w:sz w:val="20"/>
                <w:szCs w:val="20"/>
                <w:lang w:eastAsia="cs-CZ"/>
              </w:rPr>
              <w:t>-34 %</w:t>
            </w:r>
          </w:p>
        </w:tc>
      </w:tr>
      <w:tr w:rsidR="00056527" w:rsidRPr="00F85178" w14:paraId="4F13045D" w14:textId="77777777" w:rsidTr="00056527">
        <w:trPr>
          <w:trHeight w:val="345"/>
        </w:trPr>
        <w:tc>
          <w:tcPr>
            <w:tcW w:w="2780" w:type="dxa"/>
            <w:tcBorders>
              <w:top w:val="nil"/>
              <w:left w:val="nil"/>
              <w:bottom w:val="double" w:sz="6" w:space="0" w:color="auto"/>
              <w:right w:val="nil"/>
            </w:tcBorders>
            <w:shd w:val="clear" w:color="auto" w:fill="auto"/>
            <w:noWrap/>
            <w:vAlign w:val="bottom"/>
            <w:hideMark/>
          </w:tcPr>
          <w:p w14:paraId="14C154D0" w14:textId="77777777" w:rsidR="00056527" w:rsidRPr="00F85178" w:rsidRDefault="00056527" w:rsidP="00056527">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253" w:type="dxa"/>
            <w:tcBorders>
              <w:top w:val="nil"/>
              <w:left w:val="nil"/>
              <w:bottom w:val="double" w:sz="6" w:space="0" w:color="auto"/>
              <w:right w:val="nil"/>
            </w:tcBorders>
            <w:shd w:val="clear" w:color="auto" w:fill="auto"/>
            <w:noWrap/>
            <w:vAlign w:val="bottom"/>
            <w:hideMark/>
          </w:tcPr>
          <w:p w14:paraId="57DF5D1E" w14:textId="77777777" w:rsidR="00056527" w:rsidRPr="00F85178" w:rsidRDefault="00056527" w:rsidP="00056527">
            <w:pPr>
              <w:spacing w:line="240" w:lineRule="auto"/>
              <w:jc w:val="center"/>
              <w:rPr>
                <w:rFonts w:eastAsia="Times New Roman"/>
                <w:b/>
                <w:bCs/>
                <w:szCs w:val="24"/>
                <w:lang w:eastAsia="cs-CZ"/>
              </w:rPr>
            </w:pPr>
            <w:r w:rsidRPr="00F85178">
              <w:rPr>
                <w:rFonts w:eastAsia="Times New Roman"/>
                <w:b/>
                <w:bCs/>
                <w:szCs w:val="24"/>
                <w:lang w:eastAsia="cs-CZ"/>
              </w:rPr>
              <w:t>412</w:t>
            </w:r>
          </w:p>
        </w:tc>
        <w:tc>
          <w:tcPr>
            <w:tcW w:w="1927" w:type="dxa"/>
            <w:tcBorders>
              <w:top w:val="nil"/>
              <w:left w:val="nil"/>
              <w:bottom w:val="double" w:sz="6" w:space="0" w:color="auto"/>
              <w:right w:val="nil"/>
            </w:tcBorders>
            <w:shd w:val="clear" w:color="auto" w:fill="auto"/>
            <w:noWrap/>
            <w:vAlign w:val="center"/>
            <w:hideMark/>
          </w:tcPr>
          <w:p w14:paraId="2F043286" w14:textId="3D1BDFEA" w:rsidR="00056527" w:rsidRPr="00F85178" w:rsidRDefault="00056527" w:rsidP="00056527">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r>
    </w:tbl>
    <w:p w14:paraId="279B3AC7" w14:textId="77777777" w:rsidR="00056527" w:rsidRPr="00F85178" w:rsidRDefault="00056527" w:rsidP="00B7764E"/>
    <w:p w14:paraId="092AB9B7" w14:textId="5C8B38E4" w:rsidR="00412481" w:rsidRPr="00F85178" w:rsidRDefault="00412481" w:rsidP="00412481">
      <w:pPr>
        <w:pStyle w:val="OdstavecASR"/>
      </w:pPr>
      <w:r w:rsidRPr="00F85178">
        <w:t>Celkově jsou délky řízení ve správním soudnictví značně vysoké a značná je i zatíženost správních úseků soudů. Městskému soudu v Praze se již víceméně podařilo zarazit rostoucí trend v délkách řízení a v počtu nevyřízených věcí. Ostatní soudy sice v absolutních hodnotách nevykazují tak vysoké délky řízení jako MS Praha, ale míra vyřizování je u nich většinou výrazně pod 100 %. Pouze</w:t>
      </w:r>
      <w:r w:rsidR="00142F92" w:rsidRPr="00F85178">
        <w:t xml:space="preserve"> na </w:t>
      </w:r>
      <w:r w:rsidRPr="00F85178">
        <w:t>KS Ostrava vyřídili více věcí</w:t>
      </w:r>
      <w:r w:rsidR="00142F92" w:rsidRPr="00F85178">
        <w:t xml:space="preserve">, </w:t>
      </w:r>
      <w:r w:rsidRPr="00F85178">
        <w:t>než jich přišlo, ale i tento soud má problémy se správní agendou. Pouze KS České Budějovice nevykazuje na správním úseku výraznější problémy.</w:t>
      </w:r>
    </w:p>
    <w:p w14:paraId="27F06886" w14:textId="77777777" w:rsidR="0032015B" w:rsidRDefault="00412481" w:rsidP="00412481">
      <w:pPr>
        <w:pStyle w:val="OdstavecASR"/>
      </w:pPr>
      <w:r w:rsidRPr="00F85178">
        <w:t>Ministerstvo spravedlnosti si je problémů na správních úsecích soudů vědomo a zahájilo cílené posilování správních úseků vybraných soudů.</w:t>
      </w:r>
    </w:p>
    <w:p w14:paraId="31E68805" w14:textId="6E4D5630" w:rsidR="006A289C" w:rsidRPr="00F85178" w:rsidRDefault="006A289C" w:rsidP="006A289C">
      <w:pPr>
        <w:pStyle w:val="Nadpis3"/>
        <w:rPr>
          <w:color w:val="auto"/>
        </w:rPr>
      </w:pPr>
      <w:bookmarkStart w:id="542" w:name="_Toc515871271"/>
      <w:bookmarkStart w:id="543" w:name="_Toc14076920"/>
      <w:r w:rsidRPr="00F85178">
        <w:rPr>
          <w:color w:val="auto"/>
        </w:rPr>
        <w:t>Další statistiky</w:t>
      </w:r>
      <w:bookmarkEnd w:id="542"/>
      <w:bookmarkEnd w:id="543"/>
    </w:p>
    <w:p w14:paraId="73FD064C" w14:textId="77777777" w:rsidR="00B7764E" w:rsidRPr="00F85178" w:rsidRDefault="002200FE" w:rsidP="001E1489">
      <w:pPr>
        <w:pStyle w:val="Podtitul"/>
        <w:rPr>
          <w:color w:val="auto"/>
        </w:rPr>
      </w:pPr>
      <w:bookmarkStart w:id="544" w:name="_Toc515871495"/>
      <w:r w:rsidRPr="00F85178">
        <w:rPr>
          <w:color w:val="auto"/>
        </w:rPr>
        <w:t xml:space="preserve">Tabulka </w:t>
      </w:r>
      <w:r w:rsidR="00412481" w:rsidRPr="00F85178">
        <w:rPr>
          <w:color w:val="auto"/>
        </w:rPr>
        <w:t>59</w:t>
      </w:r>
      <w:r w:rsidRPr="00F85178">
        <w:rPr>
          <w:color w:val="auto"/>
        </w:rPr>
        <w:t>: KS – nejčastější spory ve správním soudnictví</w:t>
      </w:r>
      <w:bookmarkEnd w:id="544"/>
    </w:p>
    <w:tbl>
      <w:tblPr>
        <w:tblW w:w="7320" w:type="dxa"/>
        <w:tblCellMar>
          <w:left w:w="70" w:type="dxa"/>
          <w:right w:w="70" w:type="dxa"/>
        </w:tblCellMar>
        <w:tblLook w:val="04A0" w:firstRow="1" w:lastRow="0" w:firstColumn="1" w:lastColumn="0" w:noHBand="0" w:noVBand="1"/>
      </w:tblPr>
      <w:tblGrid>
        <w:gridCol w:w="5220"/>
        <w:gridCol w:w="2100"/>
      </w:tblGrid>
      <w:tr w:rsidR="00F85178" w:rsidRPr="00F85178" w14:paraId="4D5CF074" w14:textId="77777777" w:rsidTr="00D83BD6">
        <w:trPr>
          <w:trHeight w:val="345"/>
        </w:trPr>
        <w:tc>
          <w:tcPr>
            <w:tcW w:w="5220" w:type="dxa"/>
            <w:tcBorders>
              <w:top w:val="double" w:sz="6" w:space="0" w:color="auto"/>
              <w:left w:val="nil"/>
              <w:bottom w:val="double" w:sz="6" w:space="0" w:color="auto"/>
              <w:right w:val="nil"/>
            </w:tcBorders>
            <w:shd w:val="clear" w:color="auto" w:fill="auto"/>
            <w:noWrap/>
            <w:vAlign w:val="center"/>
            <w:hideMark/>
          </w:tcPr>
          <w:p w14:paraId="4CE793AF" w14:textId="77777777" w:rsidR="00D83BD6" w:rsidRPr="00F85178" w:rsidRDefault="00D83BD6" w:rsidP="00D83BD6">
            <w:pPr>
              <w:spacing w:line="240" w:lineRule="auto"/>
              <w:jc w:val="center"/>
              <w:rPr>
                <w:rFonts w:eastAsia="Times New Roman"/>
                <w:b/>
                <w:bCs/>
                <w:szCs w:val="24"/>
                <w:lang w:eastAsia="cs-CZ"/>
              </w:rPr>
            </w:pPr>
            <w:r w:rsidRPr="00F85178">
              <w:rPr>
                <w:rFonts w:eastAsia="Times New Roman"/>
                <w:b/>
                <w:bCs/>
                <w:szCs w:val="24"/>
                <w:lang w:eastAsia="cs-CZ"/>
              </w:rPr>
              <w:t>Předmět sporu</w:t>
            </w:r>
          </w:p>
        </w:tc>
        <w:tc>
          <w:tcPr>
            <w:tcW w:w="2100" w:type="dxa"/>
            <w:tcBorders>
              <w:top w:val="double" w:sz="6" w:space="0" w:color="auto"/>
              <w:left w:val="nil"/>
              <w:bottom w:val="double" w:sz="6" w:space="0" w:color="auto"/>
              <w:right w:val="nil"/>
            </w:tcBorders>
            <w:shd w:val="clear" w:color="auto" w:fill="auto"/>
            <w:noWrap/>
            <w:vAlign w:val="center"/>
            <w:hideMark/>
          </w:tcPr>
          <w:p w14:paraId="6B198700" w14:textId="77777777" w:rsidR="00D83BD6" w:rsidRPr="00F85178" w:rsidRDefault="00D83BD6" w:rsidP="00D83BD6">
            <w:pPr>
              <w:spacing w:line="240" w:lineRule="auto"/>
              <w:jc w:val="center"/>
              <w:rPr>
                <w:rFonts w:eastAsia="Times New Roman"/>
                <w:b/>
                <w:bCs/>
                <w:szCs w:val="24"/>
                <w:lang w:eastAsia="cs-CZ"/>
              </w:rPr>
            </w:pPr>
            <w:r w:rsidRPr="00F85178">
              <w:rPr>
                <w:rFonts w:eastAsia="Times New Roman"/>
                <w:b/>
                <w:bCs/>
                <w:szCs w:val="24"/>
                <w:lang w:eastAsia="cs-CZ"/>
              </w:rPr>
              <w:t>Podíl v %</w:t>
            </w:r>
          </w:p>
        </w:tc>
      </w:tr>
      <w:tr w:rsidR="00F85178" w:rsidRPr="00F85178" w14:paraId="78BC0F02" w14:textId="77777777" w:rsidTr="00D83BD6">
        <w:trPr>
          <w:trHeight w:val="645"/>
        </w:trPr>
        <w:tc>
          <w:tcPr>
            <w:tcW w:w="5220" w:type="dxa"/>
            <w:tcBorders>
              <w:top w:val="nil"/>
              <w:left w:val="nil"/>
              <w:bottom w:val="single" w:sz="4" w:space="0" w:color="auto"/>
              <w:right w:val="nil"/>
            </w:tcBorders>
            <w:shd w:val="clear" w:color="auto" w:fill="auto"/>
            <w:vAlign w:val="bottom"/>
            <w:hideMark/>
          </w:tcPr>
          <w:p w14:paraId="018169E3" w14:textId="4EF96D71" w:rsidR="00D83BD6" w:rsidRPr="00F85178" w:rsidRDefault="00D83BD6" w:rsidP="00770A9F">
            <w:pPr>
              <w:spacing w:line="240" w:lineRule="auto"/>
              <w:jc w:val="left"/>
              <w:rPr>
                <w:rFonts w:eastAsia="Times New Roman"/>
                <w:szCs w:val="24"/>
                <w:lang w:eastAsia="cs-CZ"/>
              </w:rPr>
            </w:pPr>
            <w:r w:rsidRPr="00F85178">
              <w:rPr>
                <w:rFonts w:eastAsia="Times New Roman"/>
                <w:szCs w:val="24"/>
                <w:lang w:eastAsia="cs-CZ"/>
              </w:rPr>
              <w:t>Správní žaloby - pobyt a evidence cizinců (zák. č.</w:t>
            </w:r>
            <w:r w:rsidR="00770A9F">
              <w:rPr>
                <w:rFonts w:eastAsia="Times New Roman"/>
                <w:szCs w:val="24"/>
                <w:lang w:eastAsia="cs-CZ"/>
              </w:rPr>
              <w:t> </w:t>
            </w:r>
            <w:r w:rsidRPr="00F85178">
              <w:rPr>
                <w:rFonts w:eastAsia="Times New Roman"/>
                <w:szCs w:val="24"/>
                <w:lang w:eastAsia="cs-CZ"/>
              </w:rPr>
              <w:t>326/1999 Sb.)</w:t>
            </w:r>
          </w:p>
        </w:tc>
        <w:tc>
          <w:tcPr>
            <w:tcW w:w="2100" w:type="dxa"/>
            <w:tcBorders>
              <w:top w:val="nil"/>
              <w:left w:val="nil"/>
              <w:bottom w:val="single" w:sz="4" w:space="0" w:color="auto"/>
              <w:right w:val="nil"/>
            </w:tcBorders>
            <w:shd w:val="clear" w:color="auto" w:fill="auto"/>
            <w:noWrap/>
            <w:vAlign w:val="center"/>
            <w:hideMark/>
          </w:tcPr>
          <w:p w14:paraId="5CC7D17A" w14:textId="77777777" w:rsidR="00D83BD6" w:rsidRPr="00F85178" w:rsidRDefault="00D83BD6" w:rsidP="008E360E">
            <w:pPr>
              <w:spacing w:line="240" w:lineRule="auto"/>
              <w:jc w:val="center"/>
              <w:rPr>
                <w:rFonts w:eastAsia="Times New Roman"/>
                <w:szCs w:val="24"/>
                <w:lang w:eastAsia="cs-CZ"/>
              </w:rPr>
            </w:pPr>
            <w:r w:rsidRPr="00F85178">
              <w:rPr>
                <w:rFonts w:eastAsia="Times New Roman"/>
                <w:szCs w:val="24"/>
                <w:lang w:eastAsia="cs-CZ"/>
              </w:rPr>
              <w:t>17</w:t>
            </w:r>
            <w:r w:rsidR="008E360E" w:rsidRPr="00F85178">
              <w:rPr>
                <w:rFonts w:eastAsia="Times New Roman"/>
                <w:szCs w:val="24"/>
                <w:lang w:eastAsia="cs-CZ"/>
              </w:rPr>
              <w:t>,</w:t>
            </w:r>
            <w:r w:rsidRPr="00F85178">
              <w:rPr>
                <w:rFonts w:eastAsia="Times New Roman"/>
                <w:szCs w:val="24"/>
                <w:lang w:eastAsia="cs-CZ"/>
              </w:rPr>
              <w:t>32</w:t>
            </w:r>
          </w:p>
        </w:tc>
      </w:tr>
      <w:tr w:rsidR="00F85178" w:rsidRPr="00F85178" w14:paraId="69FC1823" w14:textId="77777777" w:rsidTr="00D83BD6">
        <w:trPr>
          <w:trHeight w:val="630"/>
        </w:trPr>
        <w:tc>
          <w:tcPr>
            <w:tcW w:w="5220" w:type="dxa"/>
            <w:tcBorders>
              <w:top w:val="nil"/>
              <w:left w:val="nil"/>
              <w:bottom w:val="single" w:sz="4" w:space="0" w:color="auto"/>
              <w:right w:val="nil"/>
            </w:tcBorders>
            <w:shd w:val="clear" w:color="auto" w:fill="auto"/>
            <w:vAlign w:val="bottom"/>
            <w:hideMark/>
          </w:tcPr>
          <w:p w14:paraId="6198B54A" w14:textId="77777777" w:rsidR="00D83BD6" w:rsidRPr="00F85178" w:rsidRDefault="00D83BD6" w:rsidP="00D83BD6">
            <w:pPr>
              <w:spacing w:line="240" w:lineRule="auto"/>
              <w:jc w:val="left"/>
              <w:rPr>
                <w:rFonts w:eastAsia="Times New Roman"/>
                <w:szCs w:val="24"/>
                <w:lang w:eastAsia="cs-CZ"/>
              </w:rPr>
            </w:pPr>
            <w:r w:rsidRPr="00F85178">
              <w:rPr>
                <w:rFonts w:eastAsia="Times New Roman"/>
                <w:szCs w:val="24"/>
                <w:lang w:eastAsia="cs-CZ"/>
              </w:rPr>
              <w:t>Správní žaloby - daně (zák. č. 280/2009 Sb. a daňové zákony)</w:t>
            </w:r>
          </w:p>
        </w:tc>
        <w:tc>
          <w:tcPr>
            <w:tcW w:w="2100" w:type="dxa"/>
            <w:tcBorders>
              <w:top w:val="nil"/>
              <w:left w:val="nil"/>
              <w:bottom w:val="single" w:sz="4" w:space="0" w:color="auto"/>
              <w:right w:val="nil"/>
            </w:tcBorders>
            <w:shd w:val="clear" w:color="auto" w:fill="auto"/>
            <w:noWrap/>
            <w:vAlign w:val="center"/>
            <w:hideMark/>
          </w:tcPr>
          <w:p w14:paraId="3A6FB193" w14:textId="77777777" w:rsidR="00D83BD6" w:rsidRPr="00F85178" w:rsidRDefault="00D83BD6" w:rsidP="008E360E">
            <w:pPr>
              <w:spacing w:line="240" w:lineRule="auto"/>
              <w:jc w:val="center"/>
              <w:rPr>
                <w:rFonts w:eastAsia="Times New Roman"/>
                <w:szCs w:val="24"/>
                <w:lang w:eastAsia="cs-CZ"/>
              </w:rPr>
            </w:pPr>
            <w:r w:rsidRPr="00F85178">
              <w:rPr>
                <w:rFonts w:eastAsia="Times New Roman"/>
                <w:szCs w:val="24"/>
                <w:lang w:eastAsia="cs-CZ"/>
              </w:rPr>
              <w:t>11</w:t>
            </w:r>
            <w:r w:rsidR="008E360E" w:rsidRPr="00F85178">
              <w:rPr>
                <w:rFonts w:eastAsia="Times New Roman"/>
                <w:szCs w:val="24"/>
                <w:lang w:eastAsia="cs-CZ"/>
              </w:rPr>
              <w:t>,</w:t>
            </w:r>
            <w:r w:rsidRPr="00F85178">
              <w:rPr>
                <w:rFonts w:eastAsia="Times New Roman"/>
                <w:szCs w:val="24"/>
                <w:lang w:eastAsia="cs-CZ"/>
              </w:rPr>
              <w:t>67</w:t>
            </w:r>
          </w:p>
        </w:tc>
      </w:tr>
      <w:tr w:rsidR="00F85178" w:rsidRPr="00F85178" w14:paraId="246426FF" w14:textId="77777777" w:rsidTr="00D83BD6">
        <w:trPr>
          <w:trHeight w:val="630"/>
        </w:trPr>
        <w:tc>
          <w:tcPr>
            <w:tcW w:w="5220" w:type="dxa"/>
            <w:tcBorders>
              <w:top w:val="nil"/>
              <w:left w:val="nil"/>
              <w:bottom w:val="single" w:sz="4" w:space="0" w:color="auto"/>
              <w:right w:val="nil"/>
            </w:tcBorders>
            <w:shd w:val="clear" w:color="auto" w:fill="auto"/>
            <w:vAlign w:val="bottom"/>
            <w:hideMark/>
          </w:tcPr>
          <w:p w14:paraId="0736D85A" w14:textId="77777777" w:rsidR="00D83BD6" w:rsidRPr="00F85178" w:rsidRDefault="00D83BD6" w:rsidP="00D83BD6">
            <w:pPr>
              <w:spacing w:line="240" w:lineRule="auto"/>
              <w:jc w:val="left"/>
              <w:rPr>
                <w:rFonts w:eastAsia="Times New Roman"/>
                <w:szCs w:val="24"/>
                <w:lang w:eastAsia="cs-CZ"/>
              </w:rPr>
            </w:pPr>
            <w:r w:rsidRPr="00F85178">
              <w:rPr>
                <w:rFonts w:eastAsia="Times New Roman"/>
                <w:szCs w:val="24"/>
                <w:lang w:eastAsia="cs-CZ"/>
              </w:rPr>
              <w:t>Správní žaloby - přezkoumávání rozhodnutí ve věcech podle azylového zákona</w:t>
            </w:r>
          </w:p>
        </w:tc>
        <w:tc>
          <w:tcPr>
            <w:tcW w:w="2100" w:type="dxa"/>
            <w:tcBorders>
              <w:top w:val="nil"/>
              <w:left w:val="nil"/>
              <w:bottom w:val="single" w:sz="4" w:space="0" w:color="auto"/>
              <w:right w:val="nil"/>
            </w:tcBorders>
            <w:shd w:val="clear" w:color="auto" w:fill="auto"/>
            <w:noWrap/>
            <w:vAlign w:val="center"/>
            <w:hideMark/>
          </w:tcPr>
          <w:p w14:paraId="5E169BCE" w14:textId="77777777" w:rsidR="00D83BD6" w:rsidRPr="00F85178" w:rsidRDefault="00D83BD6" w:rsidP="008E360E">
            <w:pPr>
              <w:spacing w:line="240" w:lineRule="auto"/>
              <w:jc w:val="center"/>
              <w:rPr>
                <w:rFonts w:eastAsia="Times New Roman"/>
                <w:szCs w:val="24"/>
                <w:lang w:eastAsia="cs-CZ"/>
              </w:rPr>
            </w:pPr>
            <w:r w:rsidRPr="00F85178">
              <w:rPr>
                <w:rFonts w:eastAsia="Times New Roman"/>
                <w:szCs w:val="24"/>
                <w:lang w:eastAsia="cs-CZ"/>
              </w:rPr>
              <w:t>11</w:t>
            </w:r>
            <w:r w:rsidR="008E360E" w:rsidRPr="00F85178">
              <w:rPr>
                <w:rFonts w:eastAsia="Times New Roman"/>
                <w:szCs w:val="24"/>
                <w:lang w:eastAsia="cs-CZ"/>
              </w:rPr>
              <w:t>,</w:t>
            </w:r>
            <w:r w:rsidRPr="00F85178">
              <w:rPr>
                <w:rFonts w:eastAsia="Times New Roman"/>
                <w:szCs w:val="24"/>
                <w:lang w:eastAsia="cs-CZ"/>
              </w:rPr>
              <w:t>44</w:t>
            </w:r>
          </w:p>
        </w:tc>
      </w:tr>
      <w:tr w:rsidR="00F85178" w:rsidRPr="00F85178" w14:paraId="04527EBD" w14:textId="77777777" w:rsidTr="00D83BD6">
        <w:trPr>
          <w:trHeight w:val="315"/>
        </w:trPr>
        <w:tc>
          <w:tcPr>
            <w:tcW w:w="5220" w:type="dxa"/>
            <w:tcBorders>
              <w:top w:val="nil"/>
              <w:left w:val="nil"/>
              <w:bottom w:val="single" w:sz="4" w:space="0" w:color="auto"/>
              <w:right w:val="nil"/>
            </w:tcBorders>
            <w:shd w:val="clear" w:color="auto" w:fill="auto"/>
            <w:vAlign w:val="bottom"/>
            <w:hideMark/>
          </w:tcPr>
          <w:p w14:paraId="3138D376" w14:textId="77777777" w:rsidR="00D83BD6" w:rsidRPr="00F85178" w:rsidRDefault="00D83BD6" w:rsidP="00D83BD6">
            <w:pPr>
              <w:spacing w:line="240" w:lineRule="auto"/>
              <w:jc w:val="left"/>
              <w:rPr>
                <w:rFonts w:eastAsia="Times New Roman"/>
                <w:szCs w:val="24"/>
                <w:lang w:eastAsia="cs-CZ"/>
              </w:rPr>
            </w:pPr>
            <w:r w:rsidRPr="00F85178">
              <w:rPr>
                <w:rFonts w:eastAsia="Times New Roman"/>
                <w:szCs w:val="24"/>
                <w:lang w:eastAsia="cs-CZ"/>
              </w:rPr>
              <w:t>Správní žaloby ve věcech správy dopravy</w:t>
            </w:r>
          </w:p>
        </w:tc>
        <w:tc>
          <w:tcPr>
            <w:tcW w:w="2100" w:type="dxa"/>
            <w:tcBorders>
              <w:top w:val="nil"/>
              <w:left w:val="nil"/>
              <w:bottom w:val="single" w:sz="4" w:space="0" w:color="auto"/>
              <w:right w:val="nil"/>
            </w:tcBorders>
            <w:shd w:val="clear" w:color="auto" w:fill="auto"/>
            <w:noWrap/>
            <w:vAlign w:val="center"/>
            <w:hideMark/>
          </w:tcPr>
          <w:p w14:paraId="6C153300" w14:textId="77777777" w:rsidR="00D83BD6" w:rsidRPr="00F85178" w:rsidRDefault="00D83BD6" w:rsidP="008E360E">
            <w:pPr>
              <w:spacing w:line="240" w:lineRule="auto"/>
              <w:jc w:val="center"/>
              <w:rPr>
                <w:rFonts w:eastAsia="Times New Roman"/>
                <w:szCs w:val="24"/>
                <w:lang w:eastAsia="cs-CZ"/>
              </w:rPr>
            </w:pPr>
            <w:r w:rsidRPr="00F85178">
              <w:rPr>
                <w:rFonts w:eastAsia="Times New Roman"/>
                <w:szCs w:val="24"/>
                <w:lang w:eastAsia="cs-CZ"/>
              </w:rPr>
              <w:t>11</w:t>
            </w:r>
            <w:r w:rsidR="008E360E" w:rsidRPr="00F85178">
              <w:rPr>
                <w:rFonts w:eastAsia="Times New Roman"/>
                <w:szCs w:val="24"/>
                <w:lang w:eastAsia="cs-CZ"/>
              </w:rPr>
              <w:t>,</w:t>
            </w:r>
            <w:r w:rsidRPr="00F85178">
              <w:rPr>
                <w:rFonts w:eastAsia="Times New Roman"/>
                <w:szCs w:val="24"/>
                <w:lang w:eastAsia="cs-CZ"/>
              </w:rPr>
              <w:t>15</w:t>
            </w:r>
          </w:p>
        </w:tc>
      </w:tr>
      <w:tr w:rsidR="00D83BD6" w:rsidRPr="00F85178" w14:paraId="2D23ECA3" w14:textId="77777777" w:rsidTr="00D83BD6">
        <w:trPr>
          <w:trHeight w:val="645"/>
        </w:trPr>
        <w:tc>
          <w:tcPr>
            <w:tcW w:w="5220" w:type="dxa"/>
            <w:tcBorders>
              <w:top w:val="nil"/>
              <w:left w:val="nil"/>
              <w:bottom w:val="double" w:sz="6" w:space="0" w:color="auto"/>
              <w:right w:val="nil"/>
            </w:tcBorders>
            <w:shd w:val="clear" w:color="auto" w:fill="auto"/>
            <w:vAlign w:val="bottom"/>
            <w:hideMark/>
          </w:tcPr>
          <w:p w14:paraId="6BD4D653" w14:textId="77777777" w:rsidR="00D83BD6" w:rsidRPr="00F85178" w:rsidRDefault="00D83BD6" w:rsidP="00D83BD6">
            <w:pPr>
              <w:spacing w:line="240" w:lineRule="auto"/>
              <w:jc w:val="left"/>
              <w:rPr>
                <w:rFonts w:eastAsia="Times New Roman"/>
                <w:szCs w:val="24"/>
                <w:lang w:eastAsia="cs-CZ"/>
              </w:rPr>
            </w:pPr>
            <w:r w:rsidRPr="00F85178">
              <w:rPr>
                <w:rFonts w:eastAsia="Times New Roman"/>
                <w:szCs w:val="24"/>
                <w:lang w:eastAsia="cs-CZ"/>
              </w:rPr>
              <w:t>Volby do zastupitelstva obcí - neplatnost voleb a hlasování</w:t>
            </w:r>
          </w:p>
        </w:tc>
        <w:tc>
          <w:tcPr>
            <w:tcW w:w="2100" w:type="dxa"/>
            <w:tcBorders>
              <w:top w:val="nil"/>
              <w:left w:val="nil"/>
              <w:bottom w:val="double" w:sz="6" w:space="0" w:color="auto"/>
              <w:right w:val="nil"/>
            </w:tcBorders>
            <w:shd w:val="clear" w:color="auto" w:fill="auto"/>
            <w:noWrap/>
            <w:vAlign w:val="center"/>
            <w:hideMark/>
          </w:tcPr>
          <w:p w14:paraId="5F2F1ACC" w14:textId="77777777" w:rsidR="00D83BD6" w:rsidRPr="00F85178" w:rsidRDefault="00D83BD6" w:rsidP="008E360E">
            <w:pPr>
              <w:spacing w:line="240" w:lineRule="auto"/>
              <w:jc w:val="center"/>
              <w:rPr>
                <w:rFonts w:eastAsia="Times New Roman"/>
                <w:szCs w:val="24"/>
                <w:lang w:eastAsia="cs-CZ"/>
              </w:rPr>
            </w:pPr>
            <w:r w:rsidRPr="00F85178">
              <w:rPr>
                <w:rFonts w:eastAsia="Times New Roman"/>
                <w:szCs w:val="24"/>
                <w:lang w:eastAsia="cs-CZ"/>
              </w:rPr>
              <w:t>4</w:t>
            </w:r>
            <w:r w:rsidR="008E360E" w:rsidRPr="00F85178">
              <w:rPr>
                <w:rFonts w:eastAsia="Times New Roman"/>
                <w:szCs w:val="24"/>
                <w:lang w:eastAsia="cs-CZ"/>
              </w:rPr>
              <w:t>,</w:t>
            </w:r>
            <w:r w:rsidRPr="00F85178">
              <w:rPr>
                <w:rFonts w:eastAsia="Times New Roman"/>
                <w:szCs w:val="24"/>
                <w:lang w:eastAsia="cs-CZ"/>
              </w:rPr>
              <w:t>50</w:t>
            </w:r>
          </w:p>
        </w:tc>
      </w:tr>
    </w:tbl>
    <w:p w14:paraId="5639EB9A" w14:textId="77777777" w:rsidR="00D60C89" w:rsidRPr="00F85178" w:rsidRDefault="00D60C89" w:rsidP="00B7764E"/>
    <w:p w14:paraId="07104A3E" w14:textId="77777777" w:rsidR="008E5852" w:rsidRPr="00F85178" w:rsidRDefault="006C4802" w:rsidP="006C4802">
      <w:pPr>
        <w:pStyle w:val="OdstavecASR"/>
      </w:pPr>
      <w:r w:rsidRPr="00F85178">
        <w:t>Těchto pět druhů sporů tvoří dohromady více než 50 % agendy správních soudů. Je ale třeba poznamenat, že v absolutních číslech se jedná o malé počty – stovky pravomocně skončených věcí u každého předmětu sporu. Složení agendy je velmi podobné tomu z předchozího roku.</w:t>
      </w:r>
    </w:p>
    <w:p w14:paraId="16FCD117" w14:textId="77777777" w:rsidR="008E5852" w:rsidRPr="00F85178" w:rsidRDefault="008E5852">
      <w:pPr>
        <w:spacing w:line="240" w:lineRule="auto"/>
        <w:jc w:val="left"/>
      </w:pPr>
      <w:r w:rsidRPr="00F85178">
        <w:br w:type="page"/>
      </w:r>
    </w:p>
    <w:p w14:paraId="7BEE2B68" w14:textId="77777777" w:rsidR="00D60C89" w:rsidRPr="00957D55" w:rsidRDefault="00D60C89" w:rsidP="00D60C89">
      <w:pPr>
        <w:pStyle w:val="Nadpis2"/>
      </w:pPr>
      <w:bookmarkStart w:id="545" w:name="_Ref511982760"/>
      <w:bookmarkStart w:id="546" w:name="_Toc515871272"/>
      <w:bookmarkStart w:id="547" w:name="_Toc14076921"/>
      <w:r w:rsidRPr="00957D55">
        <w:t>Insolvenční agenda</w:t>
      </w:r>
      <w:bookmarkEnd w:id="545"/>
      <w:bookmarkEnd w:id="546"/>
      <w:bookmarkEnd w:id="547"/>
    </w:p>
    <w:p w14:paraId="7B041CA1" w14:textId="77777777" w:rsidR="006C4802" w:rsidRPr="00F85178" w:rsidRDefault="006C4802" w:rsidP="006C4802">
      <w:pPr>
        <w:pStyle w:val="OdstavecASR"/>
      </w:pPr>
      <w:r w:rsidRPr="00F85178">
        <w:t>Insolvenční agenda je vedena v prvostupňovém rejstříku INS. Ve vedení statistik nedošlo v průběhu sledovaných let k žádným změnám. Přesto můžeme očekávat, že se většina ukazatelů během let výrazně měnila. Jedná se totiž o poměrně novou agendu z roku 2008 (do té doby byly insolvenční věci upraveny jiným systémem a byly vedeny v jiných rejstřících) a obvykle trvá několik let, než se ukazatele ustálí. Je ještě třeba připomenout, že součástí insolvenční agendy je projednávání a rozhodování incidenčních sporů, které jsou vedeny v rejstříku ICm. Tento rejstřík však není v této zprávě zahrnut.</w:t>
      </w:r>
    </w:p>
    <w:p w14:paraId="67CB4366" w14:textId="26CFF206" w:rsidR="006C4802" w:rsidRPr="00280312" w:rsidRDefault="00CB560F" w:rsidP="00280312">
      <w:pPr>
        <w:pStyle w:val="OdstavecASR"/>
      </w:pPr>
      <w:r>
        <w:t>Když tato agenda vznikla, dalo se říci, že ve skutečnosti šlo o dvě zcela odlišné agendy – insolvenci podnikatelů (zejména osob právnických a podnikajících fyzických osob) a insolvenci</w:t>
      </w:r>
      <w:r w:rsidR="00306940">
        <w:t xml:space="preserve"> ne</w:t>
      </w:r>
      <w:r>
        <w:t xml:space="preserve">podnikatelů (zpravidla fyzických osob jako spotřebitelů). Insolvence fyzických osob spotřebitelů se proto mohly nazývat jako spotřebitelské insolvence. Podnikatelské i spotřebitelské insolvence tak představovaly </w:t>
      </w:r>
      <w:r w:rsidRPr="00BD603A">
        <w:t>skutkově i právně rozdílné</w:t>
      </w:r>
      <w:r>
        <w:t xml:space="preserve"> druhy insolvencí. V</w:t>
      </w:r>
      <w:r w:rsidRPr="00BD603A">
        <w:t xml:space="preserve"> naprosté většině případů </w:t>
      </w:r>
      <w:r>
        <w:t xml:space="preserve">se </w:t>
      </w:r>
      <w:r w:rsidRPr="00BD603A">
        <w:t xml:space="preserve">spotřebitelské insolvence </w:t>
      </w:r>
      <w:r w:rsidR="00265275">
        <w:t xml:space="preserve">řešily </w:t>
      </w:r>
      <w:r>
        <w:t xml:space="preserve">a dodnes řeší </w:t>
      </w:r>
      <w:r w:rsidRPr="00BD603A">
        <w:t>tzv. oddlužením</w:t>
      </w:r>
      <w:r>
        <w:t xml:space="preserve">, naopak ty podnikatelské zpravidla konkursem. Toto rozdělení však postupem času a dalšími novelizacemi </w:t>
      </w:r>
      <w:r w:rsidRPr="00CA393F">
        <w:t>zákon</w:t>
      </w:r>
      <w:r>
        <w:t>a</w:t>
      </w:r>
      <w:r w:rsidRPr="00CA393F">
        <w:t xml:space="preserve"> č. 182/2006 Sb., o úpadku a způsobech jeho řešení (insolvenční zákon)</w:t>
      </w:r>
      <w:r>
        <w:t xml:space="preserve">, který tuto agendu upravuje, </w:t>
      </w:r>
      <w:r w:rsidR="00265275">
        <w:t xml:space="preserve">ztratilo </w:t>
      </w:r>
      <w:r>
        <w:t>na důležitosti. Ze</w:t>
      </w:r>
      <w:r w:rsidR="00265275">
        <w:t>j</w:t>
      </w:r>
      <w:r>
        <w:t>ména jeho význam</w:t>
      </w:r>
      <w:r w:rsidR="00265275">
        <w:t>n</w:t>
      </w:r>
      <w:r>
        <w:t>á poslední novela (zákon č. 64/2017 Sb.) účinná od 1. července 2017 ještě podstatněji otevřela podnikajícím fyzickým osobám možnost úpadek řešit oddlužením. Díky tomu rozdělení na spotřebitelské a podnikatel</w:t>
      </w:r>
      <w:r w:rsidR="00265275">
        <w:t>s</w:t>
      </w:r>
      <w:r>
        <w:t>ké insolvence už plně nekorespo</w:t>
      </w:r>
      <w:r w:rsidR="00265275">
        <w:t>n</w:t>
      </w:r>
      <w:r>
        <w:t xml:space="preserve">duje. Dále i právnické osoby, které zákon nezařazuje mezi podnikatele, mají možnost projít oddlužením. </w:t>
      </w:r>
      <w:r w:rsidRPr="00F1491C">
        <w:t xml:space="preserve">Bohužel, ministerstvo v současné době ne vždy disponuje daty, která by umožnila obě agendy rozlišit (spotřebitelské a podnikatelské insolvence). V podkapitole délka řízení tedy dělíme insolvence na insolvence fyzických osob (ty ale zahrnují i podnikající fyzické osoby) a insolvence právnických osob. </w:t>
      </w:r>
      <w:r w:rsidRPr="00280312">
        <w:t>V ostatních podkapitolách nejsou k dispozici data, která by dělení umožnila.</w:t>
      </w:r>
    </w:p>
    <w:p w14:paraId="7BE58415" w14:textId="77777777" w:rsidR="00B803D3" w:rsidRPr="00F85178" w:rsidRDefault="00B803D3" w:rsidP="00B803D3">
      <w:pPr>
        <w:pStyle w:val="Nadpis3"/>
        <w:rPr>
          <w:color w:val="auto"/>
        </w:rPr>
      </w:pPr>
      <w:bookmarkStart w:id="548" w:name="_Toc515871273"/>
      <w:bookmarkStart w:id="549" w:name="_Toc14076922"/>
      <w:r w:rsidRPr="00F85178">
        <w:rPr>
          <w:color w:val="auto"/>
        </w:rPr>
        <w:t>Délka řízení</w:t>
      </w:r>
      <w:bookmarkEnd w:id="548"/>
      <w:bookmarkEnd w:id="549"/>
    </w:p>
    <w:p w14:paraId="2F090647" w14:textId="3B480701" w:rsidR="006C4802" w:rsidRPr="00F85178" w:rsidRDefault="006C4802" w:rsidP="006C4802">
      <w:pPr>
        <w:pStyle w:val="OdstavecASR"/>
      </w:pPr>
      <w:r w:rsidRPr="00F85178">
        <w:t>Sledování délky řízení je u této agendy složitější, protože se jedná o vícefázové řízení upravené zákonem č. 182/2006 Sb., o úpadku a způsobech jeho řešení (insolvenční zákon). Jednoduše řečeno, v první fázi je rozhodnuto o insolvenčním návrhu, případně i o způsobu řešení úpadku. Pokud insolvenční soud nerozhodne o úpadku a vyřídí tedy insolvenční návrh jiným způsobem, řízení končí. V opačném případě nastává další fáze řízení, jejíž délka se odvíjí především od způsobu řešení úpadku (oddlužení, konkurz, reorganizace). Například oddlužení běžně trvá pět let. Soud má reálný vliv na délku řízení pouze v první fázi, ve fázi řešení úpadku má u oddlužení pouze nepřímý vliv na délku řízení. Zkoumat tedy budeme délku řízení týkající právě této první fáze insolvenčního řízení. Budeme pracovat s délkou řízení ode dne zahájení řízení do dne rozhodnutí o insolvenčním návrhu, tedy do dne, kdy bylo rozhodnuto o úpadku nebo bylo o insolvenčním návrhu rozhodnuto jinak.</w:t>
      </w:r>
    </w:p>
    <w:p w14:paraId="084293F5" w14:textId="77777777" w:rsidR="006C4802" w:rsidRPr="00F85178" w:rsidRDefault="006C4802" w:rsidP="006C4802"/>
    <w:p w14:paraId="7D32E063" w14:textId="77777777" w:rsidR="00D83BD6" w:rsidRPr="00F85178" w:rsidRDefault="00B20C18" w:rsidP="00B20C18">
      <w:pPr>
        <w:pStyle w:val="Podtitul"/>
        <w:rPr>
          <w:color w:val="auto"/>
        </w:rPr>
      </w:pPr>
      <w:bookmarkStart w:id="550" w:name="_Toc515871402"/>
      <w:bookmarkStart w:id="551" w:name="_Toc11135133"/>
      <w:bookmarkStart w:id="552" w:name="_Toc1383756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72</w:t>
      </w:r>
      <w:r w:rsidRPr="00F85178">
        <w:rPr>
          <w:noProof/>
          <w:color w:val="auto"/>
        </w:rPr>
        <w:fldChar w:fldCharType="end"/>
      </w:r>
      <w:r w:rsidRPr="00F85178">
        <w:rPr>
          <w:color w:val="auto"/>
        </w:rPr>
        <w:t>: KS – délka insolvenčního řízení v letech 2008–201</w:t>
      </w:r>
      <w:bookmarkEnd w:id="550"/>
      <w:r w:rsidRPr="00F85178">
        <w:rPr>
          <w:color w:val="auto"/>
        </w:rPr>
        <w:t>8</w:t>
      </w:r>
      <w:bookmarkEnd w:id="551"/>
      <w:bookmarkEnd w:id="552"/>
    </w:p>
    <w:p w14:paraId="23D7339F" w14:textId="77777777" w:rsidR="00B20C18" w:rsidRPr="00F85178" w:rsidRDefault="00890295" w:rsidP="00B7764E">
      <w:r>
        <w:rPr>
          <w:noProof/>
          <w:lang w:eastAsia="cs-CZ"/>
        </w:rPr>
        <w:drawing>
          <wp:inline distT="0" distB="0" distL="0" distR="0" wp14:anchorId="24635C3F" wp14:editId="12D69C0E">
            <wp:extent cx="5118100" cy="3746500"/>
            <wp:effectExtent l="0" t="0" r="0" b="0"/>
            <wp:docPr id="75" name="Obrázek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69"/>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742FD07" w14:textId="77777777" w:rsidR="0032015B" w:rsidRDefault="006C4802" w:rsidP="006C4802">
      <w:pPr>
        <w:pStyle w:val="OdstavecASR"/>
      </w:pPr>
      <w:r w:rsidRPr="00F85178">
        <w:t>Na grafu sledujeme zjevný rostoucí trend, který ale postupně zpomaluje. Nárůst v prvních letech lze jednoduše vysvětlit. Jednalo se o zcela novou soudní agendu, počet napadlých a vyřízených věcí byl velmi malý a soudy neměly žádné nedodělky z minula. Postupem času se musela vykazovaná délka řízení nezbytně zvýšit. Od roku 2014 je již nicméně poměrně stabilní. V absolutních číslech jsou vykazované délky řízení v porovnání s ostatními agendami relativně malé. V roce 2017 vzrostl o několik dnů medián, ale na druhou stranu klesl devadesátý percentil. To znamená, že klesla variabilita v délkách řízení. Vyřídit běžnou věc trvalo déle, ale extrémně dlouhé věci byly vyřízeny rychleji.</w:t>
      </w:r>
      <w:r w:rsidR="008E5852" w:rsidRPr="00F85178">
        <w:t xml:space="preserve"> V roce 2018 pak narostli medián, průměr i percentil </w:t>
      </w:r>
      <w:r w:rsidR="008E360E" w:rsidRPr="00F85178">
        <w:t>9</w:t>
      </w:r>
      <w:r w:rsidR="008E5852" w:rsidRPr="00F85178">
        <w:t>0, ale jen velmi mírně.</w:t>
      </w:r>
    </w:p>
    <w:p w14:paraId="7889A338" w14:textId="4CE6A489" w:rsidR="000B3655" w:rsidRDefault="006C4802" w:rsidP="000B3655">
      <w:pPr>
        <w:pStyle w:val="OdstavecASR"/>
      </w:pPr>
      <w:r w:rsidRPr="00F85178">
        <w:t>V tabulce vidíme, že rozdíly v délce řízení jsou mezi soudy malé. To naznačuje, že v ČR není soud, který by měl výraznější problémy s vyřizováním insolvenčních návrhů</w:t>
      </w:r>
      <w:r w:rsidR="008E5852" w:rsidRPr="00F85178">
        <w:t>, a to i přes růst délky řízení u všech soudů.</w:t>
      </w:r>
      <w:bookmarkStart w:id="553" w:name="_Toc515871496"/>
      <w:bookmarkStart w:id="554" w:name="_Toc11133262"/>
    </w:p>
    <w:p w14:paraId="5347A570" w14:textId="77777777" w:rsidR="0088640D" w:rsidRPr="00F85178" w:rsidRDefault="00396D30" w:rsidP="000B3655">
      <w:pPr>
        <w:pStyle w:val="Podtitul"/>
        <w:rPr>
          <w:color w:val="auto"/>
        </w:rPr>
      </w:pPr>
      <w:r>
        <w:rPr>
          <w:color w:val="auto"/>
        </w:rPr>
        <w:br w:type="page"/>
      </w:r>
      <w:bookmarkStart w:id="555" w:name="_Toc13837483"/>
      <w:r w:rsidR="0088640D" w:rsidRPr="00F85178">
        <w:rPr>
          <w:color w:val="auto"/>
        </w:rPr>
        <w:t xml:space="preserve">Tabulka </w:t>
      </w:r>
      <w:r w:rsidR="0088640D" w:rsidRPr="00F85178">
        <w:rPr>
          <w:color w:val="auto"/>
        </w:rPr>
        <w:fldChar w:fldCharType="begin"/>
      </w:r>
      <w:r w:rsidR="0088640D" w:rsidRPr="00F85178">
        <w:rPr>
          <w:color w:val="auto"/>
        </w:rPr>
        <w:instrText xml:space="preserve"> SEQ Tabulka \* ARABIC </w:instrText>
      </w:r>
      <w:r w:rsidR="0088640D" w:rsidRPr="00F85178">
        <w:rPr>
          <w:color w:val="auto"/>
        </w:rPr>
        <w:fldChar w:fldCharType="separate"/>
      </w:r>
      <w:r w:rsidR="00306940">
        <w:rPr>
          <w:noProof/>
          <w:color w:val="auto"/>
        </w:rPr>
        <w:t>60</w:t>
      </w:r>
      <w:r w:rsidR="0088640D" w:rsidRPr="00F85178">
        <w:rPr>
          <w:noProof/>
          <w:color w:val="auto"/>
        </w:rPr>
        <w:fldChar w:fldCharType="end"/>
      </w:r>
      <w:r w:rsidR="0088640D" w:rsidRPr="00F85178">
        <w:rPr>
          <w:color w:val="auto"/>
        </w:rPr>
        <w:t>: KS – délky insolvenčního řízení dle soudů</w:t>
      </w:r>
      <w:bookmarkEnd w:id="553"/>
      <w:bookmarkEnd w:id="554"/>
      <w:bookmarkEnd w:id="555"/>
    </w:p>
    <w:tbl>
      <w:tblPr>
        <w:tblW w:w="7520" w:type="dxa"/>
        <w:tblCellMar>
          <w:left w:w="70" w:type="dxa"/>
          <w:right w:w="70" w:type="dxa"/>
        </w:tblCellMar>
        <w:tblLook w:val="04A0" w:firstRow="1" w:lastRow="0" w:firstColumn="1" w:lastColumn="0" w:noHBand="0" w:noVBand="1"/>
      </w:tblPr>
      <w:tblGrid>
        <w:gridCol w:w="2480"/>
        <w:gridCol w:w="500"/>
        <w:gridCol w:w="1107"/>
        <w:gridCol w:w="499"/>
        <w:gridCol w:w="1107"/>
        <w:gridCol w:w="720"/>
        <w:gridCol w:w="1107"/>
      </w:tblGrid>
      <w:tr w:rsidR="00F85178" w:rsidRPr="00F85178" w14:paraId="4E1C6A24" w14:textId="77777777" w:rsidTr="0088640D">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7EA28A88" w14:textId="4FE8B7F7" w:rsidR="0088640D" w:rsidRPr="00F85178" w:rsidRDefault="00F2120F" w:rsidP="0088640D">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3CA9833C" w14:textId="77777777" w:rsidR="0088640D" w:rsidRPr="00F85178" w:rsidRDefault="0088640D" w:rsidP="0088640D">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2CC06786" w14:textId="77777777" w:rsidTr="0088640D">
        <w:trPr>
          <w:trHeight w:val="330"/>
        </w:trPr>
        <w:tc>
          <w:tcPr>
            <w:tcW w:w="2480" w:type="dxa"/>
            <w:vMerge/>
            <w:tcBorders>
              <w:top w:val="double" w:sz="6" w:space="0" w:color="auto"/>
              <w:left w:val="nil"/>
              <w:bottom w:val="double" w:sz="6" w:space="0" w:color="000000"/>
              <w:right w:val="nil"/>
            </w:tcBorders>
            <w:vAlign w:val="center"/>
            <w:hideMark/>
          </w:tcPr>
          <w:p w14:paraId="3320BCA6" w14:textId="77777777" w:rsidR="0088640D" w:rsidRPr="00F85178" w:rsidRDefault="0088640D" w:rsidP="0088640D">
            <w:pPr>
              <w:spacing w:line="240" w:lineRule="auto"/>
              <w:jc w:val="left"/>
              <w:rPr>
                <w:rFonts w:eastAsia="Times New Roman"/>
                <w:b/>
                <w:bCs/>
                <w:szCs w:val="24"/>
                <w:lang w:eastAsia="cs-CZ"/>
              </w:rPr>
            </w:pPr>
          </w:p>
        </w:tc>
        <w:tc>
          <w:tcPr>
            <w:tcW w:w="1607" w:type="dxa"/>
            <w:gridSpan w:val="2"/>
            <w:tcBorders>
              <w:top w:val="nil"/>
              <w:left w:val="nil"/>
              <w:bottom w:val="double" w:sz="6" w:space="0" w:color="auto"/>
              <w:right w:val="single" w:sz="4" w:space="0" w:color="000000"/>
            </w:tcBorders>
            <w:shd w:val="clear" w:color="auto" w:fill="auto"/>
            <w:noWrap/>
            <w:vAlign w:val="center"/>
            <w:hideMark/>
          </w:tcPr>
          <w:p w14:paraId="09F1F06B"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06" w:type="dxa"/>
            <w:gridSpan w:val="2"/>
            <w:tcBorders>
              <w:top w:val="nil"/>
              <w:left w:val="nil"/>
              <w:bottom w:val="double" w:sz="6" w:space="0" w:color="auto"/>
              <w:right w:val="single" w:sz="4" w:space="0" w:color="000000"/>
            </w:tcBorders>
            <w:shd w:val="clear" w:color="auto" w:fill="auto"/>
            <w:noWrap/>
            <w:vAlign w:val="center"/>
            <w:hideMark/>
          </w:tcPr>
          <w:p w14:paraId="21A0F09F"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827" w:type="dxa"/>
            <w:gridSpan w:val="2"/>
            <w:tcBorders>
              <w:top w:val="nil"/>
              <w:left w:val="nil"/>
              <w:bottom w:val="double" w:sz="6" w:space="0" w:color="auto"/>
              <w:right w:val="nil"/>
            </w:tcBorders>
            <w:shd w:val="clear" w:color="auto" w:fill="auto"/>
            <w:noWrap/>
            <w:vAlign w:val="center"/>
            <w:hideMark/>
          </w:tcPr>
          <w:p w14:paraId="363BBCA2"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164387B2" w14:textId="77777777" w:rsidTr="0088640D">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6C503CE5"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MS Praha</w:t>
            </w:r>
          </w:p>
        </w:tc>
        <w:tc>
          <w:tcPr>
            <w:tcW w:w="500" w:type="dxa"/>
            <w:tcBorders>
              <w:top w:val="single" w:sz="4" w:space="0" w:color="auto"/>
              <w:left w:val="nil"/>
              <w:bottom w:val="single" w:sz="4" w:space="0" w:color="auto"/>
              <w:right w:val="nil"/>
            </w:tcBorders>
            <w:shd w:val="clear" w:color="auto" w:fill="auto"/>
            <w:noWrap/>
            <w:vAlign w:val="bottom"/>
            <w:hideMark/>
          </w:tcPr>
          <w:p w14:paraId="5D3D0664"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91</w:t>
            </w:r>
          </w:p>
        </w:tc>
        <w:tc>
          <w:tcPr>
            <w:tcW w:w="1107" w:type="dxa"/>
            <w:tcBorders>
              <w:top w:val="single" w:sz="4" w:space="0" w:color="auto"/>
              <w:left w:val="nil"/>
              <w:bottom w:val="single" w:sz="4" w:space="0" w:color="auto"/>
              <w:right w:val="nil"/>
            </w:tcBorders>
            <w:shd w:val="clear" w:color="auto" w:fill="auto"/>
            <w:noWrap/>
            <w:vAlign w:val="center"/>
            <w:hideMark/>
          </w:tcPr>
          <w:p w14:paraId="092B0512"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499" w:type="dxa"/>
            <w:tcBorders>
              <w:top w:val="nil"/>
              <w:left w:val="single" w:sz="4" w:space="0" w:color="auto"/>
              <w:bottom w:val="single" w:sz="4" w:space="0" w:color="auto"/>
              <w:right w:val="nil"/>
            </w:tcBorders>
            <w:shd w:val="clear" w:color="auto" w:fill="auto"/>
            <w:noWrap/>
            <w:vAlign w:val="bottom"/>
            <w:hideMark/>
          </w:tcPr>
          <w:p w14:paraId="526E35BD"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62</w:t>
            </w:r>
          </w:p>
        </w:tc>
        <w:tc>
          <w:tcPr>
            <w:tcW w:w="1107" w:type="dxa"/>
            <w:tcBorders>
              <w:top w:val="nil"/>
              <w:left w:val="nil"/>
              <w:bottom w:val="single" w:sz="4" w:space="0" w:color="auto"/>
              <w:right w:val="single" w:sz="4" w:space="0" w:color="auto"/>
            </w:tcBorders>
            <w:shd w:val="clear" w:color="auto" w:fill="auto"/>
            <w:noWrap/>
            <w:vAlign w:val="center"/>
            <w:hideMark/>
          </w:tcPr>
          <w:p w14:paraId="69108852"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720" w:type="dxa"/>
            <w:tcBorders>
              <w:top w:val="single" w:sz="4" w:space="0" w:color="auto"/>
              <w:left w:val="nil"/>
              <w:bottom w:val="single" w:sz="4" w:space="0" w:color="auto"/>
              <w:right w:val="nil"/>
            </w:tcBorders>
            <w:shd w:val="clear" w:color="auto" w:fill="auto"/>
            <w:noWrap/>
            <w:vAlign w:val="bottom"/>
            <w:hideMark/>
          </w:tcPr>
          <w:p w14:paraId="3A4AAAE0"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194</w:t>
            </w:r>
          </w:p>
        </w:tc>
        <w:tc>
          <w:tcPr>
            <w:tcW w:w="1107" w:type="dxa"/>
            <w:tcBorders>
              <w:top w:val="single" w:sz="4" w:space="0" w:color="auto"/>
              <w:left w:val="nil"/>
              <w:bottom w:val="single" w:sz="4" w:space="0" w:color="auto"/>
              <w:right w:val="nil"/>
            </w:tcBorders>
            <w:shd w:val="clear" w:color="auto" w:fill="auto"/>
            <w:noWrap/>
            <w:vAlign w:val="center"/>
            <w:hideMark/>
          </w:tcPr>
          <w:p w14:paraId="5D8A1B3B"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60FC69E5"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37B9624D"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Praha</w:t>
            </w:r>
          </w:p>
        </w:tc>
        <w:tc>
          <w:tcPr>
            <w:tcW w:w="500" w:type="dxa"/>
            <w:tcBorders>
              <w:top w:val="nil"/>
              <w:left w:val="nil"/>
              <w:bottom w:val="single" w:sz="4" w:space="0" w:color="auto"/>
              <w:right w:val="nil"/>
            </w:tcBorders>
            <w:shd w:val="clear" w:color="auto" w:fill="auto"/>
            <w:noWrap/>
            <w:vAlign w:val="bottom"/>
            <w:hideMark/>
          </w:tcPr>
          <w:p w14:paraId="5DFCE502"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76</w:t>
            </w:r>
          </w:p>
        </w:tc>
        <w:tc>
          <w:tcPr>
            <w:tcW w:w="1107" w:type="dxa"/>
            <w:tcBorders>
              <w:top w:val="nil"/>
              <w:left w:val="nil"/>
              <w:bottom w:val="single" w:sz="4" w:space="0" w:color="auto"/>
              <w:right w:val="nil"/>
            </w:tcBorders>
            <w:shd w:val="clear" w:color="auto" w:fill="auto"/>
            <w:noWrap/>
            <w:vAlign w:val="center"/>
            <w:hideMark/>
          </w:tcPr>
          <w:p w14:paraId="49EA710A"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499" w:type="dxa"/>
            <w:tcBorders>
              <w:top w:val="nil"/>
              <w:left w:val="single" w:sz="4" w:space="0" w:color="auto"/>
              <w:bottom w:val="single" w:sz="4" w:space="0" w:color="auto"/>
              <w:right w:val="nil"/>
            </w:tcBorders>
            <w:shd w:val="clear" w:color="auto" w:fill="auto"/>
            <w:noWrap/>
            <w:vAlign w:val="bottom"/>
            <w:hideMark/>
          </w:tcPr>
          <w:p w14:paraId="41FF7B61"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59</w:t>
            </w:r>
          </w:p>
        </w:tc>
        <w:tc>
          <w:tcPr>
            <w:tcW w:w="1107" w:type="dxa"/>
            <w:tcBorders>
              <w:top w:val="nil"/>
              <w:left w:val="nil"/>
              <w:bottom w:val="single" w:sz="4" w:space="0" w:color="auto"/>
              <w:right w:val="single" w:sz="4" w:space="0" w:color="auto"/>
            </w:tcBorders>
            <w:shd w:val="clear" w:color="auto" w:fill="auto"/>
            <w:noWrap/>
            <w:vAlign w:val="center"/>
            <w:hideMark/>
          </w:tcPr>
          <w:p w14:paraId="012CFD8D"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+4 %</w:t>
            </w:r>
          </w:p>
        </w:tc>
        <w:tc>
          <w:tcPr>
            <w:tcW w:w="720" w:type="dxa"/>
            <w:tcBorders>
              <w:top w:val="nil"/>
              <w:left w:val="nil"/>
              <w:bottom w:val="single" w:sz="4" w:space="0" w:color="auto"/>
              <w:right w:val="nil"/>
            </w:tcBorders>
            <w:shd w:val="clear" w:color="auto" w:fill="auto"/>
            <w:noWrap/>
            <w:vAlign w:val="bottom"/>
            <w:hideMark/>
          </w:tcPr>
          <w:p w14:paraId="3607BE60"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146</w:t>
            </w:r>
          </w:p>
        </w:tc>
        <w:tc>
          <w:tcPr>
            <w:tcW w:w="1107" w:type="dxa"/>
            <w:tcBorders>
              <w:top w:val="nil"/>
              <w:left w:val="nil"/>
              <w:bottom w:val="single" w:sz="4" w:space="0" w:color="auto"/>
              <w:right w:val="nil"/>
            </w:tcBorders>
            <w:shd w:val="clear" w:color="auto" w:fill="auto"/>
            <w:noWrap/>
            <w:vAlign w:val="center"/>
            <w:hideMark/>
          </w:tcPr>
          <w:p w14:paraId="621F2C89"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-9 %</w:t>
            </w:r>
          </w:p>
        </w:tc>
      </w:tr>
      <w:tr w:rsidR="00F85178" w:rsidRPr="00F85178" w14:paraId="69C8CAA7"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4E776622"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Č. Budějovice</w:t>
            </w:r>
          </w:p>
        </w:tc>
        <w:tc>
          <w:tcPr>
            <w:tcW w:w="500" w:type="dxa"/>
            <w:tcBorders>
              <w:top w:val="nil"/>
              <w:left w:val="nil"/>
              <w:bottom w:val="single" w:sz="4" w:space="0" w:color="auto"/>
              <w:right w:val="nil"/>
            </w:tcBorders>
            <w:shd w:val="clear" w:color="auto" w:fill="auto"/>
            <w:noWrap/>
            <w:vAlign w:val="bottom"/>
            <w:hideMark/>
          </w:tcPr>
          <w:p w14:paraId="55960E6D"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68</w:t>
            </w:r>
          </w:p>
        </w:tc>
        <w:tc>
          <w:tcPr>
            <w:tcW w:w="1107" w:type="dxa"/>
            <w:tcBorders>
              <w:top w:val="nil"/>
              <w:left w:val="nil"/>
              <w:bottom w:val="single" w:sz="4" w:space="0" w:color="auto"/>
              <w:right w:val="nil"/>
            </w:tcBorders>
            <w:shd w:val="clear" w:color="auto" w:fill="auto"/>
            <w:noWrap/>
            <w:vAlign w:val="center"/>
            <w:hideMark/>
          </w:tcPr>
          <w:p w14:paraId="78B450E6"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499" w:type="dxa"/>
            <w:tcBorders>
              <w:top w:val="nil"/>
              <w:left w:val="single" w:sz="4" w:space="0" w:color="auto"/>
              <w:bottom w:val="single" w:sz="4" w:space="0" w:color="auto"/>
              <w:right w:val="nil"/>
            </w:tcBorders>
            <w:shd w:val="clear" w:color="auto" w:fill="auto"/>
            <w:noWrap/>
            <w:vAlign w:val="bottom"/>
            <w:hideMark/>
          </w:tcPr>
          <w:p w14:paraId="38907793"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49</w:t>
            </w:r>
          </w:p>
        </w:tc>
        <w:tc>
          <w:tcPr>
            <w:tcW w:w="1107" w:type="dxa"/>
            <w:tcBorders>
              <w:top w:val="nil"/>
              <w:left w:val="nil"/>
              <w:bottom w:val="single" w:sz="4" w:space="0" w:color="auto"/>
              <w:right w:val="single" w:sz="4" w:space="0" w:color="auto"/>
            </w:tcBorders>
            <w:shd w:val="clear" w:color="auto" w:fill="auto"/>
            <w:noWrap/>
            <w:vAlign w:val="center"/>
            <w:hideMark/>
          </w:tcPr>
          <w:p w14:paraId="19480B29"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720" w:type="dxa"/>
            <w:tcBorders>
              <w:top w:val="nil"/>
              <w:left w:val="nil"/>
              <w:bottom w:val="single" w:sz="4" w:space="0" w:color="auto"/>
              <w:right w:val="nil"/>
            </w:tcBorders>
            <w:shd w:val="clear" w:color="auto" w:fill="auto"/>
            <w:noWrap/>
            <w:vAlign w:val="bottom"/>
            <w:hideMark/>
          </w:tcPr>
          <w:p w14:paraId="7BE0E5AE"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136</w:t>
            </w:r>
          </w:p>
        </w:tc>
        <w:tc>
          <w:tcPr>
            <w:tcW w:w="1107" w:type="dxa"/>
            <w:tcBorders>
              <w:top w:val="nil"/>
              <w:left w:val="nil"/>
              <w:bottom w:val="single" w:sz="4" w:space="0" w:color="auto"/>
              <w:right w:val="nil"/>
            </w:tcBorders>
            <w:shd w:val="clear" w:color="auto" w:fill="auto"/>
            <w:noWrap/>
            <w:vAlign w:val="center"/>
            <w:hideMark/>
          </w:tcPr>
          <w:p w14:paraId="7DD8307B"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F85178" w:rsidRPr="00F85178" w14:paraId="046EC8B3"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57135F21"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Plzeň</w:t>
            </w:r>
          </w:p>
        </w:tc>
        <w:tc>
          <w:tcPr>
            <w:tcW w:w="500" w:type="dxa"/>
            <w:tcBorders>
              <w:top w:val="nil"/>
              <w:left w:val="nil"/>
              <w:bottom w:val="single" w:sz="4" w:space="0" w:color="auto"/>
              <w:right w:val="nil"/>
            </w:tcBorders>
            <w:shd w:val="clear" w:color="auto" w:fill="auto"/>
            <w:noWrap/>
            <w:vAlign w:val="bottom"/>
            <w:hideMark/>
          </w:tcPr>
          <w:p w14:paraId="1D355580"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73</w:t>
            </w:r>
          </w:p>
        </w:tc>
        <w:tc>
          <w:tcPr>
            <w:tcW w:w="1107" w:type="dxa"/>
            <w:tcBorders>
              <w:top w:val="nil"/>
              <w:left w:val="nil"/>
              <w:bottom w:val="single" w:sz="4" w:space="0" w:color="auto"/>
              <w:right w:val="nil"/>
            </w:tcBorders>
            <w:shd w:val="clear" w:color="auto" w:fill="auto"/>
            <w:noWrap/>
            <w:vAlign w:val="center"/>
            <w:hideMark/>
          </w:tcPr>
          <w:p w14:paraId="221DC12E"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499" w:type="dxa"/>
            <w:tcBorders>
              <w:top w:val="nil"/>
              <w:left w:val="single" w:sz="4" w:space="0" w:color="auto"/>
              <w:bottom w:val="single" w:sz="4" w:space="0" w:color="auto"/>
              <w:right w:val="nil"/>
            </w:tcBorders>
            <w:shd w:val="clear" w:color="auto" w:fill="auto"/>
            <w:noWrap/>
            <w:vAlign w:val="bottom"/>
            <w:hideMark/>
          </w:tcPr>
          <w:p w14:paraId="6A88C598"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55</w:t>
            </w:r>
          </w:p>
        </w:tc>
        <w:tc>
          <w:tcPr>
            <w:tcW w:w="1107" w:type="dxa"/>
            <w:tcBorders>
              <w:top w:val="nil"/>
              <w:left w:val="nil"/>
              <w:bottom w:val="single" w:sz="4" w:space="0" w:color="auto"/>
              <w:right w:val="single" w:sz="4" w:space="0" w:color="auto"/>
            </w:tcBorders>
            <w:shd w:val="clear" w:color="auto" w:fill="auto"/>
            <w:noWrap/>
            <w:vAlign w:val="center"/>
            <w:hideMark/>
          </w:tcPr>
          <w:p w14:paraId="1C1147CA"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720" w:type="dxa"/>
            <w:tcBorders>
              <w:top w:val="nil"/>
              <w:left w:val="nil"/>
              <w:bottom w:val="single" w:sz="4" w:space="0" w:color="auto"/>
              <w:right w:val="nil"/>
            </w:tcBorders>
            <w:shd w:val="clear" w:color="auto" w:fill="auto"/>
            <w:noWrap/>
            <w:vAlign w:val="bottom"/>
            <w:hideMark/>
          </w:tcPr>
          <w:p w14:paraId="5DFBD59D"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145</w:t>
            </w:r>
          </w:p>
        </w:tc>
        <w:tc>
          <w:tcPr>
            <w:tcW w:w="1107" w:type="dxa"/>
            <w:tcBorders>
              <w:top w:val="nil"/>
              <w:left w:val="nil"/>
              <w:bottom w:val="single" w:sz="4" w:space="0" w:color="auto"/>
              <w:right w:val="nil"/>
            </w:tcBorders>
            <w:shd w:val="clear" w:color="auto" w:fill="auto"/>
            <w:noWrap/>
            <w:vAlign w:val="center"/>
            <w:hideMark/>
          </w:tcPr>
          <w:p w14:paraId="213EE1F2"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-6 %</w:t>
            </w:r>
          </w:p>
        </w:tc>
      </w:tr>
      <w:tr w:rsidR="00F85178" w:rsidRPr="00F85178" w14:paraId="2B40446B"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29162EF4"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Ústí n. Labem</w:t>
            </w:r>
          </w:p>
        </w:tc>
        <w:tc>
          <w:tcPr>
            <w:tcW w:w="500" w:type="dxa"/>
            <w:tcBorders>
              <w:top w:val="nil"/>
              <w:left w:val="nil"/>
              <w:bottom w:val="single" w:sz="4" w:space="0" w:color="auto"/>
              <w:right w:val="nil"/>
            </w:tcBorders>
            <w:shd w:val="clear" w:color="auto" w:fill="auto"/>
            <w:noWrap/>
            <w:vAlign w:val="bottom"/>
            <w:hideMark/>
          </w:tcPr>
          <w:p w14:paraId="53141BC2"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64</w:t>
            </w:r>
          </w:p>
        </w:tc>
        <w:tc>
          <w:tcPr>
            <w:tcW w:w="1107" w:type="dxa"/>
            <w:tcBorders>
              <w:top w:val="nil"/>
              <w:left w:val="nil"/>
              <w:bottom w:val="single" w:sz="4" w:space="0" w:color="auto"/>
              <w:right w:val="nil"/>
            </w:tcBorders>
            <w:shd w:val="clear" w:color="auto" w:fill="auto"/>
            <w:noWrap/>
            <w:vAlign w:val="center"/>
            <w:hideMark/>
          </w:tcPr>
          <w:p w14:paraId="4579C881"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499" w:type="dxa"/>
            <w:tcBorders>
              <w:top w:val="nil"/>
              <w:left w:val="single" w:sz="4" w:space="0" w:color="auto"/>
              <w:bottom w:val="single" w:sz="4" w:space="0" w:color="auto"/>
              <w:right w:val="nil"/>
            </w:tcBorders>
            <w:shd w:val="clear" w:color="auto" w:fill="auto"/>
            <w:noWrap/>
            <w:vAlign w:val="bottom"/>
            <w:hideMark/>
          </w:tcPr>
          <w:p w14:paraId="6C0DCD55"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48</w:t>
            </w:r>
          </w:p>
        </w:tc>
        <w:tc>
          <w:tcPr>
            <w:tcW w:w="1107" w:type="dxa"/>
            <w:tcBorders>
              <w:top w:val="nil"/>
              <w:left w:val="nil"/>
              <w:bottom w:val="single" w:sz="4" w:space="0" w:color="auto"/>
              <w:right w:val="single" w:sz="4" w:space="0" w:color="auto"/>
            </w:tcBorders>
            <w:shd w:val="clear" w:color="auto" w:fill="auto"/>
            <w:noWrap/>
            <w:vAlign w:val="center"/>
            <w:hideMark/>
          </w:tcPr>
          <w:p w14:paraId="688B393A"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720" w:type="dxa"/>
            <w:tcBorders>
              <w:top w:val="nil"/>
              <w:left w:val="nil"/>
              <w:bottom w:val="single" w:sz="4" w:space="0" w:color="auto"/>
              <w:right w:val="nil"/>
            </w:tcBorders>
            <w:shd w:val="clear" w:color="auto" w:fill="auto"/>
            <w:noWrap/>
            <w:vAlign w:val="bottom"/>
            <w:hideMark/>
          </w:tcPr>
          <w:p w14:paraId="401F4FF2"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126</w:t>
            </w:r>
          </w:p>
        </w:tc>
        <w:tc>
          <w:tcPr>
            <w:tcW w:w="1107" w:type="dxa"/>
            <w:tcBorders>
              <w:top w:val="nil"/>
              <w:left w:val="nil"/>
              <w:bottom w:val="single" w:sz="4" w:space="0" w:color="auto"/>
              <w:right w:val="nil"/>
            </w:tcBorders>
            <w:shd w:val="clear" w:color="auto" w:fill="auto"/>
            <w:noWrap/>
            <w:vAlign w:val="center"/>
            <w:hideMark/>
          </w:tcPr>
          <w:p w14:paraId="0C4AC3A5"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+0 %</w:t>
            </w:r>
          </w:p>
        </w:tc>
      </w:tr>
      <w:tr w:rsidR="00F85178" w:rsidRPr="00F85178" w14:paraId="196313B8"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5B8D8E8B"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Hr. Králové</w:t>
            </w:r>
          </w:p>
        </w:tc>
        <w:tc>
          <w:tcPr>
            <w:tcW w:w="500" w:type="dxa"/>
            <w:tcBorders>
              <w:top w:val="nil"/>
              <w:left w:val="nil"/>
              <w:bottom w:val="single" w:sz="4" w:space="0" w:color="auto"/>
              <w:right w:val="nil"/>
            </w:tcBorders>
            <w:shd w:val="clear" w:color="auto" w:fill="auto"/>
            <w:noWrap/>
            <w:vAlign w:val="bottom"/>
            <w:hideMark/>
          </w:tcPr>
          <w:p w14:paraId="60A243E2"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84</w:t>
            </w:r>
          </w:p>
        </w:tc>
        <w:tc>
          <w:tcPr>
            <w:tcW w:w="1107" w:type="dxa"/>
            <w:tcBorders>
              <w:top w:val="nil"/>
              <w:left w:val="nil"/>
              <w:bottom w:val="single" w:sz="4" w:space="0" w:color="auto"/>
              <w:right w:val="nil"/>
            </w:tcBorders>
            <w:shd w:val="clear" w:color="auto" w:fill="auto"/>
            <w:noWrap/>
            <w:vAlign w:val="center"/>
            <w:hideMark/>
          </w:tcPr>
          <w:p w14:paraId="4C1329B1"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499" w:type="dxa"/>
            <w:tcBorders>
              <w:top w:val="nil"/>
              <w:left w:val="single" w:sz="4" w:space="0" w:color="auto"/>
              <w:bottom w:val="single" w:sz="4" w:space="0" w:color="auto"/>
              <w:right w:val="nil"/>
            </w:tcBorders>
            <w:shd w:val="clear" w:color="auto" w:fill="auto"/>
            <w:noWrap/>
            <w:vAlign w:val="bottom"/>
            <w:hideMark/>
          </w:tcPr>
          <w:p w14:paraId="1633370E"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63</w:t>
            </w:r>
          </w:p>
        </w:tc>
        <w:tc>
          <w:tcPr>
            <w:tcW w:w="1107" w:type="dxa"/>
            <w:tcBorders>
              <w:top w:val="nil"/>
              <w:left w:val="nil"/>
              <w:bottom w:val="single" w:sz="4" w:space="0" w:color="auto"/>
              <w:right w:val="single" w:sz="4" w:space="0" w:color="auto"/>
            </w:tcBorders>
            <w:shd w:val="clear" w:color="auto" w:fill="auto"/>
            <w:noWrap/>
            <w:vAlign w:val="center"/>
            <w:hideMark/>
          </w:tcPr>
          <w:p w14:paraId="45D3E010"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720" w:type="dxa"/>
            <w:tcBorders>
              <w:top w:val="nil"/>
              <w:left w:val="nil"/>
              <w:bottom w:val="single" w:sz="4" w:space="0" w:color="auto"/>
              <w:right w:val="nil"/>
            </w:tcBorders>
            <w:shd w:val="clear" w:color="auto" w:fill="auto"/>
            <w:noWrap/>
            <w:vAlign w:val="bottom"/>
            <w:hideMark/>
          </w:tcPr>
          <w:p w14:paraId="6C47A6B1"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185</w:t>
            </w:r>
          </w:p>
        </w:tc>
        <w:tc>
          <w:tcPr>
            <w:tcW w:w="1107" w:type="dxa"/>
            <w:tcBorders>
              <w:top w:val="nil"/>
              <w:left w:val="nil"/>
              <w:bottom w:val="single" w:sz="4" w:space="0" w:color="auto"/>
              <w:right w:val="nil"/>
            </w:tcBorders>
            <w:shd w:val="clear" w:color="auto" w:fill="auto"/>
            <w:noWrap/>
            <w:vAlign w:val="center"/>
            <w:hideMark/>
          </w:tcPr>
          <w:p w14:paraId="13D2CF30"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+12 %</w:t>
            </w:r>
          </w:p>
        </w:tc>
      </w:tr>
      <w:tr w:rsidR="00F85178" w:rsidRPr="00F85178" w14:paraId="5394D9C8" w14:textId="77777777" w:rsidTr="0088640D">
        <w:trPr>
          <w:trHeight w:val="315"/>
        </w:trPr>
        <w:tc>
          <w:tcPr>
            <w:tcW w:w="2480" w:type="dxa"/>
            <w:tcBorders>
              <w:top w:val="nil"/>
              <w:left w:val="nil"/>
              <w:bottom w:val="single" w:sz="4" w:space="0" w:color="auto"/>
              <w:right w:val="nil"/>
            </w:tcBorders>
            <w:shd w:val="clear" w:color="auto" w:fill="auto"/>
            <w:noWrap/>
            <w:vAlign w:val="bottom"/>
            <w:hideMark/>
          </w:tcPr>
          <w:p w14:paraId="08F844ED"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Brno</w:t>
            </w:r>
          </w:p>
        </w:tc>
        <w:tc>
          <w:tcPr>
            <w:tcW w:w="500" w:type="dxa"/>
            <w:tcBorders>
              <w:top w:val="nil"/>
              <w:left w:val="nil"/>
              <w:bottom w:val="single" w:sz="4" w:space="0" w:color="auto"/>
              <w:right w:val="nil"/>
            </w:tcBorders>
            <w:shd w:val="clear" w:color="auto" w:fill="auto"/>
            <w:noWrap/>
            <w:vAlign w:val="bottom"/>
            <w:hideMark/>
          </w:tcPr>
          <w:p w14:paraId="3778EBB9"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92</w:t>
            </w:r>
          </w:p>
        </w:tc>
        <w:tc>
          <w:tcPr>
            <w:tcW w:w="1107" w:type="dxa"/>
            <w:tcBorders>
              <w:top w:val="nil"/>
              <w:left w:val="nil"/>
              <w:bottom w:val="single" w:sz="4" w:space="0" w:color="auto"/>
              <w:right w:val="nil"/>
            </w:tcBorders>
            <w:shd w:val="clear" w:color="auto" w:fill="auto"/>
            <w:noWrap/>
            <w:vAlign w:val="center"/>
            <w:hideMark/>
          </w:tcPr>
          <w:p w14:paraId="34F7F7D1"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499" w:type="dxa"/>
            <w:tcBorders>
              <w:top w:val="nil"/>
              <w:left w:val="single" w:sz="4" w:space="0" w:color="auto"/>
              <w:bottom w:val="single" w:sz="4" w:space="0" w:color="auto"/>
              <w:right w:val="nil"/>
            </w:tcBorders>
            <w:shd w:val="clear" w:color="auto" w:fill="auto"/>
            <w:noWrap/>
            <w:vAlign w:val="bottom"/>
            <w:hideMark/>
          </w:tcPr>
          <w:p w14:paraId="27EADE13"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63</w:t>
            </w:r>
          </w:p>
        </w:tc>
        <w:tc>
          <w:tcPr>
            <w:tcW w:w="1107" w:type="dxa"/>
            <w:tcBorders>
              <w:top w:val="nil"/>
              <w:left w:val="nil"/>
              <w:bottom w:val="single" w:sz="4" w:space="0" w:color="auto"/>
              <w:right w:val="single" w:sz="4" w:space="0" w:color="auto"/>
            </w:tcBorders>
            <w:shd w:val="clear" w:color="auto" w:fill="auto"/>
            <w:noWrap/>
            <w:vAlign w:val="center"/>
            <w:hideMark/>
          </w:tcPr>
          <w:p w14:paraId="78564DE0"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720" w:type="dxa"/>
            <w:tcBorders>
              <w:top w:val="nil"/>
              <w:left w:val="nil"/>
              <w:bottom w:val="single" w:sz="4" w:space="0" w:color="auto"/>
              <w:right w:val="nil"/>
            </w:tcBorders>
            <w:shd w:val="clear" w:color="auto" w:fill="auto"/>
            <w:noWrap/>
            <w:vAlign w:val="bottom"/>
            <w:hideMark/>
          </w:tcPr>
          <w:p w14:paraId="21F67573"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206</w:t>
            </w:r>
          </w:p>
        </w:tc>
        <w:tc>
          <w:tcPr>
            <w:tcW w:w="1107" w:type="dxa"/>
            <w:tcBorders>
              <w:top w:val="nil"/>
              <w:left w:val="nil"/>
              <w:bottom w:val="single" w:sz="4" w:space="0" w:color="auto"/>
              <w:right w:val="nil"/>
            </w:tcBorders>
            <w:shd w:val="clear" w:color="auto" w:fill="auto"/>
            <w:noWrap/>
            <w:vAlign w:val="center"/>
            <w:hideMark/>
          </w:tcPr>
          <w:p w14:paraId="070485FC"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+2 %</w:t>
            </w:r>
          </w:p>
        </w:tc>
      </w:tr>
      <w:tr w:rsidR="00F85178" w:rsidRPr="00F85178" w14:paraId="47BEDF2D" w14:textId="77777777" w:rsidTr="0088640D">
        <w:trPr>
          <w:trHeight w:val="330"/>
        </w:trPr>
        <w:tc>
          <w:tcPr>
            <w:tcW w:w="2480" w:type="dxa"/>
            <w:tcBorders>
              <w:top w:val="nil"/>
              <w:left w:val="nil"/>
              <w:bottom w:val="double" w:sz="6" w:space="0" w:color="auto"/>
              <w:right w:val="nil"/>
            </w:tcBorders>
            <w:shd w:val="clear" w:color="auto" w:fill="auto"/>
            <w:noWrap/>
            <w:vAlign w:val="bottom"/>
            <w:hideMark/>
          </w:tcPr>
          <w:p w14:paraId="1073A134" w14:textId="77777777" w:rsidR="0088640D" w:rsidRPr="00F85178" w:rsidRDefault="0088640D" w:rsidP="0088640D">
            <w:pPr>
              <w:spacing w:line="240" w:lineRule="auto"/>
              <w:jc w:val="left"/>
              <w:rPr>
                <w:rFonts w:eastAsia="Times New Roman"/>
                <w:szCs w:val="24"/>
                <w:lang w:eastAsia="cs-CZ"/>
              </w:rPr>
            </w:pPr>
            <w:r w:rsidRPr="00F85178">
              <w:rPr>
                <w:rFonts w:eastAsia="Times New Roman"/>
                <w:szCs w:val="24"/>
                <w:lang w:eastAsia="cs-CZ"/>
              </w:rPr>
              <w:t>KS Ostrava</w:t>
            </w:r>
          </w:p>
        </w:tc>
        <w:tc>
          <w:tcPr>
            <w:tcW w:w="500" w:type="dxa"/>
            <w:tcBorders>
              <w:top w:val="nil"/>
              <w:left w:val="nil"/>
              <w:bottom w:val="double" w:sz="6" w:space="0" w:color="auto"/>
              <w:right w:val="nil"/>
            </w:tcBorders>
            <w:shd w:val="clear" w:color="auto" w:fill="auto"/>
            <w:noWrap/>
            <w:vAlign w:val="bottom"/>
            <w:hideMark/>
          </w:tcPr>
          <w:p w14:paraId="3EFC0FAC"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91</w:t>
            </w:r>
          </w:p>
        </w:tc>
        <w:tc>
          <w:tcPr>
            <w:tcW w:w="1107" w:type="dxa"/>
            <w:tcBorders>
              <w:top w:val="nil"/>
              <w:left w:val="nil"/>
              <w:bottom w:val="double" w:sz="6" w:space="0" w:color="auto"/>
              <w:right w:val="nil"/>
            </w:tcBorders>
            <w:shd w:val="clear" w:color="auto" w:fill="auto"/>
            <w:noWrap/>
            <w:vAlign w:val="center"/>
            <w:hideMark/>
          </w:tcPr>
          <w:p w14:paraId="66F213C5"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+57 %</w:t>
            </w:r>
          </w:p>
        </w:tc>
        <w:tc>
          <w:tcPr>
            <w:tcW w:w="499" w:type="dxa"/>
            <w:tcBorders>
              <w:top w:val="nil"/>
              <w:left w:val="single" w:sz="4" w:space="0" w:color="auto"/>
              <w:bottom w:val="double" w:sz="6" w:space="0" w:color="auto"/>
              <w:right w:val="nil"/>
            </w:tcBorders>
            <w:shd w:val="clear" w:color="auto" w:fill="auto"/>
            <w:noWrap/>
            <w:vAlign w:val="bottom"/>
            <w:hideMark/>
          </w:tcPr>
          <w:p w14:paraId="6FED680C"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62</w:t>
            </w:r>
          </w:p>
        </w:tc>
        <w:tc>
          <w:tcPr>
            <w:tcW w:w="1107" w:type="dxa"/>
            <w:tcBorders>
              <w:top w:val="nil"/>
              <w:left w:val="nil"/>
              <w:bottom w:val="double" w:sz="6" w:space="0" w:color="auto"/>
              <w:right w:val="single" w:sz="4" w:space="0" w:color="auto"/>
            </w:tcBorders>
            <w:shd w:val="clear" w:color="auto" w:fill="auto"/>
            <w:noWrap/>
            <w:vAlign w:val="center"/>
            <w:hideMark/>
          </w:tcPr>
          <w:p w14:paraId="01BD7B64"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+88 %</w:t>
            </w:r>
          </w:p>
        </w:tc>
        <w:tc>
          <w:tcPr>
            <w:tcW w:w="720" w:type="dxa"/>
            <w:tcBorders>
              <w:top w:val="nil"/>
              <w:left w:val="nil"/>
              <w:bottom w:val="double" w:sz="6" w:space="0" w:color="auto"/>
              <w:right w:val="nil"/>
            </w:tcBorders>
            <w:shd w:val="clear" w:color="auto" w:fill="auto"/>
            <w:noWrap/>
            <w:vAlign w:val="bottom"/>
            <w:hideMark/>
          </w:tcPr>
          <w:p w14:paraId="5D335583" w14:textId="77777777" w:rsidR="0088640D" w:rsidRPr="00F85178" w:rsidRDefault="0088640D" w:rsidP="00203941">
            <w:pPr>
              <w:spacing w:line="240" w:lineRule="auto"/>
              <w:jc w:val="center"/>
              <w:rPr>
                <w:rFonts w:eastAsia="Times New Roman"/>
                <w:szCs w:val="24"/>
                <w:lang w:eastAsia="cs-CZ"/>
              </w:rPr>
            </w:pPr>
            <w:r w:rsidRPr="00F85178">
              <w:rPr>
                <w:rFonts w:eastAsia="Times New Roman"/>
                <w:szCs w:val="24"/>
                <w:lang w:eastAsia="cs-CZ"/>
              </w:rPr>
              <w:t>194</w:t>
            </w:r>
          </w:p>
        </w:tc>
        <w:tc>
          <w:tcPr>
            <w:tcW w:w="1107" w:type="dxa"/>
            <w:tcBorders>
              <w:top w:val="nil"/>
              <w:left w:val="nil"/>
              <w:bottom w:val="double" w:sz="6" w:space="0" w:color="auto"/>
              <w:right w:val="nil"/>
            </w:tcBorders>
            <w:shd w:val="clear" w:color="auto" w:fill="auto"/>
            <w:noWrap/>
            <w:vAlign w:val="center"/>
            <w:hideMark/>
          </w:tcPr>
          <w:p w14:paraId="1564668D" w14:textId="77777777" w:rsidR="0088640D" w:rsidRPr="00F85178" w:rsidRDefault="0088640D" w:rsidP="00203941">
            <w:pPr>
              <w:spacing w:line="240" w:lineRule="auto"/>
              <w:jc w:val="center"/>
              <w:rPr>
                <w:rFonts w:eastAsia="Times New Roman"/>
                <w:sz w:val="20"/>
                <w:szCs w:val="20"/>
                <w:lang w:eastAsia="cs-CZ"/>
              </w:rPr>
            </w:pPr>
            <w:r w:rsidRPr="00F85178">
              <w:rPr>
                <w:rFonts w:eastAsia="Times New Roman"/>
                <w:sz w:val="20"/>
                <w:szCs w:val="20"/>
                <w:lang w:eastAsia="cs-CZ"/>
              </w:rPr>
              <w:t>+42 %</w:t>
            </w:r>
          </w:p>
        </w:tc>
      </w:tr>
      <w:tr w:rsidR="0088640D" w:rsidRPr="00F85178" w14:paraId="0C02DDF8" w14:textId="77777777" w:rsidTr="0088640D">
        <w:trPr>
          <w:trHeight w:val="345"/>
        </w:trPr>
        <w:tc>
          <w:tcPr>
            <w:tcW w:w="2480" w:type="dxa"/>
            <w:tcBorders>
              <w:top w:val="nil"/>
              <w:left w:val="nil"/>
              <w:bottom w:val="double" w:sz="6" w:space="0" w:color="auto"/>
              <w:right w:val="nil"/>
            </w:tcBorders>
            <w:shd w:val="clear" w:color="auto" w:fill="auto"/>
            <w:noWrap/>
            <w:vAlign w:val="bottom"/>
            <w:hideMark/>
          </w:tcPr>
          <w:p w14:paraId="0084A4C8" w14:textId="77777777" w:rsidR="0088640D" w:rsidRPr="00F85178" w:rsidRDefault="0088640D" w:rsidP="0088640D">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500" w:type="dxa"/>
            <w:tcBorders>
              <w:top w:val="nil"/>
              <w:left w:val="nil"/>
              <w:bottom w:val="double" w:sz="6" w:space="0" w:color="auto"/>
              <w:right w:val="nil"/>
            </w:tcBorders>
            <w:shd w:val="clear" w:color="auto" w:fill="auto"/>
            <w:noWrap/>
            <w:vAlign w:val="center"/>
            <w:hideMark/>
          </w:tcPr>
          <w:p w14:paraId="7BB2418D"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75</w:t>
            </w:r>
          </w:p>
        </w:tc>
        <w:tc>
          <w:tcPr>
            <w:tcW w:w="1107" w:type="dxa"/>
            <w:tcBorders>
              <w:top w:val="nil"/>
              <w:left w:val="nil"/>
              <w:bottom w:val="double" w:sz="6" w:space="0" w:color="auto"/>
              <w:right w:val="nil"/>
            </w:tcBorders>
            <w:shd w:val="clear" w:color="auto" w:fill="auto"/>
            <w:noWrap/>
            <w:vAlign w:val="center"/>
            <w:hideMark/>
          </w:tcPr>
          <w:p w14:paraId="0089C792" w14:textId="77777777" w:rsidR="0088640D" w:rsidRPr="00F85178" w:rsidRDefault="0088640D" w:rsidP="00203941">
            <w:pPr>
              <w:spacing w:line="240" w:lineRule="auto"/>
              <w:jc w:val="center"/>
              <w:rPr>
                <w:rFonts w:eastAsia="Times New Roman"/>
                <w:b/>
                <w:bCs/>
                <w:sz w:val="20"/>
                <w:szCs w:val="20"/>
                <w:lang w:eastAsia="cs-CZ"/>
              </w:rPr>
            </w:pPr>
            <w:r w:rsidRPr="00F85178">
              <w:rPr>
                <w:rFonts w:eastAsia="Times New Roman"/>
                <w:b/>
                <w:bCs/>
                <w:sz w:val="20"/>
                <w:szCs w:val="20"/>
                <w:lang w:eastAsia="cs-CZ"/>
              </w:rPr>
              <w:t>+4 %</w:t>
            </w:r>
          </w:p>
        </w:tc>
        <w:tc>
          <w:tcPr>
            <w:tcW w:w="499" w:type="dxa"/>
            <w:tcBorders>
              <w:top w:val="nil"/>
              <w:left w:val="single" w:sz="4" w:space="0" w:color="auto"/>
              <w:bottom w:val="double" w:sz="6" w:space="0" w:color="auto"/>
              <w:right w:val="nil"/>
            </w:tcBorders>
            <w:shd w:val="clear" w:color="auto" w:fill="auto"/>
            <w:noWrap/>
            <w:vAlign w:val="center"/>
            <w:hideMark/>
          </w:tcPr>
          <w:p w14:paraId="40B9E91B"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52</w:t>
            </w:r>
          </w:p>
        </w:tc>
        <w:tc>
          <w:tcPr>
            <w:tcW w:w="1107" w:type="dxa"/>
            <w:tcBorders>
              <w:top w:val="nil"/>
              <w:left w:val="nil"/>
              <w:bottom w:val="double" w:sz="6" w:space="0" w:color="auto"/>
              <w:right w:val="single" w:sz="4" w:space="0" w:color="auto"/>
            </w:tcBorders>
            <w:shd w:val="clear" w:color="auto" w:fill="auto"/>
            <w:noWrap/>
            <w:vAlign w:val="center"/>
            <w:hideMark/>
          </w:tcPr>
          <w:p w14:paraId="37308C13" w14:textId="77777777" w:rsidR="0088640D" w:rsidRPr="00F85178" w:rsidRDefault="0088640D" w:rsidP="00203941">
            <w:pPr>
              <w:spacing w:line="240" w:lineRule="auto"/>
              <w:jc w:val="center"/>
              <w:rPr>
                <w:rFonts w:eastAsia="Times New Roman"/>
                <w:b/>
                <w:bCs/>
                <w:sz w:val="20"/>
                <w:szCs w:val="20"/>
                <w:lang w:eastAsia="cs-CZ"/>
              </w:rPr>
            </w:pPr>
            <w:r w:rsidRPr="00F85178">
              <w:rPr>
                <w:rFonts w:eastAsia="Times New Roman"/>
                <w:b/>
                <w:bCs/>
                <w:sz w:val="20"/>
                <w:szCs w:val="20"/>
                <w:lang w:eastAsia="cs-CZ"/>
              </w:rPr>
              <w:t>+8 %</w:t>
            </w:r>
          </w:p>
        </w:tc>
        <w:tc>
          <w:tcPr>
            <w:tcW w:w="720" w:type="dxa"/>
            <w:tcBorders>
              <w:top w:val="nil"/>
              <w:left w:val="nil"/>
              <w:bottom w:val="double" w:sz="6" w:space="0" w:color="auto"/>
              <w:right w:val="nil"/>
            </w:tcBorders>
            <w:shd w:val="clear" w:color="auto" w:fill="auto"/>
            <w:noWrap/>
            <w:vAlign w:val="center"/>
            <w:hideMark/>
          </w:tcPr>
          <w:p w14:paraId="5C7A7CFB" w14:textId="77777777" w:rsidR="0088640D" w:rsidRPr="00F85178" w:rsidRDefault="0088640D" w:rsidP="00203941">
            <w:pPr>
              <w:spacing w:line="240" w:lineRule="auto"/>
              <w:jc w:val="center"/>
              <w:rPr>
                <w:rFonts w:eastAsia="Times New Roman"/>
                <w:b/>
                <w:bCs/>
                <w:szCs w:val="24"/>
                <w:lang w:eastAsia="cs-CZ"/>
              </w:rPr>
            </w:pPr>
            <w:r w:rsidRPr="00F85178">
              <w:rPr>
                <w:rFonts w:eastAsia="Times New Roman"/>
                <w:b/>
                <w:bCs/>
                <w:szCs w:val="24"/>
                <w:lang w:eastAsia="cs-CZ"/>
              </w:rPr>
              <w:t>157</w:t>
            </w:r>
          </w:p>
        </w:tc>
        <w:tc>
          <w:tcPr>
            <w:tcW w:w="1107" w:type="dxa"/>
            <w:tcBorders>
              <w:top w:val="nil"/>
              <w:left w:val="nil"/>
              <w:bottom w:val="double" w:sz="6" w:space="0" w:color="auto"/>
              <w:right w:val="nil"/>
            </w:tcBorders>
            <w:shd w:val="clear" w:color="auto" w:fill="auto"/>
            <w:noWrap/>
            <w:vAlign w:val="center"/>
            <w:hideMark/>
          </w:tcPr>
          <w:p w14:paraId="62199F58" w14:textId="77777777" w:rsidR="0088640D" w:rsidRPr="00F85178" w:rsidRDefault="0088640D" w:rsidP="00203941">
            <w:pPr>
              <w:spacing w:line="240" w:lineRule="auto"/>
              <w:jc w:val="center"/>
              <w:rPr>
                <w:rFonts w:eastAsia="Times New Roman"/>
                <w:b/>
                <w:bCs/>
                <w:sz w:val="20"/>
                <w:szCs w:val="20"/>
                <w:lang w:eastAsia="cs-CZ"/>
              </w:rPr>
            </w:pPr>
            <w:r w:rsidRPr="00F85178">
              <w:rPr>
                <w:rFonts w:eastAsia="Times New Roman"/>
                <w:b/>
                <w:bCs/>
                <w:sz w:val="20"/>
                <w:szCs w:val="20"/>
                <w:lang w:eastAsia="cs-CZ"/>
              </w:rPr>
              <w:t>-25 %</w:t>
            </w:r>
          </w:p>
        </w:tc>
      </w:tr>
    </w:tbl>
    <w:p w14:paraId="650A3541" w14:textId="77777777" w:rsidR="0088640D" w:rsidRPr="000B3655" w:rsidRDefault="0088640D" w:rsidP="00205FD6"/>
    <w:p w14:paraId="53A9E75D" w14:textId="77777777" w:rsidR="00734D38" w:rsidRPr="00F85178" w:rsidRDefault="00734D38" w:rsidP="00734D38">
      <w:pPr>
        <w:pStyle w:val="OdstavecASR"/>
        <w:keepNext/>
        <w:rPr>
          <w:b/>
        </w:rPr>
      </w:pPr>
      <w:r w:rsidRPr="00F85178">
        <w:rPr>
          <w:b/>
        </w:rPr>
        <w:t>Pouze právnické osoby (PO)</w:t>
      </w:r>
    </w:p>
    <w:p w14:paraId="381DB214" w14:textId="4DD3E395" w:rsidR="006C4802" w:rsidRPr="00F85178" w:rsidRDefault="006C4802" w:rsidP="006C4802">
      <w:pPr>
        <w:pStyle w:val="OdstavecASR"/>
      </w:pPr>
      <w:r w:rsidRPr="00F85178">
        <w:t>Tvrzení, že soud nemá vliv na délku řízení ve fázi řešení úpadku, platí většinou u insolvencí, jejichž úpadek se zpravidla řeší oddlužením. U právnických osob je tomu jinak. Délka řízení přímo závisí na rychlosti zpeněžování majetku insolvenčním správcem (a tedy i intenzitě a kvalitě dohledové činnosti soudce) a rychlosti vyřizování incidenčních sporů. Z tohoto důvodů zde uvádíme délku řízení ode dne rozhodnutí o úpadku do dne konečného rozhodnutí soudem I. stupně u věcí, kde je dlužníkem právnická osoba.</w:t>
      </w:r>
    </w:p>
    <w:p w14:paraId="66457431" w14:textId="77777777" w:rsidR="006C4802" w:rsidRPr="00F85178" w:rsidRDefault="006C4802" w:rsidP="006C4802">
      <w:pPr>
        <w:pStyle w:val="OdstavecASR"/>
      </w:pPr>
      <w:r w:rsidRPr="00F85178">
        <w:t>V grafu níže vidíme silný rostoucí trend. Ten vyplývá z faktu, že se postupně ukončují řízení, která byla zahajována od roku 2008 a pomalu se nakumulovala. V dřívějších letech věci skončily především z jiného důvodu než zrušením konkurzu po obdržení zprávy insolvenčního správce o splnění rozvrhového usnesení, u řešení úpadku oddlužením jeho splněním nebo v případě řešení reorganizací splněním reorganizačního plánu. Jednoduše řečeno, větší podíl věcí skončil předčasně.</w:t>
      </w:r>
    </w:p>
    <w:p w14:paraId="11876E38" w14:textId="77777777" w:rsidR="00734D38" w:rsidRPr="000B3655" w:rsidRDefault="00734D38" w:rsidP="00734D38">
      <w:pPr>
        <w:pStyle w:val="Podtitul"/>
        <w:rPr>
          <w:color w:val="auto"/>
        </w:rPr>
      </w:pPr>
      <w:bookmarkStart w:id="556" w:name="_Toc515871403"/>
      <w:bookmarkStart w:id="557" w:name="_Toc11135134"/>
      <w:bookmarkStart w:id="558" w:name="_Toc13837566"/>
      <w:r w:rsidRPr="00F85178">
        <w:rPr>
          <w:color w:val="auto"/>
        </w:rPr>
        <w:t xml:space="preserve">Graf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73</w:t>
      </w:r>
      <w:r w:rsidR="00D842DE" w:rsidRPr="00F85178">
        <w:rPr>
          <w:noProof/>
          <w:color w:val="auto"/>
        </w:rPr>
        <w:fldChar w:fldCharType="end"/>
      </w:r>
      <w:r w:rsidRPr="00F85178">
        <w:rPr>
          <w:color w:val="auto"/>
        </w:rPr>
        <w:t>: KS – délka druhé fáze insolvenčního řízení u PO v letech 2010–201</w:t>
      </w:r>
      <w:bookmarkEnd w:id="556"/>
      <w:r w:rsidRPr="00F85178">
        <w:rPr>
          <w:color w:val="auto"/>
        </w:rPr>
        <w:t>8</w:t>
      </w:r>
      <w:bookmarkEnd w:id="557"/>
      <w:bookmarkEnd w:id="558"/>
    </w:p>
    <w:p w14:paraId="139C1BD6" w14:textId="77777777" w:rsidR="00734D38" w:rsidRPr="00F85178" w:rsidRDefault="00890295" w:rsidP="00145840">
      <w:pPr>
        <w:pStyle w:val="OdstavecASR"/>
        <w:rPr>
          <w:noProof/>
          <w:lang w:eastAsia="cs-CZ"/>
        </w:rPr>
      </w:pPr>
      <w:r>
        <w:rPr>
          <w:noProof/>
          <w:lang w:eastAsia="cs-CZ"/>
        </w:rPr>
        <w:drawing>
          <wp:inline distT="0" distB="0" distL="0" distR="0" wp14:anchorId="4E2D7D48" wp14:editId="422C15D6">
            <wp:extent cx="5118100" cy="3746500"/>
            <wp:effectExtent l="0" t="0" r="0" b="0"/>
            <wp:docPr id="76" name="Obrázek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98"/>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95A8389" w14:textId="77777777" w:rsidR="0032015B" w:rsidRDefault="006C4802" w:rsidP="005E535A">
      <w:pPr>
        <w:pStyle w:val="OdstavecASR"/>
      </w:pPr>
      <w:r w:rsidRPr="00F85178">
        <w:t>V tabulce vidíme, že devadesátý percentil je vzhledem k jeho absolutní výši poměrně vyrovnaný. Co se týče mediánu, rozdíly mezi soudy jsou v něm významnější.</w:t>
      </w:r>
    </w:p>
    <w:p w14:paraId="68ACCA4F" w14:textId="6FF1C68A" w:rsidR="005E535A" w:rsidRPr="00F85178" w:rsidRDefault="005E535A" w:rsidP="005E535A">
      <w:pPr>
        <w:pStyle w:val="OdstavecASR"/>
      </w:pPr>
      <w:r w:rsidRPr="00F85178">
        <w:t>Zdaleka nejlépe si vede MS Praha. Naopak, nejpomaleji vyřizují věci KS Ústí nad Labem.</w:t>
      </w:r>
      <w:r w:rsidR="00A45991">
        <w:t xml:space="preserve"> Zde je třeba dodat, že insolvence právnických osoby tvoří velmi malou část agendy u KS Ústí nad Labem – pouze několik procent. V ostatních, výrazně větších agendách, si soud vede průměrně</w:t>
      </w:r>
      <w:r w:rsidR="00BB2D0F">
        <w:t xml:space="preserve"> či mírně nadprůměrně.</w:t>
      </w:r>
    </w:p>
    <w:p w14:paraId="47DA269E" w14:textId="2049EF60" w:rsidR="00A45991" w:rsidRDefault="006C4802" w:rsidP="006C4802">
      <w:pPr>
        <w:pStyle w:val="OdstavecASR"/>
      </w:pPr>
      <w:r w:rsidRPr="00F85178">
        <w:t>Bližší pohled na data dále ukazuje, že insolvence akciových společností trvají déle. Délky řízení u ostatních právních forem podnikání jsou vyrovnané. Tento závěr je logický, neboť akciové společnosti jsou zpravidla výrazně větší a insolvence je tedy složitější. Logicky jsou nejběžnější insolvence společností s ručením omezením, protože se jedná o zdaleka nejběžnější právní formu podnikání.</w:t>
      </w:r>
    </w:p>
    <w:p w14:paraId="4F70F5B7" w14:textId="77777777" w:rsidR="00A45991" w:rsidRDefault="00A45991">
      <w:pPr>
        <w:spacing w:line="240" w:lineRule="auto"/>
        <w:jc w:val="left"/>
      </w:pPr>
      <w:r>
        <w:br w:type="page"/>
      </w:r>
    </w:p>
    <w:p w14:paraId="17086726" w14:textId="77777777" w:rsidR="00AE5BA8" w:rsidRPr="00F85178" w:rsidRDefault="00AE5BA8" w:rsidP="00AE5BA8">
      <w:pPr>
        <w:pStyle w:val="Podtitul"/>
        <w:rPr>
          <w:color w:val="auto"/>
        </w:rPr>
      </w:pPr>
      <w:bookmarkStart w:id="559" w:name="_Toc515871498"/>
      <w:bookmarkStart w:id="560" w:name="_Toc11133263"/>
      <w:bookmarkStart w:id="561" w:name="_Toc13837484"/>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61</w:t>
      </w:r>
      <w:r w:rsidRPr="00F85178">
        <w:rPr>
          <w:color w:val="auto"/>
        </w:rPr>
        <w:fldChar w:fldCharType="end"/>
      </w:r>
      <w:r w:rsidRPr="00F85178">
        <w:rPr>
          <w:color w:val="auto"/>
        </w:rPr>
        <w:t>: KS – délka druhé fáze insolvenčního řízení u </w:t>
      </w:r>
      <w:r w:rsidR="00D842DE" w:rsidRPr="00F85178">
        <w:rPr>
          <w:color w:val="auto"/>
        </w:rPr>
        <w:t>PO</w:t>
      </w:r>
      <w:r w:rsidRPr="00F85178">
        <w:rPr>
          <w:color w:val="auto"/>
        </w:rPr>
        <w:t xml:space="preserve"> dle soudů</w:t>
      </w:r>
      <w:bookmarkEnd w:id="559"/>
      <w:bookmarkEnd w:id="560"/>
      <w:bookmarkEnd w:id="561"/>
    </w:p>
    <w:tbl>
      <w:tblPr>
        <w:tblW w:w="7520" w:type="dxa"/>
        <w:tblCellMar>
          <w:left w:w="70" w:type="dxa"/>
          <w:right w:w="70" w:type="dxa"/>
        </w:tblCellMar>
        <w:tblLook w:val="04A0" w:firstRow="1" w:lastRow="0" w:firstColumn="1" w:lastColumn="0" w:noHBand="0" w:noVBand="1"/>
      </w:tblPr>
      <w:tblGrid>
        <w:gridCol w:w="2480"/>
        <w:gridCol w:w="771"/>
        <w:gridCol w:w="909"/>
        <w:gridCol w:w="771"/>
        <w:gridCol w:w="909"/>
        <w:gridCol w:w="771"/>
        <w:gridCol w:w="909"/>
      </w:tblGrid>
      <w:tr w:rsidR="00F85178" w:rsidRPr="00F85178" w14:paraId="7D746E40" w14:textId="77777777" w:rsidTr="00AE5BA8">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3869D7ED" w14:textId="4F60BEDF" w:rsidR="00AE5BA8" w:rsidRPr="00F85178" w:rsidRDefault="00F2120F" w:rsidP="00AE5BA8">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4F8D5EA3"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Délka řízení</w:t>
            </w:r>
          </w:p>
        </w:tc>
      </w:tr>
      <w:tr w:rsidR="00F85178" w:rsidRPr="00F85178" w14:paraId="2B026BEB" w14:textId="77777777" w:rsidTr="00AE5BA8">
        <w:trPr>
          <w:trHeight w:val="330"/>
        </w:trPr>
        <w:tc>
          <w:tcPr>
            <w:tcW w:w="2480" w:type="dxa"/>
            <w:vMerge/>
            <w:tcBorders>
              <w:top w:val="double" w:sz="6" w:space="0" w:color="auto"/>
              <w:left w:val="nil"/>
              <w:bottom w:val="double" w:sz="6" w:space="0" w:color="000000"/>
              <w:right w:val="nil"/>
            </w:tcBorders>
            <w:vAlign w:val="center"/>
            <w:hideMark/>
          </w:tcPr>
          <w:p w14:paraId="76B681B0" w14:textId="77777777" w:rsidR="00AE5BA8" w:rsidRPr="00F85178" w:rsidRDefault="00AE5BA8" w:rsidP="00AE5BA8">
            <w:pPr>
              <w:spacing w:line="240" w:lineRule="auto"/>
              <w:jc w:val="left"/>
              <w:rPr>
                <w:rFonts w:eastAsia="Times New Roman"/>
                <w:b/>
                <w:bCs/>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529A2144"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7DFB0FEE"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239F22AF"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Percentil 90</w:t>
            </w:r>
          </w:p>
        </w:tc>
      </w:tr>
      <w:tr w:rsidR="00F85178" w:rsidRPr="00F85178" w14:paraId="02C76057" w14:textId="77777777" w:rsidTr="00AE5BA8">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16F2CFC5"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MS Praha</w:t>
            </w:r>
          </w:p>
        </w:tc>
        <w:tc>
          <w:tcPr>
            <w:tcW w:w="771" w:type="dxa"/>
            <w:tcBorders>
              <w:top w:val="single" w:sz="4" w:space="0" w:color="auto"/>
              <w:left w:val="nil"/>
              <w:bottom w:val="single" w:sz="4" w:space="0" w:color="auto"/>
              <w:right w:val="nil"/>
            </w:tcBorders>
            <w:shd w:val="clear" w:color="auto" w:fill="auto"/>
            <w:noWrap/>
            <w:vAlign w:val="bottom"/>
            <w:hideMark/>
          </w:tcPr>
          <w:p w14:paraId="7C197149"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088</w:t>
            </w:r>
          </w:p>
        </w:tc>
        <w:tc>
          <w:tcPr>
            <w:tcW w:w="909" w:type="dxa"/>
            <w:tcBorders>
              <w:top w:val="single" w:sz="4" w:space="0" w:color="auto"/>
              <w:left w:val="nil"/>
              <w:bottom w:val="single" w:sz="4" w:space="0" w:color="auto"/>
              <w:right w:val="nil"/>
            </w:tcBorders>
            <w:shd w:val="clear" w:color="auto" w:fill="auto"/>
            <w:noWrap/>
            <w:vAlign w:val="center"/>
            <w:hideMark/>
          </w:tcPr>
          <w:p w14:paraId="771BEA9D" w14:textId="09BB8311"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+11 %</w:t>
            </w:r>
          </w:p>
        </w:tc>
        <w:tc>
          <w:tcPr>
            <w:tcW w:w="771" w:type="dxa"/>
            <w:tcBorders>
              <w:top w:val="nil"/>
              <w:left w:val="single" w:sz="4" w:space="0" w:color="auto"/>
              <w:bottom w:val="single" w:sz="4" w:space="0" w:color="auto"/>
              <w:right w:val="nil"/>
            </w:tcBorders>
            <w:shd w:val="clear" w:color="auto" w:fill="auto"/>
            <w:noWrap/>
            <w:vAlign w:val="bottom"/>
            <w:hideMark/>
          </w:tcPr>
          <w:p w14:paraId="050474DC"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869</w:t>
            </w:r>
          </w:p>
        </w:tc>
        <w:tc>
          <w:tcPr>
            <w:tcW w:w="909" w:type="dxa"/>
            <w:tcBorders>
              <w:top w:val="nil"/>
              <w:left w:val="nil"/>
              <w:bottom w:val="single" w:sz="4" w:space="0" w:color="auto"/>
              <w:right w:val="single" w:sz="4" w:space="0" w:color="auto"/>
            </w:tcBorders>
            <w:shd w:val="clear" w:color="auto" w:fill="auto"/>
            <w:noWrap/>
            <w:vAlign w:val="center"/>
            <w:hideMark/>
          </w:tcPr>
          <w:p w14:paraId="1703DE16" w14:textId="799FE20A"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+4 %</w:t>
            </w:r>
          </w:p>
        </w:tc>
        <w:tc>
          <w:tcPr>
            <w:tcW w:w="771" w:type="dxa"/>
            <w:tcBorders>
              <w:top w:val="single" w:sz="4" w:space="0" w:color="auto"/>
              <w:left w:val="nil"/>
              <w:bottom w:val="single" w:sz="4" w:space="0" w:color="auto"/>
              <w:right w:val="nil"/>
            </w:tcBorders>
            <w:shd w:val="clear" w:color="auto" w:fill="auto"/>
            <w:noWrap/>
            <w:vAlign w:val="bottom"/>
            <w:hideMark/>
          </w:tcPr>
          <w:p w14:paraId="0A6BB462"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257</w:t>
            </w:r>
          </w:p>
        </w:tc>
        <w:tc>
          <w:tcPr>
            <w:tcW w:w="909" w:type="dxa"/>
            <w:tcBorders>
              <w:top w:val="single" w:sz="4" w:space="0" w:color="auto"/>
              <w:left w:val="nil"/>
              <w:bottom w:val="single" w:sz="4" w:space="0" w:color="auto"/>
              <w:right w:val="nil"/>
            </w:tcBorders>
            <w:shd w:val="clear" w:color="auto" w:fill="auto"/>
            <w:noWrap/>
            <w:vAlign w:val="center"/>
            <w:hideMark/>
          </w:tcPr>
          <w:p w14:paraId="60F3C487" w14:textId="05AF82B0"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+11 %</w:t>
            </w:r>
          </w:p>
        </w:tc>
      </w:tr>
      <w:tr w:rsidR="00F85178" w:rsidRPr="00F85178" w14:paraId="00373136"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35C78F4C"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Praha</w:t>
            </w:r>
          </w:p>
        </w:tc>
        <w:tc>
          <w:tcPr>
            <w:tcW w:w="771" w:type="dxa"/>
            <w:tcBorders>
              <w:top w:val="nil"/>
              <w:left w:val="nil"/>
              <w:bottom w:val="single" w:sz="4" w:space="0" w:color="auto"/>
              <w:right w:val="nil"/>
            </w:tcBorders>
            <w:shd w:val="clear" w:color="auto" w:fill="auto"/>
            <w:noWrap/>
            <w:vAlign w:val="bottom"/>
            <w:hideMark/>
          </w:tcPr>
          <w:p w14:paraId="43D11819"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530</w:t>
            </w:r>
          </w:p>
        </w:tc>
        <w:tc>
          <w:tcPr>
            <w:tcW w:w="909" w:type="dxa"/>
            <w:tcBorders>
              <w:top w:val="nil"/>
              <w:left w:val="nil"/>
              <w:bottom w:val="single" w:sz="4" w:space="0" w:color="auto"/>
              <w:right w:val="nil"/>
            </w:tcBorders>
            <w:shd w:val="clear" w:color="auto" w:fill="auto"/>
            <w:noWrap/>
            <w:vAlign w:val="center"/>
            <w:hideMark/>
          </w:tcPr>
          <w:p w14:paraId="47965E7C" w14:textId="39354087"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+32 %</w:t>
            </w:r>
          </w:p>
        </w:tc>
        <w:tc>
          <w:tcPr>
            <w:tcW w:w="771" w:type="dxa"/>
            <w:tcBorders>
              <w:top w:val="nil"/>
              <w:left w:val="single" w:sz="4" w:space="0" w:color="auto"/>
              <w:bottom w:val="single" w:sz="4" w:space="0" w:color="auto"/>
              <w:right w:val="nil"/>
            </w:tcBorders>
            <w:shd w:val="clear" w:color="auto" w:fill="auto"/>
            <w:noWrap/>
            <w:vAlign w:val="bottom"/>
            <w:hideMark/>
          </w:tcPr>
          <w:p w14:paraId="6EB387FF"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598</w:t>
            </w:r>
          </w:p>
        </w:tc>
        <w:tc>
          <w:tcPr>
            <w:tcW w:w="909" w:type="dxa"/>
            <w:tcBorders>
              <w:top w:val="nil"/>
              <w:left w:val="nil"/>
              <w:bottom w:val="single" w:sz="4" w:space="0" w:color="auto"/>
              <w:right w:val="single" w:sz="4" w:space="0" w:color="auto"/>
            </w:tcBorders>
            <w:shd w:val="clear" w:color="auto" w:fill="auto"/>
            <w:noWrap/>
            <w:vAlign w:val="center"/>
            <w:hideMark/>
          </w:tcPr>
          <w:p w14:paraId="78753061" w14:textId="4AF9436C"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+54 %</w:t>
            </w:r>
          </w:p>
        </w:tc>
        <w:tc>
          <w:tcPr>
            <w:tcW w:w="771" w:type="dxa"/>
            <w:tcBorders>
              <w:top w:val="nil"/>
              <w:left w:val="nil"/>
              <w:bottom w:val="single" w:sz="4" w:space="0" w:color="auto"/>
              <w:right w:val="nil"/>
            </w:tcBorders>
            <w:shd w:val="clear" w:color="auto" w:fill="auto"/>
            <w:noWrap/>
            <w:vAlign w:val="bottom"/>
            <w:hideMark/>
          </w:tcPr>
          <w:p w14:paraId="42CDE50F"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797</w:t>
            </w:r>
          </w:p>
        </w:tc>
        <w:tc>
          <w:tcPr>
            <w:tcW w:w="909" w:type="dxa"/>
            <w:tcBorders>
              <w:top w:val="nil"/>
              <w:left w:val="nil"/>
              <w:bottom w:val="single" w:sz="4" w:space="0" w:color="auto"/>
              <w:right w:val="nil"/>
            </w:tcBorders>
            <w:shd w:val="clear" w:color="auto" w:fill="auto"/>
            <w:noWrap/>
            <w:vAlign w:val="center"/>
            <w:hideMark/>
          </w:tcPr>
          <w:p w14:paraId="6FD958F9" w14:textId="579C71E8"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+29 %</w:t>
            </w:r>
          </w:p>
        </w:tc>
      </w:tr>
      <w:tr w:rsidR="00F85178" w:rsidRPr="00F85178" w14:paraId="7A80EBF0"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606795B2"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Č. Budějovice</w:t>
            </w:r>
          </w:p>
        </w:tc>
        <w:tc>
          <w:tcPr>
            <w:tcW w:w="771" w:type="dxa"/>
            <w:tcBorders>
              <w:top w:val="nil"/>
              <w:left w:val="nil"/>
              <w:bottom w:val="single" w:sz="4" w:space="0" w:color="auto"/>
              <w:right w:val="nil"/>
            </w:tcBorders>
            <w:shd w:val="clear" w:color="auto" w:fill="auto"/>
            <w:noWrap/>
            <w:vAlign w:val="bottom"/>
            <w:hideMark/>
          </w:tcPr>
          <w:p w14:paraId="00E6A689"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339</w:t>
            </w:r>
          </w:p>
        </w:tc>
        <w:tc>
          <w:tcPr>
            <w:tcW w:w="909" w:type="dxa"/>
            <w:tcBorders>
              <w:top w:val="nil"/>
              <w:left w:val="nil"/>
              <w:bottom w:val="single" w:sz="4" w:space="0" w:color="auto"/>
              <w:right w:val="nil"/>
            </w:tcBorders>
            <w:shd w:val="clear" w:color="auto" w:fill="auto"/>
            <w:noWrap/>
            <w:vAlign w:val="center"/>
            <w:hideMark/>
          </w:tcPr>
          <w:p w14:paraId="2B8F819B" w14:textId="27CAABCC"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+25 %</w:t>
            </w:r>
          </w:p>
        </w:tc>
        <w:tc>
          <w:tcPr>
            <w:tcW w:w="771" w:type="dxa"/>
            <w:tcBorders>
              <w:top w:val="nil"/>
              <w:left w:val="single" w:sz="4" w:space="0" w:color="auto"/>
              <w:bottom w:val="single" w:sz="4" w:space="0" w:color="auto"/>
              <w:right w:val="nil"/>
            </w:tcBorders>
            <w:shd w:val="clear" w:color="auto" w:fill="auto"/>
            <w:noWrap/>
            <w:vAlign w:val="bottom"/>
            <w:hideMark/>
          </w:tcPr>
          <w:p w14:paraId="3B6BD4C0"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220</w:t>
            </w:r>
          </w:p>
        </w:tc>
        <w:tc>
          <w:tcPr>
            <w:tcW w:w="909" w:type="dxa"/>
            <w:tcBorders>
              <w:top w:val="nil"/>
              <w:left w:val="nil"/>
              <w:bottom w:val="single" w:sz="4" w:space="0" w:color="auto"/>
              <w:right w:val="single" w:sz="4" w:space="0" w:color="auto"/>
            </w:tcBorders>
            <w:shd w:val="clear" w:color="auto" w:fill="auto"/>
            <w:noWrap/>
            <w:vAlign w:val="center"/>
            <w:hideMark/>
          </w:tcPr>
          <w:p w14:paraId="32CDACFE" w14:textId="252D74C6"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+38 %</w:t>
            </w:r>
          </w:p>
        </w:tc>
        <w:tc>
          <w:tcPr>
            <w:tcW w:w="771" w:type="dxa"/>
            <w:tcBorders>
              <w:top w:val="nil"/>
              <w:left w:val="nil"/>
              <w:bottom w:val="single" w:sz="4" w:space="0" w:color="auto"/>
              <w:right w:val="nil"/>
            </w:tcBorders>
            <w:shd w:val="clear" w:color="auto" w:fill="auto"/>
            <w:noWrap/>
            <w:vAlign w:val="bottom"/>
            <w:hideMark/>
          </w:tcPr>
          <w:p w14:paraId="17726956"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671</w:t>
            </w:r>
          </w:p>
        </w:tc>
        <w:tc>
          <w:tcPr>
            <w:tcW w:w="909" w:type="dxa"/>
            <w:tcBorders>
              <w:top w:val="nil"/>
              <w:left w:val="nil"/>
              <w:bottom w:val="single" w:sz="4" w:space="0" w:color="auto"/>
              <w:right w:val="nil"/>
            </w:tcBorders>
            <w:shd w:val="clear" w:color="auto" w:fill="auto"/>
            <w:noWrap/>
            <w:vAlign w:val="center"/>
            <w:hideMark/>
          </w:tcPr>
          <w:p w14:paraId="1B3FD2A6" w14:textId="5BE5843A"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+21 %</w:t>
            </w:r>
          </w:p>
        </w:tc>
      </w:tr>
      <w:tr w:rsidR="00F85178" w:rsidRPr="00F85178" w14:paraId="4A1C1252"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3EE85AE3"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Plzeň</w:t>
            </w:r>
          </w:p>
        </w:tc>
        <w:tc>
          <w:tcPr>
            <w:tcW w:w="771" w:type="dxa"/>
            <w:tcBorders>
              <w:top w:val="nil"/>
              <w:left w:val="nil"/>
              <w:bottom w:val="single" w:sz="4" w:space="0" w:color="auto"/>
              <w:right w:val="nil"/>
            </w:tcBorders>
            <w:shd w:val="clear" w:color="auto" w:fill="auto"/>
            <w:noWrap/>
            <w:vAlign w:val="bottom"/>
            <w:hideMark/>
          </w:tcPr>
          <w:p w14:paraId="72F38450"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459</w:t>
            </w:r>
          </w:p>
        </w:tc>
        <w:tc>
          <w:tcPr>
            <w:tcW w:w="909" w:type="dxa"/>
            <w:tcBorders>
              <w:top w:val="nil"/>
              <w:left w:val="nil"/>
              <w:bottom w:val="single" w:sz="4" w:space="0" w:color="auto"/>
              <w:right w:val="nil"/>
            </w:tcBorders>
            <w:shd w:val="clear" w:color="auto" w:fill="auto"/>
            <w:noWrap/>
            <w:vAlign w:val="center"/>
            <w:hideMark/>
          </w:tcPr>
          <w:p w14:paraId="0327E6B4" w14:textId="0F0E9D09"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+3 %</w:t>
            </w:r>
          </w:p>
        </w:tc>
        <w:tc>
          <w:tcPr>
            <w:tcW w:w="771" w:type="dxa"/>
            <w:tcBorders>
              <w:top w:val="nil"/>
              <w:left w:val="single" w:sz="4" w:space="0" w:color="auto"/>
              <w:bottom w:val="single" w:sz="4" w:space="0" w:color="auto"/>
              <w:right w:val="nil"/>
            </w:tcBorders>
            <w:shd w:val="clear" w:color="auto" w:fill="auto"/>
            <w:noWrap/>
            <w:vAlign w:val="bottom"/>
            <w:hideMark/>
          </w:tcPr>
          <w:p w14:paraId="2CCA41C3"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291</w:t>
            </w:r>
          </w:p>
        </w:tc>
        <w:tc>
          <w:tcPr>
            <w:tcW w:w="909" w:type="dxa"/>
            <w:tcBorders>
              <w:top w:val="nil"/>
              <w:left w:val="nil"/>
              <w:bottom w:val="single" w:sz="4" w:space="0" w:color="auto"/>
              <w:right w:val="single" w:sz="4" w:space="0" w:color="auto"/>
            </w:tcBorders>
            <w:shd w:val="clear" w:color="auto" w:fill="auto"/>
            <w:noWrap/>
            <w:vAlign w:val="center"/>
            <w:hideMark/>
          </w:tcPr>
          <w:p w14:paraId="66499C6C" w14:textId="3EAB0E54"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+3 %</w:t>
            </w:r>
          </w:p>
        </w:tc>
        <w:tc>
          <w:tcPr>
            <w:tcW w:w="771" w:type="dxa"/>
            <w:tcBorders>
              <w:top w:val="nil"/>
              <w:left w:val="nil"/>
              <w:bottom w:val="single" w:sz="4" w:space="0" w:color="auto"/>
              <w:right w:val="nil"/>
            </w:tcBorders>
            <w:shd w:val="clear" w:color="auto" w:fill="auto"/>
            <w:noWrap/>
            <w:vAlign w:val="bottom"/>
            <w:hideMark/>
          </w:tcPr>
          <w:p w14:paraId="3102D020"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856</w:t>
            </w:r>
          </w:p>
        </w:tc>
        <w:tc>
          <w:tcPr>
            <w:tcW w:w="909" w:type="dxa"/>
            <w:tcBorders>
              <w:top w:val="nil"/>
              <w:left w:val="nil"/>
              <w:bottom w:val="single" w:sz="4" w:space="0" w:color="auto"/>
              <w:right w:val="nil"/>
            </w:tcBorders>
            <w:shd w:val="clear" w:color="auto" w:fill="auto"/>
            <w:noWrap/>
            <w:vAlign w:val="center"/>
            <w:hideMark/>
          </w:tcPr>
          <w:p w14:paraId="53F71CE3" w14:textId="43517EDD"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+11 %</w:t>
            </w:r>
          </w:p>
        </w:tc>
      </w:tr>
      <w:tr w:rsidR="00F85178" w:rsidRPr="00F85178" w14:paraId="569785BC"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31F7B62C"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Ústí n. Labem</w:t>
            </w:r>
          </w:p>
        </w:tc>
        <w:tc>
          <w:tcPr>
            <w:tcW w:w="771" w:type="dxa"/>
            <w:tcBorders>
              <w:top w:val="nil"/>
              <w:left w:val="nil"/>
              <w:bottom w:val="single" w:sz="4" w:space="0" w:color="auto"/>
              <w:right w:val="nil"/>
            </w:tcBorders>
            <w:shd w:val="clear" w:color="auto" w:fill="auto"/>
            <w:noWrap/>
            <w:vAlign w:val="bottom"/>
            <w:hideMark/>
          </w:tcPr>
          <w:p w14:paraId="07147C6C"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855</w:t>
            </w:r>
          </w:p>
        </w:tc>
        <w:tc>
          <w:tcPr>
            <w:tcW w:w="909" w:type="dxa"/>
            <w:tcBorders>
              <w:top w:val="nil"/>
              <w:left w:val="nil"/>
              <w:bottom w:val="single" w:sz="4" w:space="0" w:color="auto"/>
              <w:right w:val="nil"/>
            </w:tcBorders>
            <w:shd w:val="clear" w:color="auto" w:fill="auto"/>
            <w:noWrap/>
            <w:vAlign w:val="center"/>
            <w:hideMark/>
          </w:tcPr>
          <w:p w14:paraId="37F5E4D2" w14:textId="287CAFAA"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+48 %</w:t>
            </w:r>
          </w:p>
        </w:tc>
        <w:tc>
          <w:tcPr>
            <w:tcW w:w="771" w:type="dxa"/>
            <w:tcBorders>
              <w:top w:val="nil"/>
              <w:left w:val="single" w:sz="4" w:space="0" w:color="auto"/>
              <w:bottom w:val="single" w:sz="4" w:space="0" w:color="auto"/>
              <w:right w:val="nil"/>
            </w:tcBorders>
            <w:shd w:val="clear" w:color="auto" w:fill="auto"/>
            <w:noWrap/>
            <w:vAlign w:val="bottom"/>
            <w:hideMark/>
          </w:tcPr>
          <w:p w14:paraId="6F581EDC"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807</w:t>
            </w:r>
          </w:p>
        </w:tc>
        <w:tc>
          <w:tcPr>
            <w:tcW w:w="909" w:type="dxa"/>
            <w:tcBorders>
              <w:top w:val="nil"/>
              <w:left w:val="nil"/>
              <w:bottom w:val="single" w:sz="4" w:space="0" w:color="auto"/>
              <w:right w:val="single" w:sz="4" w:space="0" w:color="auto"/>
            </w:tcBorders>
            <w:shd w:val="clear" w:color="auto" w:fill="auto"/>
            <w:noWrap/>
            <w:vAlign w:val="center"/>
            <w:hideMark/>
          </w:tcPr>
          <w:p w14:paraId="22A4BE35" w14:textId="526BDC42"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+58 %</w:t>
            </w:r>
          </w:p>
        </w:tc>
        <w:tc>
          <w:tcPr>
            <w:tcW w:w="771" w:type="dxa"/>
            <w:tcBorders>
              <w:top w:val="nil"/>
              <w:left w:val="nil"/>
              <w:bottom w:val="single" w:sz="4" w:space="0" w:color="auto"/>
              <w:right w:val="nil"/>
            </w:tcBorders>
            <w:shd w:val="clear" w:color="auto" w:fill="auto"/>
            <w:noWrap/>
            <w:vAlign w:val="bottom"/>
            <w:hideMark/>
          </w:tcPr>
          <w:p w14:paraId="2521BA77"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3</w:t>
            </w:r>
            <w:r w:rsidR="00142F92" w:rsidRPr="00F85178">
              <w:rPr>
                <w:rFonts w:eastAsia="Times New Roman"/>
                <w:szCs w:val="24"/>
                <w:lang w:eastAsia="cs-CZ"/>
              </w:rPr>
              <w:t xml:space="preserve"> </w:t>
            </w:r>
            <w:r w:rsidRPr="00F85178">
              <w:rPr>
                <w:rFonts w:eastAsia="Times New Roman"/>
                <w:szCs w:val="24"/>
                <w:lang w:eastAsia="cs-CZ"/>
              </w:rPr>
              <w:t>223</w:t>
            </w:r>
          </w:p>
        </w:tc>
        <w:tc>
          <w:tcPr>
            <w:tcW w:w="909" w:type="dxa"/>
            <w:tcBorders>
              <w:top w:val="nil"/>
              <w:left w:val="nil"/>
              <w:bottom w:val="single" w:sz="4" w:space="0" w:color="auto"/>
              <w:right w:val="nil"/>
            </w:tcBorders>
            <w:shd w:val="clear" w:color="auto" w:fill="auto"/>
            <w:noWrap/>
            <w:vAlign w:val="center"/>
            <w:hideMark/>
          </w:tcPr>
          <w:p w14:paraId="19FB3E73" w14:textId="0EED9F1B"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+24 %</w:t>
            </w:r>
          </w:p>
        </w:tc>
      </w:tr>
      <w:tr w:rsidR="00F85178" w:rsidRPr="00F85178" w14:paraId="40A8D5D3"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0DF273D6"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Hr. Králové</w:t>
            </w:r>
          </w:p>
        </w:tc>
        <w:tc>
          <w:tcPr>
            <w:tcW w:w="771" w:type="dxa"/>
            <w:tcBorders>
              <w:top w:val="nil"/>
              <w:left w:val="nil"/>
              <w:bottom w:val="single" w:sz="4" w:space="0" w:color="auto"/>
              <w:right w:val="nil"/>
            </w:tcBorders>
            <w:shd w:val="clear" w:color="auto" w:fill="auto"/>
            <w:noWrap/>
            <w:vAlign w:val="bottom"/>
            <w:hideMark/>
          </w:tcPr>
          <w:p w14:paraId="295299DB"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468</w:t>
            </w:r>
          </w:p>
        </w:tc>
        <w:tc>
          <w:tcPr>
            <w:tcW w:w="909" w:type="dxa"/>
            <w:tcBorders>
              <w:top w:val="nil"/>
              <w:left w:val="nil"/>
              <w:bottom w:val="single" w:sz="4" w:space="0" w:color="auto"/>
              <w:right w:val="nil"/>
            </w:tcBorders>
            <w:shd w:val="clear" w:color="auto" w:fill="auto"/>
            <w:noWrap/>
            <w:vAlign w:val="center"/>
            <w:hideMark/>
          </w:tcPr>
          <w:p w14:paraId="60E53A7A" w14:textId="4CFD7B17"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+21 %</w:t>
            </w:r>
          </w:p>
        </w:tc>
        <w:tc>
          <w:tcPr>
            <w:tcW w:w="771" w:type="dxa"/>
            <w:tcBorders>
              <w:top w:val="nil"/>
              <w:left w:val="single" w:sz="4" w:space="0" w:color="auto"/>
              <w:bottom w:val="single" w:sz="4" w:space="0" w:color="auto"/>
              <w:right w:val="nil"/>
            </w:tcBorders>
            <w:shd w:val="clear" w:color="auto" w:fill="auto"/>
            <w:noWrap/>
            <w:vAlign w:val="bottom"/>
            <w:hideMark/>
          </w:tcPr>
          <w:p w14:paraId="550144F1"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358</w:t>
            </w:r>
          </w:p>
        </w:tc>
        <w:tc>
          <w:tcPr>
            <w:tcW w:w="909" w:type="dxa"/>
            <w:tcBorders>
              <w:top w:val="nil"/>
              <w:left w:val="nil"/>
              <w:bottom w:val="single" w:sz="4" w:space="0" w:color="auto"/>
              <w:right w:val="single" w:sz="4" w:space="0" w:color="auto"/>
            </w:tcBorders>
            <w:shd w:val="clear" w:color="auto" w:fill="auto"/>
            <w:noWrap/>
            <w:vAlign w:val="center"/>
            <w:hideMark/>
          </w:tcPr>
          <w:p w14:paraId="2CBEBD99" w14:textId="3368089C"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+29 %</w:t>
            </w:r>
          </w:p>
        </w:tc>
        <w:tc>
          <w:tcPr>
            <w:tcW w:w="771" w:type="dxa"/>
            <w:tcBorders>
              <w:top w:val="nil"/>
              <w:left w:val="nil"/>
              <w:bottom w:val="single" w:sz="4" w:space="0" w:color="auto"/>
              <w:right w:val="nil"/>
            </w:tcBorders>
            <w:shd w:val="clear" w:color="auto" w:fill="auto"/>
            <w:noWrap/>
            <w:vAlign w:val="bottom"/>
            <w:hideMark/>
          </w:tcPr>
          <w:p w14:paraId="2C7C6D93"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703</w:t>
            </w:r>
          </w:p>
        </w:tc>
        <w:tc>
          <w:tcPr>
            <w:tcW w:w="909" w:type="dxa"/>
            <w:tcBorders>
              <w:top w:val="nil"/>
              <w:left w:val="nil"/>
              <w:bottom w:val="single" w:sz="4" w:space="0" w:color="auto"/>
              <w:right w:val="nil"/>
            </w:tcBorders>
            <w:shd w:val="clear" w:color="auto" w:fill="auto"/>
            <w:noWrap/>
            <w:vAlign w:val="center"/>
            <w:hideMark/>
          </w:tcPr>
          <w:p w14:paraId="3C8475D2" w14:textId="391F07B0"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+9 %</w:t>
            </w:r>
          </w:p>
        </w:tc>
      </w:tr>
      <w:tr w:rsidR="00F85178" w:rsidRPr="00F85178" w14:paraId="5CE4B4E6" w14:textId="77777777" w:rsidTr="00AE5BA8">
        <w:trPr>
          <w:trHeight w:val="315"/>
        </w:trPr>
        <w:tc>
          <w:tcPr>
            <w:tcW w:w="2480" w:type="dxa"/>
            <w:tcBorders>
              <w:top w:val="nil"/>
              <w:left w:val="nil"/>
              <w:bottom w:val="single" w:sz="4" w:space="0" w:color="auto"/>
              <w:right w:val="nil"/>
            </w:tcBorders>
            <w:shd w:val="clear" w:color="auto" w:fill="auto"/>
            <w:noWrap/>
            <w:vAlign w:val="bottom"/>
            <w:hideMark/>
          </w:tcPr>
          <w:p w14:paraId="281FE602"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Brno</w:t>
            </w:r>
          </w:p>
        </w:tc>
        <w:tc>
          <w:tcPr>
            <w:tcW w:w="771" w:type="dxa"/>
            <w:tcBorders>
              <w:top w:val="nil"/>
              <w:left w:val="nil"/>
              <w:bottom w:val="single" w:sz="4" w:space="0" w:color="auto"/>
              <w:right w:val="nil"/>
            </w:tcBorders>
            <w:shd w:val="clear" w:color="auto" w:fill="auto"/>
            <w:noWrap/>
            <w:vAlign w:val="bottom"/>
            <w:hideMark/>
          </w:tcPr>
          <w:p w14:paraId="6AC792D8"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276</w:t>
            </w:r>
          </w:p>
        </w:tc>
        <w:tc>
          <w:tcPr>
            <w:tcW w:w="909" w:type="dxa"/>
            <w:tcBorders>
              <w:top w:val="nil"/>
              <w:left w:val="nil"/>
              <w:bottom w:val="single" w:sz="4" w:space="0" w:color="auto"/>
              <w:right w:val="nil"/>
            </w:tcBorders>
            <w:shd w:val="clear" w:color="auto" w:fill="auto"/>
            <w:noWrap/>
            <w:vAlign w:val="center"/>
            <w:hideMark/>
          </w:tcPr>
          <w:p w14:paraId="05596A8C" w14:textId="7676BB8F"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+22 %</w:t>
            </w:r>
          </w:p>
        </w:tc>
        <w:tc>
          <w:tcPr>
            <w:tcW w:w="771" w:type="dxa"/>
            <w:tcBorders>
              <w:top w:val="nil"/>
              <w:left w:val="single" w:sz="4" w:space="0" w:color="auto"/>
              <w:bottom w:val="single" w:sz="4" w:space="0" w:color="auto"/>
              <w:right w:val="nil"/>
            </w:tcBorders>
            <w:shd w:val="clear" w:color="auto" w:fill="auto"/>
            <w:noWrap/>
            <w:vAlign w:val="bottom"/>
            <w:hideMark/>
          </w:tcPr>
          <w:p w14:paraId="52593CEC"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217</w:t>
            </w:r>
          </w:p>
        </w:tc>
        <w:tc>
          <w:tcPr>
            <w:tcW w:w="909" w:type="dxa"/>
            <w:tcBorders>
              <w:top w:val="nil"/>
              <w:left w:val="nil"/>
              <w:bottom w:val="single" w:sz="4" w:space="0" w:color="auto"/>
              <w:right w:val="single" w:sz="4" w:space="0" w:color="auto"/>
            </w:tcBorders>
            <w:shd w:val="clear" w:color="auto" w:fill="auto"/>
            <w:noWrap/>
            <w:vAlign w:val="center"/>
            <w:hideMark/>
          </w:tcPr>
          <w:p w14:paraId="44830F30" w14:textId="440647DF"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+30 %</w:t>
            </w:r>
          </w:p>
        </w:tc>
        <w:tc>
          <w:tcPr>
            <w:tcW w:w="771" w:type="dxa"/>
            <w:tcBorders>
              <w:top w:val="nil"/>
              <w:left w:val="nil"/>
              <w:bottom w:val="single" w:sz="4" w:space="0" w:color="auto"/>
              <w:right w:val="nil"/>
            </w:tcBorders>
            <w:shd w:val="clear" w:color="auto" w:fill="auto"/>
            <w:noWrap/>
            <w:vAlign w:val="bottom"/>
            <w:hideMark/>
          </w:tcPr>
          <w:p w14:paraId="72EA7C07"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465</w:t>
            </w:r>
          </w:p>
        </w:tc>
        <w:tc>
          <w:tcPr>
            <w:tcW w:w="909" w:type="dxa"/>
            <w:tcBorders>
              <w:top w:val="nil"/>
              <w:left w:val="nil"/>
              <w:bottom w:val="single" w:sz="4" w:space="0" w:color="auto"/>
              <w:right w:val="nil"/>
            </w:tcBorders>
            <w:shd w:val="clear" w:color="auto" w:fill="auto"/>
            <w:noWrap/>
            <w:vAlign w:val="center"/>
            <w:hideMark/>
          </w:tcPr>
          <w:p w14:paraId="28A4FF59" w14:textId="400017A5"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+21 %</w:t>
            </w:r>
          </w:p>
        </w:tc>
      </w:tr>
      <w:tr w:rsidR="00F85178" w:rsidRPr="00F85178" w14:paraId="37D20CC6" w14:textId="77777777" w:rsidTr="00AE5BA8">
        <w:trPr>
          <w:trHeight w:val="330"/>
        </w:trPr>
        <w:tc>
          <w:tcPr>
            <w:tcW w:w="2480" w:type="dxa"/>
            <w:tcBorders>
              <w:top w:val="nil"/>
              <w:left w:val="nil"/>
              <w:bottom w:val="double" w:sz="6" w:space="0" w:color="auto"/>
              <w:right w:val="nil"/>
            </w:tcBorders>
            <w:shd w:val="clear" w:color="auto" w:fill="auto"/>
            <w:noWrap/>
            <w:vAlign w:val="bottom"/>
            <w:hideMark/>
          </w:tcPr>
          <w:p w14:paraId="4CFCC4E7" w14:textId="77777777" w:rsidR="00AE5BA8" w:rsidRPr="00F85178" w:rsidRDefault="00AE5BA8" w:rsidP="00AE5BA8">
            <w:pPr>
              <w:spacing w:line="240" w:lineRule="auto"/>
              <w:jc w:val="left"/>
              <w:rPr>
                <w:rFonts w:eastAsia="Times New Roman"/>
                <w:szCs w:val="24"/>
                <w:lang w:eastAsia="cs-CZ"/>
              </w:rPr>
            </w:pPr>
            <w:r w:rsidRPr="00F85178">
              <w:rPr>
                <w:rFonts w:eastAsia="Times New Roman"/>
                <w:szCs w:val="24"/>
                <w:lang w:eastAsia="cs-CZ"/>
              </w:rPr>
              <w:t>KS Ostrava</w:t>
            </w:r>
          </w:p>
        </w:tc>
        <w:tc>
          <w:tcPr>
            <w:tcW w:w="771" w:type="dxa"/>
            <w:tcBorders>
              <w:top w:val="nil"/>
              <w:left w:val="nil"/>
              <w:bottom w:val="double" w:sz="6" w:space="0" w:color="auto"/>
              <w:right w:val="nil"/>
            </w:tcBorders>
            <w:shd w:val="clear" w:color="auto" w:fill="auto"/>
            <w:noWrap/>
            <w:vAlign w:val="bottom"/>
            <w:hideMark/>
          </w:tcPr>
          <w:p w14:paraId="181ABA98"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346</w:t>
            </w:r>
          </w:p>
        </w:tc>
        <w:tc>
          <w:tcPr>
            <w:tcW w:w="909" w:type="dxa"/>
            <w:tcBorders>
              <w:top w:val="nil"/>
              <w:left w:val="nil"/>
              <w:bottom w:val="double" w:sz="6" w:space="0" w:color="auto"/>
              <w:right w:val="nil"/>
            </w:tcBorders>
            <w:shd w:val="clear" w:color="auto" w:fill="auto"/>
            <w:noWrap/>
            <w:vAlign w:val="center"/>
            <w:hideMark/>
          </w:tcPr>
          <w:p w14:paraId="5475298A" w14:textId="5E97E26A"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+14 %</w:t>
            </w:r>
          </w:p>
        </w:tc>
        <w:tc>
          <w:tcPr>
            <w:tcW w:w="771" w:type="dxa"/>
            <w:tcBorders>
              <w:top w:val="nil"/>
              <w:left w:val="single" w:sz="4" w:space="0" w:color="auto"/>
              <w:bottom w:val="double" w:sz="6" w:space="0" w:color="auto"/>
              <w:right w:val="nil"/>
            </w:tcBorders>
            <w:shd w:val="clear" w:color="auto" w:fill="auto"/>
            <w:noWrap/>
            <w:vAlign w:val="bottom"/>
            <w:hideMark/>
          </w:tcPr>
          <w:p w14:paraId="2DC7888C"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1</w:t>
            </w:r>
            <w:r w:rsidR="00142F92" w:rsidRPr="00F85178">
              <w:rPr>
                <w:rFonts w:eastAsia="Times New Roman"/>
                <w:szCs w:val="24"/>
                <w:lang w:eastAsia="cs-CZ"/>
              </w:rPr>
              <w:t xml:space="preserve"> </w:t>
            </w:r>
            <w:r w:rsidRPr="00F85178">
              <w:rPr>
                <w:rFonts w:eastAsia="Times New Roman"/>
                <w:szCs w:val="24"/>
                <w:lang w:eastAsia="cs-CZ"/>
              </w:rPr>
              <w:t>213</w:t>
            </w:r>
          </w:p>
        </w:tc>
        <w:tc>
          <w:tcPr>
            <w:tcW w:w="909" w:type="dxa"/>
            <w:tcBorders>
              <w:top w:val="nil"/>
              <w:left w:val="nil"/>
              <w:bottom w:val="double" w:sz="6" w:space="0" w:color="auto"/>
              <w:right w:val="single" w:sz="4" w:space="0" w:color="auto"/>
            </w:tcBorders>
            <w:shd w:val="clear" w:color="auto" w:fill="auto"/>
            <w:noWrap/>
            <w:vAlign w:val="center"/>
            <w:hideMark/>
          </w:tcPr>
          <w:p w14:paraId="5ACE2E89" w14:textId="03D5F5AC"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+9 %</w:t>
            </w:r>
          </w:p>
        </w:tc>
        <w:tc>
          <w:tcPr>
            <w:tcW w:w="771" w:type="dxa"/>
            <w:tcBorders>
              <w:top w:val="nil"/>
              <w:left w:val="nil"/>
              <w:bottom w:val="double" w:sz="6" w:space="0" w:color="auto"/>
              <w:right w:val="nil"/>
            </w:tcBorders>
            <w:shd w:val="clear" w:color="auto" w:fill="auto"/>
            <w:noWrap/>
            <w:vAlign w:val="bottom"/>
            <w:hideMark/>
          </w:tcPr>
          <w:p w14:paraId="32DC2925" w14:textId="77777777" w:rsidR="00AE5BA8" w:rsidRPr="00F85178" w:rsidRDefault="00AE5BA8" w:rsidP="00AE5BA8">
            <w:pPr>
              <w:spacing w:line="240" w:lineRule="auto"/>
              <w:jc w:val="center"/>
              <w:rPr>
                <w:rFonts w:eastAsia="Times New Roman"/>
                <w:szCs w:val="24"/>
                <w:lang w:eastAsia="cs-CZ"/>
              </w:rPr>
            </w:pPr>
            <w:r w:rsidRPr="00F85178">
              <w:rPr>
                <w:rFonts w:eastAsia="Times New Roman"/>
                <w:szCs w:val="24"/>
                <w:lang w:eastAsia="cs-CZ"/>
              </w:rPr>
              <w:t>2</w:t>
            </w:r>
            <w:r w:rsidR="00142F92" w:rsidRPr="00F85178">
              <w:rPr>
                <w:rFonts w:eastAsia="Times New Roman"/>
                <w:szCs w:val="24"/>
                <w:lang w:eastAsia="cs-CZ"/>
              </w:rPr>
              <w:t xml:space="preserve"> </w:t>
            </w:r>
            <w:r w:rsidRPr="00F85178">
              <w:rPr>
                <w:rFonts w:eastAsia="Times New Roman"/>
                <w:szCs w:val="24"/>
                <w:lang w:eastAsia="cs-CZ"/>
              </w:rPr>
              <w:t>508</w:t>
            </w:r>
          </w:p>
        </w:tc>
        <w:tc>
          <w:tcPr>
            <w:tcW w:w="909" w:type="dxa"/>
            <w:tcBorders>
              <w:top w:val="nil"/>
              <w:left w:val="nil"/>
              <w:bottom w:val="double" w:sz="6" w:space="0" w:color="auto"/>
              <w:right w:val="nil"/>
            </w:tcBorders>
            <w:shd w:val="clear" w:color="auto" w:fill="auto"/>
            <w:noWrap/>
            <w:vAlign w:val="center"/>
            <w:hideMark/>
          </w:tcPr>
          <w:p w14:paraId="43232F15" w14:textId="423E6FF2" w:rsidR="00AE5BA8" w:rsidRPr="00F85178" w:rsidRDefault="00AE5BA8" w:rsidP="00AE5BA8">
            <w:pPr>
              <w:spacing w:line="240" w:lineRule="auto"/>
              <w:jc w:val="right"/>
              <w:rPr>
                <w:rFonts w:eastAsia="Times New Roman"/>
                <w:sz w:val="20"/>
                <w:szCs w:val="20"/>
                <w:lang w:eastAsia="cs-CZ"/>
              </w:rPr>
            </w:pPr>
            <w:r w:rsidRPr="00F85178">
              <w:rPr>
                <w:rFonts w:eastAsia="Times New Roman"/>
                <w:sz w:val="20"/>
                <w:szCs w:val="20"/>
                <w:lang w:eastAsia="cs-CZ"/>
              </w:rPr>
              <w:t>+7 %</w:t>
            </w:r>
          </w:p>
        </w:tc>
      </w:tr>
      <w:tr w:rsidR="00AE5BA8" w:rsidRPr="00F85178" w14:paraId="00E16943" w14:textId="77777777" w:rsidTr="00AE5BA8">
        <w:trPr>
          <w:trHeight w:val="345"/>
        </w:trPr>
        <w:tc>
          <w:tcPr>
            <w:tcW w:w="2480" w:type="dxa"/>
            <w:tcBorders>
              <w:top w:val="nil"/>
              <w:left w:val="nil"/>
              <w:bottom w:val="double" w:sz="6" w:space="0" w:color="auto"/>
              <w:right w:val="nil"/>
            </w:tcBorders>
            <w:shd w:val="clear" w:color="auto" w:fill="auto"/>
            <w:noWrap/>
            <w:vAlign w:val="bottom"/>
            <w:hideMark/>
          </w:tcPr>
          <w:p w14:paraId="1040E119" w14:textId="77777777" w:rsidR="00AE5BA8" w:rsidRPr="00F85178" w:rsidRDefault="00AE5BA8" w:rsidP="00AE5BA8">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771" w:type="dxa"/>
            <w:tcBorders>
              <w:top w:val="nil"/>
              <w:left w:val="nil"/>
              <w:bottom w:val="double" w:sz="6" w:space="0" w:color="auto"/>
              <w:right w:val="nil"/>
            </w:tcBorders>
            <w:shd w:val="clear" w:color="auto" w:fill="auto"/>
            <w:noWrap/>
            <w:vAlign w:val="center"/>
            <w:hideMark/>
          </w:tcPr>
          <w:p w14:paraId="24083567"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1</w:t>
            </w:r>
            <w:r w:rsidR="00142F92" w:rsidRPr="00F85178">
              <w:rPr>
                <w:rFonts w:eastAsia="Times New Roman"/>
                <w:b/>
                <w:bCs/>
                <w:szCs w:val="24"/>
                <w:lang w:eastAsia="cs-CZ"/>
              </w:rPr>
              <w:t xml:space="preserve"> </w:t>
            </w:r>
            <w:r w:rsidRPr="00F85178">
              <w:rPr>
                <w:rFonts w:eastAsia="Times New Roman"/>
                <w:b/>
                <w:bCs/>
                <w:szCs w:val="24"/>
                <w:lang w:eastAsia="cs-CZ"/>
              </w:rPr>
              <w:t>289</w:t>
            </w:r>
          </w:p>
        </w:tc>
        <w:tc>
          <w:tcPr>
            <w:tcW w:w="909" w:type="dxa"/>
            <w:tcBorders>
              <w:top w:val="nil"/>
              <w:left w:val="nil"/>
              <w:bottom w:val="double" w:sz="6" w:space="0" w:color="auto"/>
              <w:right w:val="nil"/>
            </w:tcBorders>
            <w:shd w:val="clear" w:color="auto" w:fill="auto"/>
            <w:noWrap/>
            <w:vAlign w:val="center"/>
            <w:hideMark/>
          </w:tcPr>
          <w:p w14:paraId="69F58888" w14:textId="7059740C" w:rsidR="00AE5BA8" w:rsidRPr="00F85178" w:rsidRDefault="00AE5BA8" w:rsidP="00AE5BA8">
            <w:pPr>
              <w:spacing w:line="240" w:lineRule="auto"/>
              <w:jc w:val="right"/>
              <w:rPr>
                <w:rFonts w:eastAsia="Times New Roman"/>
                <w:b/>
                <w:bCs/>
                <w:sz w:val="20"/>
                <w:szCs w:val="20"/>
                <w:lang w:eastAsia="cs-CZ"/>
              </w:rPr>
            </w:pPr>
            <w:r w:rsidRPr="00F85178">
              <w:rPr>
                <w:rFonts w:eastAsia="Times New Roman"/>
                <w:b/>
                <w:bCs/>
                <w:sz w:val="20"/>
                <w:szCs w:val="20"/>
                <w:lang w:eastAsia="cs-CZ"/>
              </w:rPr>
              <w:t>+16 %</w:t>
            </w:r>
          </w:p>
        </w:tc>
        <w:tc>
          <w:tcPr>
            <w:tcW w:w="771" w:type="dxa"/>
            <w:tcBorders>
              <w:top w:val="nil"/>
              <w:left w:val="single" w:sz="4" w:space="0" w:color="auto"/>
              <w:bottom w:val="double" w:sz="6" w:space="0" w:color="auto"/>
              <w:right w:val="nil"/>
            </w:tcBorders>
            <w:shd w:val="clear" w:color="auto" w:fill="auto"/>
            <w:noWrap/>
            <w:vAlign w:val="center"/>
            <w:hideMark/>
          </w:tcPr>
          <w:p w14:paraId="0B83BAA0"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1</w:t>
            </w:r>
            <w:r w:rsidR="00142F92" w:rsidRPr="00F85178">
              <w:rPr>
                <w:rFonts w:eastAsia="Times New Roman"/>
                <w:b/>
                <w:bCs/>
                <w:szCs w:val="24"/>
                <w:lang w:eastAsia="cs-CZ"/>
              </w:rPr>
              <w:t xml:space="preserve"> </w:t>
            </w:r>
            <w:r w:rsidRPr="00F85178">
              <w:rPr>
                <w:rFonts w:eastAsia="Times New Roman"/>
                <w:b/>
                <w:bCs/>
                <w:szCs w:val="24"/>
                <w:lang w:eastAsia="cs-CZ"/>
              </w:rPr>
              <w:t>125</w:t>
            </w:r>
          </w:p>
        </w:tc>
        <w:tc>
          <w:tcPr>
            <w:tcW w:w="909" w:type="dxa"/>
            <w:tcBorders>
              <w:top w:val="nil"/>
              <w:left w:val="nil"/>
              <w:bottom w:val="double" w:sz="6" w:space="0" w:color="auto"/>
              <w:right w:val="single" w:sz="4" w:space="0" w:color="auto"/>
            </w:tcBorders>
            <w:shd w:val="clear" w:color="auto" w:fill="auto"/>
            <w:noWrap/>
            <w:vAlign w:val="center"/>
            <w:hideMark/>
          </w:tcPr>
          <w:p w14:paraId="579B5135" w14:textId="32C5E819" w:rsidR="00AE5BA8" w:rsidRPr="00F85178" w:rsidRDefault="00AE5BA8" w:rsidP="00AE5BA8">
            <w:pPr>
              <w:spacing w:line="240" w:lineRule="auto"/>
              <w:jc w:val="right"/>
              <w:rPr>
                <w:rFonts w:eastAsia="Times New Roman"/>
                <w:b/>
                <w:bCs/>
                <w:sz w:val="20"/>
                <w:szCs w:val="20"/>
                <w:lang w:eastAsia="cs-CZ"/>
              </w:rPr>
            </w:pPr>
            <w:r w:rsidRPr="00F85178">
              <w:rPr>
                <w:rFonts w:eastAsia="Times New Roman"/>
                <w:b/>
                <w:bCs/>
                <w:sz w:val="20"/>
                <w:szCs w:val="20"/>
                <w:lang w:eastAsia="cs-CZ"/>
              </w:rPr>
              <w:t>+18 %</w:t>
            </w:r>
          </w:p>
        </w:tc>
        <w:tc>
          <w:tcPr>
            <w:tcW w:w="771" w:type="dxa"/>
            <w:tcBorders>
              <w:top w:val="nil"/>
              <w:left w:val="nil"/>
              <w:bottom w:val="double" w:sz="6" w:space="0" w:color="auto"/>
              <w:right w:val="nil"/>
            </w:tcBorders>
            <w:shd w:val="clear" w:color="auto" w:fill="auto"/>
            <w:noWrap/>
            <w:vAlign w:val="center"/>
            <w:hideMark/>
          </w:tcPr>
          <w:p w14:paraId="7C874A39" w14:textId="77777777" w:rsidR="00AE5BA8" w:rsidRPr="00F85178" w:rsidRDefault="00AE5BA8" w:rsidP="00AE5BA8">
            <w:pPr>
              <w:spacing w:line="240" w:lineRule="auto"/>
              <w:jc w:val="center"/>
              <w:rPr>
                <w:rFonts w:eastAsia="Times New Roman"/>
                <w:b/>
                <w:bCs/>
                <w:szCs w:val="24"/>
                <w:lang w:eastAsia="cs-CZ"/>
              </w:rPr>
            </w:pPr>
            <w:r w:rsidRPr="00F85178">
              <w:rPr>
                <w:rFonts w:eastAsia="Times New Roman"/>
                <w:b/>
                <w:bCs/>
                <w:szCs w:val="24"/>
                <w:lang w:eastAsia="cs-CZ"/>
              </w:rPr>
              <w:t>2</w:t>
            </w:r>
            <w:r w:rsidR="00142F92" w:rsidRPr="00F85178">
              <w:rPr>
                <w:rFonts w:eastAsia="Times New Roman"/>
                <w:b/>
                <w:bCs/>
                <w:szCs w:val="24"/>
                <w:lang w:eastAsia="cs-CZ"/>
              </w:rPr>
              <w:t xml:space="preserve"> </w:t>
            </w:r>
            <w:r w:rsidRPr="00F85178">
              <w:rPr>
                <w:rFonts w:eastAsia="Times New Roman"/>
                <w:b/>
                <w:bCs/>
                <w:szCs w:val="24"/>
                <w:lang w:eastAsia="cs-CZ"/>
              </w:rPr>
              <w:t>578</w:t>
            </w:r>
          </w:p>
        </w:tc>
        <w:tc>
          <w:tcPr>
            <w:tcW w:w="909" w:type="dxa"/>
            <w:tcBorders>
              <w:top w:val="nil"/>
              <w:left w:val="nil"/>
              <w:bottom w:val="double" w:sz="6" w:space="0" w:color="auto"/>
              <w:right w:val="nil"/>
            </w:tcBorders>
            <w:shd w:val="clear" w:color="auto" w:fill="auto"/>
            <w:noWrap/>
            <w:vAlign w:val="center"/>
            <w:hideMark/>
          </w:tcPr>
          <w:p w14:paraId="6D376317" w14:textId="6D65C4BF" w:rsidR="00AE5BA8" w:rsidRPr="00F85178" w:rsidRDefault="00AE5BA8" w:rsidP="00AE5BA8">
            <w:pPr>
              <w:spacing w:line="240" w:lineRule="auto"/>
              <w:jc w:val="right"/>
              <w:rPr>
                <w:rFonts w:eastAsia="Times New Roman"/>
                <w:b/>
                <w:bCs/>
                <w:sz w:val="20"/>
                <w:szCs w:val="20"/>
                <w:lang w:eastAsia="cs-CZ"/>
              </w:rPr>
            </w:pPr>
            <w:r w:rsidRPr="00F85178">
              <w:rPr>
                <w:rFonts w:eastAsia="Times New Roman"/>
                <w:b/>
                <w:bCs/>
                <w:sz w:val="20"/>
                <w:szCs w:val="20"/>
                <w:lang w:eastAsia="cs-CZ"/>
              </w:rPr>
              <w:t>+14 %</w:t>
            </w:r>
          </w:p>
        </w:tc>
      </w:tr>
    </w:tbl>
    <w:p w14:paraId="628FE536" w14:textId="77777777" w:rsidR="00AE5BA8" w:rsidRPr="000B3655" w:rsidRDefault="00AE5BA8" w:rsidP="00205FD6"/>
    <w:p w14:paraId="45593976" w14:textId="77777777" w:rsidR="007B67F4" w:rsidRPr="00F85178" w:rsidRDefault="00145840" w:rsidP="00145840">
      <w:pPr>
        <w:pStyle w:val="OdstavecASR"/>
        <w:keepNext/>
        <w:rPr>
          <w:b/>
        </w:rPr>
      </w:pPr>
      <w:r w:rsidRPr="00F85178">
        <w:rPr>
          <w:b/>
        </w:rPr>
        <w:t>Jen fyzické osoby (FO)</w:t>
      </w:r>
    </w:p>
    <w:p w14:paraId="0AFE37F1" w14:textId="77777777" w:rsidR="002A6C06" w:rsidRPr="00F85178" w:rsidRDefault="002A6C06" w:rsidP="002A6C06">
      <w:pPr>
        <w:pStyle w:val="OdstavecASR"/>
      </w:pPr>
      <w:r w:rsidRPr="00F85178">
        <w:t>Jak jsme uvedli již výše, úpadek většiny fyzických osob je řešen oddlužením, a soud tedy nemá vliv na délku druhé fáze řízení. Malá část se však řeší stejně jako úpadek právnických osob, tj. konkurzem. A u těchto řízení soudy mají vliv na délku řízení. Proto v grafu a tabulce níže uvádíme délky druhé fáze insolvenčního řízení u fyzických osob, je-li úpadek řešen konkurzem bez případů, kdy došlo ke změně řešení úpadku na konkurz.</w:t>
      </w:r>
    </w:p>
    <w:p w14:paraId="55B4C462" w14:textId="77777777" w:rsidR="00734D38" w:rsidRPr="00F85178" w:rsidRDefault="00145840" w:rsidP="00145840">
      <w:pPr>
        <w:pStyle w:val="Podtitul"/>
        <w:rPr>
          <w:color w:val="auto"/>
        </w:rPr>
      </w:pPr>
      <w:bookmarkStart w:id="562" w:name="_Toc515871404"/>
      <w:bookmarkStart w:id="563" w:name="_Toc11135135"/>
      <w:bookmarkStart w:id="564" w:name="_Toc1383756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74</w:t>
      </w:r>
      <w:r w:rsidRPr="00F85178">
        <w:rPr>
          <w:color w:val="auto"/>
        </w:rPr>
        <w:fldChar w:fldCharType="end"/>
      </w:r>
      <w:r w:rsidRPr="00F85178">
        <w:rPr>
          <w:color w:val="auto"/>
        </w:rPr>
        <w:t>: KS – délka druhé fáze insolvenčního řízení u </w:t>
      </w:r>
      <w:proofErr w:type="gramStart"/>
      <w:r w:rsidRPr="00F85178">
        <w:rPr>
          <w:color w:val="auto"/>
        </w:rPr>
        <w:t>FO</w:t>
      </w:r>
      <w:proofErr w:type="gramEnd"/>
      <w:r w:rsidRPr="00F85178">
        <w:rPr>
          <w:color w:val="auto"/>
        </w:rPr>
        <w:t xml:space="preserve"> v letech 2010–201</w:t>
      </w:r>
      <w:bookmarkEnd w:id="562"/>
      <w:r w:rsidRPr="00F85178">
        <w:rPr>
          <w:color w:val="auto"/>
        </w:rPr>
        <w:t>8</w:t>
      </w:r>
      <w:bookmarkEnd w:id="563"/>
      <w:bookmarkEnd w:id="564"/>
    </w:p>
    <w:p w14:paraId="12DEC769" w14:textId="77777777" w:rsidR="00145840" w:rsidRPr="00F85178" w:rsidRDefault="00890295" w:rsidP="00145840">
      <w:pPr>
        <w:pStyle w:val="OdstavecASR"/>
      </w:pPr>
      <w:r>
        <w:rPr>
          <w:noProof/>
          <w:lang w:eastAsia="cs-CZ"/>
        </w:rPr>
        <w:drawing>
          <wp:inline distT="0" distB="0" distL="0" distR="0" wp14:anchorId="304E950D" wp14:editId="51B8D330">
            <wp:extent cx="5118100" cy="3746500"/>
            <wp:effectExtent l="0" t="0" r="0" b="0"/>
            <wp:docPr id="77" name="Obrázek 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6"/>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794B887" w14:textId="77777777" w:rsidR="00AC591F" w:rsidRPr="00F85178" w:rsidRDefault="00AC591F" w:rsidP="002A6C06">
      <w:pPr>
        <w:pStyle w:val="Podtitul"/>
        <w:pageBreakBefore/>
        <w:rPr>
          <w:color w:val="auto"/>
        </w:rPr>
      </w:pPr>
      <w:bookmarkStart w:id="565" w:name="_Toc11133264"/>
      <w:bookmarkStart w:id="566" w:name="_Toc13837485"/>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62</w:t>
      </w:r>
      <w:r w:rsidRPr="00F85178">
        <w:rPr>
          <w:color w:val="auto"/>
        </w:rPr>
        <w:fldChar w:fldCharType="end"/>
      </w:r>
      <w:r w:rsidRPr="00F85178">
        <w:rPr>
          <w:color w:val="auto"/>
        </w:rPr>
        <w:t>: KS – délka druhé fáze insolvenčního řízení u </w:t>
      </w:r>
      <w:proofErr w:type="gramStart"/>
      <w:r w:rsidRPr="00F85178">
        <w:rPr>
          <w:color w:val="auto"/>
        </w:rPr>
        <w:t>FO</w:t>
      </w:r>
      <w:proofErr w:type="gramEnd"/>
      <w:r w:rsidRPr="00F85178">
        <w:rPr>
          <w:color w:val="auto"/>
        </w:rPr>
        <w:t xml:space="preserve"> dle soudů</w:t>
      </w:r>
      <w:bookmarkEnd w:id="565"/>
      <w:bookmarkEnd w:id="566"/>
    </w:p>
    <w:tbl>
      <w:tblPr>
        <w:tblW w:w="7520" w:type="dxa"/>
        <w:tblInd w:w="70" w:type="dxa"/>
        <w:tblCellMar>
          <w:left w:w="70" w:type="dxa"/>
          <w:right w:w="70" w:type="dxa"/>
        </w:tblCellMar>
        <w:tblLook w:val="04A0" w:firstRow="1" w:lastRow="0" w:firstColumn="1" w:lastColumn="0" w:noHBand="0" w:noVBand="1"/>
      </w:tblPr>
      <w:tblGrid>
        <w:gridCol w:w="2480"/>
        <w:gridCol w:w="771"/>
        <w:gridCol w:w="909"/>
        <w:gridCol w:w="771"/>
        <w:gridCol w:w="909"/>
        <w:gridCol w:w="771"/>
        <w:gridCol w:w="909"/>
      </w:tblGrid>
      <w:tr w:rsidR="00E6771A" w:rsidRPr="00E6771A" w14:paraId="1695531B" w14:textId="77777777" w:rsidTr="00E6771A">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6F77BB0D" w14:textId="0A8EC52F" w:rsidR="00E6771A" w:rsidRPr="00E6771A" w:rsidRDefault="00F2120F" w:rsidP="00E6771A">
            <w:pPr>
              <w:spacing w:line="240" w:lineRule="auto"/>
              <w:jc w:val="center"/>
              <w:rPr>
                <w:rFonts w:eastAsia="Times New Roman"/>
                <w:b/>
                <w:bCs/>
                <w:color w:val="000000"/>
                <w:szCs w:val="24"/>
                <w:lang w:eastAsia="cs-CZ"/>
              </w:rPr>
            </w:pPr>
            <w:r w:rsidRPr="00F85178">
              <w:rPr>
                <w:rFonts w:eastAsia="Times New Roman"/>
                <w:b/>
                <w:bCs/>
                <w:szCs w:val="24"/>
                <w:lang w:eastAsia="cs-CZ"/>
              </w:rPr>
              <w:t>Soud</w:t>
            </w:r>
          </w:p>
        </w:tc>
        <w:tc>
          <w:tcPr>
            <w:tcW w:w="5040" w:type="dxa"/>
            <w:gridSpan w:val="6"/>
            <w:tcBorders>
              <w:top w:val="double" w:sz="6" w:space="0" w:color="auto"/>
              <w:left w:val="nil"/>
              <w:bottom w:val="nil"/>
              <w:right w:val="nil"/>
            </w:tcBorders>
            <w:shd w:val="clear" w:color="auto" w:fill="auto"/>
            <w:noWrap/>
            <w:vAlign w:val="center"/>
            <w:hideMark/>
          </w:tcPr>
          <w:p w14:paraId="5F4FE1C6" w14:textId="77777777"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Délka řízení</w:t>
            </w:r>
          </w:p>
        </w:tc>
      </w:tr>
      <w:tr w:rsidR="00E6771A" w:rsidRPr="00E6771A" w14:paraId="5ED4D507" w14:textId="77777777" w:rsidTr="00E6771A">
        <w:trPr>
          <w:trHeight w:val="330"/>
        </w:trPr>
        <w:tc>
          <w:tcPr>
            <w:tcW w:w="2480" w:type="dxa"/>
            <w:vMerge/>
            <w:tcBorders>
              <w:top w:val="double" w:sz="6" w:space="0" w:color="auto"/>
              <w:left w:val="nil"/>
              <w:bottom w:val="double" w:sz="6" w:space="0" w:color="000000"/>
              <w:right w:val="nil"/>
            </w:tcBorders>
            <w:vAlign w:val="center"/>
            <w:hideMark/>
          </w:tcPr>
          <w:p w14:paraId="79A1F50B" w14:textId="77777777" w:rsidR="00E6771A" w:rsidRPr="00E6771A" w:rsidRDefault="00E6771A" w:rsidP="00E6771A">
            <w:pPr>
              <w:spacing w:line="240" w:lineRule="auto"/>
              <w:jc w:val="left"/>
              <w:rPr>
                <w:rFonts w:eastAsia="Times New Roman"/>
                <w:b/>
                <w:bCs/>
                <w:color w:val="000000"/>
                <w:szCs w:val="24"/>
                <w:lang w:eastAsia="cs-CZ"/>
              </w:rPr>
            </w:pP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554296B7" w14:textId="77777777"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Průměr</w:t>
            </w:r>
          </w:p>
        </w:tc>
        <w:tc>
          <w:tcPr>
            <w:tcW w:w="1680" w:type="dxa"/>
            <w:gridSpan w:val="2"/>
            <w:tcBorders>
              <w:top w:val="nil"/>
              <w:left w:val="nil"/>
              <w:bottom w:val="double" w:sz="6" w:space="0" w:color="auto"/>
              <w:right w:val="single" w:sz="4" w:space="0" w:color="000000"/>
            </w:tcBorders>
            <w:shd w:val="clear" w:color="auto" w:fill="auto"/>
            <w:noWrap/>
            <w:vAlign w:val="center"/>
            <w:hideMark/>
          </w:tcPr>
          <w:p w14:paraId="769CBDB9" w14:textId="77777777"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Medián</w:t>
            </w:r>
          </w:p>
        </w:tc>
        <w:tc>
          <w:tcPr>
            <w:tcW w:w="1680" w:type="dxa"/>
            <w:gridSpan w:val="2"/>
            <w:tcBorders>
              <w:top w:val="nil"/>
              <w:left w:val="nil"/>
              <w:bottom w:val="double" w:sz="6" w:space="0" w:color="auto"/>
              <w:right w:val="nil"/>
            </w:tcBorders>
            <w:shd w:val="clear" w:color="auto" w:fill="auto"/>
            <w:noWrap/>
            <w:vAlign w:val="center"/>
            <w:hideMark/>
          </w:tcPr>
          <w:p w14:paraId="76275AD7" w14:textId="77777777"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Percentil 90</w:t>
            </w:r>
          </w:p>
        </w:tc>
      </w:tr>
      <w:tr w:rsidR="00E6771A" w:rsidRPr="00E6771A" w14:paraId="76A0B4B2" w14:textId="77777777" w:rsidTr="00E6771A">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25FD4F2D"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MS Praha</w:t>
            </w:r>
          </w:p>
        </w:tc>
        <w:tc>
          <w:tcPr>
            <w:tcW w:w="771" w:type="dxa"/>
            <w:tcBorders>
              <w:top w:val="single" w:sz="4" w:space="0" w:color="auto"/>
              <w:left w:val="nil"/>
              <w:bottom w:val="single" w:sz="4" w:space="0" w:color="auto"/>
              <w:right w:val="nil"/>
            </w:tcBorders>
            <w:shd w:val="clear" w:color="auto" w:fill="auto"/>
            <w:noWrap/>
            <w:vAlign w:val="bottom"/>
            <w:hideMark/>
          </w:tcPr>
          <w:p w14:paraId="01D33ED4" w14:textId="33434FAB"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138</w:t>
            </w:r>
          </w:p>
        </w:tc>
        <w:tc>
          <w:tcPr>
            <w:tcW w:w="909" w:type="dxa"/>
            <w:tcBorders>
              <w:top w:val="single" w:sz="4" w:space="0" w:color="auto"/>
              <w:left w:val="nil"/>
              <w:bottom w:val="single" w:sz="4" w:space="0" w:color="auto"/>
              <w:right w:val="nil"/>
            </w:tcBorders>
            <w:shd w:val="clear" w:color="auto" w:fill="auto"/>
            <w:noWrap/>
            <w:vAlign w:val="center"/>
            <w:hideMark/>
          </w:tcPr>
          <w:p w14:paraId="201DF773" w14:textId="7439C008"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+6 %</w:t>
            </w:r>
          </w:p>
        </w:tc>
        <w:tc>
          <w:tcPr>
            <w:tcW w:w="771" w:type="dxa"/>
            <w:tcBorders>
              <w:top w:val="nil"/>
              <w:left w:val="single" w:sz="4" w:space="0" w:color="auto"/>
              <w:bottom w:val="single" w:sz="4" w:space="0" w:color="auto"/>
              <w:right w:val="nil"/>
            </w:tcBorders>
            <w:shd w:val="clear" w:color="auto" w:fill="auto"/>
            <w:noWrap/>
            <w:vAlign w:val="bottom"/>
            <w:hideMark/>
          </w:tcPr>
          <w:p w14:paraId="38AAC59B" w14:textId="006871EA"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033</w:t>
            </w:r>
          </w:p>
        </w:tc>
        <w:tc>
          <w:tcPr>
            <w:tcW w:w="909" w:type="dxa"/>
            <w:tcBorders>
              <w:top w:val="nil"/>
              <w:left w:val="nil"/>
              <w:bottom w:val="single" w:sz="4" w:space="0" w:color="auto"/>
              <w:right w:val="single" w:sz="4" w:space="0" w:color="auto"/>
            </w:tcBorders>
            <w:shd w:val="clear" w:color="auto" w:fill="auto"/>
            <w:noWrap/>
            <w:vAlign w:val="center"/>
            <w:hideMark/>
          </w:tcPr>
          <w:p w14:paraId="0A6B9916" w14:textId="6688DB6E"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+10 %</w:t>
            </w:r>
          </w:p>
        </w:tc>
        <w:tc>
          <w:tcPr>
            <w:tcW w:w="771" w:type="dxa"/>
            <w:tcBorders>
              <w:top w:val="single" w:sz="4" w:space="0" w:color="auto"/>
              <w:left w:val="nil"/>
              <w:bottom w:val="single" w:sz="4" w:space="0" w:color="auto"/>
              <w:right w:val="nil"/>
            </w:tcBorders>
            <w:shd w:val="clear" w:color="auto" w:fill="auto"/>
            <w:noWrap/>
            <w:vAlign w:val="bottom"/>
            <w:hideMark/>
          </w:tcPr>
          <w:p w14:paraId="5CDCA94C" w14:textId="33CC21F6"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882</w:t>
            </w:r>
          </w:p>
        </w:tc>
        <w:tc>
          <w:tcPr>
            <w:tcW w:w="909" w:type="dxa"/>
            <w:tcBorders>
              <w:top w:val="single" w:sz="4" w:space="0" w:color="auto"/>
              <w:left w:val="nil"/>
              <w:bottom w:val="single" w:sz="4" w:space="0" w:color="auto"/>
              <w:right w:val="nil"/>
            </w:tcBorders>
            <w:shd w:val="clear" w:color="auto" w:fill="auto"/>
            <w:noWrap/>
            <w:vAlign w:val="center"/>
            <w:hideMark/>
          </w:tcPr>
          <w:p w14:paraId="1857AD51" w14:textId="2B56F3CA"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-7 %</w:t>
            </w:r>
          </w:p>
        </w:tc>
      </w:tr>
      <w:tr w:rsidR="00E6771A" w:rsidRPr="00E6771A" w14:paraId="5877EECF"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0E40FA51"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Praha</w:t>
            </w:r>
          </w:p>
        </w:tc>
        <w:tc>
          <w:tcPr>
            <w:tcW w:w="771" w:type="dxa"/>
            <w:tcBorders>
              <w:top w:val="nil"/>
              <w:left w:val="nil"/>
              <w:bottom w:val="single" w:sz="4" w:space="0" w:color="auto"/>
              <w:right w:val="nil"/>
            </w:tcBorders>
            <w:shd w:val="clear" w:color="auto" w:fill="auto"/>
            <w:noWrap/>
            <w:vAlign w:val="bottom"/>
            <w:hideMark/>
          </w:tcPr>
          <w:p w14:paraId="6DCFAD65" w14:textId="68EAC747"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270</w:t>
            </w:r>
          </w:p>
        </w:tc>
        <w:tc>
          <w:tcPr>
            <w:tcW w:w="909" w:type="dxa"/>
            <w:tcBorders>
              <w:top w:val="nil"/>
              <w:left w:val="nil"/>
              <w:bottom w:val="single" w:sz="4" w:space="0" w:color="auto"/>
              <w:right w:val="nil"/>
            </w:tcBorders>
            <w:shd w:val="clear" w:color="auto" w:fill="auto"/>
            <w:noWrap/>
            <w:vAlign w:val="center"/>
            <w:hideMark/>
          </w:tcPr>
          <w:p w14:paraId="533BEFD4" w14:textId="41D34448"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+21 %</w:t>
            </w:r>
          </w:p>
        </w:tc>
        <w:tc>
          <w:tcPr>
            <w:tcW w:w="771" w:type="dxa"/>
            <w:tcBorders>
              <w:top w:val="nil"/>
              <w:left w:val="single" w:sz="4" w:space="0" w:color="auto"/>
              <w:bottom w:val="single" w:sz="4" w:space="0" w:color="auto"/>
              <w:right w:val="nil"/>
            </w:tcBorders>
            <w:shd w:val="clear" w:color="auto" w:fill="auto"/>
            <w:noWrap/>
            <w:vAlign w:val="bottom"/>
            <w:hideMark/>
          </w:tcPr>
          <w:p w14:paraId="3D6C86D6" w14:textId="1D825FBF"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219</w:t>
            </w:r>
          </w:p>
        </w:tc>
        <w:tc>
          <w:tcPr>
            <w:tcW w:w="909" w:type="dxa"/>
            <w:tcBorders>
              <w:top w:val="nil"/>
              <w:left w:val="nil"/>
              <w:bottom w:val="single" w:sz="4" w:space="0" w:color="auto"/>
              <w:right w:val="single" w:sz="4" w:space="0" w:color="auto"/>
            </w:tcBorders>
            <w:shd w:val="clear" w:color="auto" w:fill="auto"/>
            <w:noWrap/>
            <w:vAlign w:val="center"/>
            <w:hideMark/>
          </w:tcPr>
          <w:p w14:paraId="077D8C06" w14:textId="60EF44F6"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+26 %</w:t>
            </w:r>
          </w:p>
        </w:tc>
        <w:tc>
          <w:tcPr>
            <w:tcW w:w="771" w:type="dxa"/>
            <w:tcBorders>
              <w:top w:val="nil"/>
              <w:left w:val="nil"/>
              <w:bottom w:val="single" w:sz="4" w:space="0" w:color="auto"/>
              <w:right w:val="nil"/>
            </w:tcBorders>
            <w:shd w:val="clear" w:color="auto" w:fill="auto"/>
            <w:noWrap/>
            <w:vAlign w:val="bottom"/>
            <w:hideMark/>
          </w:tcPr>
          <w:p w14:paraId="76717235" w14:textId="14025632"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983</w:t>
            </w:r>
          </w:p>
        </w:tc>
        <w:tc>
          <w:tcPr>
            <w:tcW w:w="909" w:type="dxa"/>
            <w:tcBorders>
              <w:top w:val="nil"/>
              <w:left w:val="nil"/>
              <w:bottom w:val="single" w:sz="4" w:space="0" w:color="auto"/>
              <w:right w:val="nil"/>
            </w:tcBorders>
            <w:shd w:val="clear" w:color="auto" w:fill="auto"/>
            <w:noWrap/>
            <w:vAlign w:val="center"/>
            <w:hideMark/>
          </w:tcPr>
          <w:p w14:paraId="793745A6" w14:textId="56358428"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+16 %</w:t>
            </w:r>
          </w:p>
        </w:tc>
      </w:tr>
      <w:tr w:rsidR="00E6771A" w:rsidRPr="00E6771A" w14:paraId="5770B362"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0C115EA2"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Č. Budějovice</w:t>
            </w:r>
          </w:p>
        </w:tc>
        <w:tc>
          <w:tcPr>
            <w:tcW w:w="771" w:type="dxa"/>
            <w:tcBorders>
              <w:top w:val="nil"/>
              <w:left w:val="nil"/>
              <w:bottom w:val="single" w:sz="4" w:space="0" w:color="auto"/>
              <w:right w:val="nil"/>
            </w:tcBorders>
            <w:shd w:val="clear" w:color="auto" w:fill="auto"/>
            <w:noWrap/>
            <w:vAlign w:val="bottom"/>
            <w:hideMark/>
          </w:tcPr>
          <w:p w14:paraId="116821C1" w14:textId="465DE46C"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126</w:t>
            </w:r>
          </w:p>
        </w:tc>
        <w:tc>
          <w:tcPr>
            <w:tcW w:w="909" w:type="dxa"/>
            <w:tcBorders>
              <w:top w:val="nil"/>
              <w:left w:val="nil"/>
              <w:bottom w:val="single" w:sz="4" w:space="0" w:color="auto"/>
              <w:right w:val="nil"/>
            </w:tcBorders>
            <w:shd w:val="clear" w:color="auto" w:fill="auto"/>
            <w:noWrap/>
            <w:vAlign w:val="center"/>
            <w:hideMark/>
          </w:tcPr>
          <w:p w14:paraId="62E3A5BA" w14:textId="5E1BD6DC"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+14 %</w:t>
            </w:r>
          </w:p>
        </w:tc>
        <w:tc>
          <w:tcPr>
            <w:tcW w:w="771" w:type="dxa"/>
            <w:tcBorders>
              <w:top w:val="nil"/>
              <w:left w:val="single" w:sz="4" w:space="0" w:color="auto"/>
              <w:bottom w:val="single" w:sz="4" w:space="0" w:color="auto"/>
              <w:right w:val="nil"/>
            </w:tcBorders>
            <w:shd w:val="clear" w:color="auto" w:fill="auto"/>
            <w:noWrap/>
            <w:vAlign w:val="bottom"/>
            <w:hideMark/>
          </w:tcPr>
          <w:p w14:paraId="5259CEC0" w14:textId="5C2626EE"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083</w:t>
            </w:r>
          </w:p>
        </w:tc>
        <w:tc>
          <w:tcPr>
            <w:tcW w:w="909" w:type="dxa"/>
            <w:tcBorders>
              <w:top w:val="nil"/>
              <w:left w:val="nil"/>
              <w:bottom w:val="single" w:sz="4" w:space="0" w:color="auto"/>
              <w:right w:val="single" w:sz="4" w:space="0" w:color="auto"/>
            </w:tcBorders>
            <w:shd w:val="clear" w:color="auto" w:fill="auto"/>
            <w:noWrap/>
            <w:vAlign w:val="center"/>
            <w:hideMark/>
          </w:tcPr>
          <w:p w14:paraId="5A5D7118" w14:textId="6D0E9813"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+19 %</w:t>
            </w:r>
          </w:p>
        </w:tc>
        <w:tc>
          <w:tcPr>
            <w:tcW w:w="771" w:type="dxa"/>
            <w:tcBorders>
              <w:top w:val="nil"/>
              <w:left w:val="nil"/>
              <w:bottom w:val="single" w:sz="4" w:space="0" w:color="auto"/>
              <w:right w:val="nil"/>
            </w:tcBorders>
            <w:shd w:val="clear" w:color="auto" w:fill="auto"/>
            <w:noWrap/>
            <w:vAlign w:val="bottom"/>
            <w:hideMark/>
          </w:tcPr>
          <w:p w14:paraId="4DC87B49" w14:textId="27B2971E"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814</w:t>
            </w:r>
          </w:p>
        </w:tc>
        <w:tc>
          <w:tcPr>
            <w:tcW w:w="909" w:type="dxa"/>
            <w:tcBorders>
              <w:top w:val="nil"/>
              <w:left w:val="nil"/>
              <w:bottom w:val="single" w:sz="4" w:space="0" w:color="auto"/>
              <w:right w:val="nil"/>
            </w:tcBorders>
            <w:shd w:val="clear" w:color="auto" w:fill="auto"/>
            <w:noWrap/>
            <w:vAlign w:val="center"/>
            <w:hideMark/>
          </w:tcPr>
          <w:p w14:paraId="1F2E89FF" w14:textId="63ED0F28"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+6 %</w:t>
            </w:r>
          </w:p>
        </w:tc>
      </w:tr>
      <w:tr w:rsidR="00E6771A" w:rsidRPr="00E6771A" w14:paraId="2D6A12AC"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199E95D7"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Plzeň</w:t>
            </w:r>
          </w:p>
        </w:tc>
        <w:tc>
          <w:tcPr>
            <w:tcW w:w="771" w:type="dxa"/>
            <w:tcBorders>
              <w:top w:val="nil"/>
              <w:left w:val="nil"/>
              <w:bottom w:val="single" w:sz="4" w:space="0" w:color="auto"/>
              <w:right w:val="nil"/>
            </w:tcBorders>
            <w:shd w:val="clear" w:color="auto" w:fill="auto"/>
            <w:noWrap/>
            <w:vAlign w:val="bottom"/>
            <w:hideMark/>
          </w:tcPr>
          <w:p w14:paraId="73E70769" w14:textId="5E7A5592"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371</w:t>
            </w:r>
          </w:p>
        </w:tc>
        <w:tc>
          <w:tcPr>
            <w:tcW w:w="909" w:type="dxa"/>
            <w:tcBorders>
              <w:top w:val="nil"/>
              <w:left w:val="nil"/>
              <w:bottom w:val="single" w:sz="4" w:space="0" w:color="auto"/>
              <w:right w:val="nil"/>
            </w:tcBorders>
            <w:shd w:val="clear" w:color="auto" w:fill="auto"/>
            <w:noWrap/>
            <w:vAlign w:val="center"/>
            <w:hideMark/>
          </w:tcPr>
          <w:p w14:paraId="01142ABA" w14:textId="186B4DEC"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+4 %</w:t>
            </w:r>
          </w:p>
        </w:tc>
        <w:tc>
          <w:tcPr>
            <w:tcW w:w="771" w:type="dxa"/>
            <w:tcBorders>
              <w:top w:val="nil"/>
              <w:left w:val="single" w:sz="4" w:space="0" w:color="auto"/>
              <w:bottom w:val="single" w:sz="4" w:space="0" w:color="auto"/>
              <w:right w:val="nil"/>
            </w:tcBorders>
            <w:shd w:val="clear" w:color="auto" w:fill="auto"/>
            <w:noWrap/>
            <w:vAlign w:val="bottom"/>
            <w:hideMark/>
          </w:tcPr>
          <w:p w14:paraId="7DB7E47A" w14:textId="4105582A"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354</w:t>
            </w:r>
          </w:p>
        </w:tc>
        <w:tc>
          <w:tcPr>
            <w:tcW w:w="909" w:type="dxa"/>
            <w:tcBorders>
              <w:top w:val="nil"/>
              <w:left w:val="nil"/>
              <w:bottom w:val="single" w:sz="4" w:space="0" w:color="auto"/>
              <w:right w:val="single" w:sz="4" w:space="0" w:color="auto"/>
            </w:tcBorders>
            <w:shd w:val="clear" w:color="auto" w:fill="auto"/>
            <w:noWrap/>
            <w:vAlign w:val="center"/>
            <w:hideMark/>
          </w:tcPr>
          <w:p w14:paraId="12C52465" w14:textId="679908C9"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+4 %</w:t>
            </w:r>
          </w:p>
        </w:tc>
        <w:tc>
          <w:tcPr>
            <w:tcW w:w="771" w:type="dxa"/>
            <w:tcBorders>
              <w:top w:val="nil"/>
              <w:left w:val="nil"/>
              <w:bottom w:val="single" w:sz="4" w:space="0" w:color="auto"/>
              <w:right w:val="nil"/>
            </w:tcBorders>
            <w:shd w:val="clear" w:color="auto" w:fill="auto"/>
            <w:noWrap/>
            <w:vAlign w:val="bottom"/>
            <w:hideMark/>
          </w:tcPr>
          <w:p w14:paraId="3011F050" w14:textId="0DA7EA33"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2</w:t>
            </w:r>
            <w:r w:rsidR="00265275">
              <w:rPr>
                <w:rFonts w:eastAsia="Times New Roman"/>
                <w:color w:val="000000"/>
                <w:szCs w:val="24"/>
                <w:lang w:eastAsia="cs-CZ"/>
              </w:rPr>
              <w:t xml:space="preserve"> </w:t>
            </w:r>
            <w:r w:rsidRPr="00E6771A">
              <w:rPr>
                <w:rFonts w:eastAsia="Times New Roman"/>
                <w:color w:val="000000"/>
                <w:szCs w:val="24"/>
                <w:lang w:eastAsia="cs-CZ"/>
              </w:rPr>
              <w:t>102</w:t>
            </w:r>
          </w:p>
        </w:tc>
        <w:tc>
          <w:tcPr>
            <w:tcW w:w="909" w:type="dxa"/>
            <w:tcBorders>
              <w:top w:val="nil"/>
              <w:left w:val="nil"/>
              <w:bottom w:val="single" w:sz="4" w:space="0" w:color="auto"/>
              <w:right w:val="nil"/>
            </w:tcBorders>
            <w:shd w:val="clear" w:color="auto" w:fill="auto"/>
            <w:noWrap/>
            <w:vAlign w:val="center"/>
            <w:hideMark/>
          </w:tcPr>
          <w:p w14:paraId="3B3CFAB0" w14:textId="74F2EDBE"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+6 %</w:t>
            </w:r>
          </w:p>
        </w:tc>
      </w:tr>
      <w:tr w:rsidR="00E6771A" w:rsidRPr="00E6771A" w14:paraId="6A3DA9FA"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595B1711"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Ústí n. Labem</w:t>
            </w:r>
          </w:p>
        </w:tc>
        <w:tc>
          <w:tcPr>
            <w:tcW w:w="771" w:type="dxa"/>
            <w:tcBorders>
              <w:top w:val="nil"/>
              <w:left w:val="nil"/>
              <w:bottom w:val="single" w:sz="4" w:space="0" w:color="auto"/>
              <w:right w:val="nil"/>
            </w:tcBorders>
            <w:shd w:val="clear" w:color="auto" w:fill="auto"/>
            <w:noWrap/>
            <w:vAlign w:val="bottom"/>
            <w:hideMark/>
          </w:tcPr>
          <w:p w14:paraId="1690C510" w14:textId="30CD052A"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285</w:t>
            </w:r>
          </w:p>
        </w:tc>
        <w:tc>
          <w:tcPr>
            <w:tcW w:w="909" w:type="dxa"/>
            <w:tcBorders>
              <w:top w:val="nil"/>
              <w:left w:val="nil"/>
              <w:bottom w:val="single" w:sz="4" w:space="0" w:color="auto"/>
              <w:right w:val="nil"/>
            </w:tcBorders>
            <w:shd w:val="clear" w:color="auto" w:fill="auto"/>
            <w:noWrap/>
            <w:vAlign w:val="center"/>
            <w:hideMark/>
          </w:tcPr>
          <w:p w14:paraId="4AE4C124" w14:textId="2697935A"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+11 %</w:t>
            </w:r>
          </w:p>
        </w:tc>
        <w:tc>
          <w:tcPr>
            <w:tcW w:w="771" w:type="dxa"/>
            <w:tcBorders>
              <w:top w:val="nil"/>
              <w:left w:val="single" w:sz="4" w:space="0" w:color="auto"/>
              <w:bottom w:val="single" w:sz="4" w:space="0" w:color="auto"/>
              <w:right w:val="nil"/>
            </w:tcBorders>
            <w:shd w:val="clear" w:color="auto" w:fill="auto"/>
            <w:noWrap/>
            <w:vAlign w:val="bottom"/>
            <w:hideMark/>
          </w:tcPr>
          <w:p w14:paraId="44D2631C" w14:textId="28B4460E"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192</w:t>
            </w:r>
          </w:p>
        </w:tc>
        <w:tc>
          <w:tcPr>
            <w:tcW w:w="909" w:type="dxa"/>
            <w:tcBorders>
              <w:top w:val="nil"/>
              <w:left w:val="nil"/>
              <w:bottom w:val="single" w:sz="4" w:space="0" w:color="auto"/>
              <w:right w:val="single" w:sz="4" w:space="0" w:color="auto"/>
            </w:tcBorders>
            <w:shd w:val="clear" w:color="auto" w:fill="auto"/>
            <w:noWrap/>
            <w:vAlign w:val="center"/>
            <w:hideMark/>
          </w:tcPr>
          <w:p w14:paraId="56310BA0" w14:textId="1FFCAAF4"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+12 %</w:t>
            </w:r>
          </w:p>
        </w:tc>
        <w:tc>
          <w:tcPr>
            <w:tcW w:w="771" w:type="dxa"/>
            <w:tcBorders>
              <w:top w:val="nil"/>
              <w:left w:val="nil"/>
              <w:bottom w:val="single" w:sz="4" w:space="0" w:color="auto"/>
              <w:right w:val="nil"/>
            </w:tcBorders>
            <w:shd w:val="clear" w:color="auto" w:fill="auto"/>
            <w:noWrap/>
            <w:vAlign w:val="bottom"/>
            <w:hideMark/>
          </w:tcPr>
          <w:p w14:paraId="3297ECE4" w14:textId="59360729"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2</w:t>
            </w:r>
            <w:r w:rsidR="00265275">
              <w:rPr>
                <w:rFonts w:eastAsia="Times New Roman"/>
                <w:color w:val="000000"/>
                <w:szCs w:val="24"/>
                <w:lang w:eastAsia="cs-CZ"/>
              </w:rPr>
              <w:t xml:space="preserve"> </w:t>
            </w:r>
            <w:r w:rsidRPr="00E6771A">
              <w:rPr>
                <w:rFonts w:eastAsia="Times New Roman"/>
                <w:color w:val="000000"/>
                <w:szCs w:val="24"/>
                <w:lang w:eastAsia="cs-CZ"/>
              </w:rPr>
              <w:t>129</w:t>
            </w:r>
          </w:p>
        </w:tc>
        <w:tc>
          <w:tcPr>
            <w:tcW w:w="909" w:type="dxa"/>
            <w:tcBorders>
              <w:top w:val="nil"/>
              <w:left w:val="nil"/>
              <w:bottom w:val="single" w:sz="4" w:space="0" w:color="auto"/>
              <w:right w:val="nil"/>
            </w:tcBorders>
            <w:shd w:val="clear" w:color="auto" w:fill="auto"/>
            <w:noWrap/>
            <w:vAlign w:val="center"/>
            <w:hideMark/>
          </w:tcPr>
          <w:p w14:paraId="0967B2A9" w14:textId="3B372284"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+9 %</w:t>
            </w:r>
          </w:p>
        </w:tc>
      </w:tr>
      <w:tr w:rsidR="00E6771A" w:rsidRPr="00E6771A" w14:paraId="09379346"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5AAEB895"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Hr. Králové</w:t>
            </w:r>
          </w:p>
        </w:tc>
        <w:tc>
          <w:tcPr>
            <w:tcW w:w="771" w:type="dxa"/>
            <w:tcBorders>
              <w:top w:val="nil"/>
              <w:left w:val="nil"/>
              <w:bottom w:val="single" w:sz="4" w:space="0" w:color="auto"/>
              <w:right w:val="nil"/>
            </w:tcBorders>
            <w:shd w:val="clear" w:color="auto" w:fill="auto"/>
            <w:noWrap/>
            <w:vAlign w:val="bottom"/>
            <w:hideMark/>
          </w:tcPr>
          <w:p w14:paraId="7BEC0105" w14:textId="50220EE4"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404</w:t>
            </w:r>
          </w:p>
        </w:tc>
        <w:tc>
          <w:tcPr>
            <w:tcW w:w="909" w:type="dxa"/>
            <w:tcBorders>
              <w:top w:val="nil"/>
              <w:left w:val="nil"/>
              <w:bottom w:val="single" w:sz="4" w:space="0" w:color="auto"/>
              <w:right w:val="nil"/>
            </w:tcBorders>
            <w:shd w:val="clear" w:color="auto" w:fill="auto"/>
            <w:noWrap/>
            <w:vAlign w:val="center"/>
            <w:hideMark/>
          </w:tcPr>
          <w:p w14:paraId="27F0154E" w14:textId="4D33ED8E"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+21 %</w:t>
            </w:r>
          </w:p>
        </w:tc>
        <w:tc>
          <w:tcPr>
            <w:tcW w:w="771" w:type="dxa"/>
            <w:tcBorders>
              <w:top w:val="nil"/>
              <w:left w:val="single" w:sz="4" w:space="0" w:color="auto"/>
              <w:bottom w:val="single" w:sz="4" w:space="0" w:color="auto"/>
              <w:right w:val="nil"/>
            </w:tcBorders>
            <w:shd w:val="clear" w:color="auto" w:fill="auto"/>
            <w:noWrap/>
            <w:vAlign w:val="bottom"/>
            <w:hideMark/>
          </w:tcPr>
          <w:p w14:paraId="406E07CF" w14:textId="22FE09CC"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289</w:t>
            </w:r>
          </w:p>
        </w:tc>
        <w:tc>
          <w:tcPr>
            <w:tcW w:w="909" w:type="dxa"/>
            <w:tcBorders>
              <w:top w:val="nil"/>
              <w:left w:val="nil"/>
              <w:bottom w:val="single" w:sz="4" w:space="0" w:color="auto"/>
              <w:right w:val="single" w:sz="4" w:space="0" w:color="auto"/>
            </w:tcBorders>
            <w:shd w:val="clear" w:color="auto" w:fill="auto"/>
            <w:noWrap/>
            <w:vAlign w:val="center"/>
            <w:hideMark/>
          </w:tcPr>
          <w:p w14:paraId="582E6C0F" w14:textId="5C2D44FD"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+20 %</w:t>
            </w:r>
          </w:p>
        </w:tc>
        <w:tc>
          <w:tcPr>
            <w:tcW w:w="771" w:type="dxa"/>
            <w:tcBorders>
              <w:top w:val="nil"/>
              <w:left w:val="nil"/>
              <w:bottom w:val="single" w:sz="4" w:space="0" w:color="auto"/>
              <w:right w:val="nil"/>
            </w:tcBorders>
            <w:shd w:val="clear" w:color="auto" w:fill="auto"/>
            <w:noWrap/>
            <w:vAlign w:val="bottom"/>
            <w:hideMark/>
          </w:tcPr>
          <w:p w14:paraId="07F46FD1" w14:textId="3FAD86B4"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2</w:t>
            </w:r>
            <w:r w:rsidR="00265275">
              <w:rPr>
                <w:rFonts w:eastAsia="Times New Roman"/>
                <w:color w:val="000000"/>
                <w:szCs w:val="24"/>
                <w:lang w:eastAsia="cs-CZ"/>
              </w:rPr>
              <w:t xml:space="preserve"> </w:t>
            </w:r>
            <w:r w:rsidRPr="00E6771A">
              <w:rPr>
                <w:rFonts w:eastAsia="Times New Roman"/>
                <w:color w:val="000000"/>
                <w:szCs w:val="24"/>
                <w:lang w:eastAsia="cs-CZ"/>
              </w:rPr>
              <w:t>452</w:t>
            </w:r>
          </w:p>
        </w:tc>
        <w:tc>
          <w:tcPr>
            <w:tcW w:w="909" w:type="dxa"/>
            <w:tcBorders>
              <w:top w:val="nil"/>
              <w:left w:val="nil"/>
              <w:bottom w:val="single" w:sz="4" w:space="0" w:color="auto"/>
              <w:right w:val="nil"/>
            </w:tcBorders>
            <w:shd w:val="clear" w:color="auto" w:fill="auto"/>
            <w:noWrap/>
            <w:vAlign w:val="center"/>
            <w:hideMark/>
          </w:tcPr>
          <w:p w14:paraId="47725BC6" w14:textId="4FBC8709"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+36 %</w:t>
            </w:r>
          </w:p>
        </w:tc>
      </w:tr>
      <w:tr w:rsidR="00E6771A" w:rsidRPr="00E6771A" w14:paraId="284D6C25" w14:textId="77777777" w:rsidTr="00E6771A">
        <w:trPr>
          <w:trHeight w:val="315"/>
        </w:trPr>
        <w:tc>
          <w:tcPr>
            <w:tcW w:w="2480" w:type="dxa"/>
            <w:tcBorders>
              <w:top w:val="nil"/>
              <w:left w:val="nil"/>
              <w:bottom w:val="single" w:sz="4" w:space="0" w:color="auto"/>
              <w:right w:val="nil"/>
            </w:tcBorders>
            <w:shd w:val="clear" w:color="auto" w:fill="auto"/>
            <w:noWrap/>
            <w:vAlign w:val="bottom"/>
            <w:hideMark/>
          </w:tcPr>
          <w:p w14:paraId="34199DD3"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Brno</w:t>
            </w:r>
          </w:p>
        </w:tc>
        <w:tc>
          <w:tcPr>
            <w:tcW w:w="771" w:type="dxa"/>
            <w:tcBorders>
              <w:top w:val="nil"/>
              <w:left w:val="nil"/>
              <w:bottom w:val="single" w:sz="4" w:space="0" w:color="auto"/>
              <w:right w:val="nil"/>
            </w:tcBorders>
            <w:shd w:val="clear" w:color="auto" w:fill="auto"/>
            <w:noWrap/>
            <w:vAlign w:val="bottom"/>
            <w:hideMark/>
          </w:tcPr>
          <w:p w14:paraId="55C886BC" w14:textId="0919672E"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130</w:t>
            </w:r>
          </w:p>
        </w:tc>
        <w:tc>
          <w:tcPr>
            <w:tcW w:w="909" w:type="dxa"/>
            <w:tcBorders>
              <w:top w:val="nil"/>
              <w:left w:val="nil"/>
              <w:bottom w:val="single" w:sz="4" w:space="0" w:color="auto"/>
              <w:right w:val="nil"/>
            </w:tcBorders>
            <w:shd w:val="clear" w:color="auto" w:fill="auto"/>
            <w:noWrap/>
            <w:vAlign w:val="center"/>
            <w:hideMark/>
          </w:tcPr>
          <w:p w14:paraId="08E5C765" w14:textId="0E95380B"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+6 %</w:t>
            </w:r>
          </w:p>
        </w:tc>
        <w:tc>
          <w:tcPr>
            <w:tcW w:w="771" w:type="dxa"/>
            <w:tcBorders>
              <w:top w:val="nil"/>
              <w:left w:val="single" w:sz="4" w:space="0" w:color="auto"/>
              <w:bottom w:val="single" w:sz="4" w:space="0" w:color="auto"/>
              <w:right w:val="nil"/>
            </w:tcBorders>
            <w:shd w:val="clear" w:color="auto" w:fill="auto"/>
            <w:noWrap/>
            <w:vAlign w:val="bottom"/>
            <w:hideMark/>
          </w:tcPr>
          <w:p w14:paraId="721F3326" w14:textId="0EE79467"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048</w:t>
            </w:r>
          </w:p>
        </w:tc>
        <w:tc>
          <w:tcPr>
            <w:tcW w:w="909" w:type="dxa"/>
            <w:tcBorders>
              <w:top w:val="nil"/>
              <w:left w:val="nil"/>
              <w:bottom w:val="single" w:sz="4" w:space="0" w:color="auto"/>
              <w:right w:val="single" w:sz="4" w:space="0" w:color="auto"/>
            </w:tcBorders>
            <w:shd w:val="clear" w:color="auto" w:fill="auto"/>
            <w:noWrap/>
            <w:vAlign w:val="center"/>
            <w:hideMark/>
          </w:tcPr>
          <w:p w14:paraId="31FA2142" w14:textId="0D93B453"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+4 %</w:t>
            </w:r>
          </w:p>
        </w:tc>
        <w:tc>
          <w:tcPr>
            <w:tcW w:w="771" w:type="dxa"/>
            <w:tcBorders>
              <w:top w:val="nil"/>
              <w:left w:val="nil"/>
              <w:bottom w:val="single" w:sz="4" w:space="0" w:color="auto"/>
              <w:right w:val="nil"/>
            </w:tcBorders>
            <w:shd w:val="clear" w:color="auto" w:fill="auto"/>
            <w:noWrap/>
            <w:vAlign w:val="bottom"/>
            <w:hideMark/>
          </w:tcPr>
          <w:p w14:paraId="63DA9C8B" w14:textId="1F5A80C5"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952</w:t>
            </w:r>
          </w:p>
        </w:tc>
        <w:tc>
          <w:tcPr>
            <w:tcW w:w="909" w:type="dxa"/>
            <w:tcBorders>
              <w:top w:val="nil"/>
              <w:left w:val="nil"/>
              <w:bottom w:val="single" w:sz="4" w:space="0" w:color="auto"/>
              <w:right w:val="nil"/>
            </w:tcBorders>
            <w:shd w:val="clear" w:color="auto" w:fill="auto"/>
            <w:noWrap/>
            <w:vAlign w:val="center"/>
            <w:hideMark/>
          </w:tcPr>
          <w:p w14:paraId="54B469D8" w14:textId="76797BB6"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+8 %</w:t>
            </w:r>
          </w:p>
        </w:tc>
      </w:tr>
      <w:tr w:rsidR="00E6771A" w:rsidRPr="00E6771A" w14:paraId="6A304F5F" w14:textId="77777777" w:rsidTr="00E6771A">
        <w:trPr>
          <w:trHeight w:val="330"/>
        </w:trPr>
        <w:tc>
          <w:tcPr>
            <w:tcW w:w="2480" w:type="dxa"/>
            <w:tcBorders>
              <w:top w:val="nil"/>
              <w:left w:val="nil"/>
              <w:bottom w:val="double" w:sz="6" w:space="0" w:color="auto"/>
              <w:right w:val="nil"/>
            </w:tcBorders>
            <w:shd w:val="clear" w:color="auto" w:fill="auto"/>
            <w:noWrap/>
            <w:vAlign w:val="bottom"/>
            <w:hideMark/>
          </w:tcPr>
          <w:p w14:paraId="3D3A97C4" w14:textId="77777777" w:rsidR="00E6771A" w:rsidRPr="00E6771A" w:rsidRDefault="00E6771A" w:rsidP="00E6771A">
            <w:pPr>
              <w:spacing w:line="240" w:lineRule="auto"/>
              <w:jc w:val="left"/>
              <w:rPr>
                <w:rFonts w:eastAsia="Times New Roman"/>
                <w:color w:val="000000"/>
                <w:szCs w:val="24"/>
                <w:lang w:eastAsia="cs-CZ"/>
              </w:rPr>
            </w:pPr>
            <w:r w:rsidRPr="00E6771A">
              <w:rPr>
                <w:rFonts w:eastAsia="Times New Roman"/>
                <w:color w:val="000000"/>
                <w:szCs w:val="24"/>
                <w:lang w:eastAsia="cs-CZ"/>
              </w:rPr>
              <w:t>KS Ostrava</w:t>
            </w:r>
          </w:p>
        </w:tc>
        <w:tc>
          <w:tcPr>
            <w:tcW w:w="771" w:type="dxa"/>
            <w:tcBorders>
              <w:top w:val="nil"/>
              <w:left w:val="nil"/>
              <w:bottom w:val="double" w:sz="6" w:space="0" w:color="auto"/>
              <w:right w:val="nil"/>
            </w:tcBorders>
            <w:shd w:val="clear" w:color="auto" w:fill="auto"/>
            <w:noWrap/>
            <w:vAlign w:val="bottom"/>
            <w:hideMark/>
          </w:tcPr>
          <w:p w14:paraId="0BDD0942" w14:textId="051F7C39"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290</w:t>
            </w:r>
          </w:p>
        </w:tc>
        <w:tc>
          <w:tcPr>
            <w:tcW w:w="909" w:type="dxa"/>
            <w:tcBorders>
              <w:top w:val="nil"/>
              <w:left w:val="nil"/>
              <w:bottom w:val="double" w:sz="6" w:space="0" w:color="auto"/>
              <w:right w:val="nil"/>
            </w:tcBorders>
            <w:shd w:val="clear" w:color="auto" w:fill="auto"/>
            <w:noWrap/>
            <w:vAlign w:val="center"/>
            <w:hideMark/>
          </w:tcPr>
          <w:p w14:paraId="39B8CE4B" w14:textId="2D8BF1B9"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+19 %</w:t>
            </w:r>
          </w:p>
        </w:tc>
        <w:tc>
          <w:tcPr>
            <w:tcW w:w="771" w:type="dxa"/>
            <w:tcBorders>
              <w:top w:val="nil"/>
              <w:left w:val="single" w:sz="4" w:space="0" w:color="auto"/>
              <w:bottom w:val="double" w:sz="6" w:space="0" w:color="auto"/>
              <w:right w:val="nil"/>
            </w:tcBorders>
            <w:shd w:val="clear" w:color="auto" w:fill="auto"/>
            <w:noWrap/>
            <w:vAlign w:val="bottom"/>
            <w:hideMark/>
          </w:tcPr>
          <w:p w14:paraId="01CED842" w14:textId="0734DFD5"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1</w:t>
            </w:r>
            <w:r w:rsidR="00265275">
              <w:rPr>
                <w:rFonts w:eastAsia="Times New Roman"/>
                <w:color w:val="000000"/>
                <w:szCs w:val="24"/>
                <w:lang w:eastAsia="cs-CZ"/>
              </w:rPr>
              <w:t xml:space="preserve"> </w:t>
            </w:r>
            <w:r w:rsidRPr="00E6771A">
              <w:rPr>
                <w:rFonts w:eastAsia="Times New Roman"/>
                <w:color w:val="000000"/>
                <w:szCs w:val="24"/>
                <w:lang w:eastAsia="cs-CZ"/>
              </w:rPr>
              <w:t>236</w:t>
            </w:r>
          </w:p>
        </w:tc>
        <w:tc>
          <w:tcPr>
            <w:tcW w:w="909" w:type="dxa"/>
            <w:tcBorders>
              <w:top w:val="nil"/>
              <w:left w:val="nil"/>
              <w:bottom w:val="double" w:sz="6" w:space="0" w:color="auto"/>
              <w:right w:val="single" w:sz="4" w:space="0" w:color="auto"/>
            </w:tcBorders>
            <w:shd w:val="clear" w:color="auto" w:fill="auto"/>
            <w:noWrap/>
            <w:vAlign w:val="center"/>
            <w:hideMark/>
          </w:tcPr>
          <w:p w14:paraId="774B1A9D" w14:textId="6CC522BE"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+29 %</w:t>
            </w:r>
          </w:p>
        </w:tc>
        <w:tc>
          <w:tcPr>
            <w:tcW w:w="771" w:type="dxa"/>
            <w:tcBorders>
              <w:top w:val="nil"/>
              <w:left w:val="nil"/>
              <w:bottom w:val="double" w:sz="6" w:space="0" w:color="auto"/>
              <w:right w:val="nil"/>
            </w:tcBorders>
            <w:shd w:val="clear" w:color="auto" w:fill="auto"/>
            <w:noWrap/>
            <w:vAlign w:val="bottom"/>
            <w:hideMark/>
          </w:tcPr>
          <w:p w14:paraId="1748F38C" w14:textId="56271C67" w:rsidR="00E6771A" w:rsidRPr="00E6771A" w:rsidRDefault="00E6771A" w:rsidP="00E6771A">
            <w:pPr>
              <w:spacing w:line="240" w:lineRule="auto"/>
              <w:jc w:val="center"/>
              <w:rPr>
                <w:rFonts w:eastAsia="Times New Roman"/>
                <w:color w:val="000000"/>
                <w:szCs w:val="24"/>
                <w:lang w:eastAsia="cs-CZ"/>
              </w:rPr>
            </w:pPr>
            <w:r w:rsidRPr="00E6771A">
              <w:rPr>
                <w:rFonts w:eastAsia="Times New Roman"/>
                <w:color w:val="000000"/>
                <w:szCs w:val="24"/>
                <w:lang w:eastAsia="cs-CZ"/>
              </w:rPr>
              <w:t>2</w:t>
            </w:r>
            <w:r w:rsidR="00265275">
              <w:rPr>
                <w:rFonts w:eastAsia="Times New Roman"/>
                <w:color w:val="000000"/>
                <w:szCs w:val="24"/>
                <w:lang w:eastAsia="cs-CZ"/>
              </w:rPr>
              <w:t xml:space="preserve"> </w:t>
            </w:r>
            <w:r w:rsidRPr="00E6771A">
              <w:rPr>
                <w:rFonts w:eastAsia="Times New Roman"/>
                <w:color w:val="000000"/>
                <w:szCs w:val="24"/>
                <w:lang w:eastAsia="cs-CZ"/>
              </w:rPr>
              <w:t>158</w:t>
            </w:r>
          </w:p>
        </w:tc>
        <w:tc>
          <w:tcPr>
            <w:tcW w:w="909" w:type="dxa"/>
            <w:tcBorders>
              <w:top w:val="nil"/>
              <w:left w:val="nil"/>
              <w:bottom w:val="double" w:sz="6" w:space="0" w:color="auto"/>
              <w:right w:val="nil"/>
            </w:tcBorders>
            <w:shd w:val="clear" w:color="auto" w:fill="auto"/>
            <w:noWrap/>
            <w:vAlign w:val="center"/>
            <w:hideMark/>
          </w:tcPr>
          <w:p w14:paraId="64B40BA9" w14:textId="61D2B960" w:rsidR="00E6771A" w:rsidRPr="00E6771A" w:rsidRDefault="00E6771A" w:rsidP="00E6771A">
            <w:pPr>
              <w:spacing w:line="240" w:lineRule="auto"/>
              <w:jc w:val="right"/>
              <w:rPr>
                <w:rFonts w:eastAsia="Times New Roman"/>
                <w:color w:val="000000"/>
                <w:sz w:val="20"/>
                <w:szCs w:val="20"/>
                <w:lang w:eastAsia="cs-CZ"/>
              </w:rPr>
            </w:pPr>
            <w:r w:rsidRPr="00E6771A">
              <w:rPr>
                <w:rFonts w:eastAsia="Times New Roman"/>
                <w:color w:val="000000"/>
                <w:sz w:val="20"/>
                <w:szCs w:val="20"/>
                <w:lang w:eastAsia="cs-CZ"/>
              </w:rPr>
              <w:t>+11 %</w:t>
            </w:r>
          </w:p>
        </w:tc>
      </w:tr>
      <w:tr w:rsidR="00E6771A" w:rsidRPr="00E6771A" w14:paraId="2959EC95" w14:textId="77777777" w:rsidTr="00E6771A">
        <w:trPr>
          <w:trHeight w:val="345"/>
        </w:trPr>
        <w:tc>
          <w:tcPr>
            <w:tcW w:w="2480" w:type="dxa"/>
            <w:tcBorders>
              <w:top w:val="nil"/>
              <w:left w:val="nil"/>
              <w:bottom w:val="double" w:sz="6" w:space="0" w:color="auto"/>
              <w:right w:val="nil"/>
            </w:tcBorders>
            <w:shd w:val="clear" w:color="auto" w:fill="auto"/>
            <w:noWrap/>
            <w:vAlign w:val="bottom"/>
            <w:hideMark/>
          </w:tcPr>
          <w:p w14:paraId="5A61EED0" w14:textId="77777777" w:rsidR="00E6771A" w:rsidRPr="00E6771A" w:rsidRDefault="00E6771A" w:rsidP="00E6771A">
            <w:pPr>
              <w:spacing w:line="240" w:lineRule="auto"/>
              <w:jc w:val="left"/>
              <w:rPr>
                <w:rFonts w:eastAsia="Times New Roman"/>
                <w:b/>
                <w:bCs/>
                <w:color w:val="000000"/>
                <w:szCs w:val="24"/>
                <w:lang w:eastAsia="cs-CZ"/>
              </w:rPr>
            </w:pPr>
            <w:r w:rsidRPr="00E6771A">
              <w:rPr>
                <w:rFonts w:eastAsia="Times New Roman"/>
                <w:b/>
                <w:bCs/>
                <w:color w:val="000000"/>
                <w:szCs w:val="24"/>
                <w:lang w:eastAsia="cs-CZ"/>
              </w:rPr>
              <w:t>Celkem ČR</w:t>
            </w:r>
          </w:p>
        </w:tc>
        <w:tc>
          <w:tcPr>
            <w:tcW w:w="771" w:type="dxa"/>
            <w:tcBorders>
              <w:top w:val="nil"/>
              <w:left w:val="nil"/>
              <w:bottom w:val="double" w:sz="6" w:space="0" w:color="auto"/>
              <w:right w:val="nil"/>
            </w:tcBorders>
            <w:shd w:val="clear" w:color="auto" w:fill="auto"/>
            <w:noWrap/>
            <w:vAlign w:val="center"/>
            <w:hideMark/>
          </w:tcPr>
          <w:p w14:paraId="7A1392B3" w14:textId="2AA8E64C"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1</w:t>
            </w:r>
            <w:r w:rsidR="00265275">
              <w:rPr>
                <w:rFonts w:eastAsia="Times New Roman"/>
                <w:b/>
                <w:bCs/>
                <w:color w:val="000000"/>
                <w:szCs w:val="24"/>
                <w:lang w:eastAsia="cs-CZ"/>
              </w:rPr>
              <w:t xml:space="preserve"> </w:t>
            </w:r>
            <w:r w:rsidRPr="00E6771A">
              <w:rPr>
                <w:rFonts w:eastAsia="Times New Roman"/>
                <w:b/>
                <w:bCs/>
                <w:color w:val="000000"/>
                <w:szCs w:val="24"/>
                <w:lang w:eastAsia="cs-CZ"/>
              </w:rPr>
              <w:t>265</w:t>
            </w:r>
          </w:p>
        </w:tc>
        <w:tc>
          <w:tcPr>
            <w:tcW w:w="909" w:type="dxa"/>
            <w:tcBorders>
              <w:top w:val="nil"/>
              <w:left w:val="nil"/>
              <w:bottom w:val="double" w:sz="6" w:space="0" w:color="auto"/>
              <w:right w:val="nil"/>
            </w:tcBorders>
            <w:shd w:val="clear" w:color="auto" w:fill="auto"/>
            <w:noWrap/>
            <w:vAlign w:val="center"/>
            <w:hideMark/>
          </w:tcPr>
          <w:p w14:paraId="5BEFE7DE" w14:textId="6C1E7682" w:rsidR="00E6771A" w:rsidRPr="00E6771A" w:rsidRDefault="00E6771A" w:rsidP="00E6771A">
            <w:pPr>
              <w:spacing w:line="240" w:lineRule="auto"/>
              <w:jc w:val="right"/>
              <w:rPr>
                <w:rFonts w:eastAsia="Times New Roman"/>
                <w:b/>
                <w:bCs/>
                <w:color w:val="000000"/>
                <w:sz w:val="20"/>
                <w:szCs w:val="20"/>
                <w:lang w:eastAsia="cs-CZ"/>
              </w:rPr>
            </w:pPr>
            <w:r w:rsidRPr="00E6771A">
              <w:rPr>
                <w:rFonts w:eastAsia="Times New Roman"/>
                <w:b/>
                <w:bCs/>
                <w:color w:val="000000"/>
                <w:sz w:val="20"/>
                <w:szCs w:val="20"/>
                <w:lang w:eastAsia="cs-CZ"/>
              </w:rPr>
              <w:t>+12 %</w:t>
            </w:r>
          </w:p>
        </w:tc>
        <w:tc>
          <w:tcPr>
            <w:tcW w:w="771" w:type="dxa"/>
            <w:tcBorders>
              <w:top w:val="nil"/>
              <w:left w:val="single" w:sz="4" w:space="0" w:color="auto"/>
              <w:bottom w:val="double" w:sz="6" w:space="0" w:color="auto"/>
              <w:right w:val="nil"/>
            </w:tcBorders>
            <w:shd w:val="clear" w:color="auto" w:fill="auto"/>
            <w:noWrap/>
            <w:vAlign w:val="center"/>
            <w:hideMark/>
          </w:tcPr>
          <w:p w14:paraId="1D9F1FD2" w14:textId="5E395081"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1</w:t>
            </w:r>
            <w:r w:rsidR="00265275">
              <w:rPr>
                <w:rFonts w:eastAsia="Times New Roman"/>
                <w:b/>
                <w:bCs/>
                <w:color w:val="000000"/>
                <w:szCs w:val="24"/>
                <w:lang w:eastAsia="cs-CZ"/>
              </w:rPr>
              <w:t xml:space="preserve"> </w:t>
            </w:r>
            <w:r w:rsidRPr="00E6771A">
              <w:rPr>
                <w:rFonts w:eastAsia="Times New Roman"/>
                <w:b/>
                <w:bCs/>
                <w:color w:val="000000"/>
                <w:szCs w:val="24"/>
                <w:lang w:eastAsia="cs-CZ"/>
              </w:rPr>
              <w:t>204</w:t>
            </w:r>
          </w:p>
        </w:tc>
        <w:tc>
          <w:tcPr>
            <w:tcW w:w="909" w:type="dxa"/>
            <w:tcBorders>
              <w:top w:val="nil"/>
              <w:left w:val="nil"/>
              <w:bottom w:val="double" w:sz="6" w:space="0" w:color="auto"/>
              <w:right w:val="single" w:sz="4" w:space="0" w:color="auto"/>
            </w:tcBorders>
            <w:shd w:val="clear" w:color="auto" w:fill="auto"/>
            <w:noWrap/>
            <w:vAlign w:val="center"/>
            <w:hideMark/>
          </w:tcPr>
          <w:p w14:paraId="7C946B8A" w14:textId="67B542E0" w:rsidR="00E6771A" w:rsidRPr="00E6771A" w:rsidRDefault="00E6771A" w:rsidP="00E6771A">
            <w:pPr>
              <w:spacing w:line="240" w:lineRule="auto"/>
              <w:jc w:val="right"/>
              <w:rPr>
                <w:rFonts w:eastAsia="Times New Roman"/>
                <w:b/>
                <w:bCs/>
                <w:color w:val="000000"/>
                <w:sz w:val="20"/>
                <w:szCs w:val="20"/>
                <w:lang w:eastAsia="cs-CZ"/>
              </w:rPr>
            </w:pPr>
            <w:r w:rsidRPr="00E6771A">
              <w:rPr>
                <w:rFonts w:eastAsia="Times New Roman"/>
                <w:b/>
                <w:bCs/>
                <w:color w:val="000000"/>
                <w:sz w:val="20"/>
                <w:szCs w:val="20"/>
                <w:lang w:eastAsia="cs-CZ"/>
              </w:rPr>
              <w:t>+16 %</w:t>
            </w:r>
          </w:p>
        </w:tc>
        <w:tc>
          <w:tcPr>
            <w:tcW w:w="771" w:type="dxa"/>
            <w:tcBorders>
              <w:top w:val="nil"/>
              <w:left w:val="nil"/>
              <w:bottom w:val="double" w:sz="6" w:space="0" w:color="auto"/>
              <w:right w:val="nil"/>
            </w:tcBorders>
            <w:shd w:val="clear" w:color="auto" w:fill="auto"/>
            <w:noWrap/>
            <w:vAlign w:val="center"/>
            <w:hideMark/>
          </w:tcPr>
          <w:p w14:paraId="64EE8C6F" w14:textId="0EA23D1E" w:rsidR="00E6771A" w:rsidRPr="00E6771A" w:rsidRDefault="00E6771A" w:rsidP="00E6771A">
            <w:pPr>
              <w:spacing w:line="240" w:lineRule="auto"/>
              <w:jc w:val="center"/>
              <w:rPr>
                <w:rFonts w:eastAsia="Times New Roman"/>
                <w:b/>
                <w:bCs/>
                <w:color w:val="000000"/>
                <w:szCs w:val="24"/>
                <w:lang w:eastAsia="cs-CZ"/>
              </w:rPr>
            </w:pPr>
            <w:r w:rsidRPr="00E6771A">
              <w:rPr>
                <w:rFonts w:eastAsia="Times New Roman"/>
                <w:b/>
                <w:bCs/>
                <w:color w:val="000000"/>
                <w:szCs w:val="24"/>
                <w:lang w:eastAsia="cs-CZ"/>
              </w:rPr>
              <w:t>2</w:t>
            </w:r>
            <w:r w:rsidR="00265275">
              <w:rPr>
                <w:rFonts w:eastAsia="Times New Roman"/>
                <w:b/>
                <w:bCs/>
                <w:color w:val="000000"/>
                <w:szCs w:val="24"/>
                <w:lang w:eastAsia="cs-CZ"/>
              </w:rPr>
              <w:t xml:space="preserve"> </w:t>
            </w:r>
            <w:r w:rsidRPr="00E6771A">
              <w:rPr>
                <w:rFonts w:eastAsia="Times New Roman"/>
                <w:b/>
                <w:bCs/>
                <w:color w:val="000000"/>
                <w:szCs w:val="24"/>
                <w:lang w:eastAsia="cs-CZ"/>
              </w:rPr>
              <w:t>093</w:t>
            </w:r>
          </w:p>
        </w:tc>
        <w:tc>
          <w:tcPr>
            <w:tcW w:w="909" w:type="dxa"/>
            <w:tcBorders>
              <w:top w:val="nil"/>
              <w:left w:val="nil"/>
              <w:bottom w:val="double" w:sz="6" w:space="0" w:color="auto"/>
              <w:right w:val="nil"/>
            </w:tcBorders>
            <w:shd w:val="clear" w:color="auto" w:fill="auto"/>
            <w:noWrap/>
            <w:vAlign w:val="center"/>
            <w:hideMark/>
          </w:tcPr>
          <w:p w14:paraId="2E8E6F8B" w14:textId="2FD369B6" w:rsidR="00E6771A" w:rsidRPr="00E6771A" w:rsidRDefault="00E6771A" w:rsidP="00E6771A">
            <w:pPr>
              <w:spacing w:line="240" w:lineRule="auto"/>
              <w:jc w:val="right"/>
              <w:rPr>
                <w:rFonts w:eastAsia="Times New Roman"/>
                <w:b/>
                <w:bCs/>
                <w:color w:val="000000"/>
                <w:sz w:val="20"/>
                <w:szCs w:val="20"/>
                <w:lang w:eastAsia="cs-CZ"/>
              </w:rPr>
            </w:pPr>
            <w:r w:rsidRPr="00E6771A">
              <w:rPr>
                <w:rFonts w:eastAsia="Times New Roman"/>
                <w:b/>
                <w:bCs/>
                <w:color w:val="000000"/>
                <w:sz w:val="20"/>
                <w:szCs w:val="20"/>
                <w:lang w:eastAsia="cs-CZ"/>
              </w:rPr>
              <w:t>+10 %</w:t>
            </w:r>
          </w:p>
        </w:tc>
      </w:tr>
    </w:tbl>
    <w:p w14:paraId="79D5D5BC" w14:textId="77777777" w:rsidR="00E6771A" w:rsidRPr="00F85178" w:rsidRDefault="00E6771A" w:rsidP="00145840">
      <w:pPr>
        <w:pStyle w:val="OdstavecASR"/>
      </w:pPr>
    </w:p>
    <w:p w14:paraId="1B7583B0" w14:textId="77777777" w:rsidR="002A6C06" w:rsidRPr="00F85178" w:rsidRDefault="002A6C06" w:rsidP="00145840">
      <w:pPr>
        <w:pStyle w:val="OdstavecASR"/>
      </w:pPr>
      <w:r w:rsidRPr="00F85178">
        <w:t>Trend i absolutní délky řízení jsou velmi podobné těm u právnických osob, konečně, jedná se o stejnou formu řešení úpadku. Platí zde tedy stejné závěry jako u právnických osob.</w:t>
      </w:r>
    </w:p>
    <w:p w14:paraId="0649AA1E" w14:textId="77777777" w:rsidR="00AC591F" w:rsidRPr="00F85178" w:rsidRDefault="00AC591F" w:rsidP="00AC591F">
      <w:pPr>
        <w:pStyle w:val="Nadpis3"/>
        <w:rPr>
          <w:color w:val="auto"/>
        </w:rPr>
      </w:pPr>
      <w:bookmarkStart w:id="567" w:name="_Toc515871274"/>
      <w:bookmarkStart w:id="568" w:name="_Toc14076923"/>
      <w:r w:rsidRPr="00F85178">
        <w:rPr>
          <w:color w:val="auto"/>
        </w:rPr>
        <w:t>Vyřizování věcí</w:t>
      </w:r>
      <w:bookmarkEnd w:id="567"/>
      <w:bookmarkEnd w:id="568"/>
    </w:p>
    <w:p w14:paraId="530FF6B2" w14:textId="77777777" w:rsidR="00AC591F" w:rsidRPr="00F85178" w:rsidRDefault="00AC591F" w:rsidP="00AC591F">
      <w:pPr>
        <w:pStyle w:val="Podtitul"/>
        <w:rPr>
          <w:color w:val="auto"/>
        </w:rPr>
      </w:pPr>
      <w:bookmarkStart w:id="569" w:name="_Toc515871405"/>
      <w:bookmarkStart w:id="570" w:name="_Toc11135136"/>
      <w:bookmarkStart w:id="571" w:name="_Toc1383756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75</w:t>
      </w:r>
      <w:r w:rsidRPr="00F85178">
        <w:rPr>
          <w:noProof/>
          <w:color w:val="auto"/>
        </w:rPr>
        <w:fldChar w:fldCharType="end"/>
      </w:r>
      <w:r w:rsidRPr="00F85178">
        <w:rPr>
          <w:color w:val="auto"/>
        </w:rPr>
        <w:t>: KS – vyřizování insolvenčních věcí v letech 2008–201</w:t>
      </w:r>
      <w:bookmarkEnd w:id="569"/>
      <w:r w:rsidR="00F62521" w:rsidRPr="00F85178">
        <w:rPr>
          <w:color w:val="auto"/>
        </w:rPr>
        <w:t>8</w:t>
      </w:r>
      <w:bookmarkEnd w:id="570"/>
      <w:bookmarkEnd w:id="571"/>
    </w:p>
    <w:p w14:paraId="2677F48A" w14:textId="77777777" w:rsidR="00AC591F" w:rsidRPr="00F85178" w:rsidRDefault="00890295" w:rsidP="00145840">
      <w:pPr>
        <w:pStyle w:val="OdstavecASR"/>
      </w:pPr>
      <w:r>
        <w:rPr>
          <w:noProof/>
          <w:lang w:eastAsia="cs-CZ"/>
        </w:rPr>
        <w:drawing>
          <wp:inline distT="0" distB="0" distL="0" distR="0" wp14:anchorId="3A8AAC82" wp14:editId="7508C96C">
            <wp:extent cx="5118100" cy="3746500"/>
            <wp:effectExtent l="0" t="0" r="0" b="0"/>
            <wp:docPr id="78" name="Obrázek 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8"/>
                    <pic:cNvPicPr>
                      <a:picLocks noChangeAspect="1" noChangeArrowheads="1"/>
                    </pic:cNvPicPr>
                  </pic:nvPicPr>
                  <pic:blipFill>
                    <a:blip r:embed="rId10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2ED1EDC" w14:textId="53C89BCE" w:rsidR="007E37E0" w:rsidRDefault="009E1285" w:rsidP="009E1285">
      <w:pPr>
        <w:pStyle w:val="OdstavecASR"/>
      </w:pPr>
      <w:bookmarkStart w:id="572" w:name="_Toc515871499"/>
      <w:r w:rsidRPr="00F85178">
        <w:t>Sledovat vyřizování věcí je složitější, než je tomu u ostatních agend. Nápad je u této agendy principiálně stejný. Jedná se o jeden podaný insolvenční návrh nebo návrh na moratorium (viz seznam pojmů v příloze) před zahájením insolvenčního řízení (viz ust. § 115 a násl. insolvenčního zákona). „Vyřízené věci“ v této podkapitole se nicméně vztahují k již zcela vyřízeným věcem. Jedná se tedy o věci, kde již skončilo celé insolvenční řízení, včetně případů, kde bylo o insolvenčním návrhu rozhodnuto jinak než rozhodnutím o úpadku. Nevyřízené věci po rozhodnutí o úpadku jsou věci, kde již bylo rozhodnuto o úpadku, případně o způsobu jeho řešení</w:t>
      </w:r>
      <w:r w:rsidR="00265275">
        <w:t>,</w:t>
      </w:r>
      <w:r w:rsidRPr="00F85178">
        <w:t xml:space="preserve"> a úpadek dlužníka je realizován určeným způsobem.</w:t>
      </w:r>
    </w:p>
    <w:p w14:paraId="3DC5B7C3" w14:textId="77777777" w:rsidR="00412CE3" w:rsidRPr="00F85178" w:rsidRDefault="00412CE3" w:rsidP="00412CE3">
      <w:pPr>
        <w:pStyle w:val="Podtitul"/>
        <w:rPr>
          <w:color w:val="auto"/>
        </w:rPr>
      </w:pPr>
      <w:bookmarkStart w:id="573" w:name="_Toc11133265"/>
      <w:bookmarkStart w:id="574" w:name="_Toc13837486"/>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63</w:t>
      </w:r>
      <w:r w:rsidRPr="00F85178">
        <w:rPr>
          <w:noProof/>
          <w:color w:val="auto"/>
        </w:rPr>
        <w:fldChar w:fldCharType="end"/>
      </w:r>
      <w:r w:rsidRPr="00F85178">
        <w:rPr>
          <w:color w:val="auto"/>
        </w:rPr>
        <w:t>: KS – vyřizování insolvenčních věcí dle soudů</w:t>
      </w:r>
      <w:bookmarkEnd w:id="572"/>
      <w:bookmarkEnd w:id="573"/>
      <w:bookmarkEnd w:id="574"/>
    </w:p>
    <w:tbl>
      <w:tblPr>
        <w:tblW w:w="9165" w:type="dxa"/>
        <w:tblCellMar>
          <w:left w:w="70" w:type="dxa"/>
          <w:right w:w="70" w:type="dxa"/>
        </w:tblCellMar>
        <w:tblLook w:val="04A0" w:firstRow="1" w:lastRow="0" w:firstColumn="1" w:lastColumn="0" w:noHBand="0" w:noVBand="1"/>
      </w:tblPr>
      <w:tblGrid>
        <w:gridCol w:w="1980"/>
        <w:gridCol w:w="1067"/>
        <w:gridCol w:w="707"/>
        <w:gridCol w:w="980"/>
        <w:gridCol w:w="809"/>
        <w:gridCol w:w="1048"/>
        <w:gridCol w:w="850"/>
        <w:gridCol w:w="959"/>
        <w:gridCol w:w="765"/>
      </w:tblGrid>
      <w:tr w:rsidR="00F85178" w:rsidRPr="00F85178" w14:paraId="1C532A69" w14:textId="77777777" w:rsidTr="00A51808">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65278582" w14:textId="7BC45637" w:rsidR="00412CE3" w:rsidRPr="00F85178" w:rsidRDefault="00F2120F" w:rsidP="00412CE3">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7185" w:type="dxa"/>
            <w:gridSpan w:val="8"/>
            <w:tcBorders>
              <w:top w:val="double" w:sz="6" w:space="0" w:color="auto"/>
              <w:left w:val="nil"/>
              <w:bottom w:val="nil"/>
            </w:tcBorders>
            <w:shd w:val="clear" w:color="auto" w:fill="auto"/>
            <w:noWrap/>
            <w:vAlign w:val="center"/>
            <w:hideMark/>
          </w:tcPr>
          <w:p w14:paraId="3839CBFB"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BB5E8E" w:rsidRPr="00F85178" w14:paraId="5F65D6E4" w14:textId="77777777" w:rsidTr="00A51808">
        <w:trPr>
          <w:trHeight w:val="960"/>
        </w:trPr>
        <w:tc>
          <w:tcPr>
            <w:tcW w:w="1980" w:type="dxa"/>
            <w:vMerge/>
            <w:tcBorders>
              <w:top w:val="double" w:sz="6" w:space="0" w:color="auto"/>
              <w:left w:val="nil"/>
              <w:bottom w:val="double" w:sz="6" w:space="0" w:color="000000"/>
              <w:right w:val="nil"/>
            </w:tcBorders>
            <w:vAlign w:val="center"/>
            <w:hideMark/>
          </w:tcPr>
          <w:p w14:paraId="3D8EC9E6" w14:textId="77777777" w:rsidR="00412CE3" w:rsidRPr="00F85178" w:rsidRDefault="00412CE3" w:rsidP="00412CE3">
            <w:pPr>
              <w:spacing w:line="240" w:lineRule="auto"/>
              <w:jc w:val="left"/>
              <w:rPr>
                <w:rFonts w:eastAsia="Times New Roman"/>
                <w:b/>
                <w:bCs/>
                <w:szCs w:val="24"/>
                <w:lang w:eastAsia="cs-CZ"/>
              </w:rPr>
            </w:pPr>
          </w:p>
        </w:tc>
        <w:tc>
          <w:tcPr>
            <w:tcW w:w="1774" w:type="dxa"/>
            <w:gridSpan w:val="2"/>
            <w:tcBorders>
              <w:top w:val="nil"/>
              <w:left w:val="nil"/>
              <w:bottom w:val="double" w:sz="6" w:space="0" w:color="auto"/>
              <w:right w:val="nil"/>
            </w:tcBorders>
            <w:shd w:val="clear" w:color="auto" w:fill="auto"/>
            <w:vAlign w:val="center"/>
            <w:hideMark/>
          </w:tcPr>
          <w:p w14:paraId="29E44889"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789"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35BF6A4A"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898" w:type="dxa"/>
            <w:gridSpan w:val="2"/>
            <w:tcBorders>
              <w:top w:val="nil"/>
              <w:left w:val="nil"/>
              <w:bottom w:val="double" w:sz="6" w:space="0" w:color="auto"/>
              <w:right w:val="single" w:sz="4" w:space="0" w:color="000000"/>
            </w:tcBorders>
            <w:shd w:val="clear" w:color="auto" w:fill="auto"/>
            <w:noWrap/>
            <w:vAlign w:val="center"/>
            <w:hideMark/>
          </w:tcPr>
          <w:p w14:paraId="0B5D6D68" w14:textId="77777777" w:rsidR="00412CE3" w:rsidRPr="00F85178" w:rsidRDefault="007E37E0" w:rsidP="00412CE3">
            <w:pPr>
              <w:spacing w:line="240" w:lineRule="auto"/>
              <w:jc w:val="center"/>
              <w:rPr>
                <w:rFonts w:eastAsia="Times New Roman"/>
                <w:b/>
                <w:bCs/>
                <w:szCs w:val="24"/>
                <w:lang w:eastAsia="cs-CZ"/>
              </w:rPr>
            </w:pPr>
            <w:r w:rsidRPr="007E37E0">
              <w:rPr>
                <w:rFonts w:eastAsia="Times New Roman"/>
                <w:b/>
                <w:bCs/>
                <w:szCs w:val="24"/>
                <w:lang w:eastAsia="cs-CZ"/>
              </w:rPr>
              <w:t>Nevyřízeno před rozh. o úpadku</w:t>
            </w:r>
          </w:p>
        </w:tc>
        <w:tc>
          <w:tcPr>
            <w:tcW w:w="1724" w:type="dxa"/>
            <w:gridSpan w:val="2"/>
            <w:tcBorders>
              <w:top w:val="nil"/>
              <w:left w:val="nil"/>
              <w:bottom w:val="double" w:sz="6" w:space="0" w:color="auto"/>
            </w:tcBorders>
            <w:shd w:val="clear" w:color="auto" w:fill="auto"/>
            <w:noWrap/>
            <w:vAlign w:val="center"/>
            <w:hideMark/>
          </w:tcPr>
          <w:p w14:paraId="1A3ADE10" w14:textId="77777777" w:rsidR="00412CE3" w:rsidRPr="00F85178" w:rsidRDefault="007E37E0" w:rsidP="00412CE3">
            <w:pPr>
              <w:spacing w:line="240" w:lineRule="auto"/>
              <w:jc w:val="center"/>
              <w:rPr>
                <w:rFonts w:eastAsia="Times New Roman"/>
                <w:b/>
                <w:bCs/>
                <w:szCs w:val="24"/>
                <w:lang w:eastAsia="cs-CZ"/>
              </w:rPr>
            </w:pPr>
            <w:r w:rsidRPr="007E37E0">
              <w:rPr>
                <w:rFonts w:eastAsia="Times New Roman"/>
                <w:b/>
                <w:bCs/>
                <w:szCs w:val="24"/>
                <w:lang w:eastAsia="cs-CZ"/>
              </w:rPr>
              <w:t>Nevyřízeno po rozh. o úpadku</w:t>
            </w:r>
          </w:p>
        </w:tc>
      </w:tr>
      <w:tr w:rsidR="00BB5E8E" w:rsidRPr="00F85178" w14:paraId="3659CCE3" w14:textId="77777777" w:rsidTr="00A51808">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60F1C2D1"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MS Praha</w:t>
            </w:r>
          </w:p>
        </w:tc>
        <w:tc>
          <w:tcPr>
            <w:tcW w:w="1067" w:type="dxa"/>
            <w:tcBorders>
              <w:top w:val="single" w:sz="4" w:space="0" w:color="auto"/>
              <w:left w:val="nil"/>
              <w:bottom w:val="single" w:sz="4" w:space="0" w:color="auto"/>
              <w:right w:val="nil"/>
            </w:tcBorders>
            <w:shd w:val="clear" w:color="auto" w:fill="auto"/>
            <w:noWrap/>
            <w:vAlign w:val="bottom"/>
            <w:hideMark/>
          </w:tcPr>
          <w:p w14:paraId="35CBAB89"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2 037</w:t>
            </w:r>
          </w:p>
        </w:tc>
        <w:tc>
          <w:tcPr>
            <w:tcW w:w="707" w:type="dxa"/>
            <w:tcBorders>
              <w:top w:val="single" w:sz="4" w:space="0" w:color="auto"/>
              <w:left w:val="nil"/>
              <w:bottom w:val="single" w:sz="4" w:space="0" w:color="auto"/>
              <w:right w:val="nil"/>
            </w:tcBorders>
            <w:shd w:val="clear" w:color="auto" w:fill="auto"/>
            <w:noWrap/>
            <w:vAlign w:val="center"/>
            <w:hideMark/>
          </w:tcPr>
          <w:p w14:paraId="618077EA" w14:textId="425BBEAF"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80" w:type="dxa"/>
            <w:tcBorders>
              <w:top w:val="single" w:sz="4" w:space="0" w:color="auto"/>
              <w:left w:val="single" w:sz="4" w:space="0" w:color="auto"/>
              <w:bottom w:val="single" w:sz="4" w:space="0" w:color="auto"/>
              <w:right w:val="nil"/>
            </w:tcBorders>
            <w:shd w:val="clear" w:color="auto" w:fill="auto"/>
            <w:noWrap/>
            <w:vAlign w:val="bottom"/>
            <w:hideMark/>
          </w:tcPr>
          <w:p w14:paraId="18854159"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1 954</w:t>
            </w:r>
          </w:p>
        </w:tc>
        <w:tc>
          <w:tcPr>
            <w:tcW w:w="809" w:type="dxa"/>
            <w:tcBorders>
              <w:top w:val="single" w:sz="4" w:space="0" w:color="auto"/>
              <w:left w:val="nil"/>
              <w:bottom w:val="single" w:sz="4" w:space="0" w:color="auto"/>
              <w:right w:val="single" w:sz="4" w:space="0" w:color="auto"/>
            </w:tcBorders>
            <w:shd w:val="clear" w:color="auto" w:fill="auto"/>
            <w:noWrap/>
            <w:vAlign w:val="center"/>
            <w:hideMark/>
          </w:tcPr>
          <w:p w14:paraId="4B28B80A" w14:textId="54AF0F26"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48" w:type="dxa"/>
            <w:tcBorders>
              <w:top w:val="single" w:sz="4" w:space="0" w:color="auto"/>
              <w:left w:val="nil"/>
              <w:bottom w:val="single" w:sz="4" w:space="0" w:color="auto"/>
              <w:right w:val="nil"/>
            </w:tcBorders>
            <w:shd w:val="clear" w:color="auto" w:fill="auto"/>
            <w:noWrap/>
            <w:vAlign w:val="bottom"/>
            <w:hideMark/>
          </w:tcPr>
          <w:p w14:paraId="74294720"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384</w:t>
            </w:r>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14:paraId="6E9A7B40" w14:textId="5AE4FAE5"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959" w:type="dxa"/>
            <w:tcBorders>
              <w:top w:val="single" w:sz="4" w:space="0" w:color="auto"/>
              <w:left w:val="nil"/>
              <w:bottom w:val="single" w:sz="4" w:space="0" w:color="auto"/>
              <w:right w:val="nil"/>
            </w:tcBorders>
            <w:shd w:val="clear" w:color="auto" w:fill="auto"/>
            <w:noWrap/>
            <w:vAlign w:val="bottom"/>
            <w:hideMark/>
          </w:tcPr>
          <w:p w14:paraId="3777445B"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7 582</w:t>
            </w:r>
          </w:p>
        </w:tc>
        <w:tc>
          <w:tcPr>
            <w:tcW w:w="765" w:type="dxa"/>
            <w:tcBorders>
              <w:top w:val="single" w:sz="4" w:space="0" w:color="auto"/>
              <w:left w:val="nil"/>
              <w:bottom w:val="single" w:sz="4" w:space="0" w:color="auto"/>
            </w:tcBorders>
            <w:shd w:val="clear" w:color="auto" w:fill="auto"/>
            <w:noWrap/>
            <w:vAlign w:val="center"/>
            <w:hideMark/>
          </w:tcPr>
          <w:p w14:paraId="75862581" w14:textId="1D7A1815"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BB5E8E" w:rsidRPr="00F85178" w14:paraId="5687E751"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2E15E03B"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Praha</w:t>
            </w:r>
          </w:p>
        </w:tc>
        <w:tc>
          <w:tcPr>
            <w:tcW w:w="1067" w:type="dxa"/>
            <w:tcBorders>
              <w:top w:val="nil"/>
              <w:left w:val="nil"/>
              <w:bottom w:val="single" w:sz="4" w:space="0" w:color="auto"/>
              <w:right w:val="nil"/>
            </w:tcBorders>
            <w:shd w:val="clear" w:color="auto" w:fill="auto"/>
            <w:noWrap/>
            <w:vAlign w:val="bottom"/>
            <w:hideMark/>
          </w:tcPr>
          <w:p w14:paraId="18480104"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w:t>
            </w:r>
            <w:r w:rsidR="00A9111C" w:rsidRPr="00F85178">
              <w:rPr>
                <w:rFonts w:eastAsia="Times New Roman"/>
                <w:szCs w:val="24"/>
                <w:lang w:eastAsia="cs-CZ"/>
              </w:rPr>
              <w:t xml:space="preserve"> </w:t>
            </w:r>
            <w:r w:rsidRPr="00F85178">
              <w:rPr>
                <w:rFonts w:eastAsia="Times New Roman"/>
                <w:szCs w:val="24"/>
                <w:lang w:eastAsia="cs-CZ"/>
              </w:rPr>
              <w:t>439</w:t>
            </w:r>
          </w:p>
        </w:tc>
        <w:tc>
          <w:tcPr>
            <w:tcW w:w="707" w:type="dxa"/>
            <w:tcBorders>
              <w:top w:val="nil"/>
              <w:left w:val="nil"/>
              <w:bottom w:val="single" w:sz="4" w:space="0" w:color="auto"/>
              <w:right w:val="nil"/>
            </w:tcBorders>
            <w:shd w:val="clear" w:color="auto" w:fill="auto"/>
            <w:noWrap/>
            <w:vAlign w:val="center"/>
            <w:hideMark/>
          </w:tcPr>
          <w:p w14:paraId="1D5BB82B" w14:textId="6FFA9EE4"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80" w:type="dxa"/>
            <w:tcBorders>
              <w:top w:val="nil"/>
              <w:left w:val="single" w:sz="4" w:space="0" w:color="auto"/>
              <w:bottom w:val="single" w:sz="4" w:space="0" w:color="auto"/>
              <w:right w:val="nil"/>
            </w:tcBorders>
            <w:shd w:val="clear" w:color="auto" w:fill="auto"/>
            <w:noWrap/>
            <w:vAlign w:val="bottom"/>
            <w:hideMark/>
          </w:tcPr>
          <w:p w14:paraId="62B5088F"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w:t>
            </w:r>
            <w:r w:rsidR="00A9111C" w:rsidRPr="00F85178">
              <w:rPr>
                <w:rFonts w:eastAsia="Times New Roman"/>
                <w:szCs w:val="24"/>
                <w:lang w:eastAsia="cs-CZ"/>
              </w:rPr>
              <w:t xml:space="preserve"> </w:t>
            </w:r>
            <w:r w:rsidRPr="00F85178">
              <w:rPr>
                <w:rFonts w:eastAsia="Times New Roman"/>
                <w:szCs w:val="24"/>
                <w:lang w:eastAsia="cs-CZ"/>
              </w:rPr>
              <w:t>093</w:t>
            </w:r>
          </w:p>
        </w:tc>
        <w:tc>
          <w:tcPr>
            <w:tcW w:w="809" w:type="dxa"/>
            <w:tcBorders>
              <w:top w:val="nil"/>
              <w:left w:val="nil"/>
              <w:bottom w:val="single" w:sz="4" w:space="0" w:color="auto"/>
              <w:right w:val="single" w:sz="4" w:space="0" w:color="auto"/>
            </w:tcBorders>
            <w:shd w:val="clear" w:color="auto" w:fill="auto"/>
            <w:noWrap/>
            <w:vAlign w:val="center"/>
            <w:hideMark/>
          </w:tcPr>
          <w:p w14:paraId="561645F7" w14:textId="7CAE72AE"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1048" w:type="dxa"/>
            <w:tcBorders>
              <w:top w:val="nil"/>
              <w:left w:val="nil"/>
              <w:bottom w:val="single" w:sz="4" w:space="0" w:color="auto"/>
              <w:right w:val="nil"/>
            </w:tcBorders>
            <w:shd w:val="clear" w:color="auto" w:fill="auto"/>
            <w:noWrap/>
            <w:vAlign w:val="bottom"/>
            <w:hideMark/>
          </w:tcPr>
          <w:p w14:paraId="2F8703C7"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305</w:t>
            </w:r>
          </w:p>
        </w:tc>
        <w:tc>
          <w:tcPr>
            <w:tcW w:w="850" w:type="dxa"/>
            <w:tcBorders>
              <w:top w:val="nil"/>
              <w:left w:val="nil"/>
              <w:bottom w:val="single" w:sz="4" w:space="0" w:color="auto"/>
              <w:right w:val="single" w:sz="4" w:space="0" w:color="auto"/>
            </w:tcBorders>
            <w:shd w:val="clear" w:color="auto" w:fill="auto"/>
            <w:noWrap/>
            <w:vAlign w:val="center"/>
            <w:hideMark/>
          </w:tcPr>
          <w:p w14:paraId="69A8A41C" w14:textId="4B72861B"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959" w:type="dxa"/>
            <w:tcBorders>
              <w:top w:val="nil"/>
              <w:left w:val="nil"/>
              <w:bottom w:val="single" w:sz="4" w:space="0" w:color="auto"/>
              <w:right w:val="nil"/>
            </w:tcBorders>
            <w:shd w:val="clear" w:color="auto" w:fill="auto"/>
            <w:noWrap/>
            <w:vAlign w:val="bottom"/>
            <w:hideMark/>
          </w:tcPr>
          <w:p w14:paraId="05ACB691"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12</w:t>
            </w:r>
            <w:r w:rsidR="00A9111C" w:rsidRPr="00F85178">
              <w:rPr>
                <w:rFonts w:eastAsia="Times New Roman"/>
                <w:szCs w:val="24"/>
                <w:lang w:eastAsia="cs-CZ"/>
              </w:rPr>
              <w:t xml:space="preserve"> </w:t>
            </w:r>
            <w:r w:rsidRPr="00F85178">
              <w:rPr>
                <w:rFonts w:eastAsia="Times New Roman"/>
                <w:szCs w:val="24"/>
                <w:lang w:eastAsia="cs-CZ"/>
              </w:rPr>
              <w:t>156</w:t>
            </w:r>
          </w:p>
        </w:tc>
        <w:tc>
          <w:tcPr>
            <w:tcW w:w="765" w:type="dxa"/>
            <w:tcBorders>
              <w:top w:val="nil"/>
              <w:left w:val="nil"/>
              <w:bottom w:val="single" w:sz="4" w:space="0" w:color="auto"/>
            </w:tcBorders>
            <w:shd w:val="clear" w:color="auto" w:fill="auto"/>
            <w:noWrap/>
            <w:vAlign w:val="center"/>
            <w:hideMark/>
          </w:tcPr>
          <w:p w14:paraId="4DE49DD6" w14:textId="038F8E42"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-5 %</w:t>
            </w:r>
          </w:p>
        </w:tc>
      </w:tr>
      <w:tr w:rsidR="00BB5E8E" w:rsidRPr="00F85178" w14:paraId="088780DE"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36C200B1"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Č. Budějovice</w:t>
            </w:r>
          </w:p>
        </w:tc>
        <w:tc>
          <w:tcPr>
            <w:tcW w:w="1067" w:type="dxa"/>
            <w:tcBorders>
              <w:top w:val="nil"/>
              <w:left w:val="nil"/>
              <w:bottom w:val="single" w:sz="4" w:space="0" w:color="auto"/>
              <w:right w:val="nil"/>
            </w:tcBorders>
            <w:shd w:val="clear" w:color="auto" w:fill="auto"/>
            <w:noWrap/>
            <w:vAlign w:val="bottom"/>
            <w:hideMark/>
          </w:tcPr>
          <w:p w14:paraId="4BA16037"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w:t>
            </w:r>
            <w:r w:rsidR="00A9111C" w:rsidRPr="00F85178">
              <w:rPr>
                <w:rFonts w:eastAsia="Times New Roman"/>
                <w:szCs w:val="24"/>
                <w:lang w:eastAsia="cs-CZ"/>
              </w:rPr>
              <w:t xml:space="preserve"> </w:t>
            </w:r>
            <w:r w:rsidRPr="00F85178">
              <w:rPr>
                <w:rFonts w:eastAsia="Times New Roman"/>
                <w:szCs w:val="24"/>
                <w:lang w:eastAsia="cs-CZ"/>
              </w:rPr>
              <w:t>435</w:t>
            </w:r>
          </w:p>
        </w:tc>
        <w:tc>
          <w:tcPr>
            <w:tcW w:w="707" w:type="dxa"/>
            <w:tcBorders>
              <w:top w:val="nil"/>
              <w:left w:val="nil"/>
              <w:bottom w:val="single" w:sz="4" w:space="0" w:color="auto"/>
              <w:right w:val="nil"/>
            </w:tcBorders>
            <w:shd w:val="clear" w:color="auto" w:fill="auto"/>
            <w:noWrap/>
            <w:vAlign w:val="center"/>
            <w:hideMark/>
          </w:tcPr>
          <w:p w14:paraId="08F4F6A0" w14:textId="3551224A"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80" w:type="dxa"/>
            <w:tcBorders>
              <w:top w:val="nil"/>
              <w:left w:val="single" w:sz="4" w:space="0" w:color="auto"/>
              <w:bottom w:val="single" w:sz="4" w:space="0" w:color="auto"/>
              <w:right w:val="nil"/>
            </w:tcBorders>
            <w:shd w:val="clear" w:color="auto" w:fill="auto"/>
            <w:noWrap/>
            <w:vAlign w:val="bottom"/>
            <w:hideMark/>
          </w:tcPr>
          <w:p w14:paraId="38A60708"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w:t>
            </w:r>
            <w:r w:rsidR="00A9111C" w:rsidRPr="00F85178">
              <w:rPr>
                <w:rFonts w:eastAsia="Times New Roman"/>
                <w:szCs w:val="24"/>
                <w:lang w:eastAsia="cs-CZ"/>
              </w:rPr>
              <w:t xml:space="preserve"> </w:t>
            </w:r>
            <w:r w:rsidRPr="00F85178">
              <w:rPr>
                <w:rFonts w:eastAsia="Times New Roman"/>
                <w:szCs w:val="24"/>
                <w:lang w:eastAsia="cs-CZ"/>
              </w:rPr>
              <w:t>053</w:t>
            </w:r>
          </w:p>
        </w:tc>
        <w:tc>
          <w:tcPr>
            <w:tcW w:w="809" w:type="dxa"/>
            <w:tcBorders>
              <w:top w:val="nil"/>
              <w:left w:val="nil"/>
              <w:bottom w:val="single" w:sz="4" w:space="0" w:color="auto"/>
              <w:right w:val="single" w:sz="4" w:space="0" w:color="auto"/>
            </w:tcBorders>
            <w:shd w:val="clear" w:color="auto" w:fill="auto"/>
            <w:noWrap/>
            <w:vAlign w:val="center"/>
            <w:hideMark/>
          </w:tcPr>
          <w:p w14:paraId="54688C81" w14:textId="049D4016"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+34 %</w:t>
            </w:r>
          </w:p>
        </w:tc>
        <w:tc>
          <w:tcPr>
            <w:tcW w:w="1048" w:type="dxa"/>
            <w:tcBorders>
              <w:top w:val="nil"/>
              <w:left w:val="nil"/>
              <w:bottom w:val="single" w:sz="4" w:space="0" w:color="auto"/>
              <w:right w:val="nil"/>
            </w:tcBorders>
            <w:shd w:val="clear" w:color="auto" w:fill="auto"/>
            <w:noWrap/>
            <w:vAlign w:val="bottom"/>
            <w:hideMark/>
          </w:tcPr>
          <w:p w14:paraId="49E31F75"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37</w:t>
            </w:r>
          </w:p>
        </w:tc>
        <w:tc>
          <w:tcPr>
            <w:tcW w:w="850" w:type="dxa"/>
            <w:tcBorders>
              <w:top w:val="nil"/>
              <w:left w:val="nil"/>
              <w:bottom w:val="single" w:sz="4" w:space="0" w:color="auto"/>
              <w:right w:val="single" w:sz="4" w:space="0" w:color="auto"/>
            </w:tcBorders>
            <w:shd w:val="clear" w:color="auto" w:fill="auto"/>
            <w:noWrap/>
            <w:vAlign w:val="center"/>
            <w:hideMark/>
          </w:tcPr>
          <w:p w14:paraId="293AA93E" w14:textId="1FB03F3F"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-48 %</w:t>
            </w:r>
          </w:p>
        </w:tc>
        <w:tc>
          <w:tcPr>
            <w:tcW w:w="959" w:type="dxa"/>
            <w:tcBorders>
              <w:top w:val="nil"/>
              <w:left w:val="nil"/>
              <w:bottom w:val="single" w:sz="4" w:space="0" w:color="auto"/>
              <w:right w:val="nil"/>
            </w:tcBorders>
            <w:shd w:val="clear" w:color="auto" w:fill="auto"/>
            <w:noWrap/>
            <w:vAlign w:val="bottom"/>
            <w:hideMark/>
          </w:tcPr>
          <w:p w14:paraId="4A7B6BEA"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7</w:t>
            </w:r>
            <w:r w:rsidR="00A9111C" w:rsidRPr="00F85178">
              <w:rPr>
                <w:rFonts w:eastAsia="Times New Roman"/>
                <w:szCs w:val="24"/>
                <w:lang w:eastAsia="cs-CZ"/>
              </w:rPr>
              <w:t xml:space="preserve"> </w:t>
            </w:r>
            <w:r w:rsidRPr="00F85178">
              <w:rPr>
                <w:rFonts w:eastAsia="Times New Roman"/>
                <w:szCs w:val="24"/>
                <w:lang w:eastAsia="cs-CZ"/>
              </w:rPr>
              <w:t>817</w:t>
            </w:r>
          </w:p>
        </w:tc>
        <w:tc>
          <w:tcPr>
            <w:tcW w:w="765" w:type="dxa"/>
            <w:tcBorders>
              <w:top w:val="nil"/>
              <w:left w:val="nil"/>
              <w:bottom w:val="single" w:sz="4" w:space="0" w:color="auto"/>
            </w:tcBorders>
            <w:shd w:val="clear" w:color="auto" w:fill="auto"/>
            <w:noWrap/>
            <w:vAlign w:val="center"/>
            <w:hideMark/>
          </w:tcPr>
          <w:p w14:paraId="7BE7D947" w14:textId="477710A7"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BB5E8E" w:rsidRPr="00F85178" w14:paraId="2F23DA38"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516772BB"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Plzeň</w:t>
            </w:r>
          </w:p>
        </w:tc>
        <w:tc>
          <w:tcPr>
            <w:tcW w:w="1067" w:type="dxa"/>
            <w:tcBorders>
              <w:top w:val="nil"/>
              <w:left w:val="nil"/>
              <w:bottom w:val="single" w:sz="4" w:space="0" w:color="auto"/>
              <w:right w:val="nil"/>
            </w:tcBorders>
            <w:shd w:val="clear" w:color="auto" w:fill="auto"/>
            <w:noWrap/>
            <w:vAlign w:val="bottom"/>
            <w:hideMark/>
          </w:tcPr>
          <w:p w14:paraId="08A93E9D"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w:t>
            </w:r>
            <w:r w:rsidR="00A9111C" w:rsidRPr="00F85178">
              <w:rPr>
                <w:rFonts w:eastAsia="Times New Roman"/>
                <w:szCs w:val="24"/>
                <w:lang w:eastAsia="cs-CZ"/>
              </w:rPr>
              <w:t xml:space="preserve"> </w:t>
            </w:r>
            <w:r w:rsidRPr="00F85178">
              <w:rPr>
                <w:rFonts w:eastAsia="Times New Roman"/>
                <w:szCs w:val="24"/>
                <w:lang w:eastAsia="cs-CZ"/>
              </w:rPr>
              <w:t>972</w:t>
            </w:r>
          </w:p>
        </w:tc>
        <w:tc>
          <w:tcPr>
            <w:tcW w:w="707" w:type="dxa"/>
            <w:tcBorders>
              <w:top w:val="nil"/>
              <w:left w:val="nil"/>
              <w:bottom w:val="single" w:sz="4" w:space="0" w:color="auto"/>
              <w:right w:val="nil"/>
            </w:tcBorders>
            <w:shd w:val="clear" w:color="auto" w:fill="auto"/>
            <w:noWrap/>
            <w:vAlign w:val="center"/>
            <w:hideMark/>
          </w:tcPr>
          <w:p w14:paraId="5FD3B5DF" w14:textId="3DC6BC6C"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980" w:type="dxa"/>
            <w:tcBorders>
              <w:top w:val="nil"/>
              <w:left w:val="single" w:sz="4" w:space="0" w:color="auto"/>
              <w:bottom w:val="single" w:sz="4" w:space="0" w:color="auto"/>
              <w:right w:val="nil"/>
            </w:tcBorders>
            <w:shd w:val="clear" w:color="auto" w:fill="auto"/>
            <w:noWrap/>
            <w:vAlign w:val="bottom"/>
            <w:hideMark/>
          </w:tcPr>
          <w:p w14:paraId="57F505A0"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w:t>
            </w:r>
            <w:r w:rsidR="00A9111C" w:rsidRPr="00F85178">
              <w:rPr>
                <w:rFonts w:eastAsia="Times New Roman"/>
                <w:szCs w:val="24"/>
                <w:lang w:eastAsia="cs-CZ"/>
              </w:rPr>
              <w:t xml:space="preserve"> </w:t>
            </w:r>
            <w:r w:rsidRPr="00F85178">
              <w:rPr>
                <w:rFonts w:eastAsia="Times New Roman"/>
                <w:szCs w:val="24"/>
                <w:lang w:eastAsia="cs-CZ"/>
              </w:rPr>
              <w:t>332</w:t>
            </w:r>
          </w:p>
        </w:tc>
        <w:tc>
          <w:tcPr>
            <w:tcW w:w="809" w:type="dxa"/>
            <w:tcBorders>
              <w:top w:val="nil"/>
              <w:left w:val="nil"/>
              <w:bottom w:val="single" w:sz="4" w:space="0" w:color="auto"/>
              <w:right w:val="single" w:sz="4" w:space="0" w:color="auto"/>
            </w:tcBorders>
            <w:shd w:val="clear" w:color="auto" w:fill="auto"/>
            <w:noWrap/>
            <w:vAlign w:val="center"/>
            <w:hideMark/>
          </w:tcPr>
          <w:p w14:paraId="6DE5AE41" w14:textId="0C374857"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048" w:type="dxa"/>
            <w:tcBorders>
              <w:top w:val="nil"/>
              <w:left w:val="nil"/>
              <w:bottom w:val="single" w:sz="4" w:space="0" w:color="auto"/>
              <w:right w:val="nil"/>
            </w:tcBorders>
            <w:shd w:val="clear" w:color="auto" w:fill="auto"/>
            <w:noWrap/>
            <w:vAlign w:val="bottom"/>
            <w:hideMark/>
          </w:tcPr>
          <w:p w14:paraId="1F5AD95E"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290</w:t>
            </w:r>
          </w:p>
        </w:tc>
        <w:tc>
          <w:tcPr>
            <w:tcW w:w="850" w:type="dxa"/>
            <w:tcBorders>
              <w:top w:val="nil"/>
              <w:left w:val="nil"/>
              <w:bottom w:val="single" w:sz="4" w:space="0" w:color="auto"/>
              <w:right w:val="single" w:sz="4" w:space="0" w:color="auto"/>
            </w:tcBorders>
            <w:shd w:val="clear" w:color="auto" w:fill="auto"/>
            <w:noWrap/>
            <w:vAlign w:val="center"/>
            <w:hideMark/>
          </w:tcPr>
          <w:p w14:paraId="7B51B865" w14:textId="3FDEE18F"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-21 %</w:t>
            </w:r>
          </w:p>
        </w:tc>
        <w:tc>
          <w:tcPr>
            <w:tcW w:w="959" w:type="dxa"/>
            <w:tcBorders>
              <w:top w:val="nil"/>
              <w:left w:val="nil"/>
              <w:bottom w:val="single" w:sz="4" w:space="0" w:color="auto"/>
              <w:right w:val="nil"/>
            </w:tcBorders>
            <w:shd w:val="clear" w:color="auto" w:fill="auto"/>
            <w:noWrap/>
            <w:vAlign w:val="bottom"/>
            <w:hideMark/>
          </w:tcPr>
          <w:p w14:paraId="091C0550"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10</w:t>
            </w:r>
            <w:r w:rsidR="00A9111C" w:rsidRPr="00F85178">
              <w:rPr>
                <w:rFonts w:eastAsia="Times New Roman"/>
                <w:szCs w:val="24"/>
                <w:lang w:eastAsia="cs-CZ"/>
              </w:rPr>
              <w:t xml:space="preserve"> </w:t>
            </w:r>
            <w:r w:rsidRPr="00F85178">
              <w:rPr>
                <w:rFonts w:eastAsia="Times New Roman"/>
                <w:szCs w:val="24"/>
                <w:lang w:eastAsia="cs-CZ"/>
              </w:rPr>
              <w:t>852</w:t>
            </w:r>
          </w:p>
        </w:tc>
        <w:tc>
          <w:tcPr>
            <w:tcW w:w="765" w:type="dxa"/>
            <w:tcBorders>
              <w:top w:val="nil"/>
              <w:left w:val="nil"/>
              <w:bottom w:val="single" w:sz="4" w:space="0" w:color="auto"/>
            </w:tcBorders>
            <w:shd w:val="clear" w:color="auto" w:fill="auto"/>
            <w:noWrap/>
            <w:vAlign w:val="center"/>
            <w:hideMark/>
          </w:tcPr>
          <w:p w14:paraId="1304830A" w14:textId="64800E61"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BB5E8E" w:rsidRPr="00F85178" w14:paraId="1BE984A5"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0D776A0B"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Ústí n. Labem</w:t>
            </w:r>
          </w:p>
        </w:tc>
        <w:tc>
          <w:tcPr>
            <w:tcW w:w="1067" w:type="dxa"/>
            <w:tcBorders>
              <w:top w:val="nil"/>
              <w:left w:val="nil"/>
              <w:bottom w:val="single" w:sz="4" w:space="0" w:color="auto"/>
              <w:right w:val="nil"/>
            </w:tcBorders>
            <w:shd w:val="clear" w:color="auto" w:fill="auto"/>
            <w:noWrap/>
            <w:vAlign w:val="bottom"/>
            <w:hideMark/>
          </w:tcPr>
          <w:p w14:paraId="392BD75A"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w:t>
            </w:r>
            <w:r w:rsidR="00A9111C" w:rsidRPr="00F85178">
              <w:rPr>
                <w:rFonts w:eastAsia="Times New Roman"/>
                <w:szCs w:val="24"/>
                <w:lang w:eastAsia="cs-CZ"/>
              </w:rPr>
              <w:t xml:space="preserve"> </w:t>
            </w:r>
            <w:r w:rsidRPr="00F85178">
              <w:rPr>
                <w:rFonts w:eastAsia="Times New Roman"/>
                <w:szCs w:val="24"/>
                <w:lang w:eastAsia="cs-CZ"/>
              </w:rPr>
              <w:t>411</w:t>
            </w:r>
          </w:p>
        </w:tc>
        <w:tc>
          <w:tcPr>
            <w:tcW w:w="707" w:type="dxa"/>
            <w:tcBorders>
              <w:top w:val="nil"/>
              <w:left w:val="nil"/>
              <w:bottom w:val="single" w:sz="4" w:space="0" w:color="auto"/>
              <w:right w:val="nil"/>
            </w:tcBorders>
            <w:shd w:val="clear" w:color="auto" w:fill="auto"/>
            <w:noWrap/>
            <w:vAlign w:val="center"/>
            <w:hideMark/>
          </w:tcPr>
          <w:p w14:paraId="61F169BD" w14:textId="1FB47A81"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980" w:type="dxa"/>
            <w:tcBorders>
              <w:top w:val="nil"/>
              <w:left w:val="single" w:sz="4" w:space="0" w:color="auto"/>
              <w:bottom w:val="single" w:sz="4" w:space="0" w:color="auto"/>
              <w:right w:val="nil"/>
            </w:tcBorders>
            <w:shd w:val="clear" w:color="auto" w:fill="auto"/>
            <w:noWrap/>
            <w:vAlign w:val="bottom"/>
            <w:hideMark/>
          </w:tcPr>
          <w:p w14:paraId="057273E5"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w:t>
            </w:r>
            <w:r w:rsidR="00A9111C" w:rsidRPr="00F85178">
              <w:rPr>
                <w:rFonts w:eastAsia="Times New Roman"/>
                <w:szCs w:val="24"/>
                <w:lang w:eastAsia="cs-CZ"/>
              </w:rPr>
              <w:t xml:space="preserve"> </w:t>
            </w:r>
            <w:r w:rsidRPr="00F85178">
              <w:rPr>
                <w:rFonts w:eastAsia="Times New Roman"/>
                <w:szCs w:val="24"/>
                <w:lang w:eastAsia="cs-CZ"/>
              </w:rPr>
              <w:t>964</w:t>
            </w:r>
          </w:p>
        </w:tc>
        <w:tc>
          <w:tcPr>
            <w:tcW w:w="809" w:type="dxa"/>
            <w:tcBorders>
              <w:top w:val="nil"/>
              <w:left w:val="nil"/>
              <w:bottom w:val="single" w:sz="4" w:space="0" w:color="auto"/>
              <w:right w:val="single" w:sz="4" w:space="0" w:color="auto"/>
            </w:tcBorders>
            <w:shd w:val="clear" w:color="auto" w:fill="auto"/>
            <w:noWrap/>
            <w:vAlign w:val="center"/>
            <w:hideMark/>
          </w:tcPr>
          <w:p w14:paraId="12D4D1D0" w14:textId="69CC637A"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048" w:type="dxa"/>
            <w:tcBorders>
              <w:top w:val="nil"/>
              <w:left w:val="nil"/>
              <w:bottom w:val="single" w:sz="4" w:space="0" w:color="auto"/>
              <w:right w:val="nil"/>
            </w:tcBorders>
            <w:shd w:val="clear" w:color="auto" w:fill="auto"/>
            <w:noWrap/>
            <w:vAlign w:val="bottom"/>
            <w:hideMark/>
          </w:tcPr>
          <w:p w14:paraId="0981E631"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334</w:t>
            </w:r>
          </w:p>
        </w:tc>
        <w:tc>
          <w:tcPr>
            <w:tcW w:w="850" w:type="dxa"/>
            <w:tcBorders>
              <w:top w:val="nil"/>
              <w:left w:val="nil"/>
              <w:bottom w:val="single" w:sz="4" w:space="0" w:color="auto"/>
              <w:right w:val="single" w:sz="4" w:space="0" w:color="auto"/>
            </w:tcBorders>
            <w:shd w:val="clear" w:color="auto" w:fill="auto"/>
            <w:noWrap/>
            <w:vAlign w:val="center"/>
            <w:hideMark/>
          </w:tcPr>
          <w:p w14:paraId="5768A02B" w14:textId="61113D7F"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959" w:type="dxa"/>
            <w:tcBorders>
              <w:top w:val="nil"/>
              <w:left w:val="nil"/>
              <w:bottom w:val="single" w:sz="4" w:space="0" w:color="auto"/>
              <w:right w:val="nil"/>
            </w:tcBorders>
            <w:shd w:val="clear" w:color="auto" w:fill="auto"/>
            <w:noWrap/>
            <w:vAlign w:val="bottom"/>
            <w:hideMark/>
          </w:tcPr>
          <w:p w14:paraId="63D57E91"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18</w:t>
            </w:r>
            <w:r w:rsidR="00A9111C" w:rsidRPr="00F85178">
              <w:rPr>
                <w:rFonts w:eastAsia="Times New Roman"/>
                <w:szCs w:val="24"/>
                <w:lang w:eastAsia="cs-CZ"/>
              </w:rPr>
              <w:t xml:space="preserve"> </w:t>
            </w:r>
            <w:r w:rsidRPr="00F85178">
              <w:rPr>
                <w:rFonts w:eastAsia="Times New Roman"/>
                <w:szCs w:val="24"/>
                <w:lang w:eastAsia="cs-CZ"/>
              </w:rPr>
              <w:t>635</w:t>
            </w:r>
          </w:p>
        </w:tc>
        <w:tc>
          <w:tcPr>
            <w:tcW w:w="765" w:type="dxa"/>
            <w:tcBorders>
              <w:top w:val="nil"/>
              <w:left w:val="nil"/>
              <w:bottom w:val="single" w:sz="4" w:space="0" w:color="auto"/>
            </w:tcBorders>
            <w:shd w:val="clear" w:color="auto" w:fill="auto"/>
            <w:noWrap/>
            <w:vAlign w:val="center"/>
            <w:hideMark/>
          </w:tcPr>
          <w:p w14:paraId="10655E90" w14:textId="6D712CD7"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-8 %</w:t>
            </w:r>
          </w:p>
        </w:tc>
      </w:tr>
      <w:tr w:rsidR="00BB5E8E" w:rsidRPr="00F85178" w14:paraId="2CB51B90"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6892689C"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Hr. Králové</w:t>
            </w:r>
          </w:p>
        </w:tc>
        <w:tc>
          <w:tcPr>
            <w:tcW w:w="1067" w:type="dxa"/>
            <w:tcBorders>
              <w:top w:val="nil"/>
              <w:left w:val="nil"/>
              <w:bottom w:val="single" w:sz="4" w:space="0" w:color="auto"/>
              <w:right w:val="nil"/>
            </w:tcBorders>
            <w:shd w:val="clear" w:color="auto" w:fill="auto"/>
            <w:noWrap/>
            <w:vAlign w:val="bottom"/>
            <w:hideMark/>
          </w:tcPr>
          <w:p w14:paraId="53C40B20"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w:t>
            </w:r>
            <w:r w:rsidR="00A9111C" w:rsidRPr="00F85178">
              <w:rPr>
                <w:rFonts w:eastAsia="Times New Roman"/>
                <w:szCs w:val="24"/>
                <w:lang w:eastAsia="cs-CZ"/>
              </w:rPr>
              <w:t xml:space="preserve"> </w:t>
            </w:r>
            <w:r w:rsidRPr="00F85178">
              <w:rPr>
                <w:rFonts w:eastAsia="Times New Roman"/>
                <w:szCs w:val="24"/>
                <w:lang w:eastAsia="cs-CZ"/>
              </w:rPr>
              <w:t>366</w:t>
            </w:r>
          </w:p>
        </w:tc>
        <w:tc>
          <w:tcPr>
            <w:tcW w:w="707" w:type="dxa"/>
            <w:tcBorders>
              <w:top w:val="nil"/>
              <w:left w:val="nil"/>
              <w:bottom w:val="single" w:sz="4" w:space="0" w:color="auto"/>
              <w:right w:val="nil"/>
            </w:tcBorders>
            <w:shd w:val="clear" w:color="auto" w:fill="auto"/>
            <w:noWrap/>
            <w:vAlign w:val="center"/>
            <w:hideMark/>
          </w:tcPr>
          <w:p w14:paraId="22EBBE64" w14:textId="29D2300A"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80" w:type="dxa"/>
            <w:tcBorders>
              <w:top w:val="nil"/>
              <w:left w:val="single" w:sz="4" w:space="0" w:color="auto"/>
              <w:bottom w:val="single" w:sz="4" w:space="0" w:color="auto"/>
              <w:right w:val="nil"/>
            </w:tcBorders>
            <w:shd w:val="clear" w:color="auto" w:fill="auto"/>
            <w:noWrap/>
            <w:vAlign w:val="bottom"/>
            <w:hideMark/>
          </w:tcPr>
          <w:p w14:paraId="48F3CE28"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w:t>
            </w:r>
            <w:r w:rsidR="00A9111C" w:rsidRPr="00F85178">
              <w:rPr>
                <w:rFonts w:eastAsia="Times New Roman"/>
                <w:szCs w:val="24"/>
                <w:lang w:eastAsia="cs-CZ"/>
              </w:rPr>
              <w:t xml:space="preserve"> </w:t>
            </w:r>
            <w:r w:rsidRPr="00F85178">
              <w:rPr>
                <w:rFonts w:eastAsia="Times New Roman"/>
                <w:szCs w:val="24"/>
                <w:lang w:eastAsia="cs-CZ"/>
              </w:rPr>
              <w:t>157</w:t>
            </w:r>
          </w:p>
        </w:tc>
        <w:tc>
          <w:tcPr>
            <w:tcW w:w="809" w:type="dxa"/>
            <w:tcBorders>
              <w:top w:val="nil"/>
              <w:left w:val="nil"/>
              <w:bottom w:val="single" w:sz="4" w:space="0" w:color="auto"/>
              <w:right w:val="single" w:sz="4" w:space="0" w:color="auto"/>
            </w:tcBorders>
            <w:shd w:val="clear" w:color="auto" w:fill="auto"/>
            <w:noWrap/>
            <w:vAlign w:val="center"/>
            <w:hideMark/>
          </w:tcPr>
          <w:p w14:paraId="4C38A77A" w14:textId="7F89B3E4"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+31 %</w:t>
            </w:r>
          </w:p>
        </w:tc>
        <w:tc>
          <w:tcPr>
            <w:tcW w:w="1048" w:type="dxa"/>
            <w:tcBorders>
              <w:top w:val="nil"/>
              <w:left w:val="nil"/>
              <w:bottom w:val="single" w:sz="4" w:space="0" w:color="auto"/>
              <w:right w:val="nil"/>
            </w:tcBorders>
            <w:shd w:val="clear" w:color="auto" w:fill="auto"/>
            <w:noWrap/>
            <w:vAlign w:val="bottom"/>
            <w:hideMark/>
          </w:tcPr>
          <w:p w14:paraId="347DD015"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150</w:t>
            </w:r>
          </w:p>
        </w:tc>
        <w:tc>
          <w:tcPr>
            <w:tcW w:w="850" w:type="dxa"/>
            <w:tcBorders>
              <w:top w:val="nil"/>
              <w:left w:val="nil"/>
              <w:bottom w:val="single" w:sz="4" w:space="0" w:color="auto"/>
              <w:right w:val="single" w:sz="4" w:space="0" w:color="auto"/>
            </w:tcBorders>
            <w:shd w:val="clear" w:color="auto" w:fill="auto"/>
            <w:noWrap/>
            <w:vAlign w:val="center"/>
            <w:hideMark/>
          </w:tcPr>
          <w:p w14:paraId="59A48A85" w14:textId="60C71DE0"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959" w:type="dxa"/>
            <w:tcBorders>
              <w:top w:val="nil"/>
              <w:left w:val="nil"/>
              <w:bottom w:val="single" w:sz="4" w:space="0" w:color="auto"/>
              <w:right w:val="nil"/>
            </w:tcBorders>
            <w:shd w:val="clear" w:color="auto" w:fill="auto"/>
            <w:noWrap/>
            <w:vAlign w:val="bottom"/>
            <w:hideMark/>
          </w:tcPr>
          <w:p w14:paraId="186308CE"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13</w:t>
            </w:r>
            <w:r w:rsidR="00A9111C" w:rsidRPr="00F85178">
              <w:rPr>
                <w:rFonts w:eastAsia="Times New Roman"/>
                <w:szCs w:val="24"/>
                <w:lang w:eastAsia="cs-CZ"/>
              </w:rPr>
              <w:t xml:space="preserve"> </w:t>
            </w:r>
            <w:r w:rsidRPr="00F85178">
              <w:rPr>
                <w:rFonts w:eastAsia="Times New Roman"/>
                <w:szCs w:val="24"/>
                <w:lang w:eastAsia="cs-CZ"/>
              </w:rPr>
              <w:t>911</w:t>
            </w:r>
          </w:p>
        </w:tc>
        <w:tc>
          <w:tcPr>
            <w:tcW w:w="765" w:type="dxa"/>
            <w:tcBorders>
              <w:top w:val="nil"/>
              <w:left w:val="nil"/>
              <w:bottom w:val="single" w:sz="4" w:space="0" w:color="auto"/>
            </w:tcBorders>
            <w:shd w:val="clear" w:color="auto" w:fill="auto"/>
            <w:noWrap/>
            <w:vAlign w:val="center"/>
            <w:hideMark/>
          </w:tcPr>
          <w:p w14:paraId="2A557D4F" w14:textId="51D1F184"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BB5E8E" w:rsidRPr="00F85178" w14:paraId="0C83259C" w14:textId="77777777" w:rsidTr="00A51808">
        <w:trPr>
          <w:trHeight w:val="315"/>
        </w:trPr>
        <w:tc>
          <w:tcPr>
            <w:tcW w:w="1980" w:type="dxa"/>
            <w:tcBorders>
              <w:top w:val="nil"/>
              <w:left w:val="nil"/>
              <w:bottom w:val="single" w:sz="4" w:space="0" w:color="auto"/>
              <w:right w:val="nil"/>
            </w:tcBorders>
            <w:shd w:val="clear" w:color="auto" w:fill="auto"/>
            <w:noWrap/>
            <w:vAlign w:val="bottom"/>
            <w:hideMark/>
          </w:tcPr>
          <w:p w14:paraId="3AEF3150"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Brno</w:t>
            </w:r>
          </w:p>
        </w:tc>
        <w:tc>
          <w:tcPr>
            <w:tcW w:w="1067" w:type="dxa"/>
            <w:tcBorders>
              <w:top w:val="nil"/>
              <w:left w:val="nil"/>
              <w:bottom w:val="single" w:sz="4" w:space="0" w:color="auto"/>
              <w:right w:val="nil"/>
            </w:tcBorders>
            <w:shd w:val="clear" w:color="auto" w:fill="auto"/>
            <w:noWrap/>
            <w:vAlign w:val="bottom"/>
            <w:hideMark/>
          </w:tcPr>
          <w:p w14:paraId="0543A747"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3</w:t>
            </w:r>
            <w:r w:rsidR="00A9111C" w:rsidRPr="00F85178">
              <w:rPr>
                <w:rFonts w:eastAsia="Times New Roman"/>
                <w:szCs w:val="24"/>
                <w:lang w:eastAsia="cs-CZ"/>
              </w:rPr>
              <w:t xml:space="preserve"> </w:t>
            </w:r>
            <w:r w:rsidRPr="00F85178">
              <w:rPr>
                <w:rFonts w:eastAsia="Times New Roman"/>
                <w:szCs w:val="24"/>
                <w:lang w:eastAsia="cs-CZ"/>
              </w:rPr>
              <w:t>533</w:t>
            </w:r>
          </w:p>
        </w:tc>
        <w:tc>
          <w:tcPr>
            <w:tcW w:w="707" w:type="dxa"/>
            <w:tcBorders>
              <w:top w:val="nil"/>
              <w:left w:val="nil"/>
              <w:bottom w:val="single" w:sz="4" w:space="0" w:color="auto"/>
              <w:right w:val="nil"/>
            </w:tcBorders>
            <w:shd w:val="clear" w:color="auto" w:fill="auto"/>
            <w:noWrap/>
            <w:vAlign w:val="center"/>
            <w:hideMark/>
          </w:tcPr>
          <w:p w14:paraId="0F7500C6" w14:textId="7E2B384E"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-17 %</w:t>
            </w:r>
          </w:p>
        </w:tc>
        <w:tc>
          <w:tcPr>
            <w:tcW w:w="980" w:type="dxa"/>
            <w:tcBorders>
              <w:top w:val="nil"/>
              <w:left w:val="single" w:sz="4" w:space="0" w:color="auto"/>
              <w:bottom w:val="single" w:sz="4" w:space="0" w:color="auto"/>
              <w:right w:val="nil"/>
            </w:tcBorders>
            <w:shd w:val="clear" w:color="auto" w:fill="auto"/>
            <w:noWrap/>
            <w:vAlign w:val="bottom"/>
            <w:hideMark/>
          </w:tcPr>
          <w:p w14:paraId="16AB6554"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w:t>
            </w:r>
            <w:r w:rsidR="00A9111C" w:rsidRPr="00F85178">
              <w:rPr>
                <w:rFonts w:eastAsia="Times New Roman"/>
                <w:szCs w:val="24"/>
                <w:lang w:eastAsia="cs-CZ"/>
              </w:rPr>
              <w:t xml:space="preserve"> </w:t>
            </w:r>
            <w:r w:rsidRPr="00F85178">
              <w:rPr>
                <w:rFonts w:eastAsia="Times New Roman"/>
                <w:szCs w:val="24"/>
                <w:lang w:eastAsia="cs-CZ"/>
              </w:rPr>
              <w:t>196</w:t>
            </w:r>
          </w:p>
        </w:tc>
        <w:tc>
          <w:tcPr>
            <w:tcW w:w="809" w:type="dxa"/>
            <w:tcBorders>
              <w:top w:val="nil"/>
              <w:left w:val="nil"/>
              <w:bottom w:val="single" w:sz="4" w:space="0" w:color="auto"/>
              <w:right w:val="single" w:sz="4" w:space="0" w:color="auto"/>
            </w:tcBorders>
            <w:shd w:val="clear" w:color="auto" w:fill="auto"/>
            <w:noWrap/>
            <w:vAlign w:val="center"/>
            <w:hideMark/>
          </w:tcPr>
          <w:p w14:paraId="485B003C" w14:textId="5B1C02FE"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48" w:type="dxa"/>
            <w:tcBorders>
              <w:top w:val="nil"/>
              <w:left w:val="nil"/>
              <w:bottom w:val="single" w:sz="4" w:space="0" w:color="auto"/>
              <w:right w:val="nil"/>
            </w:tcBorders>
            <w:shd w:val="clear" w:color="auto" w:fill="auto"/>
            <w:noWrap/>
            <w:vAlign w:val="bottom"/>
            <w:hideMark/>
          </w:tcPr>
          <w:p w14:paraId="6624EAE4"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416</w:t>
            </w:r>
          </w:p>
        </w:tc>
        <w:tc>
          <w:tcPr>
            <w:tcW w:w="850" w:type="dxa"/>
            <w:tcBorders>
              <w:top w:val="nil"/>
              <w:left w:val="nil"/>
              <w:bottom w:val="single" w:sz="4" w:space="0" w:color="auto"/>
              <w:right w:val="single" w:sz="4" w:space="0" w:color="auto"/>
            </w:tcBorders>
            <w:shd w:val="clear" w:color="auto" w:fill="auto"/>
            <w:noWrap/>
            <w:vAlign w:val="center"/>
            <w:hideMark/>
          </w:tcPr>
          <w:p w14:paraId="315418A7" w14:textId="5CABB173"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-26 %</w:t>
            </w:r>
          </w:p>
        </w:tc>
        <w:tc>
          <w:tcPr>
            <w:tcW w:w="959" w:type="dxa"/>
            <w:tcBorders>
              <w:top w:val="nil"/>
              <w:left w:val="nil"/>
              <w:bottom w:val="single" w:sz="4" w:space="0" w:color="auto"/>
              <w:right w:val="nil"/>
            </w:tcBorders>
            <w:shd w:val="clear" w:color="auto" w:fill="auto"/>
            <w:noWrap/>
            <w:vAlign w:val="bottom"/>
            <w:hideMark/>
          </w:tcPr>
          <w:p w14:paraId="024280C2"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16</w:t>
            </w:r>
            <w:r w:rsidR="00A9111C" w:rsidRPr="00F85178">
              <w:rPr>
                <w:rFonts w:eastAsia="Times New Roman"/>
                <w:szCs w:val="24"/>
                <w:lang w:eastAsia="cs-CZ"/>
              </w:rPr>
              <w:t xml:space="preserve"> </w:t>
            </w:r>
            <w:r w:rsidRPr="00F85178">
              <w:rPr>
                <w:rFonts w:eastAsia="Times New Roman"/>
                <w:szCs w:val="24"/>
                <w:lang w:eastAsia="cs-CZ"/>
              </w:rPr>
              <w:t>155</w:t>
            </w:r>
          </w:p>
        </w:tc>
        <w:tc>
          <w:tcPr>
            <w:tcW w:w="765" w:type="dxa"/>
            <w:tcBorders>
              <w:top w:val="nil"/>
              <w:left w:val="nil"/>
              <w:bottom w:val="single" w:sz="4" w:space="0" w:color="auto"/>
            </w:tcBorders>
            <w:shd w:val="clear" w:color="auto" w:fill="auto"/>
            <w:noWrap/>
            <w:vAlign w:val="center"/>
            <w:hideMark/>
          </w:tcPr>
          <w:p w14:paraId="4C524DE5" w14:textId="41C36730"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BB5E8E" w:rsidRPr="00F85178" w14:paraId="4E2D2D59" w14:textId="77777777" w:rsidTr="00A51808">
        <w:trPr>
          <w:trHeight w:val="330"/>
        </w:trPr>
        <w:tc>
          <w:tcPr>
            <w:tcW w:w="1980" w:type="dxa"/>
            <w:tcBorders>
              <w:top w:val="nil"/>
              <w:left w:val="nil"/>
              <w:bottom w:val="double" w:sz="6" w:space="0" w:color="auto"/>
              <w:right w:val="nil"/>
            </w:tcBorders>
            <w:shd w:val="clear" w:color="auto" w:fill="auto"/>
            <w:noWrap/>
            <w:vAlign w:val="bottom"/>
            <w:hideMark/>
          </w:tcPr>
          <w:p w14:paraId="1E468CDE" w14:textId="77777777" w:rsidR="00412CE3" w:rsidRPr="00F85178" w:rsidRDefault="00412CE3" w:rsidP="00412CE3">
            <w:pPr>
              <w:spacing w:line="240" w:lineRule="auto"/>
              <w:jc w:val="left"/>
              <w:rPr>
                <w:rFonts w:eastAsia="Times New Roman"/>
                <w:szCs w:val="24"/>
                <w:lang w:eastAsia="cs-CZ"/>
              </w:rPr>
            </w:pPr>
            <w:r w:rsidRPr="00F85178">
              <w:rPr>
                <w:rFonts w:eastAsia="Times New Roman"/>
                <w:szCs w:val="24"/>
                <w:lang w:eastAsia="cs-CZ"/>
              </w:rPr>
              <w:t>KS Ostrava</w:t>
            </w:r>
          </w:p>
        </w:tc>
        <w:tc>
          <w:tcPr>
            <w:tcW w:w="1067" w:type="dxa"/>
            <w:tcBorders>
              <w:top w:val="nil"/>
              <w:left w:val="nil"/>
              <w:bottom w:val="double" w:sz="6" w:space="0" w:color="auto"/>
              <w:right w:val="nil"/>
            </w:tcBorders>
            <w:shd w:val="clear" w:color="auto" w:fill="auto"/>
            <w:noWrap/>
            <w:vAlign w:val="bottom"/>
            <w:hideMark/>
          </w:tcPr>
          <w:p w14:paraId="1396E729"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w:t>
            </w:r>
            <w:r w:rsidR="00A9111C" w:rsidRPr="00F85178">
              <w:rPr>
                <w:rFonts w:eastAsia="Times New Roman"/>
                <w:szCs w:val="24"/>
                <w:lang w:eastAsia="cs-CZ"/>
              </w:rPr>
              <w:t xml:space="preserve"> </w:t>
            </w:r>
            <w:r w:rsidRPr="00F85178">
              <w:rPr>
                <w:rFonts w:eastAsia="Times New Roman"/>
                <w:szCs w:val="24"/>
                <w:lang w:eastAsia="cs-CZ"/>
              </w:rPr>
              <w:t>023</w:t>
            </w:r>
          </w:p>
        </w:tc>
        <w:tc>
          <w:tcPr>
            <w:tcW w:w="707" w:type="dxa"/>
            <w:tcBorders>
              <w:top w:val="nil"/>
              <w:left w:val="nil"/>
              <w:bottom w:val="double" w:sz="6" w:space="0" w:color="auto"/>
              <w:right w:val="nil"/>
            </w:tcBorders>
            <w:shd w:val="clear" w:color="auto" w:fill="auto"/>
            <w:noWrap/>
            <w:vAlign w:val="center"/>
            <w:hideMark/>
          </w:tcPr>
          <w:p w14:paraId="1F2EC073" w14:textId="005A7130"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80" w:type="dxa"/>
            <w:tcBorders>
              <w:top w:val="nil"/>
              <w:left w:val="single" w:sz="4" w:space="0" w:color="auto"/>
              <w:bottom w:val="double" w:sz="6" w:space="0" w:color="auto"/>
              <w:right w:val="nil"/>
            </w:tcBorders>
            <w:shd w:val="clear" w:color="auto" w:fill="auto"/>
            <w:noWrap/>
            <w:vAlign w:val="bottom"/>
            <w:hideMark/>
          </w:tcPr>
          <w:p w14:paraId="5F99CA3A"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w:t>
            </w:r>
            <w:r w:rsidR="00A9111C" w:rsidRPr="00F85178">
              <w:rPr>
                <w:rFonts w:eastAsia="Times New Roman"/>
                <w:szCs w:val="24"/>
                <w:lang w:eastAsia="cs-CZ"/>
              </w:rPr>
              <w:t xml:space="preserve"> </w:t>
            </w:r>
            <w:r w:rsidRPr="00F85178">
              <w:rPr>
                <w:rFonts w:eastAsia="Times New Roman"/>
                <w:szCs w:val="24"/>
                <w:lang w:eastAsia="cs-CZ"/>
              </w:rPr>
              <w:t>687</w:t>
            </w:r>
          </w:p>
        </w:tc>
        <w:tc>
          <w:tcPr>
            <w:tcW w:w="809" w:type="dxa"/>
            <w:tcBorders>
              <w:top w:val="nil"/>
              <w:left w:val="nil"/>
              <w:bottom w:val="double" w:sz="6" w:space="0" w:color="auto"/>
              <w:right w:val="single" w:sz="4" w:space="0" w:color="auto"/>
            </w:tcBorders>
            <w:shd w:val="clear" w:color="auto" w:fill="auto"/>
            <w:noWrap/>
            <w:vAlign w:val="center"/>
            <w:hideMark/>
          </w:tcPr>
          <w:p w14:paraId="29EFF3BB" w14:textId="28B4DC43"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048" w:type="dxa"/>
            <w:tcBorders>
              <w:top w:val="nil"/>
              <w:left w:val="nil"/>
              <w:bottom w:val="double" w:sz="6" w:space="0" w:color="auto"/>
              <w:right w:val="nil"/>
            </w:tcBorders>
            <w:shd w:val="clear" w:color="auto" w:fill="auto"/>
            <w:noWrap/>
            <w:vAlign w:val="bottom"/>
            <w:hideMark/>
          </w:tcPr>
          <w:p w14:paraId="75660C8B"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462</w:t>
            </w:r>
          </w:p>
        </w:tc>
        <w:tc>
          <w:tcPr>
            <w:tcW w:w="850" w:type="dxa"/>
            <w:tcBorders>
              <w:top w:val="nil"/>
              <w:left w:val="nil"/>
              <w:bottom w:val="double" w:sz="6" w:space="0" w:color="auto"/>
              <w:right w:val="single" w:sz="4" w:space="0" w:color="auto"/>
            </w:tcBorders>
            <w:shd w:val="clear" w:color="auto" w:fill="auto"/>
            <w:noWrap/>
            <w:vAlign w:val="center"/>
            <w:hideMark/>
          </w:tcPr>
          <w:p w14:paraId="66FC38DD" w14:textId="3D72B50F"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959" w:type="dxa"/>
            <w:tcBorders>
              <w:top w:val="nil"/>
              <w:left w:val="nil"/>
              <w:bottom w:val="double" w:sz="6" w:space="0" w:color="auto"/>
              <w:right w:val="nil"/>
            </w:tcBorders>
            <w:shd w:val="clear" w:color="auto" w:fill="auto"/>
            <w:noWrap/>
            <w:vAlign w:val="bottom"/>
            <w:hideMark/>
          </w:tcPr>
          <w:p w14:paraId="751E669A" w14:textId="77777777" w:rsidR="00412CE3" w:rsidRPr="00F85178" w:rsidRDefault="00412CE3" w:rsidP="00412CE3">
            <w:pPr>
              <w:spacing w:line="240" w:lineRule="auto"/>
              <w:jc w:val="center"/>
              <w:rPr>
                <w:rFonts w:eastAsia="Times New Roman"/>
                <w:szCs w:val="24"/>
                <w:lang w:eastAsia="cs-CZ"/>
              </w:rPr>
            </w:pPr>
            <w:r w:rsidRPr="00F85178">
              <w:rPr>
                <w:rFonts w:eastAsia="Times New Roman"/>
                <w:szCs w:val="24"/>
                <w:lang w:eastAsia="cs-CZ"/>
              </w:rPr>
              <w:t>21</w:t>
            </w:r>
            <w:r w:rsidR="00A9111C" w:rsidRPr="00F85178">
              <w:rPr>
                <w:rFonts w:eastAsia="Times New Roman"/>
                <w:szCs w:val="24"/>
                <w:lang w:eastAsia="cs-CZ"/>
              </w:rPr>
              <w:t xml:space="preserve"> </w:t>
            </w:r>
            <w:r w:rsidRPr="00F85178">
              <w:rPr>
                <w:rFonts w:eastAsia="Times New Roman"/>
                <w:szCs w:val="24"/>
                <w:lang w:eastAsia="cs-CZ"/>
              </w:rPr>
              <w:t>055</w:t>
            </w:r>
          </w:p>
        </w:tc>
        <w:tc>
          <w:tcPr>
            <w:tcW w:w="765" w:type="dxa"/>
            <w:tcBorders>
              <w:top w:val="nil"/>
              <w:left w:val="nil"/>
              <w:bottom w:val="double" w:sz="6" w:space="0" w:color="auto"/>
            </w:tcBorders>
            <w:shd w:val="clear" w:color="auto" w:fill="auto"/>
            <w:noWrap/>
            <w:vAlign w:val="center"/>
            <w:hideMark/>
          </w:tcPr>
          <w:p w14:paraId="2A530680" w14:textId="7498C395" w:rsidR="00412CE3" w:rsidRPr="00F85178" w:rsidRDefault="00412CE3" w:rsidP="00412CE3">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BB5E8E" w:rsidRPr="00F85178" w14:paraId="2EA75EFB" w14:textId="77777777" w:rsidTr="00A51808">
        <w:trPr>
          <w:trHeight w:val="345"/>
        </w:trPr>
        <w:tc>
          <w:tcPr>
            <w:tcW w:w="1980" w:type="dxa"/>
            <w:tcBorders>
              <w:top w:val="nil"/>
              <w:left w:val="nil"/>
              <w:bottom w:val="double" w:sz="6" w:space="0" w:color="auto"/>
              <w:right w:val="nil"/>
            </w:tcBorders>
            <w:shd w:val="clear" w:color="auto" w:fill="auto"/>
            <w:noWrap/>
            <w:vAlign w:val="bottom"/>
            <w:hideMark/>
          </w:tcPr>
          <w:p w14:paraId="363188CC" w14:textId="77777777" w:rsidR="00412CE3" w:rsidRPr="00F85178" w:rsidRDefault="00412CE3" w:rsidP="00412CE3">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67" w:type="dxa"/>
            <w:tcBorders>
              <w:top w:val="nil"/>
              <w:left w:val="nil"/>
              <w:bottom w:val="double" w:sz="6" w:space="0" w:color="auto"/>
              <w:right w:val="nil"/>
            </w:tcBorders>
            <w:shd w:val="clear" w:color="auto" w:fill="auto"/>
            <w:noWrap/>
            <w:vAlign w:val="bottom"/>
            <w:hideMark/>
          </w:tcPr>
          <w:p w14:paraId="2559CF4E"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21</w:t>
            </w:r>
            <w:r w:rsidR="00A9111C" w:rsidRPr="00F85178">
              <w:rPr>
                <w:rFonts w:eastAsia="Times New Roman"/>
                <w:b/>
                <w:bCs/>
                <w:szCs w:val="24"/>
                <w:lang w:eastAsia="cs-CZ"/>
              </w:rPr>
              <w:t xml:space="preserve"> </w:t>
            </w:r>
            <w:r w:rsidRPr="00F85178">
              <w:rPr>
                <w:rFonts w:eastAsia="Times New Roman"/>
                <w:b/>
                <w:bCs/>
                <w:szCs w:val="24"/>
                <w:lang w:eastAsia="cs-CZ"/>
              </w:rPr>
              <w:t>216</w:t>
            </w:r>
          </w:p>
        </w:tc>
        <w:tc>
          <w:tcPr>
            <w:tcW w:w="707" w:type="dxa"/>
            <w:tcBorders>
              <w:top w:val="nil"/>
              <w:left w:val="nil"/>
              <w:bottom w:val="double" w:sz="6" w:space="0" w:color="auto"/>
              <w:right w:val="nil"/>
            </w:tcBorders>
            <w:shd w:val="clear" w:color="auto" w:fill="auto"/>
            <w:noWrap/>
            <w:vAlign w:val="center"/>
            <w:hideMark/>
          </w:tcPr>
          <w:p w14:paraId="0172AAF9" w14:textId="239421BE" w:rsidR="00412CE3" w:rsidRPr="00F85178" w:rsidRDefault="00412CE3" w:rsidP="00412CE3">
            <w:pPr>
              <w:spacing w:line="240" w:lineRule="auto"/>
              <w:jc w:val="center"/>
              <w:rPr>
                <w:rFonts w:eastAsia="Times New Roman"/>
                <w:b/>
                <w:bCs/>
                <w:sz w:val="20"/>
                <w:szCs w:val="20"/>
                <w:lang w:eastAsia="cs-CZ"/>
              </w:rPr>
            </w:pPr>
            <w:r w:rsidRPr="00F85178">
              <w:rPr>
                <w:rFonts w:eastAsia="Times New Roman"/>
                <w:b/>
                <w:bCs/>
                <w:sz w:val="20"/>
                <w:szCs w:val="20"/>
                <w:lang w:eastAsia="cs-CZ"/>
              </w:rPr>
              <w:t>-10 %</w:t>
            </w:r>
          </w:p>
        </w:tc>
        <w:tc>
          <w:tcPr>
            <w:tcW w:w="980" w:type="dxa"/>
            <w:tcBorders>
              <w:top w:val="nil"/>
              <w:left w:val="single" w:sz="4" w:space="0" w:color="auto"/>
              <w:bottom w:val="double" w:sz="6" w:space="0" w:color="auto"/>
              <w:right w:val="nil"/>
            </w:tcBorders>
            <w:shd w:val="clear" w:color="auto" w:fill="auto"/>
            <w:noWrap/>
            <w:vAlign w:val="bottom"/>
            <w:hideMark/>
          </w:tcPr>
          <w:p w14:paraId="2715B873"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28</w:t>
            </w:r>
            <w:r w:rsidR="00A9111C" w:rsidRPr="00F85178">
              <w:rPr>
                <w:rFonts w:eastAsia="Times New Roman"/>
                <w:b/>
                <w:bCs/>
                <w:szCs w:val="24"/>
                <w:lang w:eastAsia="cs-CZ"/>
              </w:rPr>
              <w:t xml:space="preserve"> </w:t>
            </w:r>
            <w:r w:rsidRPr="00F85178">
              <w:rPr>
                <w:rFonts w:eastAsia="Times New Roman"/>
                <w:b/>
                <w:bCs/>
                <w:szCs w:val="24"/>
                <w:lang w:eastAsia="cs-CZ"/>
              </w:rPr>
              <w:t>436</w:t>
            </w:r>
          </w:p>
        </w:tc>
        <w:tc>
          <w:tcPr>
            <w:tcW w:w="809" w:type="dxa"/>
            <w:tcBorders>
              <w:top w:val="nil"/>
              <w:left w:val="nil"/>
              <w:bottom w:val="double" w:sz="6" w:space="0" w:color="auto"/>
              <w:right w:val="single" w:sz="4" w:space="0" w:color="auto"/>
            </w:tcBorders>
            <w:shd w:val="clear" w:color="auto" w:fill="auto"/>
            <w:noWrap/>
            <w:vAlign w:val="center"/>
            <w:hideMark/>
          </w:tcPr>
          <w:p w14:paraId="0751CAC8" w14:textId="04DF3E2F" w:rsidR="00412CE3" w:rsidRPr="00F85178" w:rsidRDefault="00412CE3" w:rsidP="00412CE3">
            <w:pPr>
              <w:spacing w:line="240" w:lineRule="auto"/>
              <w:jc w:val="center"/>
              <w:rPr>
                <w:rFonts w:eastAsia="Times New Roman"/>
                <w:b/>
                <w:bCs/>
                <w:sz w:val="20"/>
                <w:szCs w:val="20"/>
                <w:lang w:eastAsia="cs-CZ"/>
              </w:rPr>
            </w:pPr>
            <w:r w:rsidRPr="00F85178">
              <w:rPr>
                <w:rFonts w:eastAsia="Times New Roman"/>
                <w:b/>
                <w:bCs/>
                <w:sz w:val="20"/>
                <w:szCs w:val="20"/>
                <w:lang w:eastAsia="cs-CZ"/>
              </w:rPr>
              <w:t>+10 %</w:t>
            </w:r>
          </w:p>
        </w:tc>
        <w:tc>
          <w:tcPr>
            <w:tcW w:w="1048" w:type="dxa"/>
            <w:tcBorders>
              <w:top w:val="nil"/>
              <w:left w:val="nil"/>
              <w:bottom w:val="double" w:sz="6" w:space="0" w:color="auto"/>
              <w:right w:val="nil"/>
            </w:tcBorders>
            <w:shd w:val="clear" w:color="auto" w:fill="auto"/>
            <w:noWrap/>
            <w:vAlign w:val="bottom"/>
            <w:hideMark/>
          </w:tcPr>
          <w:p w14:paraId="67DCFFB5"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2</w:t>
            </w:r>
            <w:r w:rsidR="00A9111C" w:rsidRPr="00F85178">
              <w:rPr>
                <w:rFonts w:eastAsia="Times New Roman"/>
                <w:b/>
                <w:bCs/>
                <w:szCs w:val="24"/>
                <w:lang w:eastAsia="cs-CZ"/>
              </w:rPr>
              <w:t xml:space="preserve"> </w:t>
            </w:r>
            <w:r w:rsidRPr="00F85178">
              <w:rPr>
                <w:rFonts w:eastAsia="Times New Roman"/>
                <w:b/>
                <w:bCs/>
                <w:szCs w:val="24"/>
                <w:lang w:eastAsia="cs-CZ"/>
              </w:rPr>
              <w:t>378</w:t>
            </w:r>
          </w:p>
        </w:tc>
        <w:tc>
          <w:tcPr>
            <w:tcW w:w="850" w:type="dxa"/>
            <w:tcBorders>
              <w:top w:val="nil"/>
              <w:left w:val="nil"/>
              <w:bottom w:val="double" w:sz="6" w:space="0" w:color="auto"/>
              <w:right w:val="single" w:sz="4" w:space="0" w:color="auto"/>
            </w:tcBorders>
            <w:shd w:val="clear" w:color="auto" w:fill="auto"/>
            <w:noWrap/>
            <w:vAlign w:val="center"/>
            <w:hideMark/>
          </w:tcPr>
          <w:p w14:paraId="244AA8EC" w14:textId="0361417B" w:rsidR="00412CE3" w:rsidRPr="00F85178" w:rsidRDefault="00412CE3" w:rsidP="00412CE3">
            <w:pPr>
              <w:spacing w:line="240" w:lineRule="auto"/>
              <w:jc w:val="center"/>
              <w:rPr>
                <w:rFonts w:eastAsia="Times New Roman"/>
                <w:b/>
                <w:bCs/>
                <w:sz w:val="20"/>
                <w:szCs w:val="20"/>
                <w:lang w:eastAsia="cs-CZ"/>
              </w:rPr>
            </w:pPr>
            <w:r w:rsidRPr="00F85178">
              <w:rPr>
                <w:rFonts w:eastAsia="Times New Roman"/>
                <w:b/>
                <w:bCs/>
                <w:sz w:val="20"/>
                <w:szCs w:val="20"/>
                <w:lang w:eastAsia="cs-CZ"/>
              </w:rPr>
              <w:t>-12 %</w:t>
            </w:r>
          </w:p>
        </w:tc>
        <w:tc>
          <w:tcPr>
            <w:tcW w:w="959" w:type="dxa"/>
            <w:tcBorders>
              <w:top w:val="nil"/>
              <w:left w:val="nil"/>
              <w:bottom w:val="double" w:sz="6" w:space="0" w:color="auto"/>
              <w:right w:val="nil"/>
            </w:tcBorders>
            <w:shd w:val="clear" w:color="auto" w:fill="auto"/>
            <w:noWrap/>
            <w:vAlign w:val="bottom"/>
            <w:hideMark/>
          </w:tcPr>
          <w:p w14:paraId="5F3F1F94" w14:textId="77777777" w:rsidR="00412CE3" w:rsidRPr="00F85178" w:rsidRDefault="00412CE3" w:rsidP="00412CE3">
            <w:pPr>
              <w:spacing w:line="240" w:lineRule="auto"/>
              <w:jc w:val="center"/>
              <w:rPr>
                <w:rFonts w:eastAsia="Times New Roman"/>
                <w:b/>
                <w:bCs/>
                <w:szCs w:val="24"/>
                <w:lang w:eastAsia="cs-CZ"/>
              </w:rPr>
            </w:pPr>
            <w:r w:rsidRPr="00F85178">
              <w:rPr>
                <w:rFonts w:eastAsia="Times New Roman"/>
                <w:b/>
                <w:bCs/>
                <w:szCs w:val="24"/>
                <w:lang w:eastAsia="cs-CZ"/>
              </w:rPr>
              <w:t>108</w:t>
            </w:r>
            <w:r w:rsidR="00A9111C" w:rsidRPr="00F85178">
              <w:rPr>
                <w:rFonts w:eastAsia="Times New Roman"/>
                <w:b/>
                <w:bCs/>
                <w:szCs w:val="24"/>
                <w:lang w:eastAsia="cs-CZ"/>
              </w:rPr>
              <w:t xml:space="preserve"> </w:t>
            </w:r>
            <w:r w:rsidRPr="00F85178">
              <w:rPr>
                <w:rFonts w:eastAsia="Times New Roman"/>
                <w:b/>
                <w:bCs/>
                <w:szCs w:val="24"/>
                <w:lang w:eastAsia="cs-CZ"/>
              </w:rPr>
              <w:t>163</w:t>
            </w:r>
          </w:p>
        </w:tc>
        <w:tc>
          <w:tcPr>
            <w:tcW w:w="765" w:type="dxa"/>
            <w:tcBorders>
              <w:top w:val="nil"/>
              <w:left w:val="nil"/>
              <w:bottom w:val="double" w:sz="6" w:space="0" w:color="auto"/>
            </w:tcBorders>
            <w:shd w:val="clear" w:color="auto" w:fill="auto"/>
            <w:noWrap/>
            <w:vAlign w:val="center"/>
            <w:hideMark/>
          </w:tcPr>
          <w:p w14:paraId="13AB534D" w14:textId="4519CC32" w:rsidR="00412CE3" w:rsidRPr="00F85178" w:rsidRDefault="00412CE3" w:rsidP="00412CE3">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r>
    </w:tbl>
    <w:p w14:paraId="65F38AE3" w14:textId="77777777" w:rsidR="00412CE3" w:rsidRPr="00F85178" w:rsidRDefault="00412CE3" w:rsidP="00145840">
      <w:pPr>
        <w:pStyle w:val="OdstavecASR"/>
      </w:pPr>
    </w:p>
    <w:p w14:paraId="4B242026" w14:textId="77777777" w:rsidR="009E1285" w:rsidRPr="00F85178" w:rsidRDefault="009E1285" w:rsidP="009E1285">
      <w:pPr>
        <w:pStyle w:val="OdstavecASR"/>
      </w:pPr>
      <w:r w:rsidRPr="00F85178">
        <w:t>Počet napadlých věcí v prvních letech logicky stoupal, protože se jednalo o novou agendu. Změnu trendu v roce 2013 můžeme připsat jednak změnám v ekonomické situaci v ČR, zejména ale tomu, že zásoba osob, které se před rokem 2008 dostaly do úpadkové situace a mohou ji řešit oddlužením, se vyčerpala a nově tedy již jde jen o navrhovatele, kteří skutečně dospěli do úpadku v daném roce. Časová řada počtu nevyřízených věcí před rozhodnutím o úpadku má podobný průběh, což je vzhledem k rychlosti vyřizování insolvenčních návrhů logické. Počet vyřízených věcí roste, protože celé insolvenční řízení trvá několik let. V současnosti se tedy ve vyřízených věcech odráží rostoucí nápad z let 2010 až 2013. Počet nevyřízených věcí po rozhodnutí o úpadku z podobných důvodů rostl až do roku 2016. Druhá fáze insolvenčního řízení totiž trvá relativně dlouho a nevyřízené věci po rozhodnutí o úpadku se tak postupně kumulovaly, což je efekt, který trval asi pět let. V roce 2017 se proto počet nevyřízených věcí po úpadku stabilizoval. Již zde „vyprchal“ efekt rostoucího nápadu do roku 2013.</w:t>
      </w:r>
      <w:r w:rsidR="005E535A" w:rsidRPr="00F85178">
        <w:t xml:space="preserve"> A v roce 2018 začal klesat, a to u všech soudů s výjimkou MS Praha.</w:t>
      </w:r>
      <w:r w:rsidR="008E360E" w:rsidRPr="00F85178">
        <w:t xml:space="preserve"> </w:t>
      </w:r>
      <w:r w:rsidRPr="00F85178">
        <w:t>Vzhledem k novelám insolvenčního zákona je složitější odhadnout vývoj této proměnné v dalších letech. Novela účinná od 1. 7. 2017 mimo jiné zpřísnila podmínky pro podání insolvenčního návrhu u fyzických osob. Měsíční data za rok 2017 a 2018 ukazují, že to vedlo k velkému růstu nápadu před účinností novely, tedy v červnu 2017. Poté došlo k prudkému poklesu v nápadu. V součtu se tento efekt později projeví dalším snížením v počtu nevyřízených věcí po rozhodnutí o úpadku. V následujících měsících nápad opět postupně rostl a přibližoval se tak hodnotám před červnem 2017. Měsíční nápad je ale stále v průměru nižší, než byl před novelou.</w:t>
      </w:r>
      <w:r w:rsidR="005E535A" w:rsidRPr="00F85178">
        <w:t xml:space="preserve"> Další novela insolvenční zákona je účinná od 1.</w:t>
      </w:r>
      <w:r w:rsidR="008E360E" w:rsidRPr="00F85178">
        <w:t xml:space="preserve"> </w:t>
      </w:r>
      <w:r w:rsidR="005E535A" w:rsidRPr="00F85178">
        <w:t>6.</w:t>
      </w:r>
      <w:r w:rsidR="008E360E" w:rsidRPr="00F85178">
        <w:t xml:space="preserve"> </w:t>
      </w:r>
      <w:r w:rsidR="005E535A" w:rsidRPr="00F85178">
        <w:t>2019. Je tedy třeba počkat na data, aby ukázala, jaký bude mít novela dopad.</w:t>
      </w:r>
    </w:p>
    <w:p w14:paraId="43F22B0B" w14:textId="77777777" w:rsidR="009E1285" w:rsidRPr="00F85178" w:rsidRDefault="009E1285" w:rsidP="009E1285">
      <w:pPr>
        <w:pStyle w:val="OdstavecASR"/>
      </w:pPr>
      <w:r w:rsidRPr="00F85178">
        <w:t>V tabulce vidíme, že počty nevyřízených věcí před rozhodnutím o úpadku jsou nízké, obzvlášť u KS České Budějovice a KS Hradec Králové. Počet nevyřízených věcí po rozhodnutí o úpadku vyplývá ze socioekonomické situace v krajích. Nejvíce jich je tedy v Severočeském a Severomoravském kraji, což plyne z větší počtu insolvencí řešených oddlužením.</w:t>
      </w:r>
    </w:p>
    <w:p w14:paraId="3C6A2BA6" w14:textId="77777777" w:rsidR="005D3C01" w:rsidRPr="00F85178" w:rsidRDefault="005D3C01" w:rsidP="005D3C01">
      <w:pPr>
        <w:pStyle w:val="Nadpis3"/>
        <w:rPr>
          <w:color w:val="auto"/>
        </w:rPr>
      </w:pPr>
      <w:bookmarkStart w:id="575" w:name="_Toc515871275"/>
      <w:bookmarkStart w:id="576" w:name="_Toc14076924"/>
      <w:r w:rsidRPr="00F85178">
        <w:rPr>
          <w:color w:val="auto"/>
        </w:rPr>
        <w:t>Vyřizování věcí v přepočtu na soudce</w:t>
      </w:r>
      <w:bookmarkEnd w:id="575"/>
      <w:bookmarkEnd w:id="576"/>
    </w:p>
    <w:p w14:paraId="5019534C" w14:textId="45AFB0B0" w:rsidR="009E1285" w:rsidRPr="00F85178" w:rsidRDefault="009E1285" w:rsidP="009E1285">
      <w:pPr>
        <w:pStyle w:val="OdstavecASR"/>
      </w:pPr>
      <w:r w:rsidRPr="00F85178">
        <w:t>Od roku 2018 má Ministerstvo spravedlnosti k dispozici statistická data o počtu soudců na insolvenčních úsecích soudů. U této agendy je tedy možné využít u vyřizování věcí přepočet na soudce. Data jsou k</w:t>
      </w:r>
      <w:r w:rsidR="00FC3518">
        <w:t> dispozici až od 1. února 2018.</w:t>
      </w:r>
    </w:p>
    <w:p w14:paraId="769D7C33" w14:textId="77777777" w:rsidR="005D3C01" w:rsidRPr="00F85178" w:rsidRDefault="005D3C01" w:rsidP="005D3C01">
      <w:pPr>
        <w:pStyle w:val="Podtitul"/>
        <w:rPr>
          <w:color w:val="auto"/>
        </w:rPr>
      </w:pPr>
      <w:bookmarkStart w:id="577" w:name="_Toc11133266"/>
      <w:bookmarkStart w:id="578" w:name="_Toc13837487"/>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64</w:t>
      </w:r>
      <w:r w:rsidRPr="00F85178">
        <w:rPr>
          <w:noProof/>
          <w:color w:val="auto"/>
        </w:rPr>
        <w:fldChar w:fldCharType="end"/>
      </w:r>
      <w:r w:rsidRPr="00F85178">
        <w:rPr>
          <w:color w:val="auto"/>
        </w:rPr>
        <w:t>: KS – vyřizování insolvenčních věcí na soudce dle soudů</w:t>
      </w:r>
      <w:bookmarkEnd w:id="577"/>
      <w:bookmarkEnd w:id="578"/>
    </w:p>
    <w:tbl>
      <w:tblPr>
        <w:tblW w:w="9292" w:type="dxa"/>
        <w:tblCellMar>
          <w:left w:w="70" w:type="dxa"/>
          <w:right w:w="70" w:type="dxa"/>
        </w:tblCellMar>
        <w:tblLook w:val="04A0" w:firstRow="1" w:lastRow="0" w:firstColumn="1" w:lastColumn="0" w:noHBand="0" w:noVBand="1"/>
      </w:tblPr>
      <w:tblGrid>
        <w:gridCol w:w="1980"/>
        <w:gridCol w:w="1067"/>
        <w:gridCol w:w="851"/>
        <w:gridCol w:w="992"/>
        <w:gridCol w:w="820"/>
        <w:gridCol w:w="1023"/>
        <w:gridCol w:w="717"/>
        <w:gridCol w:w="1125"/>
        <w:gridCol w:w="717"/>
      </w:tblGrid>
      <w:tr w:rsidR="00F85178" w:rsidRPr="00F85178" w14:paraId="620539FE" w14:textId="77777777" w:rsidTr="00F56F37">
        <w:trPr>
          <w:trHeight w:val="330"/>
        </w:trPr>
        <w:tc>
          <w:tcPr>
            <w:tcW w:w="1980" w:type="dxa"/>
            <w:vMerge w:val="restart"/>
            <w:tcBorders>
              <w:top w:val="double" w:sz="6" w:space="0" w:color="auto"/>
              <w:left w:val="nil"/>
              <w:bottom w:val="double" w:sz="6" w:space="0" w:color="000000"/>
              <w:right w:val="nil"/>
            </w:tcBorders>
            <w:shd w:val="clear" w:color="auto" w:fill="auto"/>
            <w:noWrap/>
            <w:vAlign w:val="center"/>
            <w:hideMark/>
          </w:tcPr>
          <w:p w14:paraId="12B29875" w14:textId="04D61D52" w:rsidR="00A8180B" w:rsidRPr="00F85178" w:rsidRDefault="00F2120F" w:rsidP="00A8180B">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7312" w:type="dxa"/>
            <w:gridSpan w:val="8"/>
            <w:tcBorders>
              <w:top w:val="double" w:sz="6" w:space="0" w:color="auto"/>
              <w:left w:val="nil"/>
              <w:bottom w:val="nil"/>
            </w:tcBorders>
            <w:shd w:val="clear" w:color="auto" w:fill="auto"/>
            <w:noWrap/>
            <w:vAlign w:val="center"/>
            <w:hideMark/>
          </w:tcPr>
          <w:p w14:paraId="688F7194" w14:textId="77777777" w:rsidR="00A8180B" w:rsidRPr="00F85178" w:rsidRDefault="00A8180B" w:rsidP="00A8180B">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01098876" w14:textId="77777777" w:rsidTr="00F56F37">
        <w:trPr>
          <w:trHeight w:val="960"/>
        </w:trPr>
        <w:tc>
          <w:tcPr>
            <w:tcW w:w="1980" w:type="dxa"/>
            <w:vMerge/>
            <w:tcBorders>
              <w:top w:val="double" w:sz="6" w:space="0" w:color="auto"/>
              <w:left w:val="nil"/>
              <w:bottom w:val="double" w:sz="6" w:space="0" w:color="000000"/>
              <w:right w:val="nil"/>
            </w:tcBorders>
            <w:vAlign w:val="center"/>
            <w:hideMark/>
          </w:tcPr>
          <w:p w14:paraId="7D8EAF72" w14:textId="77777777" w:rsidR="00212C79" w:rsidRPr="00F85178" w:rsidRDefault="00212C79" w:rsidP="00212C79">
            <w:pPr>
              <w:spacing w:line="240" w:lineRule="auto"/>
              <w:jc w:val="left"/>
              <w:rPr>
                <w:rFonts w:eastAsia="Times New Roman"/>
                <w:b/>
                <w:bCs/>
                <w:szCs w:val="24"/>
                <w:lang w:eastAsia="cs-CZ"/>
              </w:rPr>
            </w:pPr>
          </w:p>
        </w:tc>
        <w:tc>
          <w:tcPr>
            <w:tcW w:w="1918" w:type="dxa"/>
            <w:gridSpan w:val="2"/>
            <w:tcBorders>
              <w:top w:val="nil"/>
              <w:left w:val="nil"/>
              <w:bottom w:val="double" w:sz="6" w:space="0" w:color="auto"/>
              <w:right w:val="nil"/>
            </w:tcBorders>
            <w:shd w:val="clear" w:color="auto" w:fill="auto"/>
            <w:vAlign w:val="center"/>
            <w:hideMark/>
          </w:tcPr>
          <w:p w14:paraId="65ED9103" w14:textId="77777777" w:rsidR="00212C79" w:rsidRPr="00F85178" w:rsidRDefault="00212C79" w:rsidP="00212C79">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812"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65E10FCE" w14:textId="77777777" w:rsidR="00212C79" w:rsidRPr="00F85178" w:rsidRDefault="00212C79" w:rsidP="00212C79">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740" w:type="dxa"/>
            <w:gridSpan w:val="2"/>
            <w:tcBorders>
              <w:top w:val="nil"/>
              <w:left w:val="nil"/>
              <w:bottom w:val="double" w:sz="6" w:space="0" w:color="auto"/>
              <w:right w:val="single" w:sz="4" w:space="0" w:color="000000"/>
            </w:tcBorders>
            <w:shd w:val="clear" w:color="auto" w:fill="auto"/>
            <w:noWrap/>
            <w:vAlign w:val="center"/>
            <w:hideMark/>
          </w:tcPr>
          <w:p w14:paraId="06284B60" w14:textId="77777777" w:rsidR="00212C79" w:rsidRPr="00F85178" w:rsidRDefault="00212C79" w:rsidP="008E360E">
            <w:pPr>
              <w:spacing w:line="240" w:lineRule="auto"/>
              <w:jc w:val="center"/>
              <w:rPr>
                <w:rFonts w:eastAsia="Times New Roman"/>
                <w:b/>
                <w:bCs/>
                <w:szCs w:val="24"/>
                <w:lang w:eastAsia="cs-CZ"/>
              </w:rPr>
            </w:pPr>
            <w:r w:rsidRPr="00F85178">
              <w:rPr>
                <w:rFonts w:eastAsia="Times New Roman"/>
                <w:b/>
                <w:bCs/>
                <w:szCs w:val="24"/>
                <w:lang w:eastAsia="cs-CZ"/>
              </w:rPr>
              <w:t>Nevyřízeno před rozh. o</w:t>
            </w:r>
            <w:r w:rsidR="008E360E" w:rsidRPr="00F85178">
              <w:rPr>
                <w:rFonts w:eastAsia="Times New Roman"/>
                <w:b/>
                <w:bCs/>
                <w:szCs w:val="24"/>
                <w:lang w:eastAsia="cs-CZ"/>
              </w:rPr>
              <w:t> </w:t>
            </w:r>
            <w:r w:rsidRPr="00F85178">
              <w:rPr>
                <w:rFonts w:eastAsia="Times New Roman"/>
                <w:b/>
                <w:bCs/>
                <w:szCs w:val="24"/>
                <w:lang w:eastAsia="cs-CZ"/>
              </w:rPr>
              <w:t>úpadku</w:t>
            </w:r>
          </w:p>
        </w:tc>
        <w:tc>
          <w:tcPr>
            <w:tcW w:w="1842" w:type="dxa"/>
            <w:gridSpan w:val="2"/>
            <w:tcBorders>
              <w:top w:val="nil"/>
              <w:left w:val="nil"/>
              <w:bottom w:val="double" w:sz="6" w:space="0" w:color="auto"/>
            </w:tcBorders>
            <w:shd w:val="clear" w:color="auto" w:fill="auto"/>
            <w:noWrap/>
            <w:vAlign w:val="center"/>
            <w:hideMark/>
          </w:tcPr>
          <w:p w14:paraId="52E046D0" w14:textId="77777777" w:rsidR="00212C79" w:rsidRPr="00F85178" w:rsidRDefault="00212C79" w:rsidP="00212C79">
            <w:pPr>
              <w:spacing w:line="240" w:lineRule="auto"/>
              <w:jc w:val="center"/>
              <w:rPr>
                <w:rFonts w:eastAsia="Times New Roman"/>
                <w:b/>
                <w:bCs/>
                <w:szCs w:val="24"/>
                <w:lang w:eastAsia="cs-CZ"/>
              </w:rPr>
            </w:pPr>
            <w:r w:rsidRPr="00F85178">
              <w:rPr>
                <w:rFonts w:eastAsia="Times New Roman"/>
                <w:b/>
                <w:bCs/>
                <w:szCs w:val="24"/>
                <w:lang w:eastAsia="cs-CZ"/>
              </w:rPr>
              <w:t>Nevyřízeno po rozh. o úpadku</w:t>
            </w:r>
          </w:p>
        </w:tc>
      </w:tr>
      <w:tr w:rsidR="00F85178" w:rsidRPr="00F85178" w14:paraId="4BF1710B" w14:textId="77777777" w:rsidTr="00F56F37">
        <w:trPr>
          <w:trHeight w:val="330"/>
        </w:trPr>
        <w:tc>
          <w:tcPr>
            <w:tcW w:w="1980" w:type="dxa"/>
            <w:tcBorders>
              <w:top w:val="single" w:sz="4" w:space="0" w:color="auto"/>
              <w:left w:val="nil"/>
              <w:bottom w:val="single" w:sz="4" w:space="0" w:color="auto"/>
              <w:right w:val="nil"/>
            </w:tcBorders>
            <w:shd w:val="clear" w:color="auto" w:fill="auto"/>
            <w:noWrap/>
            <w:vAlign w:val="bottom"/>
            <w:hideMark/>
          </w:tcPr>
          <w:p w14:paraId="65C4C3BF"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MS Praha</w:t>
            </w:r>
          </w:p>
        </w:tc>
        <w:tc>
          <w:tcPr>
            <w:tcW w:w="1067" w:type="dxa"/>
            <w:tcBorders>
              <w:top w:val="single" w:sz="4" w:space="0" w:color="auto"/>
              <w:left w:val="nil"/>
              <w:bottom w:val="single" w:sz="4" w:space="0" w:color="auto"/>
              <w:right w:val="nil"/>
            </w:tcBorders>
            <w:shd w:val="clear" w:color="auto" w:fill="auto"/>
            <w:noWrap/>
            <w:vAlign w:val="bottom"/>
            <w:hideMark/>
          </w:tcPr>
          <w:p w14:paraId="48966F06"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113</w:t>
            </w:r>
          </w:p>
        </w:tc>
        <w:tc>
          <w:tcPr>
            <w:tcW w:w="851" w:type="dxa"/>
            <w:tcBorders>
              <w:top w:val="single" w:sz="4" w:space="0" w:color="auto"/>
              <w:left w:val="nil"/>
              <w:bottom w:val="single" w:sz="4" w:space="0" w:color="auto"/>
              <w:right w:val="nil"/>
            </w:tcBorders>
            <w:shd w:val="clear" w:color="auto" w:fill="auto"/>
            <w:noWrap/>
            <w:vAlign w:val="center"/>
            <w:hideMark/>
          </w:tcPr>
          <w:p w14:paraId="4E2E090D" w14:textId="6434D822"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92" w:type="dxa"/>
            <w:tcBorders>
              <w:top w:val="single" w:sz="4" w:space="0" w:color="auto"/>
              <w:left w:val="single" w:sz="4" w:space="0" w:color="auto"/>
              <w:bottom w:val="single" w:sz="4" w:space="0" w:color="auto"/>
              <w:right w:val="nil"/>
            </w:tcBorders>
            <w:shd w:val="clear" w:color="auto" w:fill="auto"/>
            <w:noWrap/>
            <w:vAlign w:val="bottom"/>
            <w:hideMark/>
          </w:tcPr>
          <w:p w14:paraId="571E29B0"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109</w:t>
            </w:r>
          </w:p>
        </w:tc>
        <w:tc>
          <w:tcPr>
            <w:tcW w:w="820" w:type="dxa"/>
            <w:tcBorders>
              <w:top w:val="single" w:sz="4" w:space="0" w:color="auto"/>
              <w:left w:val="nil"/>
              <w:bottom w:val="single" w:sz="4" w:space="0" w:color="auto"/>
              <w:right w:val="single" w:sz="4" w:space="0" w:color="auto"/>
            </w:tcBorders>
            <w:shd w:val="clear" w:color="auto" w:fill="auto"/>
            <w:noWrap/>
            <w:vAlign w:val="center"/>
            <w:hideMark/>
          </w:tcPr>
          <w:p w14:paraId="3B322958" w14:textId="5A547C2C"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23" w:type="dxa"/>
            <w:tcBorders>
              <w:top w:val="single" w:sz="4" w:space="0" w:color="auto"/>
              <w:left w:val="nil"/>
              <w:bottom w:val="single" w:sz="4" w:space="0" w:color="auto"/>
              <w:right w:val="nil"/>
            </w:tcBorders>
            <w:shd w:val="clear" w:color="auto" w:fill="auto"/>
            <w:noWrap/>
            <w:vAlign w:val="bottom"/>
            <w:hideMark/>
          </w:tcPr>
          <w:p w14:paraId="0E68D7BC"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21</w:t>
            </w:r>
          </w:p>
        </w:tc>
        <w:tc>
          <w:tcPr>
            <w:tcW w:w="717" w:type="dxa"/>
            <w:tcBorders>
              <w:top w:val="single" w:sz="4" w:space="0" w:color="auto"/>
              <w:left w:val="nil"/>
              <w:bottom w:val="single" w:sz="4" w:space="0" w:color="auto"/>
              <w:right w:val="single" w:sz="4" w:space="0" w:color="auto"/>
            </w:tcBorders>
            <w:shd w:val="clear" w:color="auto" w:fill="auto"/>
            <w:noWrap/>
            <w:vAlign w:val="center"/>
            <w:hideMark/>
          </w:tcPr>
          <w:p w14:paraId="6728F4B4" w14:textId="4AE59292"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125" w:type="dxa"/>
            <w:tcBorders>
              <w:top w:val="single" w:sz="4" w:space="0" w:color="auto"/>
              <w:left w:val="nil"/>
              <w:bottom w:val="single" w:sz="4" w:space="0" w:color="auto"/>
              <w:right w:val="nil"/>
            </w:tcBorders>
            <w:shd w:val="clear" w:color="auto" w:fill="auto"/>
            <w:noWrap/>
            <w:vAlign w:val="bottom"/>
            <w:hideMark/>
          </w:tcPr>
          <w:p w14:paraId="29407A14"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421</w:t>
            </w:r>
          </w:p>
        </w:tc>
        <w:tc>
          <w:tcPr>
            <w:tcW w:w="717" w:type="dxa"/>
            <w:tcBorders>
              <w:top w:val="single" w:sz="4" w:space="0" w:color="auto"/>
              <w:left w:val="nil"/>
              <w:bottom w:val="single" w:sz="4" w:space="0" w:color="auto"/>
            </w:tcBorders>
            <w:shd w:val="clear" w:color="auto" w:fill="auto"/>
            <w:noWrap/>
            <w:vAlign w:val="center"/>
            <w:hideMark/>
          </w:tcPr>
          <w:p w14:paraId="29981F31" w14:textId="0464B4EE"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+1 %</w:t>
            </w:r>
          </w:p>
        </w:tc>
      </w:tr>
      <w:tr w:rsidR="00F85178" w:rsidRPr="00F85178" w14:paraId="58231DCE"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088A8F76"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Praha</w:t>
            </w:r>
          </w:p>
        </w:tc>
        <w:tc>
          <w:tcPr>
            <w:tcW w:w="1067" w:type="dxa"/>
            <w:tcBorders>
              <w:top w:val="nil"/>
              <w:left w:val="nil"/>
              <w:bottom w:val="single" w:sz="4" w:space="0" w:color="auto"/>
              <w:right w:val="nil"/>
            </w:tcBorders>
            <w:shd w:val="clear" w:color="auto" w:fill="auto"/>
            <w:noWrap/>
            <w:vAlign w:val="bottom"/>
            <w:hideMark/>
          </w:tcPr>
          <w:p w14:paraId="46AE5AE3" w14:textId="77777777" w:rsidR="00A8180B" w:rsidRPr="00F85178" w:rsidRDefault="00A8180B" w:rsidP="00FE4855">
            <w:pPr>
              <w:spacing w:line="240" w:lineRule="auto"/>
              <w:jc w:val="center"/>
              <w:rPr>
                <w:rFonts w:eastAsia="Times New Roman"/>
                <w:szCs w:val="24"/>
                <w:lang w:eastAsia="cs-CZ"/>
              </w:rPr>
            </w:pPr>
            <w:r w:rsidRPr="00F85178">
              <w:rPr>
                <w:rFonts w:eastAsia="Times New Roman"/>
                <w:szCs w:val="24"/>
                <w:lang w:eastAsia="cs-CZ"/>
              </w:rPr>
              <w:t>187</w:t>
            </w:r>
            <w:r w:rsidR="00FE4855">
              <w:rPr>
                <w:rFonts w:eastAsia="Times New Roman"/>
                <w:szCs w:val="24"/>
                <w:lang w:eastAsia="cs-CZ"/>
              </w:rPr>
              <w:t>,</w:t>
            </w:r>
            <w:r w:rsidRPr="00F85178">
              <w:rPr>
                <w:rFonts w:eastAsia="Times New Roman"/>
                <w:szCs w:val="24"/>
                <w:lang w:eastAsia="cs-CZ"/>
              </w:rPr>
              <w:t>6</w:t>
            </w:r>
          </w:p>
        </w:tc>
        <w:tc>
          <w:tcPr>
            <w:tcW w:w="851" w:type="dxa"/>
            <w:tcBorders>
              <w:top w:val="nil"/>
              <w:left w:val="nil"/>
              <w:bottom w:val="single" w:sz="4" w:space="0" w:color="auto"/>
              <w:right w:val="nil"/>
            </w:tcBorders>
            <w:shd w:val="clear" w:color="auto" w:fill="auto"/>
            <w:noWrap/>
            <w:vAlign w:val="center"/>
            <w:hideMark/>
          </w:tcPr>
          <w:p w14:paraId="29E19912" w14:textId="762C8C6E"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992" w:type="dxa"/>
            <w:tcBorders>
              <w:top w:val="nil"/>
              <w:left w:val="single" w:sz="4" w:space="0" w:color="auto"/>
              <w:bottom w:val="single" w:sz="4" w:space="0" w:color="auto"/>
              <w:right w:val="nil"/>
            </w:tcBorders>
            <w:shd w:val="clear" w:color="auto" w:fill="auto"/>
            <w:noWrap/>
            <w:vAlign w:val="bottom"/>
            <w:hideMark/>
          </w:tcPr>
          <w:p w14:paraId="4EBA22E0"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237,</w:t>
            </w:r>
            <w:r w:rsidR="00A8180B" w:rsidRPr="00F85178">
              <w:rPr>
                <w:rFonts w:eastAsia="Times New Roman"/>
                <w:szCs w:val="24"/>
                <w:lang w:eastAsia="cs-CZ"/>
              </w:rPr>
              <w:t>9</w:t>
            </w:r>
          </w:p>
        </w:tc>
        <w:tc>
          <w:tcPr>
            <w:tcW w:w="820" w:type="dxa"/>
            <w:tcBorders>
              <w:top w:val="nil"/>
              <w:left w:val="nil"/>
              <w:bottom w:val="single" w:sz="4" w:space="0" w:color="auto"/>
              <w:right w:val="single" w:sz="4" w:space="0" w:color="auto"/>
            </w:tcBorders>
            <w:shd w:val="clear" w:color="auto" w:fill="auto"/>
            <w:noWrap/>
            <w:vAlign w:val="center"/>
            <w:hideMark/>
          </w:tcPr>
          <w:p w14:paraId="55D8D553" w14:textId="2614601C"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+14 %</w:t>
            </w:r>
          </w:p>
        </w:tc>
        <w:tc>
          <w:tcPr>
            <w:tcW w:w="1023" w:type="dxa"/>
            <w:tcBorders>
              <w:top w:val="nil"/>
              <w:left w:val="nil"/>
              <w:bottom w:val="single" w:sz="4" w:space="0" w:color="auto"/>
              <w:right w:val="nil"/>
            </w:tcBorders>
            <w:shd w:val="clear" w:color="auto" w:fill="auto"/>
            <w:noWrap/>
            <w:vAlign w:val="bottom"/>
            <w:hideMark/>
          </w:tcPr>
          <w:p w14:paraId="7A7CA4D8"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23</w:t>
            </w:r>
            <w:r w:rsidR="008E360E" w:rsidRPr="00F85178">
              <w:rPr>
                <w:rFonts w:eastAsia="Times New Roman"/>
                <w:szCs w:val="24"/>
                <w:lang w:eastAsia="cs-CZ"/>
              </w:rPr>
              <w:t>,</w:t>
            </w:r>
            <w:r w:rsidRPr="00F85178">
              <w:rPr>
                <w:rFonts w:eastAsia="Times New Roman"/>
                <w:szCs w:val="24"/>
                <w:lang w:eastAsia="cs-CZ"/>
              </w:rPr>
              <w:t>46</w:t>
            </w:r>
          </w:p>
        </w:tc>
        <w:tc>
          <w:tcPr>
            <w:tcW w:w="717" w:type="dxa"/>
            <w:tcBorders>
              <w:top w:val="nil"/>
              <w:left w:val="nil"/>
              <w:bottom w:val="single" w:sz="4" w:space="0" w:color="auto"/>
              <w:right w:val="single" w:sz="4" w:space="0" w:color="auto"/>
            </w:tcBorders>
            <w:shd w:val="clear" w:color="auto" w:fill="auto"/>
            <w:noWrap/>
            <w:vAlign w:val="center"/>
            <w:hideMark/>
          </w:tcPr>
          <w:p w14:paraId="1ACCEE8D" w14:textId="76B7C74B"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1125" w:type="dxa"/>
            <w:tcBorders>
              <w:top w:val="nil"/>
              <w:left w:val="nil"/>
              <w:bottom w:val="single" w:sz="4" w:space="0" w:color="auto"/>
              <w:right w:val="nil"/>
            </w:tcBorders>
            <w:shd w:val="clear" w:color="auto" w:fill="auto"/>
            <w:noWrap/>
            <w:vAlign w:val="bottom"/>
            <w:hideMark/>
          </w:tcPr>
          <w:p w14:paraId="42E86945"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935</w:t>
            </w:r>
            <w:r w:rsidR="008E360E" w:rsidRPr="00F85178">
              <w:rPr>
                <w:rFonts w:eastAsia="Times New Roman"/>
                <w:szCs w:val="24"/>
                <w:lang w:eastAsia="cs-CZ"/>
              </w:rPr>
              <w:t>,</w:t>
            </w:r>
            <w:r w:rsidRPr="00F85178">
              <w:rPr>
                <w:rFonts w:eastAsia="Times New Roman"/>
                <w:szCs w:val="24"/>
                <w:lang w:eastAsia="cs-CZ"/>
              </w:rPr>
              <w:t>08</w:t>
            </w:r>
          </w:p>
        </w:tc>
        <w:tc>
          <w:tcPr>
            <w:tcW w:w="717" w:type="dxa"/>
            <w:tcBorders>
              <w:top w:val="nil"/>
              <w:left w:val="nil"/>
              <w:bottom w:val="single" w:sz="4" w:space="0" w:color="auto"/>
            </w:tcBorders>
            <w:shd w:val="clear" w:color="auto" w:fill="auto"/>
            <w:noWrap/>
            <w:vAlign w:val="center"/>
            <w:hideMark/>
          </w:tcPr>
          <w:p w14:paraId="691B51EF" w14:textId="7DFCC4A3" w:rsidR="00A8180B"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-5 %</w:t>
            </w:r>
          </w:p>
        </w:tc>
      </w:tr>
      <w:tr w:rsidR="00F85178" w:rsidRPr="00F85178" w14:paraId="24753828"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563B5BD3"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Č. Budějovice</w:t>
            </w:r>
          </w:p>
        </w:tc>
        <w:tc>
          <w:tcPr>
            <w:tcW w:w="1067" w:type="dxa"/>
            <w:tcBorders>
              <w:top w:val="nil"/>
              <w:left w:val="nil"/>
              <w:bottom w:val="single" w:sz="4" w:space="0" w:color="auto"/>
              <w:right w:val="nil"/>
            </w:tcBorders>
            <w:shd w:val="clear" w:color="auto" w:fill="auto"/>
            <w:noWrap/>
            <w:vAlign w:val="bottom"/>
            <w:hideMark/>
          </w:tcPr>
          <w:p w14:paraId="3E3E8E63"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239</w:t>
            </w:r>
            <w:r w:rsidR="008E360E" w:rsidRPr="00F85178">
              <w:rPr>
                <w:rFonts w:eastAsia="Times New Roman"/>
                <w:szCs w:val="24"/>
                <w:lang w:eastAsia="cs-CZ"/>
              </w:rPr>
              <w:t>,</w:t>
            </w:r>
            <w:r w:rsidRPr="00F85178">
              <w:rPr>
                <w:rFonts w:eastAsia="Times New Roman"/>
                <w:szCs w:val="24"/>
                <w:lang w:eastAsia="cs-CZ"/>
              </w:rPr>
              <w:t>2</w:t>
            </w:r>
          </w:p>
        </w:tc>
        <w:tc>
          <w:tcPr>
            <w:tcW w:w="851" w:type="dxa"/>
            <w:tcBorders>
              <w:top w:val="nil"/>
              <w:left w:val="nil"/>
              <w:bottom w:val="single" w:sz="4" w:space="0" w:color="auto"/>
              <w:right w:val="nil"/>
            </w:tcBorders>
            <w:shd w:val="clear" w:color="auto" w:fill="auto"/>
            <w:noWrap/>
            <w:vAlign w:val="center"/>
            <w:hideMark/>
          </w:tcPr>
          <w:p w14:paraId="00E9328D" w14:textId="03658023"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-8 %</w:t>
            </w:r>
          </w:p>
        </w:tc>
        <w:tc>
          <w:tcPr>
            <w:tcW w:w="992" w:type="dxa"/>
            <w:tcBorders>
              <w:top w:val="nil"/>
              <w:left w:val="single" w:sz="4" w:space="0" w:color="auto"/>
              <w:bottom w:val="single" w:sz="4" w:space="0" w:color="auto"/>
              <w:right w:val="nil"/>
            </w:tcBorders>
            <w:shd w:val="clear" w:color="auto" w:fill="auto"/>
            <w:noWrap/>
            <w:vAlign w:val="bottom"/>
            <w:hideMark/>
          </w:tcPr>
          <w:p w14:paraId="0D4502BF"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342,</w:t>
            </w:r>
            <w:r w:rsidR="00A8180B" w:rsidRPr="00F85178">
              <w:rPr>
                <w:rFonts w:eastAsia="Times New Roman"/>
                <w:szCs w:val="24"/>
                <w:lang w:eastAsia="cs-CZ"/>
              </w:rPr>
              <w:t>2</w:t>
            </w:r>
          </w:p>
        </w:tc>
        <w:tc>
          <w:tcPr>
            <w:tcW w:w="820" w:type="dxa"/>
            <w:tcBorders>
              <w:top w:val="nil"/>
              <w:left w:val="nil"/>
              <w:bottom w:val="single" w:sz="4" w:space="0" w:color="auto"/>
              <w:right w:val="single" w:sz="4" w:space="0" w:color="auto"/>
            </w:tcBorders>
            <w:shd w:val="clear" w:color="auto" w:fill="auto"/>
            <w:noWrap/>
            <w:vAlign w:val="center"/>
            <w:hideMark/>
          </w:tcPr>
          <w:p w14:paraId="2B8723B8" w14:textId="67F163CD"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+34 %</w:t>
            </w:r>
          </w:p>
        </w:tc>
        <w:tc>
          <w:tcPr>
            <w:tcW w:w="1023" w:type="dxa"/>
            <w:tcBorders>
              <w:top w:val="nil"/>
              <w:left w:val="nil"/>
              <w:bottom w:val="single" w:sz="4" w:space="0" w:color="auto"/>
              <w:right w:val="nil"/>
            </w:tcBorders>
            <w:shd w:val="clear" w:color="auto" w:fill="auto"/>
            <w:noWrap/>
            <w:vAlign w:val="bottom"/>
            <w:hideMark/>
          </w:tcPr>
          <w:p w14:paraId="7A721003"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6</w:t>
            </w:r>
            <w:r w:rsidR="008E360E" w:rsidRPr="00F85178">
              <w:rPr>
                <w:rFonts w:eastAsia="Times New Roman"/>
                <w:szCs w:val="24"/>
                <w:lang w:eastAsia="cs-CZ"/>
              </w:rPr>
              <w:t>,</w:t>
            </w:r>
            <w:r w:rsidRPr="00F85178">
              <w:rPr>
                <w:rFonts w:eastAsia="Times New Roman"/>
                <w:szCs w:val="24"/>
                <w:lang w:eastAsia="cs-CZ"/>
              </w:rPr>
              <w:t>1</w:t>
            </w:r>
            <w:r w:rsidR="008E360E" w:rsidRPr="00F85178">
              <w:rPr>
                <w:rFonts w:eastAsia="Times New Roman"/>
                <w:szCs w:val="24"/>
                <w:lang w:eastAsia="cs-CZ"/>
              </w:rPr>
              <w:t>8</w:t>
            </w:r>
          </w:p>
        </w:tc>
        <w:tc>
          <w:tcPr>
            <w:tcW w:w="717" w:type="dxa"/>
            <w:tcBorders>
              <w:top w:val="nil"/>
              <w:left w:val="nil"/>
              <w:bottom w:val="single" w:sz="4" w:space="0" w:color="auto"/>
              <w:right w:val="single" w:sz="4" w:space="0" w:color="auto"/>
            </w:tcBorders>
            <w:shd w:val="clear" w:color="auto" w:fill="auto"/>
            <w:noWrap/>
            <w:vAlign w:val="center"/>
            <w:hideMark/>
          </w:tcPr>
          <w:p w14:paraId="04DD3433" w14:textId="328EAC4E"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-48 %</w:t>
            </w:r>
          </w:p>
        </w:tc>
        <w:tc>
          <w:tcPr>
            <w:tcW w:w="1125" w:type="dxa"/>
            <w:tcBorders>
              <w:top w:val="nil"/>
              <w:left w:val="nil"/>
              <w:bottom w:val="single" w:sz="4" w:space="0" w:color="auto"/>
              <w:right w:val="nil"/>
            </w:tcBorders>
            <w:shd w:val="clear" w:color="auto" w:fill="auto"/>
            <w:noWrap/>
            <w:vAlign w:val="bottom"/>
            <w:hideMark/>
          </w:tcPr>
          <w:p w14:paraId="35283004"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w:t>
            </w:r>
            <w:r w:rsidR="008E360E" w:rsidRPr="00F85178">
              <w:rPr>
                <w:rFonts w:eastAsia="Times New Roman"/>
                <w:szCs w:val="24"/>
                <w:lang w:eastAsia="cs-CZ"/>
              </w:rPr>
              <w:t xml:space="preserve"> </w:t>
            </w:r>
            <w:r w:rsidRPr="00F85178">
              <w:rPr>
                <w:rFonts w:eastAsia="Times New Roman"/>
                <w:szCs w:val="24"/>
                <w:lang w:eastAsia="cs-CZ"/>
              </w:rPr>
              <w:t>302</w:t>
            </w:r>
            <w:r w:rsidR="008E360E" w:rsidRPr="00F85178">
              <w:rPr>
                <w:rFonts w:eastAsia="Times New Roman"/>
                <w:szCs w:val="24"/>
                <w:lang w:eastAsia="cs-CZ"/>
              </w:rPr>
              <w:t>,</w:t>
            </w:r>
            <w:r w:rsidRPr="00F85178">
              <w:rPr>
                <w:rFonts w:eastAsia="Times New Roman"/>
                <w:szCs w:val="24"/>
                <w:lang w:eastAsia="cs-CZ"/>
              </w:rPr>
              <w:t>8</w:t>
            </w:r>
          </w:p>
        </w:tc>
        <w:tc>
          <w:tcPr>
            <w:tcW w:w="717" w:type="dxa"/>
            <w:tcBorders>
              <w:top w:val="nil"/>
              <w:left w:val="nil"/>
              <w:bottom w:val="single" w:sz="4" w:space="0" w:color="auto"/>
            </w:tcBorders>
            <w:shd w:val="clear" w:color="auto" w:fill="auto"/>
            <w:noWrap/>
            <w:vAlign w:val="center"/>
            <w:hideMark/>
          </w:tcPr>
          <w:p w14:paraId="61C6D8BA" w14:textId="4824AD9A"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-7 %</w:t>
            </w:r>
          </w:p>
        </w:tc>
      </w:tr>
      <w:tr w:rsidR="00F85178" w:rsidRPr="00F85178" w14:paraId="3C036454"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3FF80F2D"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Plzeň</w:t>
            </w:r>
          </w:p>
        </w:tc>
        <w:tc>
          <w:tcPr>
            <w:tcW w:w="1067" w:type="dxa"/>
            <w:tcBorders>
              <w:top w:val="nil"/>
              <w:left w:val="nil"/>
              <w:bottom w:val="single" w:sz="4" w:space="0" w:color="auto"/>
              <w:right w:val="nil"/>
            </w:tcBorders>
            <w:shd w:val="clear" w:color="auto" w:fill="auto"/>
            <w:noWrap/>
            <w:vAlign w:val="bottom"/>
            <w:hideMark/>
          </w:tcPr>
          <w:p w14:paraId="2A6B177A"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197</w:t>
            </w:r>
            <w:r w:rsidR="008E360E" w:rsidRPr="00F85178">
              <w:rPr>
                <w:rFonts w:eastAsia="Times New Roman"/>
                <w:szCs w:val="24"/>
                <w:lang w:eastAsia="cs-CZ"/>
              </w:rPr>
              <w:t>,</w:t>
            </w:r>
            <w:r w:rsidRPr="00F85178">
              <w:rPr>
                <w:rFonts w:eastAsia="Times New Roman"/>
                <w:szCs w:val="24"/>
                <w:lang w:eastAsia="cs-CZ"/>
              </w:rPr>
              <w:t>2</w:t>
            </w:r>
          </w:p>
        </w:tc>
        <w:tc>
          <w:tcPr>
            <w:tcW w:w="851" w:type="dxa"/>
            <w:tcBorders>
              <w:top w:val="nil"/>
              <w:left w:val="nil"/>
              <w:bottom w:val="single" w:sz="4" w:space="0" w:color="auto"/>
              <w:right w:val="nil"/>
            </w:tcBorders>
            <w:shd w:val="clear" w:color="auto" w:fill="auto"/>
            <w:noWrap/>
            <w:vAlign w:val="center"/>
            <w:hideMark/>
          </w:tcPr>
          <w:p w14:paraId="69706CE6" w14:textId="2674F757"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-13 %</w:t>
            </w:r>
          </w:p>
        </w:tc>
        <w:tc>
          <w:tcPr>
            <w:tcW w:w="992" w:type="dxa"/>
            <w:tcBorders>
              <w:top w:val="nil"/>
              <w:left w:val="single" w:sz="4" w:space="0" w:color="auto"/>
              <w:bottom w:val="single" w:sz="4" w:space="0" w:color="auto"/>
              <w:right w:val="nil"/>
            </w:tcBorders>
            <w:shd w:val="clear" w:color="auto" w:fill="auto"/>
            <w:noWrap/>
            <w:vAlign w:val="bottom"/>
            <w:hideMark/>
          </w:tcPr>
          <w:p w14:paraId="190E9BA2"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333,</w:t>
            </w:r>
            <w:r w:rsidR="00A8180B" w:rsidRPr="00F85178">
              <w:rPr>
                <w:rFonts w:eastAsia="Times New Roman"/>
                <w:szCs w:val="24"/>
                <w:lang w:eastAsia="cs-CZ"/>
              </w:rPr>
              <w:t>2</w:t>
            </w:r>
          </w:p>
        </w:tc>
        <w:tc>
          <w:tcPr>
            <w:tcW w:w="820" w:type="dxa"/>
            <w:tcBorders>
              <w:top w:val="nil"/>
              <w:left w:val="nil"/>
              <w:bottom w:val="single" w:sz="4" w:space="0" w:color="auto"/>
              <w:right w:val="single" w:sz="4" w:space="0" w:color="auto"/>
            </w:tcBorders>
            <w:shd w:val="clear" w:color="auto" w:fill="auto"/>
            <w:noWrap/>
            <w:vAlign w:val="center"/>
            <w:hideMark/>
          </w:tcPr>
          <w:p w14:paraId="607554CA" w14:textId="704197A0"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+15 %</w:t>
            </w:r>
          </w:p>
        </w:tc>
        <w:tc>
          <w:tcPr>
            <w:tcW w:w="1023" w:type="dxa"/>
            <w:tcBorders>
              <w:top w:val="nil"/>
              <w:left w:val="nil"/>
              <w:bottom w:val="single" w:sz="4" w:space="0" w:color="auto"/>
              <w:right w:val="nil"/>
            </w:tcBorders>
            <w:shd w:val="clear" w:color="auto" w:fill="auto"/>
            <w:noWrap/>
            <w:vAlign w:val="bottom"/>
            <w:hideMark/>
          </w:tcPr>
          <w:p w14:paraId="1042B967"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29</w:t>
            </w:r>
          </w:p>
        </w:tc>
        <w:tc>
          <w:tcPr>
            <w:tcW w:w="717" w:type="dxa"/>
            <w:tcBorders>
              <w:top w:val="nil"/>
              <w:left w:val="nil"/>
              <w:bottom w:val="single" w:sz="4" w:space="0" w:color="auto"/>
              <w:right w:val="single" w:sz="4" w:space="0" w:color="auto"/>
            </w:tcBorders>
            <w:shd w:val="clear" w:color="auto" w:fill="auto"/>
            <w:noWrap/>
            <w:vAlign w:val="center"/>
            <w:hideMark/>
          </w:tcPr>
          <w:p w14:paraId="6ACF6D19" w14:textId="1F62B8DB"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-21 %</w:t>
            </w:r>
          </w:p>
        </w:tc>
        <w:tc>
          <w:tcPr>
            <w:tcW w:w="1125" w:type="dxa"/>
            <w:tcBorders>
              <w:top w:val="nil"/>
              <w:left w:val="nil"/>
              <w:bottom w:val="single" w:sz="4" w:space="0" w:color="auto"/>
              <w:right w:val="nil"/>
            </w:tcBorders>
            <w:shd w:val="clear" w:color="auto" w:fill="auto"/>
            <w:noWrap/>
            <w:vAlign w:val="bottom"/>
            <w:hideMark/>
          </w:tcPr>
          <w:p w14:paraId="32993944"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w:t>
            </w:r>
            <w:r w:rsidR="008E360E" w:rsidRPr="00F85178">
              <w:rPr>
                <w:rFonts w:eastAsia="Times New Roman"/>
                <w:szCs w:val="24"/>
                <w:lang w:eastAsia="cs-CZ"/>
              </w:rPr>
              <w:t> </w:t>
            </w:r>
            <w:r w:rsidRPr="00F85178">
              <w:rPr>
                <w:rFonts w:eastAsia="Times New Roman"/>
                <w:szCs w:val="24"/>
                <w:lang w:eastAsia="cs-CZ"/>
              </w:rPr>
              <w:t>085</w:t>
            </w:r>
            <w:r w:rsidR="008E360E" w:rsidRPr="00F85178">
              <w:rPr>
                <w:rFonts w:eastAsia="Times New Roman"/>
                <w:szCs w:val="24"/>
                <w:lang w:eastAsia="cs-CZ"/>
              </w:rPr>
              <w:t>,</w:t>
            </w:r>
            <w:r w:rsidRPr="00F85178">
              <w:rPr>
                <w:rFonts w:eastAsia="Times New Roman"/>
                <w:szCs w:val="24"/>
                <w:lang w:eastAsia="cs-CZ"/>
              </w:rPr>
              <w:t>2</w:t>
            </w:r>
          </w:p>
        </w:tc>
        <w:tc>
          <w:tcPr>
            <w:tcW w:w="717" w:type="dxa"/>
            <w:tcBorders>
              <w:top w:val="nil"/>
              <w:left w:val="nil"/>
              <w:bottom w:val="single" w:sz="4" w:space="0" w:color="auto"/>
            </w:tcBorders>
            <w:shd w:val="clear" w:color="auto" w:fill="auto"/>
            <w:noWrap/>
            <w:vAlign w:val="center"/>
            <w:hideMark/>
          </w:tcPr>
          <w:p w14:paraId="3B36AFCF" w14:textId="1A66221D"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6D2982BF"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692CB2F8"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Ústí n. Labem</w:t>
            </w:r>
          </w:p>
        </w:tc>
        <w:tc>
          <w:tcPr>
            <w:tcW w:w="1067" w:type="dxa"/>
            <w:tcBorders>
              <w:top w:val="nil"/>
              <w:left w:val="nil"/>
              <w:bottom w:val="single" w:sz="4" w:space="0" w:color="auto"/>
              <w:right w:val="nil"/>
            </w:tcBorders>
            <w:shd w:val="clear" w:color="auto" w:fill="auto"/>
            <w:noWrap/>
            <w:vAlign w:val="bottom"/>
            <w:hideMark/>
          </w:tcPr>
          <w:p w14:paraId="72DAC6BB"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213</w:t>
            </w:r>
            <w:r w:rsidR="008E360E" w:rsidRPr="00F85178">
              <w:rPr>
                <w:rFonts w:eastAsia="Times New Roman"/>
                <w:szCs w:val="24"/>
                <w:lang w:eastAsia="cs-CZ"/>
              </w:rPr>
              <w:t>,</w:t>
            </w:r>
            <w:r w:rsidRPr="00F85178">
              <w:rPr>
                <w:rFonts w:eastAsia="Times New Roman"/>
                <w:szCs w:val="24"/>
                <w:lang w:eastAsia="cs-CZ"/>
              </w:rPr>
              <w:t>2</w:t>
            </w:r>
          </w:p>
        </w:tc>
        <w:tc>
          <w:tcPr>
            <w:tcW w:w="851" w:type="dxa"/>
            <w:tcBorders>
              <w:top w:val="nil"/>
              <w:left w:val="nil"/>
              <w:bottom w:val="single" w:sz="4" w:space="0" w:color="auto"/>
              <w:right w:val="nil"/>
            </w:tcBorders>
            <w:shd w:val="clear" w:color="auto" w:fill="auto"/>
            <w:noWrap/>
            <w:vAlign w:val="center"/>
            <w:hideMark/>
          </w:tcPr>
          <w:p w14:paraId="4E06F0B0" w14:textId="295A7A68"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-9 %</w:t>
            </w:r>
          </w:p>
        </w:tc>
        <w:tc>
          <w:tcPr>
            <w:tcW w:w="992" w:type="dxa"/>
            <w:tcBorders>
              <w:top w:val="nil"/>
              <w:left w:val="single" w:sz="4" w:space="0" w:color="auto"/>
              <w:bottom w:val="single" w:sz="4" w:space="0" w:color="auto"/>
              <w:right w:val="nil"/>
            </w:tcBorders>
            <w:shd w:val="clear" w:color="auto" w:fill="auto"/>
            <w:noWrap/>
            <w:vAlign w:val="bottom"/>
            <w:hideMark/>
          </w:tcPr>
          <w:p w14:paraId="7B4C7A68"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310,</w:t>
            </w:r>
            <w:r w:rsidR="00A8180B" w:rsidRPr="00F85178">
              <w:rPr>
                <w:rFonts w:eastAsia="Times New Roman"/>
                <w:szCs w:val="24"/>
                <w:lang w:eastAsia="cs-CZ"/>
              </w:rPr>
              <w:t>3</w:t>
            </w:r>
          </w:p>
        </w:tc>
        <w:tc>
          <w:tcPr>
            <w:tcW w:w="820" w:type="dxa"/>
            <w:tcBorders>
              <w:top w:val="nil"/>
              <w:left w:val="nil"/>
              <w:bottom w:val="single" w:sz="4" w:space="0" w:color="auto"/>
              <w:right w:val="single" w:sz="4" w:space="0" w:color="auto"/>
            </w:tcBorders>
            <w:shd w:val="clear" w:color="auto" w:fill="auto"/>
            <w:noWrap/>
            <w:vAlign w:val="center"/>
            <w:hideMark/>
          </w:tcPr>
          <w:p w14:paraId="4000EC41" w14:textId="0F16C140"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023" w:type="dxa"/>
            <w:tcBorders>
              <w:top w:val="nil"/>
              <w:left w:val="nil"/>
              <w:bottom w:val="single" w:sz="4" w:space="0" w:color="auto"/>
              <w:right w:val="nil"/>
            </w:tcBorders>
            <w:shd w:val="clear" w:color="auto" w:fill="auto"/>
            <w:noWrap/>
            <w:vAlign w:val="bottom"/>
            <w:hideMark/>
          </w:tcPr>
          <w:p w14:paraId="7E7458D8"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20</w:t>
            </w:r>
            <w:r w:rsidR="008E360E" w:rsidRPr="00F85178">
              <w:rPr>
                <w:rFonts w:eastAsia="Times New Roman"/>
                <w:szCs w:val="24"/>
                <w:lang w:eastAsia="cs-CZ"/>
              </w:rPr>
              <w:t>,</w:t>
            </w:r>
            <w:r w:rsidRPr="00F85178">
              <w:rPr>
                <w:rFonts w:eastAsia="Times New Roman"/>
                <w:szCs w:val="24"/>
                <w:lang w:eastAsia="cs-CZ"/>
              </w:rPr>
              <w:t>88</w:t>
            </w:r>
          </w:p>
        </w:tc>
        <w:tc>
          <w:tcPr>
            <w:tcW w:w="717" w:type="dxa"/>
            <w:tcBorders>
              <w:top w:val="nil"/>
              <w:left w:val="nil"/>
              <w:bottom w:val="single" w:sz="4" w:space="0" w:color="auto"/>
              <w:right w:val="single" w:sz="4" w:space="0" w:color="auto"/>
            </w:tcBorders>
            <w:shd w:val="clear" w:color="auto" w:fill="auto"/>
            <w:noWrap/>
            <w:vAlign w:val="center"/>
            <w:hideMark/>
          </w:tcPr>
          <w:p w14:paraId="50815180" w14:textId="77006314"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-10 %</w:t>
            </w:r>
          </w:p>
        </w:tc>
        <w:tc>
          <w:tcPr>
            <w:tcW w:w="1125" w:type="dxa"/>
            <w:tcBorders>
              <w:top w:val="nil"/>
              <w:left w:val="nil"/>
              <w:bottom w:val="single" w:sz="4" w:space="0" w:color="auto"/>
              <w:right w:val="nil"/>
            </w:tcBorders>
            <w:shd w:val="clear" w:color="auto" w:fill="auto"/>
            <w:noWrap/>
            <w:vAlign w:val="bottom"/>
            <w:hideMark/>
          </w:tcPr>
          <w:p w14:paraId="0C207F3C"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w:t>
            </w:r>
            <w:r w:rsidR="008E360E" w:rsidRPr="00F85178">
              <w:rPr>
                <w:rFonts w:eastAsia="Times New Roman"/>
                <w:szCs w:val="24"/>
                <w:lang w:eastAsia="cs-CZ"/>
              </w:rPr>
              <w:t> </w:t>
            </w:r>
            <w:r w:rsidRPr="00F85178">
              <w:rPr>
                <w:rFonts w:eastAsia="Times New Roman"/>
                <w:szCs w:val="24"/>
                <w:lang w:eastAsia="cs-CZ"/>
              </w:rPr>
              <w:t>164</w:t>
            </w:r>
            <w:r w:rsidR="008E360E" w:rsidRPr="00F85178">
              <w:rPr>
                <w:rFonts w:eastAsia="Times New Roman"/>
                <w:szCs w:val="24"/>
                <w:lang w:eastAsia="cs-CZ"/>
              </w:rPr>
              <w:t>,</w:t>
            </w:r>
            <w:r w:rsidRPr="00F85178">
              <w:rPr>
                <w:rFonts w:eastAsia="Times New Roman"/>
                <w:szCs w:val="24"/>
                <w:lang w:eastAsia="cs-CZ"/>
              </w:rPr>
              <w:t>7</w:t>
            </w:r>
          </w:p>
        </w:tc>
        <w:tc>
          <w:tcPr>
            <w:tcW w:w="717" w:type="dxa"/>
            <w:tcBorders>
              <w:top w:val="nil"/>
              <w:left w:val="nil"/>
              <w:bottom w:val="single" w:sz="4" w:space="0" w:color="auto"/>
            </w:tcBorders>
            <w:shd w:val="clear" w:color="auto" w:fill="auto"/>
            <w:noWrap/>
            <w:vAlign w:val="center"/>
            <w:hideMark/>
          </w:tcPr>
          <w:p w14:paraId="55BDCB35" w14:textId="3ACF6458" w:rsidR="00A8180B"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-8 %</w:t>
            </w:r>
          </w:p>
        </w:tc>
      </w:tr>
      <w:tr w:rsidR="00F85178" w:rsidRPr="00F85178" w14:paraId="08BFBFE6"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6C89D910"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Hr. Králové</w:t>
            </w:r>
          </w:p>
        </w:tc>
        <w:tc>
          <w:tcPr>
            <w:tcW w:w="1067" w:type="dxa"/>
            <w:tcBorders>
              <w:top w:val="nil"/>
              <w:left w:val="nil"/>
              <w:bottom w:val="single" w:sz="4" w:space="0" w:color="auto"/>
              <w:right w:val="nil"/>
            </w:tcBorders>
            <w:shd w:val="clear" w:color="auto" w:fill="auto"/>
            <w:noWrap/>
            <w:vAlign w:val="bottom"/>
            <w:hideMark/>
          </w:tcPr>
          <w:p w14:paraId="7F59286E"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215,</w:t>
            </w:r>
            <w:r w:rsidR="00A8180B" w:rsidRPr="00F85178">
              <w:rPr>
                <w:rFonts w:eastAsia="Times New Roman"/>
                <w:szCs w:val="24"/>
                <w:lang w:eastAsia="cs-CZ"/>
              </w:rPr>
              <w:t>1</w:t>
            </w:r>
          </w:p>
        </w:tc>
        <w:tc>
          <w:tcPr>
            <w:tcW w:w="851" w:type="dxa"/>
            <w:tcBorders>
              <w:top w:val="nil"/>
              <w:left w:val="nil"/>
              <w:bottom w:val="single" w:sz="4" w:space="0" w:color="auto"/>
              <w:right w:val="nil"/>
            </w:tcBorders>
            <w:shd w:val="clear" w:color="auto" w:fill="auto"/>
            <w:noWrap/>
            <w:vAlign w:val="center"/>
            <w:hideMark/>
          </w:tcPr>
          <w:p w14:paraId="1A70FA46" w14:textId="64E5E442"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992" w:type="dxa"/>
            <w:tcBorders>
              <w:top w:val="nil"/>
              <w:left w:val="single" w:sz="4" w:space="0" w:color="auto"/>
              <w:bottom w:val="single" w:sz="4" w:space="0" w:color="auto"/>
              <w:right w:val="nil"/>
            </w:tcBorders>
            <w:shd w:val="clear" w:color="auto" w:fill="auto"/>
            <w:noWrap/>
            <w:vAlign w:val="bottom"/>
            <w:hideMark/>
          </w:tcPr>
          <w:p w14:paraId="7B3E2213"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377</w:t>
            </w:r>
            <w:r w:rsidR="008E360E" w:rsidRPr="00F85178">
              <w:rPr>
                <w:rFonts w:eastAsia="Times New Roman"/>
                <w:szCs w:val="24"/>
                <w:lang w:eastAsia="cs-CZ"/>
              </w:rPr>
              <w:t>,</w:t>
            </w:r>
            <w:r w:rsidRPr="00F85178">
              <w:rPr>
                <w:rFonts w:eastAsia="Times New Roman"/>
                <w:szCs w:val="24"/>
                <w:lang w:eastAsia="cs-CZ"/>
              </w:rPr>
              <w:t>9</w:t>
            </w:r>
          </w:p>
        </w:tc>
        <w:tc>
          <w:tcPr>
            <w:tcW w:w="820" w:type="dxa"/>
            <w:tcBorders>
              <w:top w:val="nil"/>
              <w:left w:val="nil"/>
              <w:bottom w:val="single" w:sz="4" w:space="0" w:color="auto"/>
              <w:right w:val="single" w:sz="4" w:space="0" w:color="auto"/>
            </w:tcBorders>
            <w:shd w:val="clear" w:color="auto" w:fill="auto"/>
            <w:noWrap/>
            <w:vAlign w:val="center"/>
            <w:hideMark/>
          </w:tcPr>
          <w:p w14:paraId="19AE1A28" w14:textId="6272AAB1"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+31 %</w:t>
            </w:r>
          </w:p>
        </w:tc>
        <w:tc>
          <w:tcPr>
            <w:tcW w:w="1023" w:type="dxa"/>
            <w:tcBorders>
              <w:top w:val="nil"/>
              <w:left w:val="nil"/>
              <w:bottom w:val="single" w:sz="4" w:space="0" w:color="auto"/>
              <w:right w:val="nil"/>
            </w:tcBorders>
            <w:shd w:val="clear" w:color="auto" w:fill="auto"/>
            <w:noWrap/>
            <w:vAlign w:val="bottom"/>
            <w:hideMark/>
          </w:tcPr>
          <w:p w14:paraId="472E2FB2"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13</w:t>
            </w:r>
            <w:r w:rsidR="008E360E" w:rsidRPr="00F85178">
              <w:rPr>
                <w:rFonts w:eastAsia="Times New Roman"/>
                <w:szCs w:val="24"/>
                <w:lang w:eastAsia="cs-CZ"/>
              </w:rPr>
              <w:t>,</w:t>
            </w:r>
            <w:r w:rsidRPr="00F85178">
              <w:rPr>
                <w:rFonts w:eastAsia="Times New Roman"/>
                <w:szCs w:val="24"/>
                <w:lang w:eastAsia="cs-CZ"/>
              </w:rPr>
              <w:t>64</w:t>
            </w:r>
          </w:p>
        </w:tc>
        <w:tc>
          <w:tcPr>
            <w:tcW w:w="717" w:type="dxa"/>
            <w:tcBorders>
              <w:top w:val="nil"/>
              <w:left w:val="nil"/>
              <w:bottom w:val="single" w:sz="4" w:space="0" w:color="auto"/>
              <w:right w:val="single" w:sz="4" w:space="0" w:color="auto"/>
            </w:tcBorders>
            <w:shd w:val="clear" w:color="auto" w:fill="auto"/>
            <w:noWrap/>
            <w:vAlign w:val="center"/>
            <w:hideMark/>
          </w:tcPr>
          <w:p w14:paraId="51E89E39" w14:textId="640B25A9"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-12 %</w:t>
            </w:r>
          </w:p>
        </w:tc>
        <w:tc>
          <w:tcPr>
            <w:tcW w:w="1125" w:type="dxa"/>
            <w:tcBorders>
              <w:top w:val="nil"/>
              <w:left w:val="nil"/>
              <w:bottom w:val="single" w:sz="4" w:space="0" w:color="auto"/>
              <w:right w:val="nil"/>
            </w:tcBorders>
            <w:shd w:val="clear" w:color="auto" w:fill="auto"/>
            <w:noWrap/>
            <w:vAlign w:val="bottom"/>
            <w:hideMark/>
          </w:tcPr>
          <w:p w14:paraId="640AD363"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w:t>
            </w:r>
            <w:r w:rsidR="008E360E" w:rsidRPr="00F85178">
              <w:rPr>
                <w:rFonts w:eastAsia="Times New Roman"/>
                <w:szCs w:val="24"/>
                <w:lang w:eastAsia="cs-CZ"/>
              </w:rPr>
              <w:t xml:space="preserve"> </w:t>
            </w:r>
            <w:r w:rsidRPr="00F85178">
              <w:rPr>
                <w:rFonts w:eastAsia="Times New Roman"/>
                <w:szCs w:val="24"/>
                <w:lang w:eastAsia="cs-CZ"/>
              </w:rPr>
              <w:t>264</w:t>
            </w:r>
            <w:r w:rsidR="008E360E" w:rsidRPr="00F85178">
              <w:rPr>
                <w:rFonts w:eastAsia="Times New Roman"/>
                <w:szCs w:val="24"/>
                <w:lang w:eastAsia="cs-CZ"/>
              </w:rPr>
              <w:t>,</w:t>
            </w:r>
            <w:r w:rsidRPr="00F85178">
              <w:rPr>
                <w:rFonts w:eastAsia="Times New Roman"/>
                <w:szCs w:val="24"/>
                <w:lang w:eastAsia="cs-CZ"/>
              </w:rPr>
              <w:t>6</w:t>
            </w:r>
          </w:p>
        </w:tc>
        <w:tc>
          <w:tcPr>
            <w:tcW w:w="717" w:type="dxa"/>
            <w:tcBorders>
              <w:top w:val="nil"/>
              <w:left w:val="nil"/>
              <w:bottom w:val="single" w:sz="4" w:space="0" w:color="auto"/>
            </w:tcBorders>
            <w:shd w:val="clear" w:color="auto" w:fill="auto"/>
            <w:noWrap/>
            <w:vAlign w:val="center"/>
            <w:hideMark/>
          </w:tcPr>
          <w:p w14:paraId="0E5C5F46" w14:textId="3644A403"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-11 %</w:t>
            </w:r>
          </w:p>
        </w:tc>
      </w:tr>
      <w:tr w:rsidR="00F85178" w:rsidRPr="00F85178" w14:paraId="5D4730E1" w14:textId="77777777" w:rsidTr="00F56F37">
        <w:trPr>
          <w:trHeight w:val="315"/>
        </w:trPr>
        <w:tc>
          <w:tcPr>
            <w:tcW w:w="1980" w:type="dxa"/>
            <w:tcBorders>
              <w:top w:val="nil"/>
              <w:left w:val="nil"/>
              <w:bottom w:val="single" w:sz="4" w:space="0" w:color="auto"/>
              <w:right w:val="nil"/>
            </w:tcBorders>
            <w:shd w:val="clear" w:color="auto" w:fill="auto"/>
            <w:noWrap/>
            <w:vAlign w:val="bottom"/>
            <w:hideMark/>
          </w:tcPr>
          <w:p w14:paraId="3F318843"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Brno</w:t>
            </w:r>
          </w:p>
        </w:tc>
        <w:tc>
          <w:tcPr>
            <w:tcW w:w="1067" w:type="dxa"/>
            <w:tcBorders>
              <w:top w:val="nil"/>
              <w:left w:val="nil"/>
              <w:bottom w:val="single" w:sz="4" w:space="0" w:color="auto"/>
              <w:right w:val="nil"/>
            </w:tcBorders>
            <w:shd w:val="clear" w:color="auto" w:fill="auto"/>
            <w:noWrap/>
            <w:vAlign w:val="bottom"/>
            <w:hideMark/>
          </w:tcPr>
          <w:p w14:paraId="6A454489" w14:textId="77777777" w:rsidR="00A8180B" w:rsidRPr="00F85178" w:rsidRDefault="008E360E" w:rsidP="00A8180B">
            <w:pPr>
              <w:spacing w:line="240" w:lineRule="auto"/>
              <w:jc w:val="center"/>
              <w:rPr>
                <w:rFonts w:eastAsia="Times New Roman"/>
                <w:szCs w:val="24"/>
                <w:lang w:eastAsia="cs-CZ"/>
              </w:rPr>
            </w:pPr>
            <w:r w:rsidRPr="00F85178">
              <w:rPr>
                <w:rFonts w:eastAsia="Times New Roman"/>
                <w:szCs w:val="24"/>
                <w:lang w:eastAsia="cs-CZ"/>
              </w:rPr>
              <w:t>185,</w:t>
            </w:r>
            <w:r w:rsidR="00A8180B" w:rsidRPr="00F85178">
              <w:rPr>
                <w:rFonts w:eastAsia="Times New Roman"/>
                <w:szCs w:val="24"/>
                <w:lang w:eastAsia="cs-CZ"/>
              </w:rPr>
              <w:t>9</w:t>
            </w:r>
          </w:p>
        </w:tc>
        <w:tc>
          <w:tcPr>
            <w:tcW w:w="851" w:type="dxa"/>
            <w:tcBorders>
              <w:top w:val="nil"/>
              <w:left w:val="nil"/>
              <w:bottom w:val="single" w:sz="4" w:space="0" w:color="auto"/>
              <w:right w:val="nil"/>
            </w:tcBorders>
            <w:shd w:val="clear" w:color="auto" w:fill="auto"/>
            <w:noWrap/>
            <w:vAlign w:val="center"/>
            <w:hideMark/>
          </w:tcPr>
          <w:p w14:paraId="7E631F92" w14:textId="1AB0AAAD"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-17 %</w:t>
            </w:r>
          </w:p>
        </w:tc>
        <w:tc>
          <w:tcPr>
            <w:tcW w:w="992" w:type="dxa"/>
            <w:tcBorders>
              <w:top w:val="nil"/>
              <w:left w:val="single" w:sz="4" w:space="0" w:color="auto"/>
              <w:bottom w:val="single" w:sz="4" w:space="0" w:color="auto"/>
              <w:right w:val="nil"/>
            </w:tcBorders>
            <w:shd w:val="clear" w:color="auto" w:fill="auto"/>
            <w:noWrap/>
            <w:vAlign w:val="bottom"/>
            <w:hideMark/>
          </w:tcPr>
          <w:p w14:paraId="3BBF2225"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220</w:t>
            </w:r>
            <w:r w:rsidR="008E360E" w:rsidRPr="00F85178">
              <w:rPr>
                <w:rFonts w:eastAsia="Times New Roman"/>
                <w:szCs w:val="24"/>
                <w:lang w:eastAsia="cs-CZ"/>
              </w:rPr>
              <w:t>,</w:t>
            </w:r>
            <w:r w:rsidRPr="00F85178">
              <w:rPr>
                <w:rFonts w:eastAsia="Times New Roman"/>
                <w:szCs w:val="24"/>
                <w:lang w:eastAsia="cs-CZ"/>
              </w:rPr>
              <w:t>8</w:t>
            </w:r>
          </w:p>
        </w:tc>
        <w:tc>
          <w:tcPr>
            <w:tcW w:w="820" w:type="dxa"/>
            <w:tcBorders>
              <w:top w:val="nil"/>
              <w:left w:val="nil"/>
              <w:bottom w:val="single" w:sz="4" w:space="0" w:color="auto"/>
              <w:right w:val="single" w:sz="4" w:space="0" w:color="auto"/>
            </w:tcBorders>
            <w:shd w:val="clear" w:color="auto" w:fill="auto"/>
            <w:noWrap/>
            <w:vAlign w:val="center"/>
            <w:hideMark/>
          </w:tcPr>
          <w:p w14:paraId="2E8DB3E5" w14:textId="06906001"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+1 %</w:t>
            </w:r>
          </w:p>
        </w:tc>
        <w:tc>
          <w:tcPr>
            <w:tcW w:w="1023" w:type="dxa"/>
            <w:tcBorders>
              <w:top w:val="nil"/>
              <w:left w:val="nil"/>
              <w:bottom w:val="single" w:sz="4" w:space="0" w:color="auto"/>
              <w:right w:val="nil"/>
            </w:tcBorders>
            <w:shd w:val="clear" w:color="auto" w:fill="auto"/>
            <w:noWrap/>
            <w:vAlign w:val="bottom"/>
            <w:hideMark/>
          </w:tcPr>
          <w:p w14:paraId="0D3B127D"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21</w:t>
            </w:r>
            <w:r w:rsidR="008E360E" w:rsidRPr="00F85178">
              <w:rPr>
                <w:rFonts w:eastAsia="Times New Roman"/>
                <w:szCs w:val="24"/>
                <w:lang w:eastAsia="cs-CZ"/>
              </w:rPr>
              <w:t>,</w:t>
            </w:r>
            <w:r w:rsidRPr="00F85178">
              <w:rPr>
                <w:rFonts w:eastAsia="Times New Roman"/>
                <w:szCs w:val="24"/>
                <w:lang w:eastAsia="cs-CZ"/>
              </w:rPr>
              <w:t>89</w:t>
            </w:r>
          </w:p>
        </w:tc>
        <w:tc>
          <w:tcPr>
            <w:tcW w:w="717" w:type="dxa"/>
            <w:tcBorders>
              <w:top w:val="nil"/>
              <w:left w:val="nil"/>
              <w:bottom w:val="single" w:sz="4" w:space="0" w:color="auto"/>
              <w:right w:val="single" w:sz="4" w:space="0" w:color="auto"/>
            </w:tcBorders>
            <w:shd w:val="clear" w:color="auto" w:fill="auto"/>
            <w:noWrap/>
            <w:vAlign w:val="center"/>
            <w:hideMark/>
          </w:tcPr>
          <w:p w14:paraId="2E410507" w14:textId="6BBFBFD5"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-26 %</w:t>
            </w:r>
          </w:p>
        </w:tc>
        <w:tc>
          <w:tcPr>
            <w:tcW w:w="1125" w:type="dxa"/>
            <w:tcBorders>
              <w:top w:val="nil"/>
              <w:left w:val="nil"/>
              <w:bottom w:val="single" w:sz="4" w:space="0" w:color="auto"/>
              <w:right w:val="nil"/>
            </w:tcBorders>
            <w:shd w:val="clear" w:color="auto" w:fill="auto"/>
            <w:noWrap/>
            <w:vAlign w:val="bottom"/>
            <w:hideMark/>
          </w:tcPr>
          <w:p w14:paraId="0F6A9930"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850</w:t>
            </w:r>
            <w:r w:rsidR="008E360E" w:rsidRPr="00F85178">
              <w:rPr>
                <w:rFonts w:eastAsia="Times New Roman"/>
                <w:szCs w:val="24"/>
                <w:lang w:eastAsia="cs-CZ"/>
              </w:rPr>
              <w:t>,</w:t>
            </w:r>
            <w:r w:rsidRPr="00F85178">
              <w:rPr>
                <w:rFonts w:eastAsia="Times New Roman"/>
                <w:szCs w:val="24"/>
                <w:lang w:eastAsia="cs-CZ"/>
              </w:rPr>
              <w:t>26</w:t>
            </w:r>
          </w:p>
        </w:tc>
        <w:tc>
          <w:tcPr>
            <w:tcW w:w="717" w:type="dxa"/>
            <w:tcBorders>
              <w:top w:val="nil"/>
              <w:left w:val="nil"/>
              <w:bottom w:val="single" w:sz="4" w:space="0" w:color="auto"/>
            </w:tcBorders>
            <w:shd w:val="clear" w:color="auto" w:fill="auto"/>
            <w:noWrap/>
            <w:vAlign w:val="center"/>
            <w:hideMark/>
          </w:tcPr>
          <w:p w14:paraId="07839065" w14:textId="273D41E4" w:rsidR="00A8180B"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-3 %</w:t>
            </w:r>
          </w:p>
        </w:tc>
      </w:tr>
      <w:tr w:rsidR="00F85178" w:rsidRPr="00F85178" w14:paraId="7AE452B8" w14:textId="77777777" w:rsidTr="00F56F37">
        <w:trPr>
          <w:trHeight w:val="330"/>
        </w:trPr>
        <w:tc>
          <w:tcPr>
            <w:tcW w:w="1980" w:type="dxa"/>
            <w:tcBorders>
              <w:top w:val="nil"/>
              <w:left w:val="nil"/>
              <w:bottom w:val="double" w:sz="6" w:space="0" w:color="auto"/>
              <w:right w:val="nil"/>
            </w:tcBorders>
            <w:shd w:val="clear" w:color="auto" w:fill="auto"/>
            <w:noWrap/>
            <w:vAlign w:val="bottom"/>
            <w:hideMark/>
          </w:tcPr>
          <w:p w14:paraId="0F2B1ECD" w14:textId="77777777" w:rsidR="00A8180B" w:rsidRPr="00F85178" w:rsidRDefault="00A8180B" w:rsidP="00A8180B">
            <w:pPr>
              <w:spacing w:line="240" w:lineRule="auto"/>
              <w:jc w:val="left"/>
              <w:rPr>
                <w:rFonts w:eastAsia="Times New Roman"/>
                <w:szCs w:val="24"/>
                <w:lang w:eastAsia="cs-CZ"/>
              </w:rPr>
            </w:pPr>
            <w:r w:rsidRPr="00F85178">
              <w:rPr>
                <w:rFonts w:eastAsia="Times New Roman"/>
                <w:szCs w:val="24"/>
                <w:lang w:eastAsia="cs-CZ"/>
              </w:rPr>
              <w:t>KS Ostrava</w:t>
            </w:r>
          </w:p>
        </w:tc>
        <w:tc>
          <w:tcPr>
            <w:tcW w:w="1067" w:type="dxa"/>
            <w:tcBorders>
              <w:top w:val="nil"/>
              <w:left w:val="nil"/>
              <w:bottom w:val="double" w:sz="6" w:space="0" w:color="auto"/>
              <w:right w:val="nil"/>
            </w:tcBorders>
            <w:shd w:val="clear" w:color="auto" w:fill="auto"/>
            <w:noWrap/>
            <w:vAlign w:val="bottom"/>
            <w:hideMark/>
          </w:tcPr>
          <w:p w14:paraId="04496A01" w14:textId="77777777" w:rsidR="00A8180B" w:rsidRPr="00F85178" w:rsidRDefault="00A8180B" w:rsidP="00A8180B">
            <w:pPr>
              <w:spacing w:line="240" w:lineRule="auto"/>
              <w:jc w:val="center"/>
              <w:rPr>
                <w:rFonts w:eastAsia="Times New Roman"/>
                <w:szCs w:val="24"/>
                <w:lang w:eastAsia="cs-CZ"/>
              </w:rPr>
            </w:pPr>
            <w:r w:rsidRPr="00F85178">
              <w:rPr>
                <w:rFonts w:eastAsia="Times New Roman"/>
                <w:szCs w:val="24"/>
                <w:lang w:eastAsia="cs-CZ"/>
              </w:rPr>
              <w:t>149</w:t>
            </w:r>
          </w:p>
        </w:tc>
        <w:tc>
          <w:tcPr>
            <w:tcW w:w="851" w:type="dxa"/>
            <w:tcBorders>
              <w:top w:val="nil"/>
              <w:left w:val="nil"/>
              <w:bottom w:val="double" w:sz="6" w:space="0" w:color="auto"/>
              <w:right w:val="nil"/>
            </w:tcBorders>
            <w:shd w:val="clear" w:color="auto" w:fill="auto"/>
            <w:noWrap/>
            <w:vAlign w:val="center"/>
            <w:hideMark/>
          </w:tcPr>
          <w:p w14:paraId="0F745F70" w14:textId="362F346F"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-11 %</w:t>
            </w:r>
          </w:p>
        </w:tc>
        <w:tc>
          <w:tcPr>
            <w:tcW w:w="992" w:type="dxa"/>
            <w:tcBorders>
              <w:top w:val="nil"/>
              <w:left w:val="single" w:sz="4" w:space="0" w:color="auto"/>
              <w:bottom w:val="double" w:sz="6" w:space="0" w:color="auto"/>
              <w:right w:val="nil"/>
            </w:tcBorders>
            <w:shd w:val="clear" w:color="auto" w:fill="auto"/>
            <w:noWrap/>
            <w:vAlign w:val="bottom"/>
            <w:hideMark/>
          </w:tcPr>
          <w:p w14:paraId="7E7E1291"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173</w:t>
            </w:r>
            <w:r w:rsidR="008E360E" w:rsidRPr="00F85178">
              <w:rPr>
                <w:rFonts w:eastAsia="Times New Roman"/>
                <w:szCs w:val="24"/>
                <w:lang w:eastAsia="cs-CZ"/>
              </w:rPr>
              <w:t>,</w:t>
            </w:r>
            <w:r w:rsidRPr="00F85178">
              <w:rPr>
                <w:rFonts w:eastAsia="Times New Roman"/>
                <w:szCs w:val="24"/>
                <w:lang w:eastAsia="cs-CZ"/>
              </w:rPr>
              <w:t>6</w:t>
            </w:r>
          </w:p>
        </w:tc>
        <w:tc>
          <w:tcPr>
            <w:tcW w:w="820" w:type="dxa"/>
            <w:tcBorders>
              <w:top w:val="nil"/>
              <w:left w:val="nil"/>
              <w:bottom w:val="double" w:sz="6" w:space="0" w:color="auto"/>
              <w:right w:val="single" w:sz="4" w:space="0" w:color="auto"/>
            </w:tcBorders>
            <w:shd w:val="clear" w:color="auto" w:fill="auto"/>
            <w:noWrap/>
            <w:vAlign w:val="center"/>
            <w:hideMark/>
          </w:tcPr>
          <w:p w14:paraId="459B3E6F" w14:textId="4BFB4916"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-5 %</w:t>
            </w:r>
          </w:p>
        </w:tc>
        <w:tc>
          <w:tcPr>
            <w:tcW w:w="1023" w:type="dxa"/>
            <w:tcBorders>
              <w:top w:val="nil"/>
              <w:left w:val="nil"/>
              <w:bottom w:val="double" w:sz="6" w:space="0" w:color="auto"/>
              <w:right w:val="nil"/>
            </w:tcBorders>
            <w:shd w:val="clear" w:color="auto" w:fill="auto"/>
            <w:noWrap/>
            <w:vAlign w:val="bottom"/>
            <w:hideMark/>
          </w:tcPr>
          <w:p w14:paraId="6FB7089B"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17</w:t>
            </w:r>
            <w:r w:rsidR="008E360E" w:rsidRPr="00F85178">
              <w:rPr>
                <w:rFonts w:eastAsia="Times New Roman"/>
                <w:szCs w:val="24"/>
                <w:lang w:eastAsia="cs-CZ"/>
              </w:rPr>
              <w:t>,</w:t>
            </w:r>
            <w:r w:rsidRPr="00F85178">
              <w:rPr>
                <w:rFonts w:eastAsia="Times New Roman"/>
                <w:szCs w:val="24"/>
                <w:lang w:eastAsia="cs-CZ"/>
              </w:rPr>
              <w:t>11</w:t>
            </w:r>
          </w:p>
        </w:tc>
        <w:tc>
          <w:tcPr>
            <w:tcW w:w="717" w:type="dxa"/>
            <w:tcBorders>
              <w:top w:val="nil"/>
              <w:left w:val="nil"/>
              <w:bottom w:val="double" w:sz="6" w:space="0" w:color="auto"/>
              <w:right w:val="single" w:sz="4" w:space="0" w:color="auto"/>
            </w:tcBorders>
            <w:shd w:val="clear" w:color="auto" w:fill="auto"/>
            <w:noWrap/>
            <w:vAlign w:val="center"/>
            <w:hideMark/>
          </w:tcPr>
          <w:p w14:paraId="5BD20BCE" w14:textId="022FA4C4" w:rsidR="00A8180B" w:rsidRPr="00F85178" w:rsidRDefault="00A8180B" w:rsidP="00A8180B">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125" w:type="dxa"/>
            <w:tcBorders>
              <w:top w:val="nil"/>
              <w:left w:val="nil"/>
              <w:bottom w:val="double" w:sz="6" w:space="0" w:color="auto"/>
              <w:right w:val="nil"/>
            </w:tcBorders>
            <w:shd w:val="clear" w:color="auto" w:fill="auto"/>
            <w:noWrap/>
            <w:vAlign w:val="bottom"/>
            <w:hideMark/>
          </w:tcPr>
          <w:p w14:paraId="241BD473" w14:textId="77777777" w:rsidR="00A8180B" w:rsidRPr="00F85178" w:rsidRDefault="00A8180B" w:rsidP="008E360E">
            <w:pPr>
              <w:spacing w:line="240" w:lineRule="auto"/>
              <w:jc w:val="center"/>
              <w:rPr>
                <w:rFonts w:eastAsia="Times New Roman"/>
                <w:szCs w:val="24"/>
                <w:lang w:eastAsia="cs-CZ"/>
              </w:rPr>
            </w:pPr>
            <w:r w:rsidRPr="00F85178">
              <w:rPr>
                <w:rFonts w:eastAsia="Times New Roman"/>
                <w:szCs w:val="24"/>
                <w:lang w:eastAsia="cs-CZ"/>
              </w:rPr>
              <w:t>779</w:t>
            </w:r>
            <w:r w:rsidR="008E360E" w:rsidRPr="00F85178">
              <w:rPr>
                <w:rFonts w:eastAsia="Times New Roman"/>
                <w:szCs w:val="24"/>
                <w:lang w:eastAsia="cs-CZ"/>
              </w:rPr>
              <w:t>,</w:t>
            </w:r>
            <w:r w:rsidRPr="00F85178">
              <w:rPr>
                <w:rFonts w:eastAsia="Times New Roman"/>
                <w:szCs w:val="24"/>
                <w:lang w:eastAsia="cs-CZ"/>
              </w:rPr>
              <w:t>81</w:t>
            </w:r>
          </w:p>
        </w:tc>
        <w:tc>
          <w:tcPr>
            <w:tcW w:w="717" w:type="dxa"/>
            <w:tcBorders>
              <w:top w:val="nil"/>
              <w:left w:val="nil"/>
              <w:bottom w:val="double" w:sz="6" w:space="0" w:color="auto"/>
            </w:tcBorders>
            <w:shd w:val="clear" w:color="auto" w:fill="auto"/>
            <w:noWrap/>
            <w:vAlign w:val="center"/>
            <w:hideMark/>
          </w:tcPr>
          <w:p w14:paraId="5AB207DB" w14:textId="799A78D6" w:rsidR="00A8180B" w:rsidRPr="00F85178" w:rsidRDefault="00A8180B" w:rsidP="00EF0B79">
            <w:pPr>
              <w:spacing w:line="240" w:lineRule="auto"/>
              <w:jc w:val="center"/>
              <w:rPr>
                <w:rFonts w:eastAsia="Times New Roman"/>
                <w:sz w:val="20"/>
                <w:szCs w:val="20"/>
                <w:lang w:eastAsia="cs-CZ"/>
              </w:rPr>
            </w:pPr>
            <w:r w:rsidRPr="00F85178">
              <w:rPr>
                <w:rFonts w:eastAsia="Times New Roman"/>
                <w:sz w:val="20"/>
                <w:szCs w:val="20"/>
                <w:lang w:eastAsia="cs-CZ"/>
              </w:rPr>
              <w:t>-3 %</w:t>
            </w:r>
          </w:p>
        </w:tc>
      </w:tr>
      <w:tr w:rsidR="00F85178" w:rsidRPr="00F85178" w14:paraId="64572244" w14:textId="77777777" w:rsidTr="00F56F37">
        <w:trPr>
          <w:trHeight w:val="345"/>
        </w:trPr>
        <w:tc>
          <w:tcPr>
            <w:tcW w:w="1980" w:type="dxa"/>
            <w:tcBorders>
              <w:top w:val="nil"/>
              <w:left w:val="nil"/>
              <w:bottom w:val="double" w:sz="6" w:space="0" w:color="auto"/>
              <w:right w:val="nil"/>
            </w:tcBorders>
            <w:shd w:val="clear" w:color="auto" w:fill="auto"/>
            <w:noWrap/>
            <w:vAlign w:val="bottom"/>
            <w:hideMark/>
          </w:tcPr>
          <w:p w14:paraId="244647D8" w14:textId="77777777" w:rsidR="00A8180B" w:rsidRPr="00F85178" w:rsidRDefault="00A8180B" w:rsidP="00A8180B">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067" w:type="dxa"/>
            <w:tcBorders>
              <w:top w:val="nil"/>
              <w:left w:val="nil"/>
              <w:bottom w:val="double" w:sz="6" w:space="0" w:color="auto"/>
              <w:right w:val="nil"/>
            </w:tcBorders>
            <w:shd w:val="clear" w:color="auto" w:fill="auto"/>
            <w:noWrap/>
            <w:vAlign w:val="bottom"/>
            <w:hideMark/>
          </w:tcPr>
          <w:p w14:paraId="373EEBA2" w14:textId="77777777" w:rsidR="00A8180B" w:rsidRPr="00F85178" w:rsidRDefault="00A8180B" w:rsidP="008E360E">
            <w:pPr>
              <w:spacing w:line="240" w:lineRule="auto"/>
              <w:jc w:val="center"/>
              <w:rPr>
                <w:rFonts w:eastAsia="Times New Roman"/>
                <w:b/>
                <w:bCs/>
                <w:szCs w:val="24"/>
                <w:lang w:eastAsia="cs-CZ"/>
              </w:rPr>
            </w:pPr>
            <w:r w:rsidRPr="00F85178">
              <w:rPr>
                <w:rFonts w:eastAsia="Times New Roman"/>
                <w:b/>
                <w:bCs/>
                <w:szCs w:val="24"/>
                <w:lang w:eastAsia="cs-CZ"/>
              </w:rPr>
              <w:t>176</w:t>
            </w:r>
            <w:r w:rsidR="008E360E" w:rsidRPr="00F85178">
              <w:rPr>
                <w:rFonts w:eastAsia="Times New Roman"/>
                <w:b/>
                <w:bCs/>
                <w:szCs w:val="24"/>
                <w:lang w:eastAsia="cs-CZ"/>
              </w:rPr>
              <w:t>,</w:t>
            </w:r>
            <w:r w:rsidRPr="00F85178">
              <w:rPr>
                <w:rFonts w:eastAsia="Times New Roman"/>
                <w:b/>
                <w:bCs/>
                <w:szCs w:val="24"/>
                <w:lang w:eastAsia="cs-CZ"/>
              </w:rPr>
              <w:t>8</w:t>
            </w:r>
          </w:p>
        </w:tc>
        <w:tc>
          <w:tcPr>
            <w:tcW w:w="851" w:type="dxa"/>
            <w:tcBorders>
              <w:top w:val="nil"/>
              <w:left w:val="nil"/>
              <w:bottom w:val="double" w:sz="6" w:space="0" w:color="auto"/>
              <w:right w:val="nil"/>
            </w:tcBorders>
            <w:shd w:val="clear" w:color="auto" w:fill="auto"/>
            <w:noWrap/>
            <w:vAlign w:val="center"/>
            <w:hideMark/>
          </w:tcPr>
          <w:p w14:paraId="03E2683E" w14:textId="78D0A986" w:rsidR="00A8180B" w:rsidRPr="00F85178" w:rsidRDefault="00A8180B" w:rsidP="00A8180B">
            <w:pPr>
              <w:spacing w:line="240" w:lineRule="auto"/>
              <w:jc w:val="center"/>
              <w:rPr>
                <w:rFonts w:eastAsia="Times New Roman"/>
                <w:b/>
                <w:bCs/>
                <w:sz w:val="20"/>
                <w:szCs w:val="20"/>
                <w:lang w:eastAsia="cs-CZ"/>
              </w:rPr>
            </w:pPr>
            <w:r w:rsidRPr="00F85178">
              <w:rPr>
                <w:rFonts w:eastAsia="Times New Roman"/>
                <w:b/>
                <w:bCs/>
                <w:sz w:val="20"/>
                <w:szCs w:val="20"/>
                <w:lang w:eastAsia="cs-CZ"/>
              </w:rPr>
              <w:t>-10 %</w:t>
            </w:r>
          </w:p>
        </w:tc>
        <w:tc>
          <w:tcPr>
            <w:tcW w:w="992" w:type="dxa"/>
            <w:tcBorders>
              <w:top w:val="nil"/>
              <w:left w:val="single" w:sz="4" w:space="0" w:color="auto"/>
              <w:bottom w:val="double" w:sz="6" w:space="0" w:color="auto"/>
              <w:right w:val="nil"/>
            </w:tcBorders>
            <w:shd w:val="clear" w:color="auto" w:fill="auto"/>
            <w:noWrap/>
            <w:vAlign w:val="bottom"/>
            <w:hideMark/>
          </w:tcPr>
          <w:p w14:paraId="1FC5C374" w14:textId="77777777" w:rsidR="00A8180B" w:rsidRPr="00F85178" w:rsidRDefault="00A8180B" w:rsidP="00A8180B">
            <w:pPr>
              <w:spacing w:line="240" w:lineRule="auto"/>
              <w:jc w:val="center"/>
              <w:rPr>
                <w:rFonts w:eastAsia="Times New Roman"/>
                <w:b/>
                <w:bCs/>
                <w:szCs w:val="24"/>
                <w:lang w:eastAsia="cs-CZ"/>
              </w:rPr>
            </w:pPr>
            <w:r w:rsidRPr="00F85178">
              <w:rPr>
                <w:rFonts w:eastAsia="Times New Roman"/>
                <w:b/>
                <w:bCs/>
                <w:szCs w:val="24"/>
                <w:lang w:eastAsia="cs-CZ"/>
              </w:rPr>
              <w:t>237</w:t>
            </w:r>
          </w:p>
        </w:tc>
        <w:tc>
          <w:tcPr>
            <w:tcW w:w="820" w:type="dxa"/>
            <w:tcBorders>
              <w:top w:val="nil"/>
              <w:left w:val="nil"/>
              <w:bottom w:val="double" w:sz="6" w:space="0" w:color="auto"/>
              <w:right w:val="single" w:sz="4" w:space="0" w:color="auto"/>
            </w:tcBorders>
            <w:shd w:val="clear" w:color="auto" w:fill="auto"/>
            <w:noWrap/>
            <w:vAlign w:val="center"/>
            <w:hideMark/>
          </w:tcPr>
          <w:p w14:paraId="00E80413" w14:textId="78046DF8" w:rsidR="00A8180B" w:rsidRPr="00F85178" w:rsidRDefault="00A8180B" w:rsidP="00A8180B">
            <w:pPr>
              <w:spacing w:line="240" w:lineRule="auto"/>
              <w:jc w:val="center"/>
              <w:rPr>
                <w:rFonts w:eastAsia="Times New Roman"/>
                <w:b/>
                <w:bCs/>
                <w:sz w:val="20"/>
                <w:szCs w:val="20"/>
                <w:lang w:eastAsia="cs-CZ"/>
              </w:rPr>
            </w:pPr>
            <w:r w:rsidRPr="00F85178">
              <w:rPr>
                <w:rFonts w:eastAsia="Times New Roman"/>
                <w:b/>
                <w:bCs/>
                <w:sz w:val="20"/>
                <w:szCs w:val="20"/>
                <w:lang w:eastAsia="cs-CZ"/>
              </w:rPr>
              <w:t>+10 %</w:t>
            </w:r>
          </w:p>
        </w:tc>
        <w:tc>
          <w:tcPr>
            <w:tcW w:w="1023" w:type="dxa"/>
            <w:tcBorders>
              <w:top w:val="nil"/>
              <w:left w:val="nil"/>
              <w:bottom w:val="double" w:sz="6" w:space="0" w:color="auto"/>
              <w:right w:val="nil"/>
            </w:tcBorders>
            <w:shd w:val="clear" w:color="auto" w:fill="auto"/>
            <w:noWrap/>
            <w:vAlign w:val="bottom"/>
            <w:hideMark/>
          </w:tcPr>
          <w:p w14:paraId="5FF0F297" w14:textId="77777777" w:rsidR="00A8180B" w:rsidRPr="00F85178" w:rsidRDefault="00A8180B" w:rsidP="008E360E">
            <w:pPr>
              <w:spacing w:line="240" w:lineRule="auto"/>
              <w:jc w:val="center"/>
              <w:rPr>
                <w:rFonts w:eastAsia="Times New Roman"/>
                <w:b/>
                <w:bCs/>
                <w:szCs w:val="24"/>
                <w:lang w:eastAsia="cs-CZ"/>
              </w:rPr>
            </w:pPr>
            <w:r w:rsidRPr="00F85178">
              <w:rPr>
                <w:rFonts w:eastAsia="Times New Roman"/>
                <w:b/>
                <w:bCs/>
                <w:szCs w:val="24"/>
                <w:lang w:eastAsia="cs-CZ"/>
              </w:rPr>
              <w:t>19</w:t>
            </w:r>
            <w:r w:rsidR="008E360E" w:rsidRPr="00F85178">
              <w:rPr>
                <w:rFonts w:eastAsia="Times New Roman"/>
                <w:b/>
                <w:bCs/>
                <w:szCs w:val="24"/>
                <w:lang w:eastAsia="cs-CZ"/>
              </w:rPr>
              <w:t>,</w:t>
            </w:r>
            <w:r w:rsidRPr="00F85178">
              <w:rPr>
                <w:rFonts w:eastAsia="Times New Roman"/>
                <w:b/>
                <w:bCs/>
                <w:szCs w:val="24"/>
                <w:lang w:eastAsia="cs-CZ"/>
              </w:rPr>
              <w:t>82</w:t>
            </w:r>
          </w:p>
        </w:tc>
        <w:tc>
          <w:tcPr>
            <w:tcW w:w="717" w:type="dxa"/>
            <w:tcBorders>
              <w:top w:val="nil"/>
              <w:left w:val="nil"/>
              <w:bottom w:val="double" w:sz="6" w:space="0" w:color="auto"/>
              <w:right w:val="single" w:sz="4" w:space="0" w:color="auto"/>
            </w:tcBorders>
            <w:shd w:val="clear" w:color="auto" w:fill="auto"/>
            <w:noWrap/>
            <w:vAlign w:val="center"/>
            <w:hideMark/>
          </w:tcPr>
          <w:p w14:paraId="399772B5" w14:textId="5CFBB06A" w:rsidR="00A8180B" w:rsidRPr="00F85178" w:rsidRDefault="00A8180B" w:rsidP="00A8180B">
            <w:pPr>
              <w:spacing w:line="240" w:lineRule="auto"/>
              <w:jc w:val="center"/>
              <w:rPr>
                <w:rFonts w:eastAsia="Times New Roman"/>
                <w:b/>
                <w:bCs/>
                <w:sz w:val="20"/>
                <w:szCs w:val="20"/>
                <w:lang w:eastAsia="cs-CZ"/>
              </w:rPr>
            </w:pPr>
            <w:r w:rsidRPr="00F85178">
              <w:rPr>
                <w:rFonts w:eastAsia="Times New Roman"/>
                <w:b/>
                <w:bCs/>
                <w:sz w:val="20"/>
                <w:szCs w:val="20"/>
                <w:lang w:eastAsia="cs-CZ"/>
              </w:rPr>
              <w:t>-12 %</w:t>
            </w:r>
          </w:p>
        </w:tc>
        <w:tc>
          <w:tcPr>
            <w:tcW w:w="1125" w:type="dxa"/>
            <w:tcBorders>
              <w:top w:val="nil"/>
              <w:left w:val="nil"/>
              <w:bottom w:val="double" w:sz="6" w:space="0" w:color="auto"/>
              <w:right w:val="nil"/>
            </w:tcBorders>
            <w:shd w:val="clear" w:color="auto" w:fill="auto"/>
            <w:noWrap/>
            <w:vAlign w:val="bottom"/>
            <w:hideMark/>
          </w:tcPr>
          <w:p w14:paraId="0218659F" w14:textId="77777777" w:rsidR="00A8180B" w:rsidRPr="00F85178" w:rsidRDefault="00A8180B" w:rsidP="008E360E">
            <w:pPr>
              <w:spacing w:line="240" w:lineRule="auto"/>
              <w:jc w:val="center"/>
              <w:rPr>
                <w:rFonts w:eastAsia="Times New Roman"/>
                <w:b/>
                <w:bCs/>
                <w:szCs w:val="24"/>
                <w:lang w:eastAsia="cs-CZ"/>
              </w:rPr>
            </w:pPr>
            <w:r w:rsidRPr="00F85178">
              <w:rPr>
                <w:rFonts w:eastAsia="Times New Roman"/>
                <w:b/>
                <w:bCs/>
                <w:szCs w:val="24"/>
                <w:lang w:eastAsia="cs-CZ"/>
              </w:rPr>
              <w:t>901</w:t>
            </w:r>
            <w:r w:rsidR="008E360E" w:rsidRPr="00F85178">
              <w:rPr>
                <w:rFonts w:eastAsia="Times New Roman"/>
                <w:b/>
                <w:bCs/>
                <w:szCs w:val="24"/>
                <w:lang w:eastAsia="cs-CZ"/>
              </w:rPr>
              <w:t>,</w:t>
            </w:r>
            <w:r w:rsidRPr="00F85178">
              <w:rPr>
                <w:rFonts w:eastAsia="Times New Roman"/>
                <w:b/>
                <w:bCs/>
                <w:szCs w:val="24"/>
                <w:lang w:eastAsia="cs-CZ"/>
              </w:rPr>
              <w:t>36</w:t>
            </w:r>
          </w:p>
        </w:tc>
        <w:tc>
          <w:tcPr>
            <w:tcW w:w="717" w:type="dxa"/>
            <w:tcBorders>
              <w:top w:val="nil"/>
              <w:left w:val="nil"/>
              <w:bottom w:val="double" w:sz="6" w:space="0" w:color="auto"/>
            </w:tcBorders>
            <w:shd w:val="clear" w:color="auto" w:fill="auto"/>
            <w:noWrap/>
            <w:vAlign w:val="center"/>
            <w:hideMark/>
          </w:tcPr>
          <w:p w14:paraId="7CFF2C65" w14:textId="3897736B" w:rsidR="00A8180B" w:rsidRPr="00F85178" w:rsidRDefault="00A8180B"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r>
    </w:tbl>
    <w:p w14:paraId="7DCA7A1E" w14:textId="77777777" w:rsidR="009E1285" w:rsidRPr="00F85178" w:rsidRDefault="009E1285" w:rsidP="009E1285">
      <w:pPr>
        <w:pStyle w:val="OdstavecASR"/>
      </w:pPr>
    </w:p>
    <w:p w14:paraId="5BBBD4EC" w14:textId="77777777" w:rsidR="009E1285" w:rsidRPr="00F85178" w:rsidRDefault="009E1285" w:rsidP="009E1285">
      <w:pPr>
        <w:pStyle w:val="OdstavecASR"/>
      </w:pPr>
      <w:r w:rsidRPr="00F85178">
        <w:t>Přepočteme-li na soudce počet příchozích věcí a počet vyřízených věcí, výrazně nižší hodnoty než ostatní soudy vykazují MS Praha a KS Ostrava. To je dáno tím, že tyto soudy mají na insolvenčním úseku relativně více soudců. Více soudců na tomto úseku mají proto, že jejich insolvenční agenda je výrazně složitější než u ostatních soudů. U MS v Praze je za to zodpovědný především větší podíl úpadků řešených konkurzem. U KS v Ostravě je to dáno především složitostí několika konkrétních věcí. Tyto kauzy jsou dobře známy ze sdělovacích prostředků.</w:t>
      </w:r>
    </w:p>
    <w:p w14:paraId="4FE43DAC" w14:textId="77777777" w:rsidR="009E1285" w:rsidRPr="00F85178" w:rsidRDefault="009E1285" w:rsidP="009E1285">
      <w:pPr>
        <w:pStyle w:val="OdstavecASR"/>
      </w:pPr>
      <w:r w:rsidRPr="00F85178">
        <w:t>Počty nevyřízených věcí na soudce před rozhodnutím o úpadku jsou nízké a opět ukazují, že v ČR není soud, který by měl výraznější problémy s vyřizováním insolvenčních návrhů.</w:t>
      </w:r>
    </w:p>
    <w:p w14:paraId="021EC475" w14:textId="77777777" w:rsidR="009E1285" w:rsidRPr="00F85178" w:rsidRDefault="009E1285" w:rsidP="009E1285">
      <w:pPr>
        <w:pStyle w:val="OdstavecASR"/>
      </w:pPr>
      <w:r w:rsidRPr="00F85178">
        <w:t>Uvádíme také přepočet na soudce u věcí nevyřízených po rozhodnutí o úpadku. Tento ukazatel vypovídá jak o socioekonomické situace v krajích, tak i o zatíženosti soudů.</w:t>
      </w:r>
    </w:p>
    <w:p w14:paraId="71636F3A" w14:textId="77777777" w:rsidR="00412CE3" w:rsidRPr="00F85178" w:rsidRDefault="009E1285" w:rsidP="00145840">
      <w:pPr>
        <w:pStyle w:val="OdstavecASR"/>
      </w:pPr>
      <w:r w:rsidRPr="00F85178">
        <w:t>DT není u této agendy uveden, jeho použití u této agendy se jeví jako nevhodné, neboť se jedná o vícefázové řízení.</w:t>
      </w:r>
    </w:p>
    <w:p w14:paraId="0EAF0328" w14:textId="77777777" w:rsidR="005D3C01" w:rsidRPr="00F85178" w:rsidRDefault="005D3C01" w:rsidP="009E1285">
      <w:pPr>
        <w:pStyle w:val="Nadpis3"/>
        <w:pageBreakBefore/>
        <w:rPr>
          <w:color w:val="auto"/>
        </w:rPr>
      </w:pPr>
      <w:bookmarkStart w:id="579" w:name="_Toc515871276"/>
      <w:bookmarkStart w:id="580" w:name="_Toc14076925"/>
      <w:r w:rsidRPr="00F85178">
        <w:rPr>
          <w:color w:val="auto"/>
        </w:rPr>
        <w:t>Další statistiky</w:t>
      </w:r>
      <w:bookmarkEnd w:id="579"/>
      <w:bookmarkEnd w:id="580"/>
    </w:p>
    <w:p w14:paraId="6B18BC1E" w14:textId="77777777" w:rsidR="009E1285" w:rsidRPr="00F85178" w:rsidRDefault="009E1285" w:rsidP="009E1285">
      <w:pPr>
        <w:pStyle w:val="OdstavecASR"/>
      </w:pPr>
      <w:r w:rsidRPr="00F85178">
        <w:t>Nejzajímavějším a také velmi důležitým statistickým údajem je složení agendy z hlediska způsobu řešení úpadku. V následující tabulce uvádíme podíl počtu věcí dosud v řízení podle jednotlivých způsobů řešení úpadku a podle krajských soudů ke konci roku 2017.</w:t>
      </w:r>
    </w:p>
    <w:p w14:paraId="2EF5B9A5" w14:textId="77777777" w:rsidR="00A8180B" w:rsidRPr="00F85178" w:rsidRDefault="003B0C9C" w:rsidP="003B0C9C">
      <w:pPr>
        <w:pStyle w:val="Podtitul"/>
        <w:rPr>
          <w:color w:val="auto"/>
        </w:rPr>
      </w:pPr>
      <w:bookmarkStart w:id="581" w:name="_Toc515871501"/>
      <w:bookmarkStart w:id="582" w:name="_Toc11133267"/>
      <w:bookmarkStart w:id="583" w:name="_Toc13837488"/>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65</w:t>
      </w:r>
      <w:r w:rsidRPr="00F85178">
        <w:rPr>
          <w:noProof/>
          <w:color w:val="auto"/>
        </w:rPr>
        <w:fldChar w:fldCharType="end"/>
      </w:r>
      <w:r w:rsidRPr="00F85178">
        <w:rPr>
          <w:color w:val="auto"/>
        </w:rPr>
        <w:t>: KS – podíl jednotlivých způsobů řešení úpadku</w:t>
      </w:r>
      <w:bookmarkEnd w:id="581"/>
      <w:bookmarkEnd w:id="582"/>
      <w:bookmarkEnd w:id="583"/>
    </w:p>
    <w:tbl>
      <w:tblPr>
        <w:tblW w:w="7520" w:type="dxa"/>
        <w:tblCellMar>
          <w:left w:w="70" w:type="dxa"/>
          <w:right w:w="70" w:type="dxa"/>
        </w:tblCellMar>
        <w:tblLook w:val="04A0" w:firstRow="1" w:lastRow="0" w:firstColumn="1" w:lastColumn="0" w:noHBand="0" w:noVBand="1"/>
      </w:tblPr>
      <w:tblGrid>
        <w:gridCol w:w="2480"/>
        <w:gridCol w:w="1578"/>
        <w:gridCol w:w="1771"/>
        <w:gridCol w:w="1691"/>
      </w:tblGrid>
      <w:tr w:rsidR="00F85178" w:rsidRPr="00F85178" w14:paraId="422C57A5" w14:textId="77777777" w:rsidTr="003B0C9C">
        <w:trPr>
          <w:trHeight w:val="330"/>
        </w:trPr>
        <w:tc>
          <w:tcPr>
            <w:tcW w:w="2480" w:type="dxa"/>
            <w:vMerge w:val="restart"/>
            <w:tcBorders>
              <w:top w:val="double" w:sz="6" w:space="0" w:color="auto"/>
              <w:left w:val="nil"/>
              <w:bottom w:val="double" w:sz="6" w:space="0" w:color="000000"/>
              <w:right w:val="nil"/>
            </w:tcBorders>
            <w:shd w:val="clear" w:color="auto" w:fill="auto"/>
            <w:noWrap/>
            <w:vAlign w:val="center"/>
            <w:hideMark/>
          </w:tcPr>
          <w:p w14:paraId="23DFB467"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040" w:type="dxa"/>
            <w:gridSpan w:val="3"/>
            <w:tcBorders>
              <w:top w:val="double" w:sz="6" w:space="0" w:color="auto"/>
              <w:left w:val="nil"/>
              <w:bottom w:val="nil"/>
              <w:right w:val="nil"/>
            </w:tcBorders>
            <w:shd w:val="clear" w:color="auto" w:fill="auto"/>
            <w:noWrap/>
            <w:vAlign w:val="center"/>
            <w:hideMark/>
          </w:tcPr>
          <w:p w14:paraId="58189581"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Způsob řešení úpadku</w:t>
            </w:r>
          </w:p>
        </w:tc>
      </w:tr>
      <w:tr w:rsidR="00F85178" w:rsidRPr="00F85178" w14:paraId="0599A2BB" w14:textId="77777777" w:rsidTr="003B0C9C">
        <w:trPr>
          <w:trHeight w:val="330"/>
        </w:trPr>
        <w:tc>
          <w:tcPr>
            <w:tcW w:w="2480" w:type="dxa"/>
            <w:vMerge/>
            <w:tcBorders>
              <w:top w:val="double" w:sz="6" w:space="0" w:color="auto"/>
              <w:left w:val="nil"/>
              <w:bottom w:val="double" w:sz="6" w:space="0" w:color="000000"/>
              <w:right w:val="nil"/>
            </w:tcBorders>
            <w:vAlign w:val="center"/>
            <w:hideMark/>
          </w:tcPr>
          <w:p w14:paraId="3A2B305B" w14:textId="77777777" w:rsidR="003B0C9C" w:rsidRPr="00F85178" w:rsidRDefault="003B0C9C" w:rsidP="003B0C9C">
            <w:pPr>
              <w:spacing w:line="240" w:lineRule="auto"/>
              <w:jc w:val="left"/>
              <w:rPr>
                <w:rFonts w:eastAsia="Times New Roman"/>
                <w:b/>
                <w:bCs/>
                <w:szCs w:val="24"/>
                <w:lang w:eastAsia="cs-CZ"/>
              </w:rPr>
            </w:pPr>
          </w:p>
        </w:tc>
        <w:tc>
          <w:tcPr>
            <w:tcW w:w="1578" w:type="dxa"/>
            <w:tcBorders>
              <w:top w:val="nil"/>
              <w:left w:val="nil"/>
              <w:bottom w:val="double" w:sz="6" w:space="0" w:color="auto"/>
              <w:right w:val="nil"/>
            </w:tcBorders>
            <w:shd w:val="clear" w:color="auto" w:fill="auto"/>
            <w:noWrap/>
            <w:vAlign w:val="center"/>
            <w:hideMark/>
          </w:tcPr>
          <w:p w14:paraId="25EADD9D"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Konkurzem</w:t>
            </w:r>
          </w:p>
        </w:tc>
        <w:tc>
          <w:tcPr>
            <w:tcW w:w="1771" w:type="dxa"/>
            <w:tcBorders>
              <w:top w:val="nil"/>
              <w:left w:val="nil"/>
              <w:bottom w:val="double" w:sz="6" w:space="0" w:color="auto"/>
              <w:right w:val="nil"/>
            </w:tcBorders>
            <w:shd w:val="clear" w:color="auto" w:fill="auto"/>
            <w:noWrap/>
            <w:vAlign w:val="center"/>
            <w:hideMark/>
          </w:tcPr>
          <w:p w14:paraId="3E449F9C"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Reorganizací</w:t>
            </w:r>
          </w:p>
        </w:tc>
        <w:tc>
          <w:tcPr>
            <w:tcW w:w="1691" w:type="dxa"/>
            <w:tcBorders>
              <w:top w:val="nil"/>
              <w:left w:val="nil"/>
              <w:bottom w:val="double" w:sz="6" w:space="0" w:color="auto"/>
              <w:right w:val="nil"/>
            </w:tcBorders>
            <w:shd w:val="clear" w:color="auto" w:fill="auto"/>
            <w:noWrap/>
            <w:vAlign w:val="center"/>
            <w:hideMark/>
          </w:tcPr>
          <w:p w14:paraId="69ABF9C3"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Oddlužením</w:t>
            </w:r>
          </w:p>
        </w:tc>
      </w:tr>
      <w:tr w:rsidR="00F85178" w:rsidRPr="00F85178" w14:paraId="27278619" w14:textId="77777777" w:rsidTr="003B0C9C">
        <w:trPr>
          <w:trHeight w:val="330"/>
        </w:trPr>
        <w:tc>
          <w:tcPr>
            <w:tcW w:w="2480" w:type="dxa"/>
            <w:tcBorders>
              <w:top w:val="single" w:sz="4" w:space="0" w:color="auto"/>
              <w:left w:val="nil"/>
              <w:bottom w:val="single" w:sz="4" w:space="0" w:color="auto"/>
              <w:right w:val="nil"/>
            </w:tcBorders>
            <w:shd w:val="clear" w:color="auto" w:fill="auto"/>
            <w:noWrap/>
            <w:vAlign w:val="bottom"/>
            <w:hideMark/>
          </w:tcPr>
          <w:p w14:paraId="7204A132"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MS Praha</w:t>
            </w:r>
          </w:p>
        </w:tc>
        <w:tc>
          <w:tcPr>
            <w:tcW w:w="1578" w:type="dxa"/>
            <w:tcBorders>
              <w:top w:val="single" w:sz="4" w:space="0" w:color="auto"/>
              <w:left w:val="nil"/>
              <w:bottom w:val="single" w:sz="4" w:space="0" w:color="auto"/>
              <w:right w:val="nil"/>
            </w:tcBorders>
            <w:shd w:val="clear" w:color="auto" w:fill="auto"/>
            <w:noWrap/>
            <w:vAlign w:val="bottom"/>
            <w:hideMark/>
          </w:tcPr>
          <w:p w14:paraId="36A8DD05"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19,66</w:t>
            </w:r>
          </w:p>
        </w:tc>
        <w:tc>
          <w:tcPr>
            <w:tcW w:w="1771" w:type="dxa"/>
            <w:tcBorders>
              <w:top w:val="single" w:sz="4" w:space="0" w:color="auto"/>
              <w:left w:val="nil"/>
              <w:bottom w:val="single" w:sz="4" w:space="0" w:color="auto"/>
              <w:right w:val="nil"/>
            </w:tcBorders>
            <w:shd w:val="clear" w:color="auto" w:fill="auto"/>
            <w:noWrap/>
            <w:vAlign w:val="bottom"/>
            <w:hideMark/>
          </w:tcPr>
          <w:p w14:paraId="0733EB5A"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0,15</w:t>
            </w:r>
          </w:p>
        </w:tc>
        <w:tc>
          <w:tcPr>
            <w:tcW w:w="1691" w:type="dxa"/>
            <w:tcBorders>
              <w:top w:val="single" w:sz="4" w:space="0" w:color="auto"/>
              <w:left w:val="nil"/>
              <w:bottom w:val="single" w:sz="4" w:space="0" w:color="auto"/>
              <w:right w:val="nil"/>
            </w:tcBorders>
            <w:shd w:val="clear" w:color="auto" w:fill="auto"/>
            <w:noWrap/>
            <w:vAlign w:val="bottom"/>
            <w:hideMark/>
          </w:tcPr>
          <w:p w14:paraId="6DD889B3"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80,19</w:t>
            </w:r>
          </w:p>
        </w:tc>
      </w:tr>
      <w:tr w:rsidR="00F85178" w:rsidRPr="00F85178" w14:paraId="39DECFA3"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3250407A"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Praha</w:t>
            </w:r>
          </w:p>
        </w:tc>
        <w:tc>
          <w:tcPr>
            <w:tcW w:w="1578" w:type="dxa"/>
            <w:tcBorders>
              <w:top w:val="nil"/>
              <w:left w:val="nil"/>
              <w:bottom w:val="single" w:sz="4" w:space="0" w:color="auto"/>
              <w:right w:val="nil"/>
            </w:tcBorders>
            <w:shd w:val="clear" w:color="auto" w:fill="auto"/>
            <w:noWrap/>
            <w:vAlign w:val="bottom"/>
            <w:hideMark/>
          </w:tcPr>
          <w:p w14:paraId="4BC66887"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6,97</w:t>
            </w:r>
          </w:p>
        </w:tc>
        <w:tc>
          <w:tcPr>
            <w:tcW w:w="1771" w:type="dxa"/>
            <w:tcBorders>
              <w:top w:val="nil"/>
              <w:left w:val="nil"/>
              <w:bottom w:val="single" w:sz="4" w:space="0" w:color="auto"/>
              <w:right w:val="nil"/>
            </w:tcBorders>
            <w:shd w:val="clear" w:color="auto" w:fill="auto"/>
            <w:noWrap/>
            <w:vAlign w:val="bottom"/>
            <w:hideMark/>
          </w:tcPr>
          <w:p w14:paraId="15A4E594"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72080CC5"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93,00</w:t>
            </w:r>
          </w:p>
        </w:tc>
      </w:tr>
      <w:tr w:rsidR="00F85178" w:rsidRPr="00F85178" w14:paraId="2D5B3C65"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33D0739C"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Č. Budějovice</w:t>
            </w:r>
          </w:p>
        </w:tc>
        <w:tc>
          <w:tcPr>
            <w:tcW w:w="1578" w:type="dxa"/>
            <w:tcBorders>
              <w:top w:val="nil"/>
              <w:left w:val="nil"/>
              <w:bottom w:val="single" w:sz="4" w:space="0" w:color="auto"/>
              <w:right w:val="nil"/>
            </w:tcBorders>
            <w:shd w:val="clear" w:color="auto" w:fill="auto"/>
            <w:noWrap/>
            <w:vAlign w:val="bottom"/>
            <w:hideMark/>
          </w:tcPr>
          <w:p w14:paraId="5EF007E1"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5,63</w:t>
            </w:r>
          </w:p>
        </w:tc>
        <w:tc>
          <w:tcPr>
            <w:tcW w:w="1771" w:type="dxa"/>
            <w:tcBorders>
              <w:top w:val="nil"/>
              <w:left w:val="nil"/>
              <w:bottom w:val="single" w:sz="4" w:space="0" w:color="auto"/>
              <w:right w:val="nil"/>
            </w:tcBorders>
            <w:shd w:val="clear" w:color="auto" w:fill="auto"/>
            <w:noWrap/>
            <w:vAlign w:val="bottom"/>
            <w:hideMark/>
          </w:tcPr>
          <w:p w14:paraId="396B2545"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0,03</w:t>
            </w:r>
          </w:p>
        </w:tc>
        <w:tc>
          <w:tcPr>
            <w:tcW w:w="1691" w:type="dxa"/>
            <w:tcBorders>
              <w:top w:val="nil"/>
              <w:left w:val="nil"/>
              <w:bottom w:val="single" w:sz="4" w:space="0" w:color="auto"/>
              <w:right w:val="nil"/>
            </w:tcBorders>
            <w:shd w:val="clear" w:color="auto" w:fill="auto"/>
            <w:noWrap/>
            <w:vAlign w:val="bottom"/>
            <w:hideMark/>
          </w:tcPr>
          <w:p w14:paraId="5E819C6F"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94,34</w:t>
            </w:r>
          </w:p>
        </w:tc>
      </w:tr>
      <w:tr w:rsidR="00F85178" w:rsidRPr="00F85178" w14:paraId="1EA58CB4"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2028C204"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Plzeň</w:t>
            </w:r>
          </w:p>
        </w:tc>
        <w:tc>
          <w:tcPr>
            <w:tcW w:w="1578" w:type="dxa"/>
            <w:tcBorders>
              <w:top w:val="nil"/>
              <w:left w:val="nil"/>
              <w:bottom w:val="single" w:sz="4" w:space="0" w:color="auto"/>
              <w:right w:val="nil"/>
            </w:tcBorders>
            <w:shd w:val="clear" w:color="auto" w:fill="auto"/>
            <w:noWrap/>
            <w:vAlign w:val="bottom"/>
            <w:hideMark/>
          </w:tcPr>
          <w:p w14:paraId="56A7C654"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6,08</w:t>
            </w:r>
          </w:p>
        </w:tc>
        <w:tc>
          <w:tcPr>
            <w:tcW w:w="1771" w:type="dxa"/>
            <w:tcBorders>
              <w:top w:val="nil"/>
              <w:left w:val="nil"/>
              <w:bottom w:val="single" w:sz="4" w:space="0" w:color="auto"/>
              <w:right w:val="nil"/>
            </w:tcBorders>
            <w:shd w:val="clear" w:color="auto" w:fill="auto"/>
            <w:noWrap/>
            <w:vAlign w:val="bottom"/>
            <w:hideMark/>
          </w:tcPr>
          <w:p w14:paraId="7D706B2A"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0,02</w:t>
            </w:r>
          </w:p>
        </w:tc>
        <w:tc>
          <w:tcPr>
            <w:tcW w:w="1691" w:type="dxa"/>
            <w:tcBorders>
              <w:top w:val="nil"/>
              <w:left w:val="nil"/>
              <w:bottom w:val="single" w:sz="4" w:space="0" w:color="auto"/>
              <w:right w:val="nil"/>
            </w:tcBorders>
            <w:shd w:val="clear" w:color="auto" w:fill="auto"/>
            <w:noWrap/>
            <w:vAlign w:val="bottom"/>
            <w:hideMark/>
          </w:tcPr>
          <w:p w14:paraId="5CCC249D"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93,90</w:t>
            </w:r>
          </w:p>
        </w:tc>
      </w:tr>
      <w:tr w:rsidR="00F85178" w:rsidRPr="00F85178" w14:paraId="7DA4C4A0"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50139DEC"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Ústí n. Labem</w:t>
            </w:r>
          </w:p>
        </w:tc>
        <w:tc>
          <w:tcPr>
            <w:tcW w:w="1578" w:type="dxa"/>
            <w:tcBorders>
              <w:top w:val="nil"/>
              <w:left w:val="nil"/>
              <w:bottom w:val="single" w:sz="4" w:space="0" w:color="auto"/>
              <w:right w:val="nil"/>
            </w:tcBorders>
            <w:shd w:val="clear" w:color="auto" w:fill="auto"/>
            <w:noWrap/>
            <w:vAlign w:val="bottom"/>
            <w:hideMark/>
          </w:tcPr>
          <w:p w14:paraId="1B9E39FB"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4,82</w:t>
            </w:r>
          </w:p>
        </w:tc>
        <w:tc>
          <w:tcPr>
            <w:tcW w:w="1771" w:type="dxa"/>
            <w:tcBorders>
              <w:top w:val="nil"/>
              <w:left w:val="nil"/>
              <w:bottom w:val="single" w:sz="4" w:space="0" w:color="auto"/>
              <w:right w:val="nil"/>
            </w:tcBorders>
            <w:shd w:val="clear" w:color="auto" w:fill="auto"/>
            <w:noWrap/>
            <w:vAlign w:val="bottom"/>
            <w:hideMark/>
          </w:tcPr>
          <w:p w14:paraId="20232475"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0,00</w:t>
            </w:r>
          </w:p>
        </w:tc>
        <w:tc>
          <w:tcPr>
            <w:tcW w:w="1691" w:type="dxa"/>
            <w:tcBorders>
              <w:top w:val="nil"/>
              <w:left w:val="nil"/>
              <w:bottom w:val="single" w:sz="4" w:space="0" w:color="auto"/>
              <w:right w:val="nil"/>
            </w:tcBorders>
            <w:shd w:val="clear" w:color="auto" w:fill="auto"/>
            <w:noWrap/>
            <w:vAlign w:val="bottom"/>
            <w:hideMark/>
          </w:tcPr>
          <w:p w14:paraId="7F3A60E9"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95,18</w:t>
            </w:r>
          </w:p>
        </w:tc>
      </w:tr>
      <w:tr w:rsidR="00F85178" w:rsidRPr="00F85178" w14:paraId="368B7A9C"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3518233D"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Hr. Králové</w:t>
            </w:r>
          </w:p>
        </w:tc>
        <w:tc>
          <w:tcPr>
            <w:tcW w:w="1578" w:type="dxa"/>
            <w:tcBorders>
              <w:top w:val="nil"/>
              <w:left w:val="nil"/>
              <w:bottom w:val="single" w:sz="4" w:space="0" w:color="auto"/>
              <w:right w:val="nil"/>
            </w:tcBorders>
            <w:shd w:val="clear" w:color="auto" w:fill="auto"/>
            <w:noWrap/>
            <w:vAlign w:val="bottom"/>
            <w:hideMark/>
          </w:tcPr>
          <w:p w14:paraId="7A0CB166"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6,37</w:t>
            </w:r>
          </w:p>
        </w:tc>
        <w:tc>
          <w:tcPr>
            <w:tcW w:w="1771" w:type="dxa"/>
            <w:tcBorders>
              <w:top w:val="nil"/>
              <w:left w:val="nil"/>
              <w:bottom w:val="single" w:sz="4" w:space="0" w:color="auto"/>
              <w:right w:val="nil"/>
            </w:tcBorders>
            <w:shd w:val="clear" w:color="auto" w:fill="auto"/>
            <w:noWrap/>
            <w:vAlign w:val="bottom"/>
            <w:hideMark/>
          </w:tcPr>
          <w:p w14:paraId="53FE98E1"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0,01</w:t>
            </w:r>
          </w:p>
        </w:tc>
        <w:tc>
          <w:tcPr>
            <w:tcW w:w="1691" w:type="dxa"/>
            <w:tcBorders>
              <w:top w:val="nil"/>
              <w:left w:val="nil"/>
              <w:bottom w:val="single" w:sz="4" w:space="0" w:color="auto"/>
              <w:right w:val="nil"/>
            </w:tcBorders>
            <w:shd w:val="clear" w:color="auto" w:fill="auto"/>
            <w:noWrap/>
            <w:vAlign w:val="bottom"/>
            <w:hideMark/>
          </w:tcPr>
          <w:p w14:paraId="693BCF45"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93,62</w:t>
            </w:r>
          </w:p>
        </w:tc>
      </w:tr>
      <w:tr w:rsidR="00F85178" w:rsidRPr="00F85178" w14:paraId="3A7F0397" w14:textId="77777777" w:rsidTr="003B0C9C">
        <w:trPr>
          <w:trHeight w:val="315"/>
        </w:trPr>
        <w:tc>
          <w:tcPr>
            <w:tcW w:w="2480" w:type="dxa"/>
            <w:tcBorders>
              <w:top w:val="nil"/>
              <w:left w:val="nil"/>
              <w:bottom w:val="single" w:sz="4" w:space="0" w:color="auto"/>
              <w:right w:val="nil"/>
            </w:tcBorders>
            <w:shd w:val="clear" w:color="auto" w:fill="auto"/>
            <w:noWrap/>
            <w:vAlign w:val="bottom"/>
            <w:hideMark/>
          </w:tcPr>
          <w:p w14:paraId="1FEB85C5"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Brno</w:t>
            </w:r>
          </w:p>
        </w:tc>
        <w:tc>
          <w:tcPr>
            <w:tcW w:w="1578" w:type="dxa"/>
            <w:tcBorders>
              <w:top w:val="nil"/>
              <w:left w:val="nil"/>
              <w:bottom w:val="single" w:sz="4" w:space="0" w:color="auto"/>
              <w:right w:val="nil"/>
            </w:tcBorders>
            <w:shd w:val="clear" w:color="auto" w:fill="auto"/>
            <w:noWrap/>
            <w:vAlign w:val="bottom"/>
            <w:hideMark/>
          </w:tcPr>
          <w:p w14:paraId="29779AE7"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9,93</w:t>
            </w:r>
          </w:p>
        </w:tc>
        <w:tc>
          <w:tcPr>
            <w:tcW w:w="1771" w:type="dxa"/>
            <w:tcBorders>
              <w:top w:val="nil"/>
              <w:left w:val="nil"/>
              <w:bottom w:val="single" w:sz="4" w:space="0" w:color="auto"/>
              <w:right w:val="nil"/>
            </w:tcBorders>
            <w:shd w:val="clear" w:color="auto" w:fill="auto"/>
            <w:noWrap/>
            <w:vAlign w:val="bottom"/>
            <w:hideMark/>
          </w:tcPr>
          <w:p w14:paraId="6C7E5C91"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0,06</w:t>
            </w:r>
          </w:p>
        </w:tc>
        <w:tc>
          <w:tcPr>
            <w:tcW w:w="1691" w:type="dxa"/>
            <w:tcBorders>
              <w:top w:val="nil"/>
              <w:left w:val="nil"/>
              <w:bottom w:val="single" w:sz="4" w:space="0" w:color="auto"/>
              <w:right w:val="nil"/>
            </w:tcBorders>
            <w:shd w:val="clear" w:color="auto" w:fill="auto"/>
            <w:noWrap/>
            <w:vAlign w:val="bottom"/>
            <w:hideMark/>
          </w:tcPr>
          <w:p w14:paraId="46B21FE9"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90,01</w:t>
            </w:r>
          </w:p>
        </w:tc>
      </w:tr>
      <w:tr w:rsidR="00F85178" w:rsidRPr="00F85178" w14:paraId="2BF75BAB" w14:textId="77777777" w:rsidTr="003B0C9C">
        <w:trPr>
          <w:trHeight w:val="330"/>
        </w:trPr>
        <w:tc>
          <w:tcPr>
            <w:tcW w:w="2480" w:type="dxa"/>
            <w:tcBorders>
              <w:top w:val="nil"/>
              <w:left w:val="nil"/>
              <w:bottom w:val="double" w:sz="6" w:space="0" w:color="auto"/>
              <w:right w:val="nil"/>
            </w:tcBorders>
            <w:shd w:val="clear" w:color="auto" w:fill="auto"/>
            <w:noWrap/>
            <w:vAlign w:val="bottom"/>
            <w:hideMark/>
          </w:tcPr>
          <w:p w14:paraId="35B97872" w14:textId="77777777" w:rsidR="003B0C9C" w:rsidRPr="00F85178" w:rsidRDefault="003B0C9C" w:rsidP="003B0C9C">
            <w:pPr>
              <w:spacing w:line="240" w:lineRule="auto"/>
              <w:jc w:val="left"/>
              <w:rPr>
                <w:rFonts w:eastAsia="Times New Roman"/>
                <w:szCs w:val="24"/>
                <w:lang w:eastAsia="cs-CZ"/>
              </w:rPr>
            </w:pPr>
            <w:r w:rsidRPr="00F85178">
              <w:rPr>
                <w:rFonts w:eastAsia="Times New Roman"/>
                <w:szCs w:val="24"/>
                <w:lang w:eastAsia="cs-CZ"/>
              </w:rPr>
              <w:t>KS Ostrava</w:t>
            </w:r>
          </w:p>
        </w:tc>
        <w:tc>
          <w:tcPr>
            <w:tcW w:w="1578" w:type="dxa"/>
            <w:tcBorders>
              <w:top w:val="nil"/>
              <w:left w:val="nil"/>
              <w:bottom w:val="double" w:sz="6" w:space="0" w:color="auto"/>
              <w:right w:val="nil"/>
            </w:tcBorders>
            <w:shd w:val="clear" w:color="auto" w:fill="auto"/>
            <w:noWrap/>
            <w:vAlign w:val="bottom"/>
            <w:hideMark/>
          </w:tcPr>
          <w:p w14:paraId="274E76EC"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4,65</w:t>
            </w:r>
          </w:p>
        </w:tc>
        <w:tc>
          <w:tcPr>
            <w:tcW w:w="1771" w:type="dxa"/>
            <w:tcBorders>
              <w:top w:val="nil"/>
              <w:left w:val="nil"/>
              <w:bottom w:val="double" w:sz="6" w:space="0" w:color="auto"/>
              <w:right w:val="nil"/>
            </w:tcBorders>
            <w:shd w:val="clear" w:color="auto" w:fill="auto"/>
            <w:noWrap/>
            <w:vAlign w:val="bottom"/>
            <w:hideMark/>
          </w:tcPr>
          <w:p w14:paraId="0834F67B"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0,06</w:t>
            </w:r>
          </w:p>
        </w:tc>
        <w:tc>
          <w:tcPr>
            <w:tcW w:w="1691" w:type="dxa"/>
            <w:tcBorders>
              <w:top w:val="nil"/>
              <w:left w:val="nil"/>
              <w:bottom w:val="double" w:sz="6" w:space="0" w:color="auto"/>
              <w:right w:val="nil"/>
            </w:tcBorders>
            <w:shd w:val="clear" w:color="auto" w:fill="auto"/>
            <w:noWrap/>
            <w:vAlign w:val="bottom"/>
            <w:hideMark/>
          </w:tcPr>
          <w:p w14:paraId="72E08FBE" w14:textId="77777777" w:rsidR="003B0C9C" w:rsidRPr="00F85178" w:rsidRDefault="003B0C9C" w:rsidP="003B0C9C">
            <w:pPr>
              <w:spacing w:line="240" w:lineRule="auto"/>
              <w:jc w:val="center"/>
              <w:rPr>
                <w:rFonts w:eastAsia="Times New Roman"/>
                <w:szCs w:val="24"/>
                <w:lang w:eastAsia="cs-CZ"/>
              </w:rPr>
            </w:pPr>
            <w:r w:rsidRPr="00F85178">
              <w:rPr>
                <w:rFonts w:eastAsia="Times New Roman"/>
                <w:szCs w:val="24"/>
                <w:lang w:eastAsia="cs-CZ"/>
              </w:rPr>
              <w:t>95,29</w:t>
            </w:r>
          </w:p>
        </w:tc>
      </w:tr>
      <w:tr w:rsidR="003B0C9C" w:rsidRPr="00F85178" w14:paraId="1B4BAB1E" w14:textId="77777777" w:rsidTr="003B0C9C">
        <w:trPr>
          <w:trHeight w:val="345"/>
        </w:trPr>
        <w:tc>
          <w:tcPr>
            <w:tcW w:w="2480" w:type="dxa"/>
            <w:tcBorders>
              <w:top w:val="nil"/>
              <w:left w:val="nil"/>
              <w:bottom w:val="double" w:sz="6" w:space="0" w:color="auto"/>
              <w:right w:val="nil"/>
            </w:tcBorders>
            <w:shd w:val="clear" w:color="auto" w:fill="auto"/>
            <w:noWrap/>
            <w:vAlign w:val="bottom"/>
            <w:hideMark/>
          </w:tcPr>
          <w:p w14:paraId="4B847B79" w14:textId="77777777" w:rsidR="003B0C9C" w:rsidRPr="00F85178" w:rsidRDefault="003B0C9C" w:rsidP="003B0C9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578" w:type="dxa"/>
            <w:tcBorders>
              <w:top w:val="nil"/>
              <w:left w:val="nil"/>
              <w:bottom w:val="double" w:sz="6" w:space="0" w:color="auto"/>
              <w:right w:val="nil"/>
            </w:tcBorders>
            <w:shd w:val="clear" w:color="auto" w:fill="auto"/>
            <w:noWrap/>
            <w:vAlign w:val="bottom"/>
            <w:hideMark/>
          </w:tcPr>
          <w:p w14:paraId="3481AE52"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7,21</w:t>
            </w:r>
          </w:p>
        </w:tc>
        <w:tc>
          <w:tcPr>
            <w:tcW w:w="1771" w:type="dxa"/>
            <w:tcBorders>
              <w:top w:val="nil"/>
              <w:left w:val="nil"/>
              <w:bottom w:val="double" w:sz="6" w:space="0" w:color="auto"/>
              <w:right w:val="nil"/>
            </w:tcBorders>
            <w:shd w:val="clear" w:color="auto" w:fill="auto"/>
            <w:noWrap/>
            <w:vAlign w:val="bottom"/>
            <w:hideMark/>
          </w:tcPr>
          <w:p w14:paraId="6E093FB3"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0,04</w:t>
            </w:r>
          </w:p>
        </w:tc>
        <w:tc>
          <w:tcPr>
            <w:tcW w:w="1691" w:type="dxa"/>
            <w:tcBorders>
              <w:top w:val="nil"/>
              <w:left w:val="nil"/>
              <w:bottom w:val="double" w:sz="6" w:space="0" w:color="auto"/>
              <w:right w:val="nil"/>
            </w:tcBorders>
            <w:shd w:val="clear" w:color="auto" w:fill="auto"/>
            <w:noWrap/>
            <w:vAlign w:val="bottom"/>
            <w:hideMark/>
          </w:tcPr>
          <w:p w14:paraId="73DDB3E7" w14:textId="77777777" w:rsidR="003B0C9C" w:rsidRPr="00F85178" w:rsidRDefault="003B0C9C" w:rsidP="003B0C9C">
            <w:pPr>
              <w:spacing w:line="240" w:lineRule="auto"/>
              <w:jc w:val="center"/>
              <w:rPr>
                <w:rFonts w:eastAsia="Times New Roman"/>
                <w:b/>
                <w:bCs/>
                <w:szCs w:val="24"/>
                <w:lang w:eastAsia="cs-CZ"/>
              </w:rPr>
            </w:pPr>
            <w:r w:rsidRPr="00F85178">
              <w:rPr>
                <w:rFonts w:eastAsia="Times New Roman"/>
                <w:b/>
                <w:bCs/>
                <w:szCs w:val="24"/>
                <w:lang w:eastAsia="cs-CZ"/>
              </w:rPr>
              <w:t>92,75</w:t>
            </w:r>
          </w:p>
        </w:tc>
      </w:tr>
    </w:tbl>
    <w:p w14:paraId="40F05DAA" w14:textId="77777777" w:rsidR="003B0C9C" w:rsidRPr="00F85178" w:rsidRDefault="003B0C9C" w:rsidP="00145840">
      <w:pPr>
        <w:pStyle w:val="OdstavecASR"/>
      </w:pPr>
    </w:p>
    <w:p w14:paraId="60460C56" w14:textId="77777777" w:rsidR="00212C79" w:rsidRPr="00F85178" w:rsidRDefault="00212C79" w:rsidP="00212C79">
      <w:pPr>
        <w:pStyle w:val="OdstavecASR"/>
      </w:pPr>
      <w:r w:rsidRPr="00F85178">
        <w:t>Naprosté minimum věcí se řeší reorganizací, pouze asi 7 % věcí se řeší konkurzem (ve většině případů se jedná o řešení úpadku právnických osob). Oproti loňskému roku podíl věcí řešených konkurzem opět klesl, a to asi o 1,6 procentního bodu. Rozdíl mezi rokem 2016 a 2017 byl 1,5 procentního bodu. Velmi zajímavé jsou rozdíly mezi jednotlivými soudy. Největší podíl úpadků řešených konkurzem má suverénně Praha (asi dvaapůlkrát až třikrát více než je celorepublikový průměr), nejmenší naopak KS Ústí nad Labem a KS Ostrava. To je dáno zejména tím, že v Praze sídlí velké množství společností a koncentrují se zde tedy podnikatelské úpadky a zároveň je zde naopak relativně menší množství spotřebitelů ohrožených insolvencí oproti ekonomicky slabým regionům.</w:t>
      </w:r>
    </w:p>
    <w:p w14:paraId="7A542750" w14:textId="244D6A87" w:rsidR="003B0C9C" w:rsidRPr="00F85178" w:rsidRDefault="003B0C9C">
      <w:pPr>
        <w:spacing w:line="240" w:lineRule="auto"/>
        <w:jc w:val="left"/>
      </w:pPr>
      <w:r w:rsidRPr="00F85178">
        <w:br w:type="page"/>
      </w:r>
    </w:p>
    <w:p w14:paraId="097533BC" w14:textId="77777777" w:rsidR="003B0C9C" w:rsidRPr="00F85178" w:rsidRDefault="003B0C9C" w:rsidP="003B0C9C">
      <w:pPr>
        <w:pStyle w:val="Nadpis1"/>
        <w:rPr>
          <w:noProof/>
          <w:lang w:eastAsia="cs-CZ"/>
        </w:rPr>
      </w:pPr>
      <w:bookmarkStart w:id="584" w:name="_Toc515871277"/>
      <w:bookmarkStart w:id="585" w:name="_Toc14076926"/>
      <w:r w:rsidRPr="00F85178">
        <w:rPr>
          <w:noProof/>
          <w:lang w:eastAsia="cs-CZ"/>
        </w:rPr>
        <w:t>Vrchní soudy</w:t>
      </w:r>
      <w:bookmarkEnd w:id="584"/>
      <w:bookmarkEnd w:id="585"/>
    </w:p>
    <w:p w14:paraId="704E5696" w14:textId="77777777" w:rsidR="009E1285" w:rsidRPr="00F85178" w:rsidRDefault="009E1285" w:rsidP="009E1285">
      <w:pPr>
        <w:pStyle w:val="OdstavecASR"/>
      </w:pPr>
      <w:r w:rsidRPr="00F85178">
        <w:t>Tato část výroční zprávy obsahuje data týkající se vrchních soudů (VS) v Praze a Olomouci. Pod VS v Praze spadají soudní kraje Praha, Západočeský, Středočeský, Východočeský, Severočeský a Jihočeský. Pod Vrchní soud v Olomouci spadají Severomoravský kraj a Jihomoravský kraj.</w:t>
      </w:r>
    </w:p>
    <w:p w14:paraId="085CA78A" w14:textId="77777777" w:rsidR="009E1285" w:rsidRPr="00F85178" w:rsidRDefault="009E1285" w:rsidP="009E1285">
      <w:pPr>
        <w:pStyle w:val="OdstavecASR"/>
      </w:pPr>
      <w:r w:rsidRPr="00F85178">
        <w:t>Vrchní soudy slouží jako odvolací soudy pro soudy krajské. Jejich hlavními agendami jsou tedy odvolací civilní (občanskoprávní) a obchodní agenda a odvolací trestní agenda. Za poměrně důležitou agendu se považuje také druhostupňová insolvenční agenda, která je součástí obchodní agendy.</w:t>
      </w:r>
    </w:p>
    <w:p w14:paraId="65941419" w14:textId="77777777" w:rsidR="009E1285" w:rsidRPr="00F85178" w:rsidRDefault="009E1285" w:rsidP="009E1285">
      <w:pPr>
        <w:pStyle w:val="OdstavecASR"/>
      </w:pPr>
      <w:r w:rsidRPr="00F85178">
        <w:t>Vrchní soudy také řeší několik zvláštních agend, jako jsou návrhy na přikázání věci jinému soudu nebo návrhy na vyloučení soudců, kterými se však tato zpráva nezabývá. Struktura, obsah a zkoumané ukazatele jsou se dvěma výjimkami podobné jako v předchozích částech. Jednak chybí podkapitoly s dalšími statistickými ukazateli. Ty totiž vychází ze statistických listů a váží se především k prvoinstančnímu řízení. Druhým rozdílem je skutečnost, že sledujeme pouze dva soudy. Data proto zpravidla prezentujeme graficky v časových řadách pro oba soudy.</w:t>
      </w:r>
    </w:p>
    <w:p w14:paraId="7CD40168" w14:textId="77777777" w:rsidR="00AD6D7E" w:rsidRPr="00F85178" w:rsidRDefault="00AD6D7E" w:rsidP="00AD6D7E">
      <w:pPr>
        <w:pStyle w:val="Nadpis2"/>
        <w:rPr>
          <w:lang w:eastAsia="cs-CZ"/>
        </w:rPr>
      </w:pPr>
      <w:bookmarkStart w:id="586" w:name="_Toc515871278"/>
      <w:bookmarkStart w:id="587" w:name="_Toc14076927"/>
      <w:r w:rsidRPr="00F85178">
        <w:rPr>
          <w:lang w:eastAsia="cs-CZ"/>
        </w:rPr>
        <w:t>Personál</w:t>
      </w:r>
      <w:bookmarkEnd w:id="586"/>
      <w:bookmarkEnd w:id="587"/>
    </w:p>
    <w:p w14:paraId="6C46FC6C" w14:textId="77777777" w:rsidR="009E1285" w:rsidRPr="00F85178" w:rsidRDefault="009E1285" w:rsidP="009E1285">
      <w:pPr>
        <w:pStyle w:val="OdstavecASR"/>
      </w:pPr>
      <w:r w:rsidRPr="00F85178">
        <w:t>Na začátek musíme zdůraznit, že plánovaný počet soudců a zaměstnanců ve výkonu je u VS, NS a NSS určen jinak než u soudů okresních a krajských. U těchto soudů se plánovaný počet nevypočítává, ale určuje se na základě jednání mezi soudem a Ministerstvem spravedlnosti s přihlédnutím k nápadu, celkovému plánovanému počtu soudců v ČR a dalším faktorům.</w:t>
      </w:r>
    </w:p>
    <w:p w14:paraId="7A4EAEFF" w14:textId="77777777" w:rsidR="005F34FD" w:rsidRPr="00F85178" w:rsidRDefault="005F34FD" w:rsidP="005F34FD">
      <w:pPr>
        <w:pStyle w:val="Nadpis3"/>
        <w:rPr>
          <w:color w:val="auto"/>
          <w:lang w:eastAsia="cs-CZ"/>
        </w:rPr>
      </w:pPr>
      <w:bookmarkStart w:id="588" w:name="_Toc515871279"/>
      <w:bookmarkStart w:id="589" w:name="_Toc14076928"/>
      <w:r w:rsidRPr="00F85178">
        <w:rPr>
          <w:color w:val="auto"/>
          <w:lang w:eastAsia="cs-CZ"/>
        </w:rPr>
        <w:t>Soudci</w:t>
      </w:r>
      <w:bookmarkEnd w:id="588"/>
      <w:bookmarkEnd w:id="589"/>
    </w:p>
    <w:p w14:paraId="379C5EE7" w14:textId="77777777" w:rsidR="00AD6D7E" w:rsidRPr="00F85178" w:rsidRDefault="00AD6D7E" w:rsidP="00AD6D7E">
      <w:pPr>
        <w:pStyle w:val="Podtitul"/>
        <w:rPr>
          <w:color w:val="auto"/>
        </w:rPr>
      </w:pPr>
      <w:bookmarkStart w:id="590" w:name="_Toc515871406"/>
      <w:bookmarkStart w:id="591" w:name="_Toc11135137"/>
      <w:bookmarkStart w:id="592" w:name="_Toc1383756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76</w:t>
      </w:r>
      <w:r w:rsidRPr="00F85178">
        <w:rPr>
          <w:noProof/>
          <w:color w:val="auto"/>
        </w:rPr>
        <w:fldChar w:fldCharType="end"/>
      </w:r>
      <w:r w:rsidRPr="00F85178">
        <w:rPr>
          <w:color w:val="auto"/>
        </w:rPr>
        <w:t xml:space="preserve">: </w:t>
      </w:r>
      <w:r w:rsidR="00F149B3" w:rsidRPr="00F85178">
        <w:rPr>
          <w:color w:val="auto"/>
        </w:rPr>
        <w:t>V</w:t>
      </w:r>
      <w:r w:rsidRPr="00F85178">
        <w:rPr>
          <w:color w:val="auto"/>
        </w:rPr>
        <w:t>S – počet soudců v letech 2008–201</w:t>
      </w:r>
      <w:bookmarkEnd w:id="590"/>
      <w:r w:rsidRPr="00F85178">
        <w:rPr>
          <w:color w:val="auto"/>
        </w:rPr>
        <w:t>8</w:t>
      </w:r>
      <w:bookmarkEnd w:id="591"/>
      <w:bookmarkEnd w:id="592"/>
    </w:p>
    <w:p w14:paraId="04F19DE9" w14:textId="77777777" w:rsidR="003B0C9C" w:rsidRPr="00F85178" w:rsidRDefault="00890295" w:rsidP="00145840">
      <w:pPr>
        <w:pStyle w:val="OdstavecASR"/>
      </w:pPr>
      <w:r>
        <w:rPr>
          <w:noProof/>
          <w:lang w:eastAsia="cs-CZ"/>
        </w:rPr>
        <w:drawing>
          <wp:inline distT="0" distB="0" distL="0" distR="0" wp14:anchorId="6D241809" wp14:editId="1CBB0F60">
            <wp:extent cx="5118100" cy="3746500"/>
            <wp:effectExtent l="0" t="0" r="0" b="0"/>
            <wp:docPr id="79" name="Obrázek 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29"/>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443ACE4" w14:textId="77777777" w:rsidR="009E1285" w:rsidRPr="00F85178" w:rsidRDefault="009E1285" w:rsidP="009E1285">
      <w:pPr>
        <w:pStyle w:val="OdstavecASR"/>
      </w:pPr>
      <w:r w:rsidRPr="00F85178">
        <w:t xml:space="preserve">I u vrchních soudů je počet soudců celkem stabilní, a to jak v Praze, tak v Olomouci. </w:t>
      </w:r>
      <w:r w:rsidRPr="00F85178" w:rsidDel="0002439B">
        <w:t>V</w:t>
      </w:r>
      <w:r w:rsidRPr="00F85178">
        <w:t> časové řadě může zaujmout pouze pokles o pět soudců (soudkyň) u VS Praha mezi 1. 1. 2015 a 1. 1. 2016. Jde o náhodný výkyv způsobený tím, že v roce 2015 dosáhlo pět soudců věku 70 let a z tohoto důvodu skončili ve funkci. U VS, NS nebo NSS jsou takovéto výkyvy pravděpodobnější, protože soudci jsou v průměru starší než soudci krajských a okresních soudů.</w:t>
      </w:r>
    </w:p>
    <w:p w14:paraId="734C77F9" w14:textId="588593BE" w:rsidR="009E1285" w:rsidRPr="00F85178" w:rsidRDefault="009E1285" w:rsidP="009E1285">
      <w:pPr>
        <w:pStyle w:val="OdstavecASR"/>
      </w:pPr>
      <w:r w:rsidRPr="00F85178">
        <w:t>U VS v Olomouci byl v roce 201</w:t>
      </w:r>
      <w:r w:rsidR="00A04FA6" w:rsidRPr="00F85178">
        <w:t>8</w:t>
      </w:r>
      <w:r w:rsidRPr="00F85178">
        <w:t xml:space="preserve"> nejnižší počet soudců za celé sledované období. To ovšem nepředstavuje žádný problém. Za prvé, rozdíl oproti ostatním rokům je minimální a za druhé, soud nemá větší problémy s vyřizováním své agendy.</w:t>
      </w:r>
      <w:r w:rsidR="00A04FA6" w:rsidRPr="00F85178">
        <w:t xml:space="preserve"> </w:t>
      </w:r>
      <w:r w:rsidR="00F85178" w:rsidRPr="00F85178">
        <w:t>K poklesu v počtu soudců došlo na trestním úseku soudu.</w:t>
      </w:r>
    </w:p>
    <w:p w14:paraId="57A380CB" w14:textId="77777777" w:rsidR="009E1285" w:rsidRPr="00F85178" w:rsidRDefault="009E1285" w:rsidP="009E1285">
      <w:pPr>
        <w:pStyle w:val="OdstavecASR"/>
      </w:pPr>
      <w:r w:rsidRPr="00F85178">
        <w:t>Dále vidíme, že VS v Praze je asi dvakrát větší než soud v Olomouci. Tento fakt opět vyplývá z nápadu, který je ovlivněn počtem a velikostí krajských soudů, které spadají pod daný vrchní soud.</w:t>
      </w:r>
    </w:p>
    <w:p w14:paraId="3690D6F8" w14:textId="77777777" w:rsidR="00F149B3" w:rsidRPr="00F85178" w:rsidRDefault="00F149B3" w:rsidP="00F149B3">
      <w:pPr>
        <w:pStyle w:val="Podtitul"/>
        <w:rPr>
          <w:color w:val="auto"/>
        </w:rPr>
      </w:pPr>
      <w:bookmarkStart w:id="593" w:name="_Toc515871407"/>
      <w:bookmarkStart w:id="594" w:name="_Toc11135138"/>
      <w:bookmarkStart w:id="595" w:name="_Toc1383757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77</w:t>
      </w:r>
      <w:r w:rsidRPr="00F85178">
        <w:rPr>
          <w:noProof/>
          <w:color w:val="auto"/>
        </w:rPr>
        <w:fldChar w:fldCharType="end"/>
      </w:r>
      <w:r w:rsidRPr="00F85178">
        <w:rPr>
          <w:color w:val="auto"/>
        </w:rPr>
        <w:t>: VS – evidenční počet soudců dle soudních úseků v letech 2008–</w:t>
      </w:r>
      <w:bookmarkEnd w:id="593"/>
      <w:r w:rsidR="007A6DFA" w:rsidRPr="00F85178">
        <w:rPr>
          <w:color w:val="auto"/>
        </w:rPr>
        <w:t>2018</w:t>
      </w:r>
      <w:bookmarkEnd w:id="594"/>
      <w:bookmarkEnd w:id="595"/>
    </w:p>
    <w:p w14:paraId="6D93BF28" w14:textId="77777777" w:rsidR="00F149B3" w:rsidRPr="00F85178" w:rsidRDefault="00890295" w:rsidP="00145840">
      <w:pPr>
        <w:pStyle w:val="OdstavecASR"/>
      </w:pPr>
      <w:r>
        <w:rPr>
          <w:noProof/>
          <w:lang w:eastAsia="cs-CZ"/>
        </w:rPr>
        <w:drawing>
          <wp:inline distT="0" distB="0" distL="0" distR="0" wp14:anchorId="4F49A453" wp14:editId="5731E4CF">
            <wp:extent cx="5118100" cy="3746500"/>
            <wp:effectExtent l="0" t="0" r="0" b="0"/>
            <wp:docPr id="80" name="Obrázek 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0"/>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8196448" w14:textId="77777777" w:rsidR="00667F34" w:rsidRPr="00F85178" w:rsidRDefault="00667F34" w:rsidP="00607B85">
      <w:pPr>
        <w:pStyle w:val="OdstavecASR"/>
      </w:pPr>
      <w:r w:rsidRPr="00F85178">
        <w:t>Na grafu vidíme, že civilní a obchodní úsek je větší než úsek trestní, stejně tomu je u okresních a krajských soudů. Rozdíl je však tentokrát výrazně menší. Poměr velikostí úseků je stabilní. V posledních letech se u obou soudů o několik soudců zmenšil civilní úsek, což může souviset s klesajícím nápadem.</w:t>
      </w:r>
      <w:r w:rsidR="00607B85" w:rsidRPr="00F85178">
        <w:t xml:space="preserve"> Tento úbytek byl signifikantní obzvlášť u VS v Praze v roce 2018, kdy se počet soudců na civilním úseku snížil o pět. Naopak ale narostl počet soudců na trestním úseku.</w:t>
      </w:r>
    </w:p>
    <w:p w14:paraId="6128F6A5" w14:textId="77777777" w:rsidR="00667F34" w:rsidRPr="00F85178" w:rsidRDefault="00667F34" w:rsidP="00667F34">
      <w:pPr>
        <w:pStyle w:val="OdstavecASR"/>
      </w:pPr>
      <w:r w:rsidRPr="00F85178">
        <w:t>Další graf zobrazuje složení soudců dle pohlaví a naznačuje, že výše zmíněný pokles počtu soudců u VS v Praze mezi roky 2015 a 2016 byl způsoben tím, že věku 70 let dovršily soudkyně. Pokles počtu soudkyň je tak velmi zřetelný. Dále vidíme, že k soudu byli následně přiděleni muži.</w:t>
      </w:r>
    </w:p>
    <w:p w14:paraId="7B8B05A2" w14:textId="77777777" w:rsidR="00667F34" w:rsidRPr="00F85178" w:rsidRDefault="00667F34" w:rsidP="00667F34">
      <w:pPr>
        <w:pStyle w:val="OdstavecASR"/>
      </w:pPr>
      <w:r w:rsidRPr="00F85178">
        <w:t>V roce 2015 (tedy před výše popsaným odchodem soudkyň) byl podíl žen u VS v Praze i VS v Olomouci asi 47 %. V roce 201</w:t>
      </w:r>
      <w:r w:rsidR="00D37257" w:rsidRPr="00F85178">
        <w:t>8</w:t>
      </w:r>
      <w:r w:rsidRPr="00F85178">
        <w:t xml:space="preserve"> dosáhl tento podíl u VS v Praze přibližně 42 % a u VS v Olomouci přibližně 4</w:t>
      </w:r>
      <w:r w:rsidR="00D37257" w:rsidRPr="00F85178">
        <w:t>9</w:t>
      </w:r>
      <w:r w:rsidRPr="00F85178">
        <w:t> %</w:t>
      </w:r>
      <w:r w:rsidR="00D37257" w:rsidRPr="00F85178">
        <w:t>, tedy takřka polovinu</w:t>
      </w:r>
      <w:r w:rsidR="00F823F8" w:rsidRPr="00F85178">
        <w:t>.</w:t>
      </w:r>
      <w:r w:rsidRPr="00F85178">
        <w:t xml:space="preserve"> Vzhledem k malému počtu osob ovlivní procentuální podíly už i změna o jednoho soudce nebo soudkyni. Na rozdíl od nižších článků soudní soustavy je tedy u vrchních soudů již více soudců než soudkyň.</w:t>
      </w:r>
    </w:p>
    <w:p w14:paraId="1F64150F" w14:textId="77777777" w:rsidR="00482CD7" w:rsidRPr="00F85178" w:rsidRDefault="00D75C7C" w:rsidP="00D75C7C">
      <w:pPr>
        <w:pStyle w:val="Podtitul"/>
        <w:rPr>
          <w:color w:val="auto"/>
        </w:rPr>
      </w:pPr>
      <w:bookmarkStart w:id="596" w:name="_Toc515871408"/>
      <w:bookmarkStart w:id="597" w:name="_Toc11135139"/>
      <w:bookmarkStart w:id="598" w:name="_Toc1383757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78</w:t>
      </w:r>
      <w:r w:rsidRPr="00F85178">
        <w:rPr>
          <w:noProof/>
          <w:color w:val="auto"/>
        </w:rPr>
        <w:fldChar w:fldCharType="end"/>
      </w:r>
      <w:r w:rsidRPr="00F85178">
        <w:rPr>
          <w:color w:val="auto"/>
        </w:rPr>
        <w:t>: VS – evidenční počet soudců dle pohlaví v letech 2008–201</w:t>
      </w:r>
      <w:bookmarkEnd w:id="596"/>
      <w:r w:rsidRPr="00F85178">
        <w:rPr>
          <w:color w:val="auto"/>
        </w:rPr>
        <w:t>8</w:t>
      </w:r>
      <w:bookmarkEnd w:id="597"/>
      <w:bookmarkEnd w:id="598"/>
    </w:p>
    <w:p w14:paraId="5D88A801" w14:textId="77777777" w:rsidR="00BE6626" w:rsidRPr="00F85178" w:rsidRDefault="00890295">
      <w:pPr>
        <w:spacing w:line="240" w:lineRule="auto"/>
        <w:jc w:val="left"/>
      </w:pPr>
      <w:r>
        <w:rPr>
          <w:noProof/>
          <w:lang w:eastAsia="cs-CZ"/>
        </w:rPr>
        <w:drawing>
          <wp:inline distT="0" distB="0" distL="0" distR="0" wp14:anchorId="3023BF2E" wp14:editId="666A035A">
            <wp:extent cx="5118100" cy="3746500"/>
            <wp:effectExtent l="0" t="0" r="0" b="0"/>
            <wp:docPr id="81" name="Obrázek 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1"/>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EA21A1C" w14:textId="77777777" w:rsidR="00BE6626" w:rsidRPr="00F85178" w:rsidRDefault="00667F34">
      <w:pPr>
        <w:spacing w:line="240" w:lineRule="auto"/>
        <w:jc w:val="left"/>
      </w:pPr>
      <w:r w:rsidRPr="00F85178">
        <w:rPr>
          <w:lang w:eastAsia="cs-CZ"/>
        </w:rPr>
        <w:t>Další dva grafy zobrazují věkové složení soudců.</w:t>
      </w:r>
    </w:p>
    <w:p w14:paraId="0BD085A8" w14:textId="77777777" w:rsidR="00BE6626" w:rsidRPr="00F85178" w:rsidRDefault="00BE6626" w:rsidP="00BE6626">
      <w:pPr>
        <w:pStyle w:val="Podtitul"/>
        <w:rPr>
          <w:color w:val="auto"/>
        </w:rPr>
      </w:pPr>
      <w:bookmarkStart w:id="599" w:name="_Toc515871409"/>
      <w:bookmarkStart w:id="600" w:name="_Toc11135140"/>
      <w:bookmarkStart w:id="601" w:name="_Toc13837572"/>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79</w:t>
      </w:r>
      <w:r w:rsidRPr="00F85178">
        <w:rPr>
          <w:noProof/>
          <w:color w:val="auto"/>
        </w:rPr>
        <w:fldChar w:fldCharType="end"/>
      </w:r>
      <w:r w:rsidRPr="00F85178">
        <w:rPr>
          <w:color w:val="auto"/>
        </w:rPr>
        <w:t>: VS Praha – věkové složení soudců v letech 2008–201</w:t>
      </w:r>
      <w:bookmarkEnd w:id="599"/>
      <w:r w:rsidRPr="00F85178">
        <w:rPr>
          <w:color w:val="auto"/>
        </w:rPr>
        <w:t>8</w:t>
      </w:r>
      <w:bookmarkEnd w:id="600"/>
      <w:bookmarkEnd w:id="601"/>
    </w:p>
    <w:p w14:paraId="59A43D92" w14:textId="77777777" w:rsidR="005F34FD" w:rsidRPr="00F85178" w:rsidRDefault="00890295" w:rsidP="005F34FD">
      <w:r>
        <w:rPr>
          <w:noProof/>
          <w:lang w:eastAsia="cs-CZ"/>
        </w:rPr>
        <w:drawing>
          <wp:inline distT="0" distB="0" distL="0" distR="0" wp14:anchorId="0C0F8404" wp14:editId="4A484BA5">
            <wp:extent cx="5118100" cy="3746500"/>
            <wp:effectExtent l="0" t="0" r="0" b="0"/>
            <wp:docPr id="82" name="Obrázek 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8"/>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CDAE515" w14:textId="77777777" w:rsidR="00BC3A23" w:rsidRPr="00F85178" w:rsidRDefault="00BC3A23" w:rsidP="00BC3A23"/>
    <w:p w14:paraId="4492FE57" w14:textId="77777777" w:rsidR="00BC3A23" w:rsidRPr="00F85178" w:rsidRDefault="00BC3A23" w:rsidP="00BC3A23">
      <w:pPr>
        <w:pStyle w:val="Podtitul"/>
        <w:rPr>
          <w:color w:val="auto"/>
        </w:rPr>
      </w:pPr>
      <w:bookmarkStart w:id="602" w:name="_Toc515871410"/>
      <w:bookmarkStart w:id="603" w:name="_Toc11135141"/>
      <w:bookmarkStart w:id="604" w:name="_Toc1383757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80</w:t>
      </w:r>
      <w:r w:rsidRPr="00F85178">
        <w:rPr>
          <w:noProof/>
          <w:color w:val="auto"/>
        </w:rPr>
        <w:fldChar w:fldCharType="end"/>
      </w:r>
      <w:r w:rsidRPr="00F85178">
        <w:rPr>
          <w:color w:val="auto"/>
        </w:rPr>
        <w:t>: VS Olomouc – věkové složení soudců v letech 2008–201</w:t>
      </w:r>
      <w:bookmarkEnd w:id="602"/>
      <w:r w:rsidRPr="00F85178">
        <w:rPr>
          <w:color w:val="auto"/>
        </w:rPr>
        <w:t>8</w:t>
      </w:r>
      <w:bookmarkEnd w:id="603"/>
      <w:bookmarkEnd w:id="604"/>
    </w:p>
    <w:p w14:paraId="563433C9" w14:textId="77777777" w:rsidR="007E4971" w:rsidRPr="00F85178" w:rsidRDefault="00890295" w:rsidP="007E4971">
      <w:r>
        <w:rPr>
          <w:noProof/>
          <w:lang w:eastAsia="cs-CZ"/>
        </w:rPr>
        <w:drawing>
          <wp:inline distT="0" distB="0" distL="0" distR="0" wp14:anchorId="528AC9A3" wp14:editId="3166641B">
            <wp:extent cx="5118100" cy="3746500"/>
            <wp:effectExtent l="0" t="0" r="0" b="0"/>
            <wp:docPr id="83" name="Obrázek 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9"/>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BB37A3E" w14:textId="77777777" w:rsidR="00667F34" w:rsidRPr="00F85178" w:rsidRDefault="00667F34" w:rsidP="00667F34">
      <w:pPr>
        <w:pStyle w:val="OdstavecASR"/>
        <w:rPr>
          <w:lang w:eastAsia="cs-CZ"/>
        </w:rPr>
      </w:pPr>
      <w:r w:rsidRPr="00F85178">
        <w:rPr>
          <w:lang w:eastAsia="cs-CZ"/>
        </w:rPr>
        <w:t>Na grafech vidíme následující:</w:t>
      </w:r>
    </w:p>
    <w:p w14:paraId="1F65564C" w14:textId="77777777" w:rsidR="00667F34" w:rsidRPr="00F85178" w:rsidRDefault="00667F34" w:rsidP="00667F34">
      <w:pPr>
        <w:pStyle w:val="OdstavecASR"/>
        <w:numPr>
          <w:ilvl w:val="0"/>
          <w:numId w:val="19"/>
        </w:numPr>
      </w:pPr>
      <w:r w:rsidRPr="00F85178">
        <w:t>Soudci u vrchních soudů jsou v průměru starší než soudci u soudů krajských, a tedy i okresních. Stejně jako u rozdílu mezi OS a KS je důvodem tohoto rozdílu kariérní postup soudců.</w:t>
      </w:r>
    </w:p>
    <w:p w14:paraId="0DAC56D0" w14:textId="77777777" w:rsidR="00667F34" w:rsidRPr="00F85178" w:rsidRDefault="00667F34" w:rsidP="00667F34">
      <w:pPr>
        <w:pStyle w:val="OdstavecASR"/>
        <w:numPr>
          <w:ilvl w:val="0"/>
          <w:numId w:val="19"/>
        </w:numPr>
      </w:pPr>
      <w:r w:rsidRPr="00F85178">
        <w:t>Z porovnání obou soudů vidíme, že u VS v Praze jsou větší věkové rozdíly mezi soudci než u VS v Olomouci. U VS v Olomouci je zdaleka nejpočetnější věková skupina mezi 51 a 60 lety. Naopak u VS v Praze je tato věková skupina také nejpočetnější, větší zastoupení zde ale mají věkové skupiny 41 až 50 let a 61 až 70 let.</w:t>
      </w:r>
    </w:p>
    <w:p w14:paraId="278B1BB1" w14:textId="77777777" w:rsidR="00667F34" w:rsidRPr="00F85178" w:rsidRDefault="00667F34" w:rsidP="00667F34">
      <w:pPr>
        <w:pStyle w:val="OdstavecASR"/>
        <w:numPr>
          <w:ilvl w:val="0"/>
          <w:numId w:val="19"/>
        </w:numPr>
      </w:pPr>
      <w:r w:rsidRPr="00F85178">
        <w:t>U VS v Praze došlo v letech 2008 až 2012 k nárůstu podílu soudců ve věku 61 až 70 let. Od té doby se věková struktura příliš nemění. Není zde tedy patrný efekt, který jsme viděli u OS a KS.</w:t>
      </w:r>
    </w:p>
    <w:p w14:paraId="1EB21CA3" w14:textId="77777777" w:rsidR="00667F34" w:rsidRPr="00F85178" w:rsidRDefault="00667F34" w:rsidP="00667F34">
      <w:pPr>
        <w:pStyle w:val="OdstavecASR"/>
        <w:numPr>
          <w:ilvl w:val="0"/>
          <w:numId w:val="19"/>
        </w:numPr>
      </w:pPr>
      <w:r w:rsidRPr="00F85178">
        <w:t>U VS v Olomouci je situace jiná. Na grafu je patrný velmi výrazný nárůst ve věku soudců. Zdůvodnění je prakticky stejné jako u okresních soudů. Tedy že, ve sledovaném období se již celkový počet soudců příliš nemění. Ale po roce 2000 se počet soudců rychle zvyšoval, počet nově příchozích soudců k VS Olomouc za rok byl tedy výrazně vyšší než v posledních letech. Po roce 2000 byli nově příchozí soudci relativně mladí. Právě tato rozsáhlá generace soudců se ve sledovaném období postupně přesouvá do vyšší věkové skupiny. Průměrný věk příchozích soudců se stále zvyšuje, což opět plyne ze změny věkové struktury u nižších článků soudní soustavy.</w:t>
      </w:r>
      <w:r w:rsidR="00F823F8" w:rsidRPr="00F85178">
        <w:t xml:space="preserve"> </w:t>
      </w:r>
      <w:r w:rsidR="009E7DDD" w:rsidRPr="00F85178">
        <w:t>Teprve v roce 2018 přišli na soud mladší soudci ve věkové skupině 41 až 50 let.</w:t>
      </w:r>
    </w:p>
    <w:p w14:paraId="320149B2" w14:textId="77777777" w:rsidR="00BC3A23" w:rsidRPr="00F85178" w:rsidRDefault="00BC3A23" w:rsidP="00BC3A23"/>
    <w:p w14:paraId="7674F925" w14:textId="77777777" w:rsidR="003F3AE4" w:rsidRPr="00F85178" w:rsidRDefault="003F3AE4" w:rsidP="003F3AE4">
      <w:pPr>
        <w:pStyle w:val="Nadpis3"/>
        <w:rPr>
          <w:color w:val="auto"/>
          <w:lang w:eastAsia="cs-CZ"/>
        </w:rPr>
      </w:pPr>
      <w:bookmarkStart w:id="605" w:name="_Toc515871280"/>
      <w:bookmarkStart w:id="606" w:name="_Toc14076929"/>
      <w:r w:rsidRPr="00F85178">
        <w:rPr>
          <w:color w:val="auto"/>
          <w:lang w:eastAsia="cs-CZ"/>
        </w:rPr>
        <w:t>Zaměstnanci ve výkonu</w:t>
      </w:r>
      <w:bookmarkEnd w:id="605"/>
      <w:bookmarkEnd w:id="606"/>
    </w:p>
    <w:p w14:paraId="0086E539" w14:textId="77777777" w:rsidR="00667F34" w:rsidRPr="00F85178" w:rsidRDefault="00667F34" w:rsidP="00667F34">
      <w:pPr>
        <w:pStyle w:val="OdstavecASR"/>
      </w:pPr>
      <w:r w:rsidRPr="00F85178">
        <w:t xml:space="preserve">Popis pracovní náplně a význam použitých zkratek je součástí </w:t>
      </w:r>
      <w:proofErr w:type="gramStart"/>
      <w:r w:rsidRPr="00F85178">
        <w:t>podkapitoly </w:t>
      </w:r>
      <w:r w:rsidR="00F823F8" w:rsidRPr="00F85178">
        <w:fldChar w:fldCharType="begin"/>
      </w:r>
      <w:r w:rsidR="00F823F8" w:rsidRPr="00F85178">
        <w:instrText xml:space="preserve"> REF _Ref10813793 \r \h </w:instrText>
      </w:r>
      <w:r w:rsidR="00F823F8" w:rsidRPr="00F85178">
        <w:fldChar w:fldCharType="separate"/>
      </w:r>
      <w:r w:rsidR="00306940">
        <w:t>2.1.2</w:t>
      </w:r>
      <w:proofErr w:type="gramEnd"/>
      <w:r w:rsidR="00F823F8" w:rsidRPr="00F85178">
        <w:fldChar w:fldCharType="end"/>
      </w:r>
      <w:r w:rsidRPr="00F85178">
        <w:t>.</w:t>
      </w:r>
    </w:p>
    <w:p w14:paraId="52147B05" w14:textId="77777777" w:rsidR="003F3AE4" w:rsidRPr="00F85178" w:rsidRDefault="003F3AE4" w:rsidP="003F3AE4">
      <w:pPr>
        <w:pStyle w:val="Podtitul"/>
        <w:rPr>
          <w:color w:val="auto"/>
        </w:rPr>
      </w:pPr>
      <w:bookmarkStart w:id="607" w:name="_Toc515871502"/>
      <w:bookmarkStart w:id="608" w:name="_Toc11133268"/>
      <w:bookmarkStart w:id="609" w:name="_Toc13837489"/>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66</w:t>
      </w:r>
      <w:r w:rsidRPr="00F85178">
        <w:rPr>
          <w:noProof/>
          <w:color w:val="auto"/>
        </w:rPr>
        <w:fldChar w:fldCharType="end"/>
      </w:r>
      <w:r w:rsidRPr="00F85178">
        <w:rPr>
          <w:color w:val="auto"/>
        </w:rPr>
        <w:t>: VS – počet zaměstnanců ve výkonu dle soudů</w:t>
      </w:r>
      <w:bookmarkEnd w:id="607"/>
      <w:bookmarkEnd w:id="608"/>
      <w:bookmarkEnd w:id="609"/>
    </w:p>
    <w:tbl>
      <w:tblPr>
        <w:tblW w:w="7280" w:type="dxa"/>
        <w:tblCellMar>
          <w:left w:w="70" w:type="dxa"/>
          <w:right w:w="70" w:type="dxa"/>
        </w:tblCellMar>
        <w:tblLook w:val="04A0" w:firstRow="1" w:lastRow="0" w:firstColumn="1" w:lastColumn="0" w:noHBand="0" w:noVBand="1"/>
      </w:tblPr>
      <w:tblGrid>
        <w:gridCol w:w="2080"/>
        <w:gridCol w:w="904"/>
        <w:gridCol w:w="581"/>
        <w:gridCol w:w="466"/>
        <w:gridCol w:w="645"/>
        <w:gridCol w:w="658"/>
        <w:gridCol w:w="466"/>
        <w:gridCol w:w="1480"/>
      </w:tblGrid>
      <w:tr w:rsidR="00F85178" w:rsidRPr="00F85178" w14:paraId="49FE6BC5" w14:textId="77777777" w:rsidTr="00DC017E">
        <w:trPr>
          <w:trHeight w:val="330"/>
        </w:trPr>
        <w:tc>
          <w:tcPr>
            <w:tcW w:w="2080" w:type="dxa"/>
            <w:vMerge w:val="restart"/>
            <w:tcBorders>
              <w:top w:val="double" w:sz="6" w:space="0" w:color="auto"/>
              <w:left w:val="nil"/>
              <w:bottom w:val="double" w:sz="6" w:space="0" w:color="000000"/>
              <w:right w:val="nil"/>
            </w:tcBorders>
            <w:shd w:val="clear" w:color="auto" w:fill="auto"/>
            <w:noWrap/>
            <w:vAlign w:val="center"/>
            <w:hideMark/>
          </w:tcPr>
          <w:p w14:paraId="76C05B50"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Soud</w:t>
            </w:r>
          </w:p>
        </w:tc>
        <w:tc>
          <w:tcPr>
            <w:tcW w:w="5200" w:type="dxa"/>
            <w:gridSpan w:val="7"/>
            <w:tcBorders>
              <w:top w:val="double" w:sz="6" w:space="0" w:color="auto"/>
              <w:left w:val="nil"/>
              <w:bottom w:val="nil"/>
              <w:right w:val="nil"/>
            </w:tcBorders>
            <w:shd w:val="clear" w:color="auto" w:fill="auto"/>
            <w:noWrap/>
            <w:vAlign w:val="bottom"/>
            <w:hideMark/>
          </w:tcPr>
          <w:p w14:paraId="4C7BF1F7"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Počet osob</w:t>
            </w:r>
          </w:p>
        </w:tc>
      </w:tr>
      <w:tr w:rsidR="00F85178" w:rsidRPr="00F85178" w14:paraId="26C2ACF1" w14:textId="77777777" w:rsidTr="00DC017E">
        <w:trPr>
          <w:trHeight w:val="330"/>
        </w:trPr>
        <w:tc>
          <w:tcPr>
            <w:tcW w:w="2080" w:type="dxa"/>
            <w:vMerge/>
            <w:tcBorders>
              <w:top w:val="double" w:sz="6" w:space="0" w:color="auto"/>
              <w:left w:val="nil"/>
              <w:bottom w:val="double" w:sz="6" w:space="0" w:color="000000"/>
              <w:right w:val="nil"/>
            </w:tcBorders>
            <w:vAlign w:val="center"/>
            <w:hideMark/>
          </w:tcPr>
          <w:p w14:paraId="407932A4" w14:textId="77777777" w:rsidR="00DC017E" w:rsidRPr="00F85178" w:rsidRDefault="00DC017E" w:rsidP="00DC017E">
            <w:pPr>
              <w:spacing w:line="240" w:lineRule="auto"/>
              <w:jc w:val="left"/>
              <w:rPr>
                <w:rFonts w:eastAsia="Times New Roman"/>
                <w:b/>
                <w:bCs/>
                <w:szCs w:val="24"/>
                <w:lang w:eastAsia="cs-CZ"/>
              </w:rPr>
            </w:pPr>
          </w:p>
        </w:tc>
        <w:tc>
          <w:tcPr>
            <w:tcW w:w="904" w:type="dxa"/>
            <w:tcBorders>
              <w:top w:val="nil"/>
              <w:left w:val="nil"/>
              <w:bottom w:val="double" w:sz="6" w:space="0" w:color="auto"/>
              <w:right w:val="nil"/>
            </w:tcBorders>
            <w:shd w:val="clear" w:color="auto" w:fill="auto"/>
            <w:noWrap/>
            <w:vAlign w:val="bottom"/>
            <w:hideMark/>
          </w:tcPr>
          <w:p w14:paraId="0498A1C3"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VSÚ</w:t>
            </w:r>
          </w:p>
        </w:tc>
        <w:tc>
          <w:tcPr>
            <w:tcW w:w="581" w:type="dxa"/>
            <w:tcBorders>
              <w:top w:val="nil"/>
              <w:left w:val="nil"/>
              <w:bottom w:val="double" w:sz="6" w:space="0" w:color="auto"/>
              <w:right w:val="nil"/>
            </w:tcBorders>
            <w:shd w:val="clear" w:color="auto" w:fill="auto"/>
            <w:noWrap/>
            <w:vAlign w:val="bottom"/>
            <w:hideMark/>
          </w:tcPr>
          <w:p w14:paraId="6E8263B2"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ST</w:t>
            </w:r>
          </w:p>
        </w:tc>
        <w:tc>
          <w:tcPr>
            <w:tcW w:w="466" w:type="dxa"/>
            <w:tcBorders>
              <w:top w:val="nil"/>
              <w:left w:val="nil"/>
              <w:bottom w:val="double" w:sz="6" w:space="0" w:color="auto"/>
              <w:right w:val="nil"/>
            </w:tcBorders>
            <w:shd w:val="clear" w:color="auto" w:fill="auto"/>
            <w:noWrap/>
            <w:vAlign w:val="bottom"/>
            <w:hideMark/>
          </w:tcPr>
          <w:p w14:paraId="1B3783CD"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A</w:t>
            </w:r>
          </w:p>
        </w:tc>
        <w:tc>
          <w:tcPr>
            <w:tcW w:w="645" w:type="dxa"/>
            <w:tcBorders>
              <w:top w:val="nil"/>
              <w:left w:val="nil"/>
              <w:bottom w:val="double" w:sz="6" w:space="0" w:color="auto"/>
              <w:right w:val="nil"/>
            </w:tcBorders>
            <w:shd w:val="clear" w:color="auto" w:fill="auto"/>
            <w:noWrap/>
            <w:vAlign w:val="bottom"/>
            <w:hideMark/>
          </w:tcPr>
          <w:p w14:paraId="3BC804BF"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VK</w:t>
            </w:r>
          </w:p>
        </w:tc>
        <w:tc>
          <w:tcPr>
            <w:tcW w:w="658" w:type="dxa"/>
            <w:tcBorders>
              <w:top w:val="nil"/>
              <w:left w:val="nil"/>
              <w:bottom w:val="double" w:sz="6" w:space="0" w:color="auto"/>
              <w:right w:val="nil"/>
            </w:tcBorders>
            <w:shd w:val="clear" w:color="auto" w:fill="auto"/>
            <w:noWrap/>
            <w:vAlign w:val="bottom"/>
            <w:hideMark/>
          </w:tcPr>
          <w:p w14:paraId="036AF2D9"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PÚ</w:t>
            </w:r>
          </w:p>
        </w:tc>
        <w:tc>
          <w:tcPr>
            <w:tcW w:w="466" w:type="dxa"/>
            <w:tcBorders>
              <w:top w:val="nil"/>
              <w:left w:val="nil"/>
              <w:bottom w:val="double" w:sz="6" w:space="0" w:color="auto"/>
              <w:right w:val="nil"/>
            </w:tcBorders>
            <w:shd w:val="clear" w:color="auto" w:fill="auto"/>
            <w:noWrap/>
            <w:vAlign w:val="bottom"/>
            <w:hideMark/>
          </w:tcPr>
          <w:p w14:paraId="38F3320B"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Z</w:t>
            </w:r>
          </w:p>
        </w:tc>
        <w:tc>
          <w:tcPr>
            <w:tcW w:w="1480" w:type="dxa"/>
            <w:tcBorders>
              <w:top w:val="nil"/>
              <w:left w:val="nil"/>
              <w:bottom w:val="double" w:sz="6" w:space="0" w:color="auto"/>
              <w:right w:val="nil"/>
            </w:tcBorders>
            <w:shd w:val="clear" w:color="auto" w:fill="auto"/>
            <w:noWrap/>
            <w:vAlign w:val="bottom"/>
            <w:hideMark/>
          </w:tcPr>
          <w:p w14:paraId="64D3A736"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Celkem</w:t>
            </w:r>
          </w:p>
        </w:tc>
      </w:tr>
      <w:tr w:rsidR="00F85178" w:rsidRPr="00F85178" w14:paraId="04FB544A" w14:textId="77777777" w:rsidTr="00DC017E">
        <w:trPr>
          <w:trHeight w:val="330"/>
        </w:trPr>
        <w:tc>
          <w:tcPr>
            <w:tcW w:w="2080" w:type="dxa"/>
            <w:tcBorders>
              <w:top w:val="single" w:sz="4" w:space="0" w:color="auto"/>
              <w:left w:val="nil"/>
              <w:bottom w:val="single" w:sz="4" w:space="0" w:color="auto"/>
              <w:right w:val="nil"/>
            </w:tcBorders>
            <w:shd w:val="clear" w:color="auto" w:fill="auto"/>
            <w:noWrap/>
            <w:vAlign w:val="bottom"/>
            <w:hideMark/>
          </w:tcPr>
          <w:p w14:paraId="157169BA" w14:textId="77777777" w:rsidR="00DC017E" w:rsidRPr="00F85178" w:rsidRDefault="00DC017E" w:rsidP="00DC017E">
            <w:pPr>
              <w:spacing w:line="240" w:lineRule="auto"/>
              <w:jc w:val="left"/>
              <w:rPr>
                <w:rFonts w:eastAsia="Times New Roman"/>
                <w:szCs w:val="24"/>
                <w:lang w:eastAsia="cs-CZ"/>
              </w:rPr>
            </w:pPr>
            <w:r w:rsidRPr="00F85178">
              <w:rPr>
                <w:rFonts w:eastAsia="Times New Roman"/>
                <w:szCs w:val="24"/>
                <w:lang w:eastAsia="cs-CZ"/>
              </w:rPr>
              <w:t>VS Praha</w:t>
            </w:r>
          </w:p>
        </w:tc>
        <w:tc>
          <w:tcPr>
            <w:tcW w:w="904" w:type="dxa"/>
            <w:tcBorders>
              <w:top w:val="single" w:sz="4" w:space="0" w:color="auto"/>
              <w:left w:val="nil"/>
              <w:bottom w:val="single" w:sz="4" w:space="0" w:color="auto"/>
              <w:right w:val="nil"/>
            </w:tcBorders>
            <w:shd w:val="clear" w:color="auto" w:fill="auto"/>
            <w:noWrap/>
            <w:vAlign w:val="bottom"/>
            <w:hideMark/>
          </w:tcPr>
          <w:p w14:paraId="3AF1C5AF"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3</w:t>
            </w:r>
          </w:p>
        </w:tc>
        <w:tc>
          <w:tcPr>
            <w:tcW w:w="581" w:type="dxa"/>
            <w:tcBorders>
              <w:top w:val="single" w:sz="4" w:space="0" w:color="auto"/>
              <w:left w:val="nil"/>
              <w:bottom w:val="single" w:sz="4" w:space="0" w:color="auto"/>
              <w:right w:val="nil"/>
            </w:tcBorders>
            <w:shd w:val="clear" w:color="auto" w:fill="auto"/>
            <w:noWrap/>
            <w:vAlign w:val="bottom"/>
            <w:hideMark/>
          </w:tcPr>
          <w:p w14:paraId="68399E7E"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4</w:t>
            </w:r>
          </w:p>
        </w:tc>
        <w:tc>
          <w:tcPr>
            <w:tcW w:w="466" w:type="dxa"/>
            <w:tcBorders>
              <w:top w:val="single" w:sz="4" w:space="0" w:color="auto"/>
              <w:left w:val="nil"/>
              <w:bottom w:val="single" w:sz="4" w:space="0" w:color="auto"/>
              <w:right w:val="nil"/>
            </w:tcBorders>
            <w:shd w:val="clear" w:color="auto" w:fill="auto"/>
            <w:noWrap/>
            <w:vAlign w:val="bottom"/>
            <w:hideMark/>
          </w:tcPr>
          <w:p w14:paraId="05823266"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25</w:t>
            </w:r>
          </w:p>
        </w:tc>
        <w:tc>
          <w:tcPr>
            <w:tcW w:w="645" w:type="dxa"/>
            <w:tcBorders>
              <w:top w:val="single" w:sz="4" w:space="0" w:color="auto"/>
              <w:left w:val="nil"/>
              <w:bottom w:val="single" w:sz="4" w:space="0" w:color="auto"/>
              <w:right w:val="nil"/>
            </w:tcBorders>
            <w:shd w:val="clear" w:color="auto" w:fill="auto"/>
            <w:noWrap/>
            <w:vAlign w:val="bottom"/>
            <w:hideMark/>
          </w:tcPr>
          <w:p w14:paraId="6ED438BC"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22</w:t>
            </w:r>
          </w:p>
        </w:tc>
        <w:tc>
          <w:tcPr>
            <w:tcW w:w="658" w:type="dxa"/>
            <w:tcBorders>
              <w:top w:val="single" w:sz="4" w:space="0" w:color="auto"/>
              <w:left w:val="nil"/>
              <w:bottom w:val="single" w:sz="4" w:space="0" w:color="auto"/>
              <w:right w:val="nil"/>
            </w:tcBorders>
            <w:shd w:val="clear" w:color="auto" w:fill="auto"/>
            <w:noWrap/>
            <w:vAlign w:val="bottom"/>
            <w:hideMark/>
          </w:tcPr>
          <w:p w14:paraId="5E9181A6"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12</w:t>
            </w:r>
          </w:p>
        </w:tc>
        <w:tc>
          <w:tcPr>
            <w:tcW w:w="466" w:type="dxa"/>
            <w:tcBorders>
              <w:top w:val="single" w:sz="4" w:space="0" w:color="auto"/>
              <w:left w:val="nil"/>
              <w:bottom w:val="single" w:sz="4" w:space="0" w:color="auto"/>
              <w:right w:val="nil"/>
            </w:tcBorders>
            <w:shd w:val="clear" w:color="auto" w:fill="auto"/>
            <w:noWrap/>
            <w:vAlign w:val="bottom"/>
            <w:hideMark/>
          </w:tcPr>
          <w:p w14:paraId="0F27B92A"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20</w:t>
            </w:r>
          </w:p>
        </w:tc>
        <w:tc>
          <w:tcPr>
            <w:tcW w:w="1480" w:type="dxa"/>
            <w:tcBorders>
              <w:top w:val="single" w:sz="4" w:space="0" w:color="auto"/>
              <w:left w:val="nil"/>
              <w:bottom w:val="single" w:sz="4" w:space="0" w:color="auto"/>
              <w:right w:val="nil"/>
            </w:tcBorders>
            <w:shd w:val="clear" w:color="auto" w:fill="auto"/>
            <w:noWrap/>
            <w:vAlign w:val="bottom"/>
            <w:hideMark/>
          </w:tcPr>
          <w:p w14:paraId="01F73D67"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85</w:t>
            </w:r>
          </w:p>
        </w:tc>
      </w:tr>
      <w:tr w:rsidR="00F85178" w:rsidRPr="00F85178" w14:paraId="4281617B" w14:textId="77777777" w:rsidTr="00DC017E">
        <w:trPr>
          <w:trHeight w:val="330"/>
        </w:trPr>
        <w:tc>
          <w:tcPr>
            <w:tcW w:w="2080" w:type="dxa"/>
            <w:tcBorders>
              <w:top w:val="nil"/>
              <w:left w:val="nil"/>
              <w:bottom w:val="nil"/>
              <w:right w:val="nil"/>
            </w:tcBorders>
            <w:shd w:val="clear" w:color="auto" w:fill="auto"/>
            <w:noWrap/>
            <w:vAlign w:val="bottom"/>
            <w:hideMark/>
          </w:tcPr>
          <w:p w14:paraId="38DD5362" w14:textId="77777777" w:rsidR="00DC017E" w:rsidRPr="00F85178" w:rsidRDefault="00DC017E" w:rsidP="00DC017E">
            <w:pPr>
              <w:spacing w:line="240" w:lineRule="auto"/>
              <w:jc w:val="left"/>
              <w:rPr>
                <w:rFonts w:eastAsia="Times New Roman"/>
                <w:szCs w:val="24"/>
                <w:lang w:eastAsia="cs-CZ"/>
              </w:rPr>
            </w:pPr>
            <w:r w:rsidRPr="00F85178">
              <w:rPr>
                <w:rFonts w:eastAsia="Times New Roman"/>
                <w:szCs w:val="24"/>
                <w:lang w:eastAsia="cs-CZ"/>
              </w:rPr>
              <w:t>VS Olomouc</w:t>
            </w:r>
          </w:p>
        </w:tc>
        <w:tc>
          <w:tcPr>
            <w:tcW w:w="904" w:type="dxa"/>
            <w:tcBorders>
              <w:top w:val="nil"/>
              <w:left w:val="nil"/>
              <w:bottom w:val="nil"/>
              <w:right w:val="nil"/>
            </w:tcBorders>
            <w:shd w:val="clear" w:color="auto" w:fill="auto"/>
            <w:noWrap/>
            <w:vAlign w:val="bottom"/>
            <w:hideMark/>
          </w:tcPr>
          <w:p w14:paraId="1DD49F6D"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5</w:t>
            </w:r>
          </w:p>
        </w:tc>
        <w:tc>
          <w:tcPr>
            <w:tcW w:w="581" w:type="dxa"/>
            <w:tcBorders>
              <w:top w:val="nil"/>
              <w:left w:val="nil"/>
              <w:bottom w:val="nil"/>
              <w:right w:val="nil"/>
            </w:tcBorders>
            <w:shd w:val="clear" w:color="auto" w:fill="auto"/>
            <w:noWrap/>
            <w:vAlign w:val="bottom"/>
            <w:hideMark/>
          </w:tcPr>
          <w:p w14:paraId="00F4D212"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 </w:t>
            </w:r>
          </w:p>
        </w:tc>
        <w:tc>
          <w:tcPr>
            <w:tcW w:w="466" w:type="dxa"/>
            <w:tcBorders>
              <w:top w:val="nil"/>
              <w:left w:val="nil"/>
              <w:bottom w:val="nil"/>
              <w:right w:val="nil"/>
            </w:tcBorders>
            <w:shd w:val="clear" w:color="auto" w:fill="auto"/>
            <w:noWrap/>
            <w:vAlign w:val="bottom"/>
            <w:hideMark/>
          </w:tcPr>
          <w:p w14:paraId="4B2BBC3A"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9</w:t>
            </w:r>
          </w:p>
        </w:tc>
        <w:tc>
          <w:tcPr>
            <w:tcW w:w="645" w:type="dxa"/>
            <w:tcBorders>
              <w:top w:val="nil"/>
              <w:left w:val="nil"/>
              <w:bottom w:val="nil"/>
              <w:right w:val="nil"/>
            </w:tcBorders>
            <w:shd w:val="clear" w:color="auto" w:fill="auto"/>
            <w:noWrap/>
            <w:vAlign w:val="bottom"/>
            <w:hideMark/>
          </w:tcPr>
          <w:p w14:paraId="67E0E60B"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7</w:t>
            </w:r>
          </w:p>
        </w:tc>
        <w:tc>
          <w:tcPr>
            <w:tcW w:w="658" w:type="dxa"/>
            <w:tcBorders>
              <w:top w:val="nil"/>
              <w:left w:val="nil"/>
              <w:bottom w:val="nil"/>
              <w:right w:val="nil"/>
            </w:tcBorders>
            <w:shd w:val="clear" w:color="auto" w:fill="auto"/>
            <w:noWrap/>
            <w:vAlign w:val="bottom"/>
            <w:hideMark/>
          </w:tcPr>
          <w:p w14:paraId="39E62BA8"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5</w:t>
            </w:r>
          </w:p>
        </w:tc>
        <w:tc>
          <w:tcPr>
            <w:tcW w:w="466" w:type="dxa"/>
            <w:tcBorders>
              <w:top w:val="nil"/>
              <w:left w:val="nil"/>
              <w:bottom w:val="nil"/>
              <w:right w:val="nil"/>
            </w:tcBorders>
            <w:shd w:val="clear" w:color="auto" w:fill="auto"/>
            <w:noWrap/>
            <w:vAlign w:val="bottom"/>
            <w:hideMark/>
          </w:tcPr>
          <w:p w14:paraId="4E25A8F1" w14:textId="77777777" w:rsidR="00DC017E" w:rsidRPr="00F85178" w:rsidRDefault="00DC017E" w:rsidP="00DC017E">
            <w:pPr>
              <w:spacing w:line="240" w:lineRule="auto"/>
              <w:jc w:val="center"/>
              <w:rPr>
                <w:rFonts w:eastAsia="Times New Roman"/>
                <w:szCs w:val="24"/>
                <w:lang w:eastAsia="cs-CZ"/>
              </w:rPr>
            </w:pPr>
            <w:r w:rsidRPr="00F85178">
              <w:rPr>
                <w:rFonts w:eastAsia="Times New Roman"/>
                <w:szCs w:val="24"/>
                <w:lang w:eastAsia="cs-CZ"/>
              </w:rPr>
              <w:t>9</w:t>
            </w:r>
          </w:p>
        </w:tc>
        <w:tc>
          <w:tcPr>
            <w:tcW w:w="1480" w:type="dxa"/>
            <w:tcBorders>
              <w:top w:val="nil"/>
              <w:left w:val="nil"/>
              <w:bottom w:val="nil"/>
              <w:right w:val="nil"/>
            </w:tcBorders>
            <w:shd w:val="clear" w:color="auto" w:fill="auto"/>
            <w:noWrap/>
            <w:vAlign w:val="bottom"/>
            <w:hideMark/>
          </w:tcPr>
          <w:p w14:paraId="15CF0862"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35</w:t>
            </w:r>
          </w:p>
        </w:tc>
      </w:tr>
      <w:tr w:rsidR="00DC017E" w:rsidRPr="00F85178" w14:paraId="4DB3FFCB" w14:textId="77777777" w:rsidTr="00DC017E">
        <w:trPr>
          <w:trHeight w:val="345"/>
        </w:trPr>
        <w:tc>
          <w:tcPr>
            <w:tcW w:w="2080" w:type="dxa"/>
            <w:tcBorders>
              <w:top w:val="double" w:sz="6" w:space="0" w:color="auto"/>
              <w:left w:val="nil"/>
              <w:bottom w:val="double" w:sz="6" w:space="0" w:color="auto"/>
              <w:right w:val="nil"/>
            </w:tcBorders>
            <w:shd w:val="clear" w:color="auto" w:fill="auto"/>
            <w:noWrap/>
            <w:vAlign w:val="bottom"/>
            <w:hideMark/>
          </w:tcPr>
          <w:p w14:paraId="78858944" w14:textId="77777777" w:rsidR="00DC017E" w:rsidRPr="00F85178" w:rsidRDefault="00DC017E" w:rsidP="00DC017E">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904" w:type="dxa"/>
            <w:tcBorders>
              <w:top w:val="double" w:sz="6" w:space="0" w:color="auto"/>
              <w:left w:val="nil"/>
              <w:bottom w:val="double" w:sz="6" w:space="0" w:color="auto"/>
              <w:right w:val="nil"/>
            </w:tcBorders>
            <w:shd w:val="clear" w:color="auto" w:fill="auto"/>
            <w:noWrap/>
            <w:vAlign w:val="bottom"/>
            <w:hideMark/>
          </w:tcPr>
          <w:p w14:paraId="35EFF0E3"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8</w:t>
            </w:r>
          </w:p>
        </w:tc>
        <w:tc>
          <w:tcPr>
            <w:tcW w:w="581" w:type="dxa"/>
            <w:tcBorders>
              <w:top w:val="double" w:sz="6" w:space="0" w:color="auto"/>
              <w:left w:val="nil"/>
              <w:bottom w:val="double" w:sz="6" w:space="0" w:color="auto"/>
              <w:right w:val="nil"/>
            </w:tcBorders>
            <w:shd w:val="clear" w:color="auto" w:fill="auto"/>
            <w:noWrap/>
            <w:vAlign w:val="bottom"/>
            <w:hideMark/>
          </w:tcPr>
          <w:p w14:paraId="50F8FF9E"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4</w:t>
            </w:r>
          </w:p>
        </w:tc>
        <w:tc>
          <w:tcPr>
            <w:tcW w:w="466" w:type="dxa"/>
            <w:tcBorders>
              <w:top w:val="double" w:sz="6" w:space="0" w:color="auto"/>
              <w:left w:val="nil"/>
              <w:bottom w:val="double" w:sz="6" w:space="0" w:color="auto"/>
              <w:right w:val="nil"/>
            </w:tcBorders>
            <w:shd w:val="clear" w:color="auto" w:fill="auto"/>
            <w:noWrap/>
            <w:vAlign w:val="bottom"/>
            <w:hideMark/>
          </w:tcPr>
          <w:p w14:paraId="7B73315A"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34</w:t>
            </w:r>
          </w:p>
        </w:tc>
        <w:tc>
          <w:tcPr>
            <w:tcW w:w="645" w:type="dxa"/>
            <w:tcBorders>
              <w:top w:val="double" w:sz="6" w:space="0" w:color="auto"/>
              <w:left w:val="nil"/>
              <w:bottom w:val="double" w:sz="6" w:space="0" w:color="auto"/>
              <w:right w:val="nil"/>
            </w:tcBorders>
            <w:shd w:val="clear" w:color="auto" w:fill="auto"/>
            <w:noWrap/>
            <w:vAlign w:val="bottom"/>
            <w:hideMark/>
          </w:tcPr>
          <w:p w14:paraId="0D394B8D"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29</w:t>
            </w:r>
          </w:p>
        </w:tc>
        <w:tc>
          <w:tcPr>
            <w:tcW w:w="658" w:type="dxa"/>
            <w:tcBorders>
              <w:top w:val="double" w:sz="6" w:space="0" w:color="auto"/>
              <w:left w:val="nil"/>
              <w:bottom w:val="double" w:sz="6" w:space="0" w:color="auto"/>
              <w:right w:val="nil"/>
            </w:tcBorders>
            <w:shd w:val="clear" w:color="auto" w:fill="auto"/>
            <w:noWrap/>
            <w:vAlign w:val="bottom"/>
            <w:hideMark/>
          </w:tcPr>
          <w:p w14:paraId="6A140B74"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17</w:t>
            </w:r>
          </w:p>
        </w:tc>
        <w:tc>
          <w:tcPr>
            <w:tcW w:w="466" w:type="dxa"/>
            <w:tcBorders>
              <w:top w:val="double" w:sz="6" w:space="0" w:color="auto"/>
              <w:left w:val="nil"/>
              <w:bottom w:val="double" w:sz="6" w:space="0" w:color="auto"/>
              <w:right w:val="nil"/>
            </w:tcBorders>
            <w:shd w:val="clear" w:color="auto" w:fill="auto"/>
            <w:noWrap/>
            <w:vAlign w:val="bottom"/>
            <w:hideMark/>
          </w:tcPr>
          <w:p w14:paraId="1E0859ED"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29</w:t>
            </w:r>
          </w:p>
        </w:tc>
        <w:tc>
          <w:tcPr>
            <w:tcW w:w="1480" w:type="dxa"/>
            <w:tcBorders>
              <w:top w:val="double" w:sz="6" w:space="0" w:color="auto"/>
              <w:left w:val="nil"/>
              <w:bottom w:val="double" w:sz="6" w:space="0" w:color="auto"/>
              <w:right w:val="nil"/>
            </w:tcBorders>
            <w:shd w:val="clear" w:color="auto" w:fill="auto"/>
            <w:noWrap/>
            <w:vAlign w:val="bottom"/>
            <w:hideMark/>
          </w:tcPr>
          <w:p w14:paraId="416EAB72" w14:textId="77777777" w:rsidR="00DC017E" w:rsidRPr="00F85178" w:rsidRDefault="00DC017E" w:rsidP="00DC017E">
            <w:pPr>
              <w:spacing w:line="240" w:lineRule="auto"/>
              <w:jc w:val="center"/>
              <w:rPr>
                <w:rFonts w:eastAsia="Times New Roman"/>
                <w:b/>
                <w:bCs/>
                <w:szCs w:val="24"/>
                <w:lang w:eastAsia="cs-CZ"/>
              </w:rPr>
            </w:pPr>
            <w:r w:rsidRPr="00F85178">
              <w:rPr>
                <w:rFonts w:eastAsia="Times New Roman"/>
                <w:b/>
                <w:bCs/>
                <w:szCs w:val="24"/>
                <w:lang w:eastAsia="cs-CZ"/>
              </w:rPr>
              <w:t>120</w:t>
            </w:r>
          </w:p>
        </w:tc>
      </w:tr>
    </w:tbl>
    <w:p w14:paraId="0D68DE40" w14:textId="77777777" w:rsidR="005271C7" w:rsidRPr="00F85178" w:rsidRDefault="005271C7">
      <w:pPr>
        <w:spacing w:line="240" w:lineRule="auto"/>
        <w:jc w:val="left"/>
      </w:pPr>
    </w:p>
    <w:p w14:paraId="0B22E604" w14:textId="77777777" w:rsidR="005271C7" w:rsidRPr="00F85178" w:rsidRDefault="005271C7" w:rsidP="005271C7">
      <w:pPr>
        <w:pStyle w:val="OdstavecASR"/>
      </w:pPr>
      <w:r w:rsidRPr="00F85178">
        <w:t>U vrchních soudů je počet zaměstnanců ve výkonu v poměru k počtu soudců nižší než u krajských soudů, a tedy i nižší než u soudů okresních. To souvisí se složitostí vyřizované agendy a s tím, že vrchní soudy rozhodují pouze v tříčlenných senátech. Ve srovnání s předchozím rokem mírně stoupl počet zaměstnanců ve výkonu (především asistentů soudců).</w:t>
      </w:r>
    </w:p>
    <w:p w14:paraId="54DED3BC" w14:textId="77777777" w:rsidR="005271C7" w:rsidRPr="00F85178" w:rsidRDefault="005271C7">
      <w:pPr>
        <w:spacing w:line="240" w:lineRule="auto"/>
        <w:jc w:val="left"/>
      </w:pPr>
    </w:p>
    <w:p w14:paraId="036DBA8D" w14:textId="77777777" w:rsidR="003F3AE4" w:rsidRPr="00F85178" w:rsidRDefault="003F3AE4">
      <w:pPr>
        <w:spacing w:line="240" w:lineRule="auto"/>
        <w:jc w:val="left"/>
      </w:pPr>
      <w:r w:rsidRPr="00F85178">
        <w:br w:type="page"/>
      </w:r>
    </w:p>
    <w:p w14:paraId="239A723D" w14:textId="77777777" w:rsidR="003F3AE4" w:rsidRPr="00F85178" w:rsidRDefault="003F3AE4" w:rsidP="003F3AE4">
      <w:pPr>
        <w:pStyle w:val="Nadpis2"/>
      </w:pPr>
      <w:bookmarkStart w:id="610" w:name="_Toc487791283"/>
      <w:bookmarkStart w:id="611" w:name="_Toc515871281"/>
      <w:bookmarkStart w:id="612" w:name="_Toc14076930"/>
      <w:r w:rsidRPr="00F85178">
        <w:t>Civilní a obchodní odvolací agenda</w:t>
      </w:r>
      <w:bookmarkEnd w:id="610"/>
      <w:bookmarkEnd w:id="611"/>
      <w:bookmarkEnd w:id="612"/>
    </w:p>
    <w:p w14:paraId="771D5EC8" w14:textId="77777777" w:rsidR="005271C7" w:rsidRPr="00F85178" w:rsidRDefault="005271C7" w:rsidP="005271C7">
      <w:pPr>
        <w:pStyle w:val="OdstavecASR"/>
      </w:pPr>
      <w:r w:rsidRPr="00F85178">
        <w:t>Jak jsme již uvedli, vrchní soudy nevyřizují prvostupňovou civilní a obchodní agendu. Zabývají se agendou odvolací, což jsou rejstříky Co a Cmo. Ve způsobu vedení statistik nedošlo k žádným výrazným změnám.</w:t>
      </w:r>
    </w:p>
    <w:p w14:paraId="3CCA0994" w14:textId="77777777" w:rsidR="007A5577" w:rsidRPr="00F85178" w:rsidRDefault="007A5577" w:rsidP="007A5577">
      <w:pPr>
        <w:pStyle w:val="Nadpis3"/>
        <w:rPr>
          <w:color w:val="auto"/>
          <w:lang w:eastAsia="cs-CZ"/>
        </w:rPr>
      </w:pPr>
      <w:bookmarkStart w:id="613" w:name="_Toc515871282"/>
      <w:bookmarkStart w:id="614" w:name="_Toc14076931"/>
      <w:r w:rsidRPr="00F85178">
        <w:rPr>
          <w:color w:val="auto"/>
          <w:lang w:eastAsia="cs-CZ"/>
        </w:rPr>
        <w:t>Délka řízení</w:t>
      </w:r>
      <w:bookmarkEnd w:id="613"/>
      <w:bookmarkEnd w:id="614"/>
    </w:p>
    <w:p w14:paraId="2DDE5466" w14:textId="77777777" w:rsidR="005271C7" w:rsidRPr="00F85178" w:rsidRDefault="005271C7" w:rsidP="005271C7">
      <w:pPr>
        <w:pStyle w:val="OdstavecASR"/>
      </w:pPr>
      <w:r w:rsidRPr="00F85178">
        <w:t>Délku řízení uvádíme v kalendářních dnech ode dne nápadu u odvolacího soudu do dne vyřízení věci odvolacím soudem. Data použitá pro výpočet délky řízení jsou očištěna stejným způsobem jako u prvostupňového řízení u krajských soudů.</w:t>
      </w:r>
    </w:p>
    <w:p w14:paraId="45589A88" w14:textId="77777777" w:rsidR="007A5577" w:rsidRPr="00F85178" w:rsidRDefault="007A5577" w:rsidP="007A5577">
      <w:pPr>
        <w:pStyle w:val="Podtitul"/>
        <w:rPr>
          <w:color w:val="auto"/>
        </w:rPr>
      </w:pPr>
      <w:bookmarkStart w:id="615" w:name="_Toc515871411"/>
      <w:bookmarkStart w:id="616" w:name="_Toc11135142"/>
      <w:bookmarkStart w:id="617" w:name="_Toc1383757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81</w:t>
      </w:r>
      <w:r w:rsidRPr="00F85178">
        <w:rPr>
          <w:noProof/>
          <w:color w:val="auto"/>
        </w:rPr>
        <w:fldChar w:fldCharType="end"/>
      </w:r>
      <w:r w:rsidRPr="00F85178">
        <w:rPr>
          <w:color w:val="auto"/>
        </w:rPr>
        <w:t>: VS – délka civilního odvolacího řízení u VS v letech 2010–201</w:t>
      </w:r>
      <w:bookmarkEnd w:id="615"/>
      <w:r w:rsidRPr="00F85178">
        <w:rPr>
          <w:color w:val="auto"/>
        </w:rPr>
        <w:t>8</w:t>
      </w:r>
      <w:bookmarkEnd w:id="616"/>
      <w:bookmarkEnd w:id="617"/>
    </w:p>
    <w:p w14:paraId="732D2633" w14:textId="77777777" w:rsidR="00D64416" w:rsidRPr="00F85178" w:rsidRDefault="00890295" w:rsidP="00D64416">
      <w:r>
        <w:rPr>
          <w:noProof/>
          <w:lang w:eastAsia="cs-CZ"/>
        </w:rPr>
        <w:drawing>
          <wp:inline distT="0" distB="0" distL="0" distR="0" wp14:anchorId="401B3D3F" wp14:editId="700960C4">
            <wp:extent cx="5118100" cy="3746500"/>
            <wp:effectExtent l="0" t="0" r="0" b="0"/>
            <wp:docPr id="84" name="Obrázek 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0"/>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61F67B8" w14:textId="77777777" w:rsidR="007A5577" w:rsidRPr="00F85178" w:rsidRDefault="007A5577" w:rsidP="007A5577"/>
    <w:p w14:paraId="1DDAB49E" w14:textId="77777777" w:rsidR="005271C7" w:rsidRPr="00F85178" w:rsidRDefault="005271C7" w:rsidP="005271C7">
      <w:pPr>
        <w:pStyle w:val="OdstavecASR"/>
      </w:pPr>
      <w:r w:rsidRPr="00F85178">
        <w:t>Z grafu jasně vyplývá, že VS Olomouc vyřizuje věci mnohem rychleji než VS Praha. Devadesátý percentil délky řízení u VS v Olomouci je o nižší než průměr u VS v Praze. Rozdíl můžeme zčásti připsat odlišnostem ve vyřizované agendě, nicméně předpokládáme, že na rozdílech se podílí i další faktory.</w:t>
      </w:r>
      <w:r w:rsidR="00F823F8" w:rsidRPr="00F85178">
        <w:t xml:space="preserve"> </w:t>
      </w:r>
      <w:r w:rsidR="00BC1E31" w:rsidRPr="00F85178">
        <w:t>Navíc, délky řízení u VS v Praze opět vzrostly.</w:t>
      </w:r>
    </w:p>
    <w:p w14:paraId="7083E096" w14:textId="77777777" w:rsidR="0032015B" w:rsidRDefault="005271C7" w:rsidP="005271C7">
      <w:pPr>
        <w:pStyle w:val="OdstavecASR"/>
      </w:pPr>
      <w:r w:rsidRPr="00F85178">
        <w:t>V histogramu níže srovnáváme délky řízení. Opět můžeme vidět zcela jasný rozdíl mezi oběma soudy. Graf například ukazuje, že podíl věcí vyřízených do 75 dnů je u VS v Olomouci více než dvojnásobný ve srovnání s VS v Praze.</w:t>
      </w:r>
    </w:p>
    <w:p w14:paraId="15BB8373" w14:textId="1074EBB9" w:rsidR="005271C7" w:rsidRPr="00F85178" w:rsidRDefault="005271C7" w:rsidP="007A5577"/>
    <w:p w14:paraId="55AE8B1F" w14:textId="77777777" w:rsidR="007A5577" w:rsidRPr="00F85178" w:rsidRDefault="007A5577" w:rsidP="007A5577">
      <w:pPr>
        <w:pStyle w:val="Podtitul"/>
        <w:rPr>
          <w:color w:val="auto"/>
        </w:rPr>
      </w:pPr>
      <w:bookmarkStart w:id="618" w:name="_Toc515871412"/>
      <w:bookmarkStart w:id="619" w:name="_Toc11135143"/>
      <w:bookmarkStart w:id="620" w:name="_Toc1383757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82</w:t>
      </w:r>
      <w:r w:rsidRPr="00F85178">
        <w:rPr>
          <w:color w:val="auto"/>
        </w:rPr>
        <w:fldChar w:fldCharType="end"/>
      </w:r>
      <w:r w:rsidRPr="00F85178">
        <w:rPr>
          <w:color w:val="auto"/>
        </w:rPr>
        <w:t>: VS – distribuce délek civilního odvolacího řízení</w:t>
      </w:r>
      <w:bookmarkEnd w:id="618"/>
      <w:bookmarkEnd w:id="619"/>
      <w:bookmarkEnd w:id="620"/>
    </w:p>
    <w:p w14:paraId="241C14E2" w14:textId="77777777" w:rsidR="007A5577" w:rsidRPr="00F85178" w:rsidRDefault="00890295" w:rsidP="007A5577">
      <w:r>
        <w:rPr>
          <w:noProof/>
          <w:lang w:eastAsia="cs-CZ"/>
        </w:rPr>
        <w:drawing>
          <wp:inline distT="0" distB="0" distL="0" distR="0" wp14:anchorId="32D238F6" wp14:editId="45E015A6">
            <wp:extent cx="5118100" cy="3746500"/>
            <wp:effectExtent l="0" t="0" r="0" b="0"/>
            <wp:docPr id="85" name="Obrázek 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1"/>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6459D5CD" w14:textId="77777777" w:rsidR="007A5577" w:rsidRPr="00F85178" w:rsidRDefault="007A5577" w:rsidP="007A5577">
      <w:pPr>
        <w:pStyle w:val="Nadpis3"/>
        <w:rPr>
          <w:color w:val="auto"/>
          <w:lang w:eastAsia="cs-CZ"/>
        </w:rPr>
      </w:pPr>
      <w:bookmarkStart w:id="621" w:name="_Toc515871283"/>
      <w:bookmarkStart w:id="622" w:name="_Toc14076932"/>
      <w:r w:rsidRPr="00F85178">
        <w:rPr>
          <w:color w:val="auto"/>
          <w:lang w:eastAsia="cs-CZ"/>
        </w:rPr>
        <w:t>Vyřizování věcí</w:t>
      </w:r>
      <w:bookmarkEnd w:id="621"/>
      <w:bookmarkEnd w:id="622"/>
    </w:p>
    <w:p w14:paraId="656C000C" w14:textId="029986FE" w:rsidR="006431F3" w:rsidRPr="00F85178" w:rsidRDefault="006431F3" w:rsidP="006431F3">
      <w:pPr>
        <w:pStyle w:val="OdstavecASR"/>
      </w:pPr>
      <w:r w:rsidRPr="00F85178">
        <w:fldChar w:fldCharType="begin"/>
      </w:r>
      <w:r w:rsidRPr="00F85178">
        <w:instrText xml:space="preserve"> REF _Ref511821018 \h </w:instrText>
      </w:r>
      <w:r w:rsidRPr="00F85178">
        <w:fldChar w:fldCharType="separate"/>
      </w:r>
      <w:r w:rsidR="00306940" w:rsidRPr="00F85178">
        <w:t xml:space="preserve">Graf </w:t>
      </w:r>
      <w:r w:rsidR="00306940">
        <w:rPr>
          <w:noProof/>
        </w:rPr>
        <w:t>83</w:t>
      </w:r>
      <w:r w:rsidRPr="00F85178">
        <w:fldChar w:fldCharType="end"/>
      </w:r>
      <w:r w:rsidRPr="00F85178">
        <w:t xml:space="preserve"> potvrzuje výsledky zkoumání počtu soudců, totiž skutečnost, že VS v Praze je výrazně větší než VS v Olomouci.</w:t>
      </w:r>
    </w:p>
    <w:p w14:paraId="7B4ABFBF" w14:textId="77777777" w:rsidR="007A5577" w:rsidRPr="00F85178" w:rsidRDefault="007A5577" w:rsidP="007A5577">
      <w:pPr>
        <w:pStyle w:val="Podtitul"/>
        <w:rPr>
          <w:color w:val="auto"/>
        </w:rPr>
      </w:pPr>
      <w:bookmarkStart w:id="623" w:name="_Ref511821018"/>
      <w:bookmarkStart w:id="624" w:name="_Toc515871413"/>
      <w:bookmarkStart w:id="625" w:name="_Toc11135144"/>
      <w:bookmarkStart w:id="626" w:name="_Toc1383757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83</w:t>
      </w:r>
      <w:r w:rsidRPr="00F85178">
        <w:rPr>
          <w:noProof/>
          <w:color w:val="auto"/>
        </w:rPr>
        <w:fldChar w:fldCharType="end"/>
      </w:r>
      <w:bookmarkEnd w:id="623"/>
      <w:r w:rsidRPr="00F85178">
        <w:rPr>
          <w:color w:val="auto"/>
        </w:rPr>
        <w:t>: VS – vyřizování odvolacích civilních věcí v letech 2008–201</w:t>
      </w:r>
      <w:bookmarkEnd w:id="624"/>
      <w:r w:rsidRPr="00F85178">
        <w:rPr>
          <w:color w:val="auto"/>
        </w:rPr>
        <w:t>8</w:t>
      </w:r>
      <w:bookmarkEnd w:id="625"/>
      <w:bookmarkEnd w:id="626"/>
    </w:p>
    <w:p w14:paraId="7DAAF818" w14:textId="77777777" w:rsidR="00FE3D3E" w:rsidRPr="00F85178" w:rsidRDefault="00890295" w:rsidP="00FE3D3E">
      <w:r>
        <w:rPr>
          <w:noProof/>
          <w:lang w:eastAsia="cs-CZ"/>
        </w:rPr>
        <w:drawing>
          <wp:inline distT="0" distB="0" distL="0" distR="0" wp14:anchorId="40AB6ACE" wp14:editId="0B2D3116">
            <wp:extent cx="5118100" cy="3746500"/>
            <wp:effectExtent l="0" t="0" r="0" b="0"/>
            <wp:docPr id="86" name="Obrázek 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2"/>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2FCBEB6" w14:textId="77777777" w:rsidR="006431F3" w:rsidRPr="00F85178" w:rsidRDefault="006431F3" w:rsidP="006431F3">
      <w:pPr>
        <w:pStyle w:val="OdstavecASR"/>
      </w:pPr>
      <w:r w:rsidRPr="00F85178">
        <w:t xml:space="preserve">Na první pohled zaujme jasný pokles nápadu u obou soudů v posledních letech, který je nepochybně způsoben přesunem prvostupňové obchodní agendy z krajských soudů na soudy okresní. Od roku 2012 klesl počet příchozích věcí </w:t>
      </w:r>
      <w:r w:rsidR="00C60636" w:rsidRPr="00F85178">
        <w:t>u obou soudů více než o polovinu.</w:t>
      </w:r>
    </w:p>
    <w:p w14:paraId="552D07AF" w14:textId="7D0EDFE8" w:rsidR="006431F3" w:rsidRPr="00F85178" w:rsidRDefault="006431F3" w:rsidP="006431F3">
      <w:pPr>
        <w:pStyle w:val="OdstavecASR"/>
        <w:rPr>
          <w:lang w:eastAsia="cs-CZ"/>
        </w:rPr>
      </w:pPr>
      <w:r w:rsidRPr="00F85178">
        <w:t>Z poklesu v nápadu logicky vyplývá pokles v počtu vyřízených věcí. Díky klesajícímu nápadu se oběma soudům nicméně daří vyřizovat více věcí, než napadne a obživne, a úspěšně se jim tak daří snižovat počet nedodělků. Tento kladný trend by se mohl v příštích letech odrazit i v délce řízení.</w:t>
      </w:r>
      <w:r w:rsidR="00BC1E31" w:rsidRPr="00F85178">
        <w:t xml:space="preserve"> V současné době tomu tak není, nicméně díky klesajícímu počtu nedodělků nemusíme</w:t>
      </w:r>
      <w:r w:rsidR="006519CF">
        <w:t xml:space="preserve"> mít</w:t>
      </w:r>
      <w:r w:rsidR="00BC1E31" w:rsidRPr="00F85178">
        <w:t xml:space="preserve"> nárůst délky řízení u VS Praha za znepokojivý jev. </w:t>
      </w:r>
      <w:r w:rsidR="0096278B" w:rsidRPr="00F85178">
        <w:t xml:space="preserve">Počet nevyřízených věcí déle než 6 měsíců u tohoto soudu </w:t>
      </w:r>
      <w:r w:rsidR="00E55A30" w:rsidRPr="00F85178">
        <w:t xml:space="preserve">totiž </w:t>
      </w:r>
      <w:r w:rsidR="0096278B" w:rsidRPr="00F85178">
        <w:t>také klesá.</w:t>
      </w:r>
    </w:p>
    <w:p w14:paraId="3B8CADED" w14:textId="77777777" w:rsidR="00FA72D9" w:rsidRPr="00F85178" w:rsidRDefault="00FA72D9" w:rsidP="00FA72D9">
      <w:pPr>
        <w:pStyle w:val="Nadpis3"/>
        <w:rPr>
          <w:color w:val="auto"/>
          <w:lang w:eastAsia="cs-CZ"/>
        </w:rPr>
      </w:pPr>
      <w:bookmarkStart w:id="627" w:name="_Toc515871284"/>
      <w:bookmarkStart w:id="628" w:name="_Toc14076933"/>
      <w:r w:rsidRPr="00F85178">
        <w:rPr>
          <w:color w:val="auto"/>
          <w:lang w:eastAsia="cs-CZ"/>
        </w:rPr>
        <w:t>Vyřizování v přepočtu na soudce</w:t>
      </w:r>
      <w:bookmarkEnd w:id="627"/>
      <w:bookmarkEnd w:id="628"/>
    </w:p>
    <w:p w14:paraId="1EF91F69" w14:textId="77777777" w:rsidR="00BC1E31" w:rsidRPr="00F85178" w:rsidRDefault="00BC1E31" w:rsidP="00BC1E31">
      <w:pPr>
        <w:pStyle w:val="OdstavecASR"/>
      </w:pPr>
      <w:r w:rsidRPr="00F85178">
        <w:t>Tabulka níže naznačuje, že soudci u VS v Praze jsou zatíženější než soudci u VS v Olomouci. Z vyššího nápadu na soudce logicky plyne více vyřízených věcí na soudce. Je třeba zdůraznit, že se jedná pouze o velmi přibližné srovnání. Na civilním úseku vrchních soudů se vyřizuje i jiná agenda než pouze rejstříky Co a Cmo. Záleží také na zapojení dalších soudních zaměstnanců ve výkonu i na poměru počtu věcí v rejstříku Co k počtu věcí v rejstříku Cmo. Počet nevyřízených věcí na jednoho soudce je ale u VS v Praze zcela bezpochyby vyšší než u soudu v Olomouci, což plyne především z dřívějších let.</w:t>
      </w:r>
      <w:r w:rsidR="004650EB" w:rsidRPr="00F85178">
        <w:t xml:space="preserve"> Počet nevyřízených věcí na soudce u obou soudů klesl, což plyne z poklesu celkového počtu nevyřízených věcí, který zase plyne z poklesu v počtu příchozích věcí.</w:t>
      </w:r>
    </w:p>
    <w:p w14:paraId="5636CF77" w14:textId="77777777" w:rsidR="00FE3D3E" w:rsidRPr="00F85178" w:rsidRDefault="00FE3D3E" w:rsidP="00FE3D3E">
      <w:pPr>
        <w:pStyle w:val="Podtitul"/>
        <w:rPr>
          <w:color w:val="auto"/>
        </w:rPr>
      </w:pPr>
      <w:bookmarkStart w:id="629" w:name="_Toc515871503"/>
      <w:bookmarkStart w:id="630" w:name="_Toc11133269"/>
      <w:bookmarkStart w:id="631" w:name="_Toc13837490"/>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67</w:t>
      </w:r>
      <w:r w:rsidRPr="00F85178">
        <w:rPr>
          <w:noProof/>
          <w:color w:val="auto"/>
        </w:rPr>
        <w:fldChar w:fldCharType="end"/>
      </w:r>
      <w:r w:rsidRPr="00F85178">
        <w:rPr>
          <w:color w:val="auto"/>
        </w:rPr>
        <w:t>: VS – vyřizování odvolacích civilních věcí na soudce</w:t>
      </w:r>
      <w:bookmarkEnd w:id="629"/>
      <w:bookmarkEnd w:id="630"/>
      <w:bookmarkEnd w:id="631"/>
    </w:p>
    <w:tbl>
      <w:tblPr>
        <w:tblW w:w="7720" w:type="dxa"/>
        <w:tblCellMar>
          <w:left w:w="70" w:type="dxa"/>
          <w:right w:w="70" w:type="dxa"/>
        </w:tblCellMar>
        <w:tblLook w:val="04A0" w:firstRow="1" w:lastRow="0" w:firstColumn="1" w:lastColumn="0" w:noHBand="0" w:noVBand="1"/>
      </w:tblPr>
      <w:tblGrid>
        <w:gridCol w:w="2020"/>
        <w:gridCol w:w="680"/>
        <w:gridCol w:w="1087"/>
        <w:gridCol w:w="679"/>
        <w:gridCol w:w="1257"/>
        <w:gridCol w:w="679"/>
        <w:gridCol w:w="1318"/>
      </w:tblGrid>
      <w:tr w:rsidR="00F85178" w:rsidRPr="00F85178" w14:paraId="639C8EC5" w14:textId="77777777" w:rsidTr="00F56F3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0FC1FDA5" w14:textId="4E09C332" w:rsidR="00027DA0" w:rsidRPr="00F85178" w:rsidRDefault="00FE4855" w:rsidP="00FE4855">
            <w:pPr>
              <w:spacing w:line="240" w:lineRule="auto"/>
              <w:jc w:val="center"/>
              <w:rPr>
                <w:rFonts w:eastAsia="Times New Roman"/>
                <w:b/>
                <w:bCs/>
                <w:szCs w:val="24"/>
                <w:lang w:eastAsia="cs-CZ"/>
              </w:rPr>
            </w:pPr>
            <w:r>
              <w:rPr>
                <w:rFonts w:eastAsia="Times New Roman"/>
                <w:b/>
                <w:bCs/>
                <w:szCs w:val="24"/>
                <w:lang w:eastAsia="cs-CZ"/>
              </w:rPr>
              <w:t>S</w:t>
            </w:r>
            <w:r w:rsidR="00027DA0" w:rsidRPr="00F85178">
              <w:rPr>
                <w:rFonts w:eastAsia="Times New Roman"/>
                <w:b/>
                <w:bCs/>
                <w:szCs w:val="24"/>
                <w:lang w:eastAsia="cs-CZ"/>
              </w:rPr>
              <w:t>oud</w:t>
            </w:r>
          </w:p>
        </w:tc>
        <w:tc>
          <w:tcPr>
            <w:tcW w:w="5700" w:type="dxa"/>
            <w:gridSpan w:val="6"/>
            <w:tcBorders>
              <w:top w:val="double" w:sz="6" w:space="0" w:color="auto"/>
              <w:left w:val="nil"/>
              <w:bottom w:val="nil"/>
            </w:tcBorders>
            <w:shd w:val="clear" w:color="auto" w:fill="auto"/>
            <w:noWrap/>
            <w:vAlign w:val="center"/>
            <w:hideMark/>
          </w:tcPr>
          <w:p w14:paraId="202C6E9F"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4B23F196" w14:textId="77777777" w:rsidTr="00F56F37">
        <w:trPr>
          <w:trHeight w:val="330"/>
        </w:trPr>
        <w:tc>
          <w:tcPr>
            <w:tcW w:w="2020" w:type="dxa"/>
            <w:vMerge/>
            <w:tcBorders>
              <w:top w:val="double" w:sz="6" w:space="0" w:color="auto"/>
              <w:left w:val="nil"/>
              <w:bottom w:val="double" w:sz="6" w:space="0" w:color="000000"/>
              <w:right w:val="nil"/>
            </w:tcBorders>
            <w:vAlign w:val="center"/>
            <w:hideMark/>
          </w:tcPr>
          <w:p w14:paraId="081E0093" w14:textId="77777777" w:rsidR="00027DA0" w:rsidRPr="00F85178" w:rsidRDefault="00027DA0" w:rsidP="00027DA0">
            <w:pPr>
              <w:spacing w:line="240" w:lineRule="auto"/>
              <w:jc w:val="left"/>
              <w:rPr>
                <w:rFonts w:eastAsia="Times New Roman"/>
                <w:b/>
                <w:bCs/>
                <w:szCs w:val="24"/>
                <w:lang w:eastAsia="cs-CZ"/>
              </w:rPr>
            </w:pPr>
          </w:p>
        </w:tc>
        <w:tc>
          <w:tcPr>
            <w:tcW w:w="1767" w:type="dxa"/>
            <w:gridSpan w:val="2"/>
            <w:tcBorders>
              <w:top w:val="nil"/>
              <w:left w:val="nil"/>
              <w:bottom w:val="double" w:sz="6" w:space="0" w:color="auto"/>
              <w:right w:val="nil"/>
            </w:tcBorders>
            <w:shd w:val="clear" w:color="auto" w:fill="auto"/>
            <w:noWrap/>
            <w:vAlign w:val="center"/>
            <w:hideMark/>
          </w:tcPr>
          <w:p w14:paraId="0208B530"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36"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231BA53E"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1997" w:type="dxa"/>
            <w:gridSpan w:val="2"/>
            <w:tcBorders>
              <w:top w:val="nil"/>
              <w:left w:val="nil"/>
              <w:bottom w:val="double" w:sz="6" w:space="0" w:color="auto"/>
            </w:tcBorders>
            <w:shd w:val="clear" w:color="auto" w:fill="auto"/>
            <w:noWrap/>
            <w:vAlign w:val="center"/>
            <w:hideMark/>
          </w:tcPr>
          <w:p w14:paraId="769EF4D8"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Nevyřízeno</w:t>
            </w:r>
          </w:p>
        </w:tc>
      </w:tr>
      <w:tr w:rsidR="00F85178" w:rsidRPr="00F85178" w14:paraId="6C10959D" w14:textId="77777777" w:rsidTr="00F56F3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3CF7EFB8" w14:textId="5CFE28FF" w:rsidR="00027DA0" w:rsidRPr="00F85178" w:rsidRDefault="00FE4855" w:rsidP="00067524">
            <w:pPr>
              <w:spacing w:line="240" w:lineRule="auto"/>
              <w:jc w:val="left"/>
              <w:rPr>
                <w:rFonts w:eastAsia="Times New Roman"/>
                <w:szCs w:val="24"/>
                <w:lang w:eastAsia="cs-CZ"/>
              </w:rPr>
            </w:pPr>
            <w:r>
              <w:rPr>
                <w:rFonts w:eastAsia="Times New Roman"/>
                <w:szCs w:val="24"/>
                <w:lang w:eastAsia="cs-CZ"/>
              </w:rPr>
              <w:t>VS Praha</w:t>
            </w:r>
          </w:p>
        </w:tc>
        <w:tc>
          <w:tcPr>
            <w:tcW w:w="680" w:type="dxa"/>
            <w:tcBorders>
              <w:top w:val="single" w:sz="4" w:space="0" w:color="auto"/>
              <w:left w:val="nil"/>
              <w:bottom w:val="single" w:sz="4" w:space="0" w:color="auto"/>
              <w:right w:val="nil"/>
            </w:tcBorders>
            <w:shd w:val="clear" w:color="auto" w:fill="auto"/>
            <w:noWrap/>
            <w:vAlign w:val="bottom"/>
            <w:hideMark/>
          </w:tcPr>
          <w:p w14:paraId="0EB432B9"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69</w:t>
            </w:r>
          </w:p>
        </w:tc>
        <w:tc>
          <w:tcPr>
            <w:tcW w:w="1087" w:type="dxa"/>
            <w:tcBorders>
              <w:top w:val="single" w:sz="4" w:space="0" w:color="auto"/>
              <w:left w:val="nil"/>
              <w:bottom w:val="single" w:sz="4" w:space="0" w:color="auto"/>
              <w:right w:val="nil"/>
            </w:tcBorders>
            <w:shd w:val="clear" w:color="auto" w:fill="auto"/>
            <w:noWrap/>
            <w:vAlign w:val="center"/>
            <w:hideMark/>
          </w:tcPr>
          <w:p w14:paraId="320AA49F" w14:textId="505D50D6" w:rsidR="00027DA0"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-6 %</w:t>
            </w:r>
          </w:p>
        </w:tc>
        <w:tc>
          <w:tcPr>
            <w:tcW w:w="679" w:type="dxa"/>
            <w:tcBorders>
              <w:top w:val="single" w:sz="4" w:space="0" w:color="auto"/>
              <w:left w:val="single" w:sz="4" w:space="0" w:color="auto"/>
              <w:bottom w:val="single" w:sz="4" w:space="0" w:color="auto"/>
              <w:right w:val="nil"/>
            </w:tcBorders>
            <w:shd w:val="clear" w:color="auto" w:fill="auto"/>
            <w:noWrap/>
            <w:vAlign w:val="bottom"/>
            <w:hideMark/>
          </w:tcPr>
          <w:p w14:paraId="5D5A3131"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77</w:t>
            </w:r>
          </w:p>
        </w:tc>
        <w:tc>
          <w:tcPr>
            <w:tcW w:w="1257" w:type="dxa"/>
            <w:tcBorders>
              <w:top w:val="single" w:sz="4" w:space="0" w:color="auto"/>
              <w:left w:val="nil"/>
              <w:bottom w:val="single" w:sz="4" w:space="0" w:color="auto"/>
              <w:right w:val="single" w:sz="4" w:space="0" w:color="auto"/>
            </w:tcBorders>
            <w:shd w:val="clear" w:color="auto" w:fill="auto"/>
            <w:noWrap/>
            <w:vAlign w:val="center"/>
            <w:hideMark/>
          </w:tcPr>
          <w:p w14:paraId="681DFEF0" w14:textId="0238FEBC" w:rsidR="00027DA0" w:rsidRPr="00F85178" w:rsidRDefault="00027DA0" w:rsidP="00EF0B7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679" w:type="dxa"/>
            <w:tcBorders>
              <w:top w:val="single" w:sz="4" w:space="0" w:color="auto"/>
              <w:left w:val="nil"/>
              <w:bottom w:val="single" w:sz="4" w:space="0" w:color="auto"/>
              <w:right w:val="nil"/>
            </w:tcBorders>
            <w:shd w:val="clear" w:color="auto" w:fill="auto"/>
            <w:noWrap/>
            <w:vAlign w:val="bottom"/>
            <w:hideMark/>
          </w:tcPr>
          <w:p w14:paraId="61CA2ABB"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35</w:t>
            </w:r>
          </w:p>
        </w:tc>
        <w:tc>
          <w:tcPr>
            <w:tcW w:w="1318" w:type="dxa"/>
            <w:tcBorders>
              <w:top w:val="single" w:sz="4" w:space="0" w:color="auto"/>
              <w:left w:val="nil"/>
              <w:bottom w:val="single" w:sz="4" w:space="0" w:color="auto"/>
            </w:tcBorders>
            <w:shd w:val="clear" w:color="auto" w:fill="auto"/>
            <w:noWrap/>
            <w:vAlign w:val="center"/>
            <w:hideMark/>
          </w:tcPr>
          <w:p w14:paraId="23D63734" w14:textId="6C59A011" w:rsidR="00027DA0" w:rsidRPr="00F85178" w:rsidRDefault="00027DA0" w:rsidP="00EF0B79">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F85178" w:rsidRPr="00F85178" w14:paraId="3A627259" w14:textId="77777777" w:rsidTr="00F56F37">
        <w:trPr>
          <w:trHeight w:val="330"/>
        </w:trPr>
        <w:tc>
          <w:tcPr>
            <w:tcW w:w="2020" w:type="dxa"/>
            <w:tcBorders>
              <w:top w:val="nil"/>
              <w:left w:val="nil"/>
              <w:bottom w:val="nil"/>
              <w:right w:val="nil"/>
            </w:tcBorders>
            <w:shd w:val="clear" w:color="auto" w:fill="auto"/>
            <w:noWrap/>
            <w:vAlign w:val="bottom"/>
            <w:hideMark/>
          </w:tcPr>
          <w:p w14:paraId="53488C10" w14:textId="344A411B" w:rsidR="00027DA0" w:rsidRPr="00F85178" w:rsidRDefault="00FE4855" w:rsidP="00067524">
            <w:pPr>
              <w:spacing w:line="240" w:lineRule="auto"/>
              <w:jc w:val="left"/>
              <w:rPr>
                <w:rFonts w:eastAsia="Times New Roman"/>
                <w:szCs w:val="24"/>
                <w:lang w:eastAsia="cs-CZ"/>
              </w:rPr>
            </w:pPr>
            <w:r>
              <w:rPr>
                <w:rFonts w:eastAsia="Times New Roman"/>
                <w:szCs w:val="24"/>
                <w:lang w:eastAsia="cs-CZ"/>
              </w:rPr>
              <w:t>VS Olomouc</w:t>
            </w:r>
          </w:p>
        </w:tc>
        <w:tc>
          <w:tcPr>
            <w:tcW w:w="680" w:type="dxa"/>
            <w:tcBorders>
              <w:top w:val="nil"/>
              <w:left w:val="nil"/>
              <w:bottom w:val="nil"/>
              <w:right w:val="nil"/>
            </w:tcBorders>
            <w:shd w:val="clear" w:color="auto" w:fill="auto"/>
            <w:noWrap/>
            <w:vAlign w:val="bottom"/>
            <w:hideMark/>
          </w:tcPr>
          <w:p w14:paraId="21322E89"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56</w:t>
            </w:r>
          </w:p>
        </w:tc>
        <w:tc>
          <w:tcPr>
            <w:tcW w:w="1087" w:type="dxa"/>
            <w:tcBorders>
              <w:top w:val="nil"/>
              <w:left w:val="nil"/>
              <w:bottom w:val="nil"/>
              <w:right w:val="nil"/>
            </w:tcBorders>
            <w:shd w:val="clear" w:color="auto" w:fill="auto"/>
            <w:noWrap/>
            <w:vAlign w:val="center"/>
            <w:hideMark/>
          </w:tcPr>
          <w:p w14:paraId="1D3006C1" w14:textId="50E4293C" w:rsidR="00027DA0" w:rsidRPr="00F85178" w:rsidRDefault="00027DA0" w:rsidP="00EF0B79">
            <w:pPr>
              <w:spacing w:line="240" w:lineRule="auto"/>
              <w:jc w:val="center"/>
              <w:rPr>
                <w:rFonts w:eastAsia="Times New Roman"/>
                <w:sz w:val="20"/>
                <w:szCs w:val="20"/>
                <w:lang w:eastAsia="cs-CZ"/>
              </w:rPr>
            </w:pPr>
            <w:r w:rsidRPr="00F85178">
              <w:rPr>
                <w:rFonts w:eastAsia="Times New Roman"/>
                <w:sz w:val="20"/>
                <w:szCs w:val="20"/>
                <w:lang w:eastAsia="cs-CZ"/>
              </w:rPr>
              <w:t>-6 %</w:t>
            </w:r>
          </w:p>
        </w:tc>
        <w:tc>
          <w:tcPr>
            <w:tcW w:w="679" w:type="dxa"/>
            <w:tcBorders>
              <w:top w:val="nil"/>
              <w:left w:val="single" w:sz="4" w:space="0" w:color="auto"/>
              <w:bottom w:val="nil"/>
              <w:right w:val="nil"/>
            </w:tcBorders>
            <w:shd w:val="clear" w:color="auto" w:fill="auto"/>
            <w:noWrap/>
            <w:vAlign w:val="bottom"/>
            <w:hideMark/>
          </w:tcPr>
          <w:p w14:paraId="567FCA71"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57</w:t>
            </w:r>
          </w:p>
        </w:tc>
        <w:tc>
          <w:tcPr>
            <w:tcW w:w="1257" w:type="dxa"/>
            <w:tcBorders>
              <w:top w:val="nil"/>
              <w:left w:val="nil"/>
              <w:bottom w:val="nil"/>
              <w:right w:val="single" w:sz="4" w:space="0" w:color="auto"/>
            </w:tcBorders>
            <w:shd w:val="clear" w:color="auto" w:fill="auto"/>
            <w:noWrap/>
            <w:vAlign w:val="center"/>
            <w:hideMark/>
          </w:tcPr>
          <w:p w14:paraId="7F8630F5" w14:textId="6997F813" w:rsidR="00027DA0" w:rsidRPr="00F85178" w:rsidRDefault="00EF0B79" w:rsidP="00EF0B79">
            <w:pPr>
              <w:spacing w:line="240" w:lineRule="auto"/>
              <w:jc w:val="center"/>
              <w:rPr>
                <w:rFonts w:eastAsia="Times New Roman"/>
                <w:sz w:val="20"/>
                <w:szCs w:val="20"/>
                <w:lang w:eastAsia="cs-CZ"/>
              </w:rPr>
            </w:pPr>
            <w:r>
              <w:rPr>
                <w:rFonts w:eastAsia="Times New Roman"/>
                <w:sz w:val="20"/>
                <w:szCs w:val="20"/>
                <w:lang w:eastAsia="cs-CZ"/>
              </w:rPr>
              <w:t>-5 %</w:t>
            </w:r>
          </w:p>
        </w:tc>
        <w:tc>
          <w:tcPr>
            <w:tcW w:w="679" w:type="dxa"/>
            <w:tcBorders>
              <w:top w:val="nil"/>
              <w:left w:val="nil"/>
              <w:bottom w:val="nil"/>
              <w:right w:val="nil"/>
            </w:tcBorders>
            <w:shd w:val="clear" w:color="auto" w:fill="auto"/>
            <w:noWrap/>
            <w:vAlign w:val="bottom"/>
            <w:hideMark/>
          </w:tcPr>
          <w:p w14:paraId="5A111406" w14:textId="77777777" w:rsidR="00027DA0" w:rsidRPr="00F85178" w:rsidRDefault="00027DA0" w:rsidP="00027DA0">
            <w:pPr>
              <w:spacing w:line="240" w:lineRule="auto"/>
              <w:jc w:val="center"/>
              <w:rPr>
                <w:rFonts w:eastAsia="Times New Roman"/>
                <w:szCs w:val="24"/>
                <w:lang w:eastAsia="cs-CZ"/>
              </w:rPr>
            </w:pPr>
            <w:r w:rsidRPr="00F85178">
              <w:rPr>
                <w:rFonts w:eastAsia="Times New Roman"/>
                <w:szCs w:val="24"/>
                <w:lang w:eastAsia="cs-CZ"/>
              </w:rPr>
              <w:t>10</w:t>
            </w:r>
          </w:p>
        </w:tc>
        <w:tc>
          <w:tcPr>
            <w:tcW w:w="1318" w:type="dxa"/>
            <w:tcBorders>
              <w:top w:val="single" w:sz="4" w:space="0" w:color="auto"/>
              <w:left w:val="nil"/>
              <w:bottom w:val="double" w:sz="6" w:space="0" w:color="auto"/>
            </w:tcBorders>
            <w:shd w:val="clear" w:color="auto" w:fill="auto"/>
            <w:noWrap/>
            <w:vAlign w:val="center"/>
            <w:hideMark/>
          </w:tcPr>
          <w:p w14:paraId="5C3A0F1B" w14:textId="59EE4F18" w:rsidR="00027DA0" w:rsidRPr="00F85178" w:rsidRDefault="00027DA0" w:rsidP="00EF0B79">
            <w:pPr>
              <w:spacing w:line="240" w:lineRule="auto"/>
              <w:jc w:val="center"/>
              <w:rPr>
                <w:rFonts w:eastAsia="Times New Roman"/>
                <w:sz w:val="20"/>
                <w:szCs w:val="20"/>
                <w:lang w:eastAsia="cs-CZ"/>
              </w:rPr>
            </w:pPr>
            <w:r w:rsidRPr="00F85178">
              <w:rPr>
                <w:rFonts w:eastAsia="Times New Roman"/>
                <w:sz w:val="20"/>
                <w:szCs w:val="20"/>
                <w:lang w:eastAsia="cs-CZ"/>
              </w:rPr>
              <w:t>-10 %</w:t>
            </w:r>
          </w:p>
        </w:tc>
      </w:tr>
      <w:tr w:rsidR="00027DA0" w:rsidRPr="00F85178" w14:paraId="30DE797B" w14:textId="77777777" w:rsidTr="00F56F37">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6DC99D9E" w14:textId="77777777" w:rsidR="00027DA0" w:rsidRPr="00F85178" w:rsidRDefault="00027DA0" w:rsidP="00027DA0">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680" w:type="dxa"/>
            <w:tcBorders>
              <w:top w:val="double" w:sz="6" w:space="0" w:color="auto"/>
              <w:left w:val="nil"/>
              <w:bottom w:val="double" w:sz="6" w:space="0" w:color="auto"/>
              <w:right w:val="nil"/>
            </w:tcBorders>
            <w:shd w:val="clear" w:color="auto" w:fill="auto"/>
            <w:noWrap/>
            <w:vAlign w:val="bottom"/>
            <w:hideMark/>
          </w:tcPr>
          <w:p w14:paraId="6AB095B4" w14:textId="368CDD45" w:rsidR="00027DA0" w:rsidRPr="00F85178" w:rsidRDefault="00FE4855" w:rsidP="00FE4855">
            <w:pPr>
              <w:spacing w:line="240" w:lineRule="auto"/>
              <w:jc w:val="center"/>
              <w:rPr>
                <w:rFonts w:eastAsia="Times New Roman"/>
                <w:b/>
                <w:bCs/>
                <w:szCs w:val="24"/>
                <w:lang w:eastAsia="cs-CZ"/>
              </w:rPr>
            </w:pPr>
            <w:r w:rsidRPr="00F85178">
              <w:rPr>
                <w:rFonts w:eastAsia="Times New Roman"/>
                <w:b/>
                <w:bCs/>
                <w:szCs w:val="24"/>
                <w:lang w:eastAsia="cs-CZ"/>
              </w:rPr>
              <w:t>6</w:t>
            </w:r>
            <w:r>
              <w:rPr>
                <w:rFonts w:eastAsia="Times New Roman"/>
                <w:b/>
                <w:bCs/>
                <w:szCs w:val="24"/>
                <w:lang w:eastAsia="cs-CZ"/>
              </w:rPr>
              <w:t>5</w:t>
            </w:r>
          </w:p>
        </w:tc>
        <w:tc>
          <w:tcPr>
            <w:tcW w:w="1087" w:type="dxa"/>
            <w:tcBorders>
              <w:top w:val="double" w:sz="6" w:space="0" w:color="auto"/>
              <w:left w:val="nil"/>
              <w:bottom w:val="double" w:sz="6" w:space="0" w:color="auto"/>
              <w:right w:val="nil"/>
            </w:tcBorders>
            <w:shd w:val="clear" w:color="auto" w:fill="auto"/>
            <w:noWrap/>
            <w:vAlign w:val="center"/>
            <w:hideMark/>
          </w:tcPr>
          <w:p w14:paraId="136C1C65" w14:textId="3C2E0D79" w:rsidR="00027DA0" w:rsidRPr="00F85178" w:rsidRDefault="00027DA0"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-6 %</w:t>
            </w:r>
          </w:p>
        </w:tc>
        <w:tc>
          <w:tcPr>
            <w:tcW w:w="679" w:type="dxa"/>
            <w:tcBorders>
              <w:top w:val="double" w:sz="6" w:space="0" w:color="auto"/>
              <w:left w:val="single" w:sz="4" w:space="0" w:color="auto"/>
              <w:bottom w:val="double" w:sz="6" w:space="0" w:color="auto"/>
              <w:right w:val="nil"/>
            </w:tcBorders>
            <w:shd w:val="clear" w:color="auto" w:fill="auto"/>
            <w:noWrap/>
            <w:vAlign w:val="bottom"/>
            <w:hideMark/>
          </w:tcPr>
          <w:p w14:paraId="358A07CA"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71</w:t>
            </w:r>
          </w:p>
        </w:tc>
        <w:tc>
          <w:tcPr>
            <w:tcW w:w="1257" w:type="dxa"/>
            <w:tcBorders>
              <w:top w:val="double" w:sz="6" w:space="0" w:color="auto"/>
              <w:left w:val="nil"/>
              <w:bottom w:val="double" w:sz="6" w:space="0" w:color="auto"/>
              <w:right w:val="single" w:sz="4" w:space="0" w:color="auto"/>
            </w:tcBorders>
            <w:shd w:val="clear" w:color="auto" w:fill="auto"/>
            <w:noWrap/>
            <w:vAlign w:val="center"/>
            <w:hideMark/>
          </w:tcPr>
          <w:p w14:paraId="0B599399" w14:textId="6B52F769" w:rsidR="00027DA0" w:rsidRPr="00F85178" w:rsidRDefault="00027DA0"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-1 %</w:t>
            </w:r>
          </w:p>
        </w:tc>
        <w:tc>
          <w:tcPr>
            <w:tcW w:w="679" w:type="dxa"/>
            <w:tcBorders>
              <w:top w:val="double" w:sz="6" w:space="0" w:color="auto"/>
              <w:left w:val="nil"/>
              <w:bottom w:val="double" w:sz="6" w:space="0" w:color="auto"/>
              <w:right w:val="nil"/>
            </w:tcBorders>
            <w:shd w:val="clear" w:color="auto" w:fill="auto"/>
            <w:noWrap/>
            <w:vAlign w:val="bottom"/>
            <w:hideMark/>
          </w:tcPr>
          <w:p w14:paraId="06800570" w14:textId="77777777" w:rsidR="00027DA0" w:rsidRPr="00F85178" w:rsidRDefault="00027DA0" w:rsidP="00027DA0">
            <w:pPr>
              <w:spacing w:line="240" w:lineRule="auto"/>
              <w:jc w:val="center"/>
              <w:rPr>
                <w:rFonts w:eastAsia="Times New Roman"/>
                <w:b/>
                <w:bCs/>
                <w:szCs w:val="24"/>
                <w:lang w:eastAsia="cs-CZ"/>
              </w:rPr>
            </w:pPr>
            <w:r w:rsidRPr="00F85178">
              <w:rPr>
                <w:rFonts w:eastAsia="Times New Roman"/>
                <w:b/>
                <w:bCs/>
                <w:szCs w:val="24"/>
                <w:lang w:eastAsia="cs-CZ"/>
              </w:rPr>
              <w:t>27</w:t>
            </w:r>
          </w:p>
        </w:tc>
        <w:tc>
          <w:tcPr>
            <w:tcW w:w="1318" w:type="dxa"/>
            <w:tcBorders>
              <w:top w:val="double" w:sz="6" w:space="0" w:color="auto"/>
              <w:left w:val="nil"/>
              <w:bottom w:val="double" w:sz="6" w:space="0" w:color="auto"/>
            </w:tcBorders>
            <w:shd w:val="clear" w:color="auto" w:fill="auto"/>
            <w:noWrap/>
            <w:vAlign w:val="center"/>
            <w:hideMark/>
          </w:tcPr>
          <w:p w14:paraId="785D5DA5" w14:textId="5EE6CB93" w:rsidR="00027DA0" w:rsidRPr="00F85178" w:rsidRDefault="00027DA0" w:rsidP="00EF0B79">
            <w:pPr>
              <w:spacing w:line="240" w:lineRule="auto"/>
              <w:jc w:val="center"/>
              <w:rPr>
                <w:rFonts w:eastAsia="Times New Roman"/>
                <w:b/>
                <w:bCs/>
                <w:sz w:val="20"/>
                <w:szCs w:val="20"/>
                <w:lang w:eastAsia="cs-CZ"/>
              </w:rPr>
            </w:pPr>
            <w:r w:rsidRPr="00F85178">
              <w:rPr>
                <w:rFonts w:eastAsia="Times New Roman"/>
                <w:b/>
                <w:bCs/>
                <w:sz w:val="20"/>
                <w:szCs w:val="20"/>
                <w:lang w:eastAsia="cs-CZ"/>
              </w:rPr>
              <w:t>-12 %</w:t>
            </w:r>
          </w:p>
        </w:tc>
      </w:tr>
    </w:tbl>
    <w:p w14:paraId="61E724F2" w14:textId="77777777" w:rsidR="00FA72D9" w:rsidRPr="00F85178" w:rsidRDefault="00FA72D9" w:rsidP="00FA72D9"/>
    <w:p w14:paraId="7B8139C4" w14:textId="77777777" w:rsidR="00FE3D3E" w:rsidRPr="00F85178" w:rsidRDefault="00FE3D3E" w:rsidP="00FE3D3E">
      <w:pPr>
        <w:pStyle w:val="Nadpis3"/>
        <w:rPr>
          <w:color w:val="auto"/>
          <w:lang w:eastAsia="cs-CZ"/>
        </w:rPr>
      </w:pPr>
      <w:bookmarkStart w:id="632" w:name="_Toc515871285"/>
      <w:bookmarkStart w:id="633" w:name="_Toc14076934"/>
      <w:r w:rsidRPr="00F85178">
        <w:rPr>
          <w:color w:val="auto"/>
          <w:lang w:eastAsia="cs-CZ"/>
        </w:rPr>
        <w:t>Disposition time</w:t>
      </w:r>
      <w:bookmarkEnd w:id="632"/>
      <w:bookmarkEnd w:id="633"/>
    </w:p>
    <w:p w14:paraId="27921CF3" w14:textId="36FEB2D5" w:rsidR="00CB314E" w:rsidRPr="00F85178" w:rsidRDefault="00CB314E" w:rsidP="00CB314E">
      <w:pPr>
        <w:pStyle w:val="OdstavecASR"/>
      </w:pPr>
      <w:r w:rsidRPr="00F85178">
        <w:t xml:space="preserve">Disposition time a jeho vývoj vyplývá z výše uvedených faktů a ukazatelů. Vrchní soud v Olomouci vykazuje výrazně nižší DT než Vrchní soud v Praze. DT Vrchního soudu v Olomouci v roce </w:t>
      </w:r>
      <w:r w:rsidR="005E4E8C">
        <w:t>2010</w:t>
      </w:r>
      <w:r w:rsidRPr="00F85178">
        <w:t xml:space="preserve"> výrazně klesl díky poklesu v počtu nevyřízených věcí. Naopak DT u VS Praha v letech 2011 až 2013 narostl díky většímu počtu nevyřízených věcí. DT u obou soudů v následujících letech stagnoval, protože podobným tempem klesal počet vyřízených i nevyřízených věcí. V roce 2017 (a</w:t>
      </w:r>
      <w:r w:rsidR="006519CF">
        <w:t> </w:t>
      </w:r>
      <w:r w:rsidRPr="00F85178">
        <w:t>v roce 2016 u VS Olomouc) DT stoupl, protože počet vyřízených věcí klesal rychleji než počet nevyřízených věcí. Rostoucí DT v tomto případě tedy vlastně není negativním jevem.</w:t>
      </w:r>
      <w:r w:rsidR="002C2C4E" w:rsidRPr="00F85178">
        <w:t xml:space="preserve"> V roce 2018 DT klesl především u VS Praha, a to díky poklesu v počtu nevyřízených věcí.</w:t>
      </w:r>
    </w:p>
    <w:p w14:paraId="2B6D5CC9" w14:textId="77777777" w:rsidR="00FE3D3E" w:rsidRPr="00F85178" w:rsidRDefault="00FE3D3E" w:rsidP="00FE3D3E">
      <w:pPr>
        <w:rPr>
          <w:lang w:eastAsia="cs-CZ"/>
        </w:rPr>
      </w:pPr>
    </w:p>
    <w:p w14:paraId="1D8D61F0" w14:textId="77777777" w:rsidR="007A5577" w:rsidRPr="00F85178" w:rsidRDefault="007A5577" w:rsidP="007A5577"/>
    <w:p w14:paraId="53F302A3" w14:textId="77777777" w:rsidR="00F149B3" w:rsidRPr="00F85178" w:rsidRDefault="0001219A" w:rsidP="0001219A">
      <w:pPr>
        <w:pStyle w:val="Podtitul"/>
        <w:rPr>
          <w:color w:val="auto"/>
        </w:rPr>
      </w:pPr>
      <w:bookmarkStart w:id="634" w:name="_Toc515871414"/>
      <w:bookmarkStart w:id="635" w:name="_Toc11135145"/>
      <w:bookmarkStart w:id="636" w:name="_Toc1383757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84</w:t>
      </w:r>
      <w:r w:rsidRPr="00F85178">
        <w:rPr>
          <w:noProof/>
          <w:color w:val="auto"/>
        </w:rPr>
        <w:fldChar w:fldCharType="end"/>
      </w:r>
      <w:r w:rsidRPr="00F85178">
        <w:rPr>
          <w:color w:val="auto"/>
        </w:rPr>
        <w:t>: VS – DT civilního odvolacího řízení v letech 2008–201</w:t>
      </w:r>
      <w:bookmarkEnd w:id="634"/>
      <w:r w:rsidRPr="00F85178">
        <w:rPr>
          <w:color w:val="auto"/>
        </w:rPr>
        <w:t>8</w:t>
      </w:r>
      <w:bookmarkEnd w:id="635"/>
      <w:bookmarkEnd w:id="636"/>
    </w:p>
    <w:p w14:paraId="2CB907E0" w14:textId="77777777" w:rsidR="00794FE9" w:rsidRPr="00F85178" w:rsidRDefault="00890295" w:rsidP="00145840">
      <w:pPr>
        <w:pStyle w:val="OdstavecASR"/>
      </w:pPr>
      <w:r>
        <w:rPr>
          <w:noProof/>
          <w:lang w:eastAsia="cs-CZ"/>
        </w:rPr>
        <w:drawing>
          <wp:inline distT="0" distB="0" distL="0" distR="0" wp14:anchorId="5FC0E112" wp14:editId="058765B4">
            <wp:extent cx="5118100" cy="3746500"/>
            <wp:effectExtent l="0" t="0" r="0" b="0"/>
            <wp:docPr id="87" name="Obrázek 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3"/>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16FDBFD" w14:textId="77777777" w:rsidR="00794FE9" w:rsidRPr="00F85178" w:rsidRDefault="00794FE9">
      <w:pPr>
        <w:spacing w:line="240" w:lineRule="auto"/>
        <w:jc w:val="left"/>
      </w:pPr>
      <w:r w:rsidRPr="00F85178">
        <w:br w:type="page"/>
      </w:r>
    </w:p>
    <w:p w14:paraId="4B575AEA" w14:textId="77777777" w:rsidR="00794FE9" w:rsidRPr="00F85178" w:rsidRDefault="00794FE9" w:rsidP="00794FE9">
      <w:pPr>
        <w:pStyle w:val="Nadpis2"/>
        <w:rPr>
          <w:lang w:eastAsia="cs-CZ"/>
        </w:rPr>
      </w:pPr>
      <w:bookmarkStart w:id="637" w:name="_Toc515871286"/>
      <w:bookmarkStart w:id="638" w:name="_Toc14076935"/>
      <w:r w:rsidRPr="00F85178">
        <w:rPr>
          <w:lang w:eastAsia="cs-CZ"/>
        </w:rPr>
        <w:t>Trestní odvolací agenda</w:t>
      </w:r>
      <w:bookmarkEnd w:id="637"/>
      <w:bookmarkEnd w:id="638"/>
    </w:p>
    <w:p w14:paraId="7147B353" w14:textId="77777777" w:rsidR="00185DE9" w:rsidRPr="00F85178" w:rsidRDefault="00185DE9" w:rsidP="00185DE9">
      <w:pPr>
        <w:pStyle w:val="OdstavecASR"/>
      </w:pPr>
      <w:r w:rsidRPr="00F85178">
        <w:t>Vrchní soud vyřizuje věci, v nichž bylo podáno odvolání proti rozhodnutí prvostupňového krajského soudu. Jedná se o rejstříky označené jako To a Tmo.</w:t>
      </w:r>
    </w:p>
    <w:p w14:paraId="66B75BB4" w14:textId="77777777" w:rsidR="00794FE9" w:rsidRPr="00F85178" w:rsidRDefault="00794FE9" w:rsidP="00794FE9">
      <w:pPr>
        <w:pStyle w:val="Nadpis3"/>
        <w:rPr>
          <w:color w:val="auto"/>
          <w:lang w:eastAsia="cs-CZ"/>
        </w:rPr>
      </w:pPr>
      <w:bookmarkStart w:id="639" w:name="_Toc515871287"/>
      <w:bookmarkStart w:id="640" w:name="_Toc14076936"/>
      <w:r w:rsidRPr="00F85178">
        <w:rPr>
          <w:color w:val="auto"/>
          <w:lang w:eastAsia="cs-CZ"/>
        </w:rPr>
        <w:t>Délka řízení</w:t>
      </w:r>
      <w:bookmarkEnd w:id="639"/>
      <w:bookmarkEnd w:id="640"/>
    </w:p>
    <w:p w14:paraId="0BFE13DA" w14:textId="77777777" w:rsidR="0032015B" w:rsidRDefault="00A6327D" w:rsidP="00887F73">
      <w:pPr>
        <w:pStyle w:val="OdstavecASR"/>
      </w:pPr>
      <w:r w:rsidRPr="00F85178">
        <w:t xml:space="preserve">Uvedená délka řízení je tentokrát ode dne nápadu do dne právní moci, protože dnem konečného vyřízení odvolacím soudem se věc stane pravomocnou. Na grafu níže vidíme, že délky řízení v trestní agendě jsou mezi soudy mnohem vyrovnanější než v agendě civilní, ne-li téměř vyrovnané. Do roku </w:t>
      </w:r>
      <w:r w:rsidR="005E4E8C">
        <w:t>2013</w:t>
      </w:r>
      <w:r w:rsidRPr="00F85178">
        <w:t xml:space="preserve"> vykazoval VS v Olomouci vyšší průměrnou délku řízení. V roce 2014 narostla délka řízení u VS v Praze, takže se situace obrátila.</w:t>
      </w:r>
      <w:r w:rsidR="00887F73" w:rsidRPr="00F85178">
        <w:t xml:space="preserve"> V roce 2018 opět vykázal větší mediánovou délku VS v Olomouci.</w:t>
      </w:r>
      <w:r w:rsidRPr="00F85178">
        <w:t xml:space="preserve"> Medián je </w:t>
      </w:r>
      <w:r w:rsidR="00887F73" w:rsidRPr="00F85178">
        <w:t xml:space="preserve">ale </w:t>
      </w:r>
      <w:r w:rsidRPr="00F85178">
        <w:t>u obou soudů stále velmi podobný. Pozornost může upoutat kolísání devadesátého percentilu, především u VS v Olomouci. To je dáno malým počtem pozorování.</w:t>
      </w:r>
      <w:r w:rsidR="003A21CE" w:rsidRPr="00F85178">
        <w:t xml:space="preserve"> </w:t>
      </w:r>
      <w:r w:rsidR="00887F73" w:rsidRPr="00F85178">
        <w:t>V roce 2017 došlo k náhlému a obrovskému nárůstu devadesátého percentilu, značnému růstu průměru a mírnému zvýšení mediánu. Toto plyne z již dříve diskutovaného malého počtu pozorování. U obou soudů v tomto roce skončilo několik rozsáhlých a dlouhotrvající kauz. To pak ovlivnilo především devadesátý percentil, v menší míře i průměr a medián. Růst délek řízení ale u</w:t>
      </w:r>
      <w:r w:rsidR="006519CF">
        <w:t> </w:t>
      </w:r>
      <w:r w:rsidR="00887F73" w:rsidRPr="00F85178">
        <w:t>VS v Olomouci pokračoval i v roce 2018 a tento vývoj je tedy třeba sledovat.</w:t>
      </w:r>
    </w:p>
    <w:p w14:paraId="4F6B9069" w14:textId="0E4BC62B" w:rsidR="00A6327D" w:rsidRPr="00F85178" w:rsidRDefault="00A6327D" w:rsidP="00A6327D">
      <w:pPr>
        <w:pStyle w:val="OdstavecASR"/>
      </w:pPr>
      <w:r w:rsidRPr="00F85178">
        <w:t>Další fakt, na který je třeba upozornit, je absolutní délka řízení. Stejně jako u nižších článků soudní soustavy je délka trestního řízení výrazně nižší než délka civilního řízení.</w:t>
      </w:r>
    </w:p>
    <w:p w14:paraId="6C8FE156" w14:textId="77777777" w:rsidR="00185DE9" w:rsidRPr="00F85178" w:rsidRDefault="00887F73" w:rsidP="00185DE9">
      <w:pPr>
        <w:rPr>
          <w:lang w:eastAsia="cs-CZ"/>
        </w:rPr>
      </w:pPr>
      <w:r w:rsidRPr="00F85178">
        <w:t>Ještě zbývá dodat, že s</w:t>
      </w:r>
      <w:r w:rsidR="00185DE9" w:rsidRPr="00F85178">
        <w:t>ložení agendy u VS je logicky velmi podobné složení prvostupňové agendy u krajských soudů</w:t>
      </w:r>
    </w:p>
    <w:p w14:paraId="66C48E3C" w14:textId="77777777" w:rsidR="00027DA0" w:rsidRPr="00F85178" w:rsidRDefault="00027DA0" w:rsidP="00027DA0">
      <w:pPr>
        <w:pStyle w:val="Podtitul"/>
        <w:rPr>
          <w:color w:val="auto"/>
        </w:rPr>
      </w:pPr>
      <w:bookmarkStart w:id="641" w:name="_Toc515871415"/>
      <w:bookmarkStart w:id="642" w:name="_Toc11135146"/>
      <w:bookmarkStart w:id="643" w:name="_Toc13837578"/>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85</w:t>
      </w:r>
      <w:r w:rsidRPr="00F85178">
        <w:rPr>
          <w:noProof/>
          <w:color w:val="auto"/>
        </w:rPr>
        <w:fldChar w:fldCharType="end"/>
      </w:r>
      <w:r w:rsidRPr="00F85178">
        <w:rPr>
          <w:color w:val="auto"/>
        </w:rPr>
        <w:t>: VS – délka trestního odvolacího řízení v letech 2010–</w:t>
      </w:r>
      <w:bookmarkEnd w:id="641"/>
      <w:r w:rsidR="00742556" w:rsidRPr="00F85178">
        <w:rPr>
          <w:color w:val="auto"/>
        </w:rPr>
        <w:t>2018</w:t>
      </w:r>
      <w:bookmarkEnd w:id="642"/>
      <w:bookmarkEnd w:id="643"/>
    </w:p>
    <w:p w14:paraId="1D918684" w14:textId="77777777" w:rsidR="00027DA0" w:rsidRPr="00F85178" w:rsidRDefault="00890295" w:rsidP="00027DA0">
      <w:pPr>
        <w:rPr>
          <w:lang w:eastAsia="cs-CZ"/>
        </w:rPr>
      </w:pPr>
      <w:r>
        <w:rPr>
          <w:noProof/>
          <w:lang w:eastAsia="cs-CZ"/>
        </w:rPr>
        <w:drawing>
          <wp:inline distT="0" distB="0" distL="0" distR="0" wp14:anchorId="36556F07" wp14:editId="069121B5">
            <wp:extent cx="5118100" cy="3746500"/>
            <wp:effectExtent l="0" t="0" r="0" b="0"/>
            <wp:docPr id="88" name="Obrázek 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2"/>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2E22CF3" w14:textId="77777777" w:rsidR="00794FE9" w:rsidRPr="00F85178" w:rsidRDefault="00794FE9" w:rsidP="00794FE9">
      <w:pPr>
        <w:pStyle w:val="Podtitul"/>
        <w:rPr>
          <w:color w:val="auto"/>
        </w:rPr>
      </w:pPr>
      <w:bookmarkStart w:id="644" w:name="_Toc515871416"/>
      <w:bookmarkStart w:id="645" w:name="_Toc11135147"/>
      <w:bookmarkStart w:id="646" w:name="_Toc1383757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86</w:t>
      </w:r>
      <w:r w:rsidRPr="00F85178">
        <w:rPr>
          <w:color w:val="auto"/>
        </w:rPr>
        <w:fldChar w:fldCharType="end"/>
      </w:r>
      <w:r w:rsidRPr="00F85178">
        <w:rPr>
          <w:color w:val="auto"/>
        </w:rPr>
        <w:t>: VS – distribuce délek trestního odvolacího řízení</w:t>
      </w:r>
      <w:bookmarkEnd w:id="644"/>
      <w:bookmarkEnd w:id="645"/>
      <w:bookmarkEnd w:id="646"/>
    </w:p>
    <w:p w14:paraId="69E34C8D" w14:textId="77777777" w:rsidR="00B106D0" w:rsidRPr="00F85178" w:rsidRDefault="00890295" w:rsidP="00145840">
      <w:pPr>
        <w:pStyle w:val="OdstavecASR"/>
      </w:pPr>
      <w:r>
        <w:rPr>
          <w:noProof/>
          <w:lang w:eastAsia="cs-CZ"/>
        </w:rPr>
        <w:drawing>
          <wp:inline distT="0" distB="0" distL="0" distR="0" wp14:anchorId="08C6DF25" wp14:editId="506B3F5E">
            <wp:extent cx="5118100" cy="3746500"/>
            <wp:effectExtent l="0" t="0" r="0" b="0"/>
            <wp:docPr id="89" name="Obrázek 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3"/>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FFCBB2D" w14:textId="77777777" w:rsidR="00185DE9" w:rsidRPr="00F85178" w:rsidRDefault="00185DE9" w:rsidP="00185DE9">
      <w:pPr>
        <w:pStyle w:val="OdstavecASR"/>
        <w:rPr>
          <w:lang w:eastAsia="cs-CZ"/>
        </w:rPr>
      </w:pPr>
      <w:r w:rsidRPr="00F85178">
        <w:rPr>
          <w:lang w:eastAsia="cs-CZ"/>
        </w:rPr>
        <w:t>Malý počet pozorování se projevuje i v histogramu. Distribuce délek řízení se mezi soudy liší. Při vyšším počtu pozorová</w:t>
      </w:r>
      <w:r w:rsidR="003A21CE" w:rsidRPr="00F85178">
        <w:rPr>
          <w:lang w:eastAsia="cs-CZ"/>
        </w:rPr>
        <w:t>ní by zřejmě byla více podobná.</w:t>
      </w:r>
    </w:p>
    <w:p w14:paraId="2DA59427" w14:textId="77777777" w:rsidR="00185DE9" w:rsidRPr="00F85178" w:rsidRDefault="00185DE9" w:rsidP="00185DE9">
      <w:pPr>
        <w:pStyle w:val="OdstavecASR"/>
        <w:rPr>
          <w:lang w:eastAsia="cs-CZ"/>
        </w:rPr>
      </w:pPr>
      <w:r w:rsidRPr="00F85178">
        <w:rPr>
          <w:lang w:eastAsia="cs-CZ"/>
        </w:rPr>
        <w:t xml:space="preserve">Nárůst v délkách řízení tedy </w:t>
      </w:r>
      <w:r w:rsidR="00B9588E" w:rsidRPr="00F85178">
        <w:rPr>
          <w:lang w:eastAsia="cs-CZ"/>
        </w:rPr>
        <w:t xml:space="preserve">stále zatím </w:t>
      </w:r>
      <w:r w:rsidRPr="00F85178">
        <w:rPr>
          <w:lang w:eastAsia="cs-CZ"/>
        </w:rPr>
        <w:t>můžeme považovat za výkyv</w:t>
      </w:r>
      <w:r w:rsidR="00B9588E" w:rsidRPr="00F85178">
        <w:rPr>
          <w:lang w:eastAsia="cs-CZ"/>
        </w:rPr>
        <w:t>, i když trvá již dva roky (růst je vidět hlavně u VS Olomouc). Jak je totiž vidět dále, počet nevyřízených věcí u obou soudů v roce 2018 klesl. Důležitý je také fakt, že klesl i počet a podíl věcí nevyřízených déle než 6</w:t>
      </w:r>
      <w:r w:rsidR="003A21CE" w:rsidRPr="00F85178">
        <w:rPr>
          <w:lang w:eastAsia="cs-CZ"/>
        </w:rPr>
        <w:t> </w:t>
      </w:r>
      <w:r w:rsidR="00B9588E" w:rsidRPr="00F85178">
        <w:rPr>
          <w:lang w:eastAsia="cs-CZ"/>
        </w:rPr>
        <w:t>měsíců.</w:t>
      </w:r>
    </w:p>
    <w:p w14:paraId="443157BC" w14:textId="77777777" w:rsidR="00794FE9" w:rsidRPr="00F85178" w:rsidRDefault="00794FE9" w:rsidP="00794FE9">
      <w:pPr>
        <w:pStyle w:val="Nadpis3"/>
        <w:rPr>
          <w:color w:val="auto"/>
          <w:lang w:eastAsia="cs-CZ"/>
        </w:rPr>
      </w:pPr>
      <w:bookmarkStart w:id="647" w:name="_Toc515871288"/>
      <w:bookmarkStart w:id="648" w:name="_Toc14076937"/>
      <w:r w:rsidRPr="00F85178">
        <w:rPr>
          <w:color w:val="auto"/>
          <w:lang w:eastAsia="cs-CZ"/>
        </w:rPr>
        <w:t>Vyřizování věcí</w:t>
      </w:r>
      <w:bookmarkEnd w:id="647"/>
      <w:bookmarkEnd w:id="648"/>
    </w:p>
    <w:p w14:paraId="33FFB0A6" w14:textId="77777777" w:rsidR="00185DE9" w:rsidRPr="00F85178" w:rsidRDefault="00185DE9" w:rsidP="00185DE9">
      <w:pPr>
        <w:pStyle w:val="OdstavecASR"/>
      </w:pPr>
      <w:r w:rsidRPr="00F85178">
        <w:t>Počet věcí opět ilustruje rozdíl ve velikosti soudů. V nápadu je vidět jisté kolísání, ale v zásadě se od roku 2010 nezměnil, což souvisí s tím, že v nápadu prvostupňové agendy u krajských soudů také nedošlo k žádné výraznější změně. V roce 2016 došlo k nárůstu v počtu nevyřízených věcí především u VS v Olomouci. Ačkoliv počet nevyřízených věcí vzrostl asi o 50 %, v absolutních číslech představuje pouze několik desítek věcí a celkový počet nevyřízených věcí je velmi malý.</w:t>
      </w:r>
      <w:r w:rsidR="0020179A" w:rsidRPr="00F85178">
        <w:t xml:space="preserve"> </w:t>
      </w:r>
      <w:r w:rsidR="00B9588E" w:rsidRPr="00F85178">
        <w:t>Jak je již uvedeno výše, počet nevyřízených věcí v roce 2018 klesl u obou soudů.</w:t>
      </w:r>
      <w:r w:rsidR="00817839" w:rsidRPr="00F85178">
        <w:t xml:space="preserve"> U VS v Praze i přes nárůst v počtu věcí příchozích.</w:t>
      </w:r>
    </w:p>
    <w:p w14:paraId="7328929D" w14:textId="77777777" w:rsidR="000C4E9A" w:rsidRPr="00F85178" w:rsidRDefault="000C4E9A" w:rsidP="000C4E9A">
      <w:pPr>
        <w:pStyle w:val="Podtitul"/>
        <w:rPr>
          <w:color w:val="auto"/>
        </w:rPr>
      </w:pPr>
      <w:bookmarkStart w:id="649" w:name="_Toc515871417"/>
      <w:bookmarkStart w:id="650" w:name="_Toc11135148"/>
      <w:bookmarkStart w:id="651" w:name="_Toc1383758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87</w:t>
      </w:r>
      <w:r w:rsidRPr="00F85178">
        <w:rPr>
          <w:noProof/>
          <w:color w:val="auto"/>
        </w:rPr>
        <w:fldChar w:fldCharType="end"/>
      </w:r>
      <w:r w:rsidRPr="00F85178">
        <w:rPr>
          <w:color w:val="auto"/>
        </w:rPr>
        <w:t>: VS – vyřizování odvolacích trestních věcí v letech 2008–201</w:t>
      </w:r>
      <w:bookmarkEnd w:id="649"/>
      <w:r w:rsidRPr="00F85178">
        <w:rPr>
          <w:color w:val="auto"/>
        </w:rPr>
        <w:t>8</w:t>
      </w:r>
      <w:bookmarkEnd w:id="650"/>
      <w:bookmarkEnd w:id="651"/>
    </w:p>
    <w:p w14:paraId="768D87B8" w14:textId="77777777" w:rsidR="00794FE9" w:rsidRPr="00F85178" w:rsidRDefault="00890295" w:rsidP="00145840">
      <w:pPr>
        <w:pStyle w:val="OdstavecASR"/>
      </w:pPr>
      <w:r>
        <w:rPr>
          <w:noProof/>
          <w:lang w:eastAsia="cs-CZ"/>
        </w:rPr>
        <w:drawing>
          <wp:inline distT="0" distB="0" distL="0" distR="0" wp14:anchorId="3D6AEA71" wp14:editId="49B0BD1A">
            <wp:extent cx="5118100" cy="3746500"/>
            <wp:effectExtent l="0" t="0" r="0" b="0"/>
            <wp:docPr id="90" name="Obrázek 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4"/>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E9C9342" w14:textId="77777777" w:rsidR="00016B54" w:rsidRPr="00F85178" w:rsidRDefault="00016B54" w:rsidP="00016B54">
      <w:pPr>
        <w:pStyle w:val="Nadpis3"/>
        <w:rPr>
          <w:color w:val="auto"/>
          <w:lang w:eastAsia="cs-CZ"/>
        </w:rPr>
      </w:pPr>
      <w:bookmarkStart w:id="652" w:name="_Toc515871289"/>
      <w:bookmarkStart w:id="653" w:name="_Toc14076938"/>
      <w:r w:rsidRPr="00F85178">
        <w:rPr>
          <w:color w:val="auto"/>
          <w:lang w:eastAsia="cs-CZ"/>
        </w:rPr>
        <w:t>Vyřizování věcí v přepočtu na soudce</w:t>
      </w:r>
      <w:bookmarkEnd w:id="652"/>
      <w:bookmarkEnd w:id="653"/>
    </w:p>
    <w:p w14:paraId="47CA16BB" w14:textId="77777777" w:rsidR="00817839" w:rsidRPr="00F85178" w:rsidRDefault="00185DE9" w:rsidP="00185DE9">
      <w:pPr>
        <w:pStyle w:val="OdstavecASR"/>
        <w:rPr>
          <w:lang w:eastAsia="cs-CZ"/>
        </w:rPr>
      </w:pPr>
      <w:r w:rsidRPr="00F85178">
        <w:rPr>
          <w:lang w:eastAsia="cs-CZ"/>
        </w:rPr>
        <w:t>Počet příchozích, vyřízených i nevyřízených věcí na soudce je u obou soudů velmi podobný. To koresponduje s tvrzením založeným na délkách řízení – oba soudy si ve vyřizování trestní odvolací agendy vedou obdobně.</w:t>
      </w:r>
    </w:p>
    <w:p w14:paraId="2ED6CFEA" w14:textId="77777777" w:rsidR="00817839" w:rsidRPr="00F85178" w:rsidRDefault="00817839" w:rsidP="00185DE9">
      <w:pPr>
        <w:pStyle w:val="OdstavecASR"/>
        <w:rPr>
          <w:lang w:eastAsia="cs-CZ"/>
        </w:rPr>
      </w:pPr>
    </w:p>
    <w:p w14:paraId="01F2FE88" w14:textId="77777777" w:rsidR="00770E25" w:rsidRPr="00F85178" w:rsidRDefault="00770E25" w:rsidP="00770E25">
      <w:pPr>
        <w:pStyle w:val="Podtitul"/>
        <w:rPr>
          <w:color w:val="auto"/>
        </w:rPr>
      </w:pPr>
      <w:bookmarkStart w:id="654" w:name="_Toc515871504"/>
      <w:bookmarkStart w:id="655" w:name="_Toc11133270"/>
      <w:bookmarkStart w:id="656" w:name="_Toc13837491"/>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68</w:t>
      </w:r>
      <w:r w:rsidRPr="00F85178">
        <w:rPr>
          <w:noProof/>
          <w:color w:val="auto"/>
        </w:rPr>
        <w:fldChar w:fldCharType="end"/>
      </w:r>
      <w:r w:rsidRPr="00F85178">
        <w:rPr>
          <w:color w:val="auto"/>
        </w:rPr>
        <w:t>: VS – vyřizování odvolacích trestních věcí na soudce</w:t>
      </w:r>
      <w:bookmarkEnd w:id="654"/>
      <w:bookmarkEnd w:id="655"/>
      <w:bookmarkEnd w:id="656"/>
    </w:p>
    <w:tbl>
      <w:tblPr>
        <w:tblW w:w="7866" w:type="dxa"/>
        <w:tblCellMar>
          <w:left w:w="70" w:type="dxa"/>
          <w:right w:w="70" w:type="dxa"/>
        </w:tblCellMar>
        <w:tblLook w:val="04A0" w:firstRow="1" w:lastRow="0" w:firstColumn="1" w:lastColumn="0" w:noHBand="0" w:noVBand="1"/>
      </w:tblPr>
      <w:tblGrid>
        <w:gridCol w:w="2020"/>
        <w:gridCol w:w="1102"/>
        <w:gridCol w:w="828"/>
        <w:gridCol w:w="1101"/>
        <w:gridCol w:w="813"/>
        <w:gridCol w:w="1010"/>
        <w:gridCol w:w="992"/>
      </w:tblGrid>
      <w:tr w:rsidR="00F85178" w:rsidRPr="00F85178" w14:paraId="327E7B16" w14:textId="77777777" w:rsidTr="00F56F37">
        <w:trPr>
          <w:trHeight w:val="330"/>
        </w:trPr>
        <w:tc>
          <w:tcPr>
            <w:tcW w:w="2020" w:type="dxa"/>
            <w:vMerge w:val="restart"/>
            <w:tcBorders>
              <w:top w:val="double" w:sz="6" w:space="0" w:color="auto"/>
              <w:left w:val="nil"/>
              <w:bottom w:val="double" w:sz="6" w:space="0" w:color="000000"/>
              <w:right w:val="nil"/>
            </w:tcBorders>
            <w:shd w:val="clear" w:color="auto" w:fill="auto"/>
            <w:noWrap/>
            <w:vAlign w:val="center"/>
            <w:hideMark/>
          </w:tcPr>
          <w:p w14:paraId="621B558F" w14:textId="3EC6683E" w:rsidR="000F7859" w:rsidRPr="00F85178" w:rsidRDefault="00FE4855" w:rsidP="000F7859">
            <w:pPr>
              <w:spacing w:line="240" w:lineRule="auto"/>
              <w:jc w:val="center"/>
              <w:rPr>
                <w:rFonts w:eastAsia="Times New Roman"/>
                <w:b/>
                <w:bCs/>
                <w:szCs w:val="24"/>
                <w:lang w:eastAsia="cs-CZ"/>
              </w:rPr>
            </w:pPr>
            <w:r>
              <w:rPr>
                <w:rFonts w:eastAsia="Times New Roman"/>
                <w:b/>
                <w:bCs/>
                <w:szCs w:val="24"/>
                <w:lang w:eastAsia="cs-CZ"/>
              </w:rPr>
              <w:t>Soud</w:t>
            </w:r>
          </w:p>
        </w:tc>
        <w:tc>
          <w:tcPr>
            <w:tcW w:w="5846" w:type="dxa"/>
            <w:gridSpan w:val="6"/>
            <w:tcBorders>
              <w:top w:val="double" w:sz="6" w:space="0" w:color="auto"/>
              <w:left w:val="nil"/>
              <w:bottom w:val="nil"/>
            </w:tcBorders>
            <w:shd w:val="clear" w:color="auto" w:fill="auto"/>
            <w:noWrap/>
            <w:vAlign w:val="center"/>
            <w:hideMark/>
          </w:tcPr>
          <w:p w14:paraId="4DAE4AF5"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Počet věcí</w:t>
            </w:r>
          </w:p>
        </w:tc>
      </w:tr>
      <w:tr w:rsidR="00F85178" w:rsidRPr="00F85178" w14:paraId="7B83A6AE" w14:textId="77777777" w:rsidTr="00F56F37">
        <w:trPr>
          <w:trHeight w:val="330"/>
        </w:trPr>
        <w:tc>
          <w:tcPr>
            <w:tcW w:w="2020" w:type="dxa"/>
            <w:vMerge/>
            <w:tcBorders>
              <w:top w:val="double" w:sz="6" w:space="0" w:color="auto"/>
              <w:left w:val="nil"/>
              <w:bottom w:val="double" w:sz="6" w:space="0" w:color="000000"/>
              <w:right w:val="nil"/>
            </w:tcBorders>
            <w:vAlign w:val="center"/>
            <w:hideMark/>
          </w:tcPr>
          <w:p w14:paraId="3944CBEA" w14:textId="77777777" w:rsidR="000F7859" w:rsidRPr="00F85178" w:rsidRDefault="000F7859" w:rsidP="000F7859">
            <w:pPr>
              <w:spacing w:line="240" w:lineRule="auto"/>
              <w:jc w:val="left"/>
              <w:rPr>
                <w:rFonts w:eastAsia="Times New Roman"/>
                <w:b/>
                <w:bCs/>
                <w:szCs w:val="24"/>
                <w:lang w:eastAsia="cs-CZ"/>
              </w:rPr>
            </w:pPr>
          </w:p>
        </w:tc>
        <w:tc>
          <w:tcPr>
            <w:tcW w:w="1930" w:type="dxa"/>
            <w:gridSpan w:val="2"/>
            <w:tcBorders>
              <w:top w:val="nil"/>
              <w:left w:val="nil"/>
              <w:bottom w:val="double" w:sz="6" w:space="0" w:color="auto"/>
              <w:right w:val="nil"/>
            </w:tcBorders>
            <w:shd w:val="clear" w:color="auto" w:fill="auto"/>
            <w:noWrap/>
            <w:vAlign w:val="center"/>
            <w:hideMark/>
          </w:tcPr>
          <w:p w14:paraId="1F4FB071"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Nápad + obživa</w:t>
            </w:r>
          </w:p>
        </w:tc>
        <w:tc>
          <w:tcPr>
            <w:tcW w:w="1914" w:type="dxa"/>
            <w:gridSpan w:val="2"/>
            <w:tcBorders>
              <w:top w:val="nil"/>
              <w:left w:val="single" w:sz="4" w:space="0" w:color="auto"/>
              <w:bottom w:val="double" w:sz="6" w:space="0" w:color="auto"/>
              <w:right w:val="single" w:sz="4" w:space="0" w:color="000000"/>
            </w:tcBorders>
            <w:shd w:val="clear" w:color="auto" w:fill="auto"/>
            <w:noWrap/>
            <w:vAlign w:val="center"/>
            <w:hideMark/>
          </w:tcPr>
          <w:p w14:paraId="4F30B01F"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Vyřízeno</w:t>
            </w:r>
          </w:p>
        </w:tc>
        <w:tc>
          <w:tcPr>
            <w:tcW w:w="2002" w:type="dxa"/>
            <w:gridSpan w:val="2"/>
            <w:tcBorders>
              <w:top w:val="nil"/>
              <w:left w:val="nil"/>
              <w:bottom w:val="double" w:sz="6" w:space="0" w:color="auto"/>
            </w:tcBorders>
            <w:shd w:val="clear" w:color="auto" w:fill="auto"/>
            <w:noWrap/>
            <w:vAlign w:val="center"/>
            <w:hideMark/>
          </w:tcPr>
          <w:p w14:paraId="19E183A2"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Nevyřízeno</w:t>
            </w:r>
          </w:p>
        </w:tc>
      </w:tr>
      <w:tr w:rsidR="00F85178" w:rsidRPr="00F85178" w14:paraId="6E68EEFD" w14:textId="77777777" w:rsidTr="00F56F37">
        <w:trPr>
          <w:trHeight w:val="330"/>
        </w:trPr>
        <w:tc>
          <w:tcPr>
            <w:tcW w:w="2020" w:type="dxa"/>
            <w:tcBorders>
              <w:top w:val="single" w:sz="4" w:space="0" w:color="auto"/>
              <w:left w:val="nil"/>
              <w:bottom w:val="single" w:sz="4" w:space="0" w:color="auto"/>
              <w:right w:val="nil"/>
            </w:tcBorders>
            <w:shd w:val="clear" w:color="auto" w:fill="auto"/>
            <w:noWrap/>
            <w:vAlign w:val="bottom"/>
            <w:hideMark/>
          </w:tcPr>
          <w:p w14:paraId="049E5055" w14:textId="5C99DE46" w:rsidR="000F7859" w:rsidRPr="00F85178" w:rsidRDefault="00FE4855" w:rsidP="000F7859">
            <w:pPr>
              <w:spacing w:line="240" w:lineRule="auto"/>
              <w:jc w:val="left"/>
              <w:rPr>
                <w:rFonts w:eastAsia="Times New Roman"/>
                <w:szCs w:val="24"/>
                <w:lang w:eastAsia="cs-CZ"/>
              </w:rPr>
            </w:pPr>
            <w:r>
              <w:rPr>
                <w:rFonts w:eastAsia="Times New Roman"/>
                <w:szCs w:val="24"/>
                <w:lang w:eastAsia="cs-CZ"/>
              </w:rPr>
              <w:t>VS</w:t>
            </w:r>
            <w:r w:rsidRPr="00F85178">
              <w:rPr>
                <w:rFonts w:eastAsia="Times New Roman"/>
                <w:szCs w:val="24"/>
                <w:lang w:eastAsia="cs-CZ"/>
              </w:rPr>
              <w:t xml:space="preserve"> </w:t>
            </w:r>
            <w:r w:rsidR="000F7859" w:rsidRPr="00F85178">
              <w:rPr>
                <w:rFonts w:eastAsia="Times New Roman"/>
                <w:szCs w:val="24"/>
                <w:lang w:eastAsia="cs-CZ"/>
              </w:rPr>
              <w:t>Praha</w:t>
            </w:r>
          </w:p>
        </w:tc>
        <w:tc>
          <w:tcPr>
            <w:tcW w:w="1102" w:type="dxa"/>
            <w:tcBorders>
              <w:top w:val="single" w:sz="4" w:space="0" w:color="auto"/>
              <w:left w:val="nil"/>
              <w:bottom w:val="single" w:sz="4" w:space="0" w:color="auto"/>
              <w:right w:val="nil"/>
            </w:tcBorders>
            <w:shd w:val="clear" w:color="auto" w:fill="auto"/>
            <w:noWrap/>
            <w:vAlign w:val="bottom"/>
            <w:hideMark/>
          </w:tcPr>
          <w:p w14:paraId="487C8EBE"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39,55</w:t>
            </w:r>
          </w:p>
        </w:tc>
        <w:tc>
          <w:tcPr>
            <w:tcW w:w="828" w:type="dxa"/>
            <w:tcBorders>
              <w:top w:val="single" w:sz="4" w:space="0" w:color="auto"/>
              <w:left w:val="nil"/>
              <w:bottom w:val="single" w:sz="4" w:space="0" w:color="auto"/>
              <w:right w:val="nil"/>
            </w:tcBorders>
            <w:shd w:val="clear" w:color="auto" w:fill="auto"/>
            <w:noWrap/>
            <w:vAlign w:val="center"/>
            <w:hideMark/>
          </w:tcPr>
          <w:p w14:paraId="6D7CDBE6"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-2 %</w:t>
            </w:r>
          </w:p>
        </w:tc>
        <w:tc>
          <w:tcPr>
            <w:tcW w:w="1101" w:type="dxa"/>
            <w:tcBorders>
              <w:top w:val="single" w:sz="4" w:space="0" w:color="auto"/>
              <w:left w:val="single" w:sz="4" w:space="0" w:color="auto"/>
              <w:bottom w:val="single" w:sz="4" w:space="0" w:color="auto"/>
              <w:right w:val="nil"/>
            </w:tcBorders>
            <w:shd w:val="clear" w:color="auto" w:fill="auto"/>
            <w:noWrap/>
            <w:vAlign w:val="bottom"/>
            <w:hideMark/>
          </w:tcPr>
          <w:p w14:paraId="6A0CEE54"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40,10</w:t>
            </w:r>
          </w:p>
        </w:tc>
        <w:tc>
          <w:tcPr>
            <w:tcW w:w="813" w:type="dxa"/>
            <w:tcBorders>
              <w:top w:val="single" w:sz="4" w:space="0" w:color="auto"/>
              <w:left w:val="nil"/>
              <w:bottom w:val="single" w:sz="4" w:space="0" w:color="auto"/>
              <w:right w:val="single" w:sz="4" w:space="0" w:color="auto"/>
            </w:tcBorders>
            <w:shd w:val="clear" w:color="auto" w:fill="auto"/>
            <w:noWrap/>
            <w:vAlign w:val="center"/>
            <w:hideMark/>
          </w:tcPr>
          <w:p w14:paraId="0D1FFC63"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-0 %</w:t>
            </w:r>
          </w:p>
        </w:tc>
        <w:tc>
          <w:tcPr>
            <w:tcW w:w="1010" w:type="dxa"/>
            <w:tcBorders>
              <w:top w:val="single" w:sz="4" w:space="0" w:color="auto"/>
              <w:left w:val="nil"/>
              <w:bottom w:val="single" w:sz="4" w:space="0" w:color="auto"/>
              <w:right w:val="nil"/>
            </w:tcBorders>
            <w:shd w:val="clear" w:color="auto" w:fill="auto"/>
            <w:noWrap/>
            <w:vAlign w:val="bottom"/>
            <w:hideMark/>
          </w:tcPr>
          <w:p w14:paraId="1F221CB6"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4,65</w:t>
            </w:r>
          </w:p>
        </w:tc>
        <w:tc>
          <w:tcPr>
            <w:tcW w:w="992" w:type="dxa"/>
            <w:tcBorders>
              <w:top w:val="single" w:sz="4" w:space="0" w:color="auto"/>
              <w:left w:val="nil"/>
              <w:bottom w:val="single" w:sz="4" w:space="0" w:color="auto"/>
            </w:tcBorders>
            <w:shd w:val="clear" w:color="auto" w:fill="auto"/>
            <w:noWrap/>
            <w:vAlign w:val="center"/>
            <w:hideMark/>
          </w:tcPr>
          <w:p w14:paraId="7AB4352D"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-15 %</w:t>
            </w:r>
          </w:p>
        </w:tc>
      </w:tr>
      <w:tr w:rsidR="00F85178" w:rsidRPr="00F85178" w14:paraId="69B92CC7" w14:textId="77777777" w:rsidTr="00F56F37">
        <w:trPr>
          <w:trHeight w:val="330"/>
        </w:trPr>
        <w:tc>
          <w:tcPr>
            <w:tcW w:w="2020" w:type="dxa"/>
            <w:tcBorders>
              <w:top w:val="nil"/>
              <w:left w:val="nil"/>
              <w:bottom w:val="nil"/>
              <w:right w:val="nil"/>
            </w:tcBorders>
            <w:shd w:val="clear" w:color="auto" w:fill="auto"/>
            <w:noWrap/>
            <w:vAlign w:val="bottom"/>
            <w:hideMark/>
          </w:tcPr>
          <w:p w14:paraId="4AA552A0" w14:textId="5CDD0772" w:rsidR="000F7859" w:rsidRPr="00F85178" w:rsidRDefault="00FE4855" w:rsidP="000F7859">
            <w:pPr>
              <w:spacing w:line="240" w:lineRule="auto"/>
              <w:jc w:val="left"/>
              <w:rPr>
                <w:rFonts w:eastAsia="Times New Roman"/>
                <w:szCs w:val="24"/>
                <w:lang w:eastAsia="cs-CZ"/>
              </w:rPr>
            </w:pPr>
            <w:r>
              <w:rPr>
                <w:rFonts w:eastAsia="Times New Roman"/>
                <w:szCs w:val="24"/>
                <w:lang w:eastAsia="cs-CZ"/>
              </w:rPr>
              <w:t>VS Olomouc</w:t>
            </w:r>
          </w:p>
        </w:tc>
        <w:tc>
          <w:tcPr>
            <w:tcW w:w="1102" w:type="dxa"/>
            <w:tcBorders>
              <w:top w:val="nil"/>
              <w:left w:val="nil"/>
              <w:bottom w:val="nil"/>
              <w:right w:val="nil"/>
            </w:tcBorders>
            <w:shd w:val="clear" w:color="auto" w:fill="auto"/>
            <w:noWrap/>
            <w:vAlign w:val="bottom"/>
            <w:hideMark/>
          </w:tcPr>
          <w:p w14:paraId="435FA190"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36,71</w:t>
            </w:r>
          </w:p>
        </w:tc>
        <w:tc>
          <w:tcPr>
            <w:tcW w:w="828" w:type="dxa"/>
            <w:tcBorders>
              <w:top w:val="nil"/>
              <w:left w:val="nil"/>
              <w:bottom w:val="nil"/>
              <w:right w:val="nil"/>
            </w:tcBorders>
            <w:shd w:val="clear" w:color="auto" w:fill="auto"/>
            <w:noWrap/>
            <w:vAlign w:val="center"/>
            <w:hideMark/>
          </w:tcPr>
          <w:p w14:paraId="46C5D832"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-7 %</w:t>
            </w:r>
          </w:p>
        </w:tc>
        <w:tc>
          <w:tcPr>
            <w:tcW w:w="1101" w:type="dxa"/>
            <w:tcBorders>
              <w:top w:val="nil"/>
              <w:left w:val="single" w:sz="4" w:space="0" w:color="auto"/>
              <w:bottom w:val="nil"/>
              <w:right w:val="nil"/>
            </w:tcBorders>
            <w:shd w:val="clear" w:color="auto" w:fill="auto"/>
            <w:noWrap/>
            <w:vAlign w:val="bottom"/>
            <w:hideMark/>
          </w:tcPr>
          <w:p w14:paraId="2F03C990"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38,29</w:t>
            </w:r>
          </w:p>
        </w:tc>
        <w:tc>
          <w:tcPr>
            <w:tcW w:w="813" w:type="dxa"/>
            <w:tcBorders>
              <w:top w:val="nil"/>
              <w:left w:val="nil"/>
              <w:bottom w:val="nil"/>
              <w:right w:val="single" w:sz="4" w:space="0" w:color="auto"/>
            </w:tcBorders>
            <w:shd w:val="clear" w:color="auto" w:fill="auto"/>
            <w:noWrap/>
            <w:vAlign w:val="center"/>
            <w:hideMark/>
          </w:tcPr>
          <w:p w14:paraId="3F585328"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-3 %</w:t>
            </w:r>
          </w:p>
        </w:tc>
        <w:tc>
          <w:tcPr>
            <w:tcW w:w="1010" w:type="dxa"/>
            <w:tcBorders>
              <w:top w:val="nil"/>
              <w:left w:val="nil"/>
              <w:bottom w:val="nil"/>
              <w:right w:val="nil"/>
            </w:tcBorders>
            <w:shd w:val="clear" w:color="auto" w:fill="auto"/>
            <w:noWrap/>
            <w:vAlign w:val="bottom"/>
            <w:hideMark/>
          </w:tcPr>
          <w:p w14:paraId="3A7B0810" w14:textId="77777777" w:rsidR="000F7859" w:rsidRPr="00F85178" w:rsidRDefault="000F7859" w:rsidP="000F7859">
            <w:pPr>
              <w:spacing w:line="240" w:lineRule="auto"/>
              <w:jc w:val="center"/>
              <w:rPr>
                <w:rFonts w:eastAsia="Times New Roman"/>
                <w:szCs w:val="24"/>
                <w:lang w:eastAsia="cs-CZ"/>
              </w:rPr>
            </w:pPr>
            <w:r w:rsidRPr="00F85178">
              <w:rPr>
                <w:rFonts w:eastAsia="Times New Roman"/>
                <w:szCs w:val="24"/>
                <w:lang w:eastAsia="cs-CZ"/>
              </w:rPr>
              <w:t>5,18</w:t>
            </w:r>
          </w:p>
        </w:tc>
        <w:tc>
          <w:tcPr>
            <w:tcW w:w="992" w:type="dxa"/>
            <w:tcBorders>
              <w:top w:val="single" w:sz="4" w:space="0" w:color="auto"/>
              <w:left w:val="nil"/>
              <w:bottom w:val="double" w:sz="6" w:space="0" w:color="auto"/>
            </w:tcBorders>
            <w:shd w:val="clear" w:color="auto" w:fill="auto"/>
            <w:noWrap/>
            <w:vAlign w:val="center"/>
            <w:hideMark/>
          </w:tcPr>
          <w:p w14:paraId="1CF1222F" w14:textId="77777777" w:rsidR="000F7859" w:rsidRPr="00F85178" w:rsidRDefault="000F7859" w:rsidP="000F7859">
            <w:pPr>
              <w:spacing w:line="240" w:lineRule="auto"/>
              <w:jc w:val="center"/>
              <w:rPr>
                <w:rFonts w:eastAsia="Times New Roman"/>
                <w:sz w:val="20"/>
                <w:szCs w:val="20"/>
                <w:lang w:eastAsia="cs-CZ"/>
              </w:rPr>
            </w:pPr>
            <w:r w:rsidRPr="00F85178">
              <w:rPr>
                <w:rFonts w:eastAsia="Times New Roman"/>
                <w:sz w:val="20"/>
                <w:szCs w:val="20"/>
                <w:lang w:eastAsia="cs-CZ"/>
              </w:rPr>
              <w:t>-19 %</w:t>
            </w:r>
          </w:p>
        </w:tc>
      </w:tr>
      <w:tr w:rsidR="000F7859" w:rsidRPr="00F85178" w14:paraId="1CD9172F" w14:textId="77777777" w:rsidTr="00F56F37">
        <w:trPr>
          <w:trHeight w:val="345"/>
        </w:trPr>
        <w:tc>
          <w:tcPr>
            <w:tcW w:w="2020" w:type="dxa"/>
            <w:tcBorders>
              <w:top w:val="double" w:sz="6" w:space="0" w:color="auto"/>
              <w:left w:val="nil"/>
              <w:bottom w:val="double" w:sz="6" w:space="0" w:color="auto"/>
              <w:right w:val="nil"/>
            </w:tcBorders>
            <w:shd w:val="clear" w:color="auto" w:fill="auto"/>
            <w:noWrap/>
            <w:vAlign w:val="bottom"/>
            <w:hideMark/>
          </w:tcPr>
          <w:p w14:paraId="7FF7C7F9" w14:textId="77777777" w:rsidR="000F7859" w:rsidRPr="00F85178" w:rsidRDefault="000F7859" w:rsidP="000F7859">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102" w:type="dxa"/>
            <w:tcBorders>
              <w:top w:val="double" w:sz="6" w:space="0" w:color="auto"/>
              <w:left w:val="nil"/>
              <w:bottom w:val="double" w:sz="6" w:space="0" w:color="auto"/>
              <w:right w:val="nil"/>
            </w:tcBorders>
            <w:shd w:val="clear" w:color="auto" w:fill="auto"/>
            <w:noWrap/>
            <w:vAlign w:val="bottom"/>
            <w:hideMark/>
          </w:tcPr>
          <w:p w14:paraId="5FBF9B0F"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38,70</w:t>
            </w:r>
          </w:p>
        </w:tc>
        <w:tc>
          <w:tcPr>
            <w:tcW w:w="828" w:type="dxa"/>
            <w:tcBorders>
              <w:top w:val="double" w:sz="6" w:space="0" w:color="auto"/>
              <w:left w:val="nil"/>
              <w:bottom w:val="double" w:sz="6" w:space="0" w:color="auto"/>
              <w:right w:val="nil"/>
            </w:tcBorders>
            <w:shd w:val="clear" w:color="auto" w:fill="auto"/>
            <w:noWrap/>
            <w:vAlign w:val="center"/>
            <w:hideMark/>
          </w:tcPr>
          <w:p w14:paraId="54AC752D" w14:textId="77777777" w:rsidR="000F7859" w:rsidRPr="00F85178" w:rsidRDefault="000F7859" w:rsidP="000F7859">
            <w:pPr>
              <w:spacing w:line="240" w:lineRule="auto"/>
              <w:jc w:val="center"/>
              <w:rPr>
                <w:rFonts w:eastAsia="Times New Roman"/>
                <w:b/>
                <w:bCs/>
                <w:sz w:val="20"/>
                <w:szCs w:val="20"/>
                <w:lang w:eastAsia="cs-CZ"/>
              </w:rPr>
            </w:pPr>
            <w:r w:rsidRPr="00F85178">
              <w:rPr>
                <w:rFonts w:eastAsia="Times New Roman"/>
                <w:b/>
                <w:bCs/>
                <w:sz w:val="20"/>
                <w:szCs w:val="20"/>
                <w:lang w:eastAsia="cs-CZ"/>
              </w:rPr>
              <w:t>-3 %</w:t>
            </w:r>
          </w:p>
        </w:tc>
        <w:tc>
          <w:tcPr>
            <w:tcW w:w="1101" w:type="dxa"/>
            <w:tcBorders>
              <w:top w:val="double" w:sz="6" w:space="0" w:color="auto"/>
              <w:left w:val="single" w:sz="4" w:space="0" w:color="auto"/>
              <w:bottom w:val="double" w:sz="6" w:space="0" w:color="auto"/>
              <w:right w:val="nil"/>
            </w:tcBorders>
            <w:shd w:val="clear" w:color="auto" w:fill="auto"/>
            <w:noWrap/>
            <w:vAlign w:val="bottom"/>
            <w:hideMark/>
          </w:tcPr>
          <w:p w14:paraId="77181A4F"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39,56</w:t>
            </w:r>
          </w:p>
        </w:tc>
        <w:tc>
          <w:tcPr>
            <w:tcW w:w="813" w:type="dxa"/>
            <w:tcBorders>
              <w:top w:val="double" w:sz="6" w:space="0" w:color="auto"/>
              <w:left w:val="nil"/>
              <w:bottom w:val="double" w:sz="6" w:space="0" w:color="auto"/>
              <w:right w:val="single" w:sz="4" w:space="0" w:color="auto"/>
            </w:tcBorders>
            <w:shd w:val="clear" w:color="auto" w:fill="auto"/>
            <w:noWrap/>
            <w:vAlign w:val="center"/>
            <w:hideMark/>
          </w:tcPr>
          <w:p w14:paraId="72B6362B" w14:textId="77777777" w:rsidR="000F7859" w:rsidRPr="00F85178" w:rsidRDefault="000F7859" w:rsidP="000F7859">
            <w:pPr>
              <w:spacing w:line="240" w:lineRule="auto"/>
              <w:jc w:val="center"/>
              <w:rPr>
                <w:rFonts w:eastAsia="Times New Roman"/>
                <w:b/>
                <w:bCs/>
                <w:sz w:val="20"/>
                <w:szCs w:val="20"/>
                <w:lang w:eastAsia="cs-CZ"/>
              </w:rPr>
            </w:pPr>
            <w:r w:rsidRPr="00F85178">
              <w:rPr>
                <w:rFonts w:eastAsia="Times New Roman"/>
                <w:b/>
                <w:bCs/>
                <w:sz w:val="20"/>
                <w:szCs w:val="20"/>
                <w:lang w:eastAsia="cs-CZ"/>
              </w:rPr>
              <w:t>-1 %</w:t>
            </w:r>
          </w:p>
        </w:tc>
        <w:tc>
          <w:tcPr>
            <w:tcW w:w="1010" w:type="dxa"/>
            <w:tcBorders>
              <w:top w:val="double" w:sz="6" w:space="0" w:color="auto"/>
              <w:left w:val="nil"/>
              <w:bottom w:val="double" w:sz="6" w:space="0" w:color="auto"/>
              <w:right w:val="nil"/>
            </w:tcBorders>
            <w:shd w:val="clear" w:color="auto" w:fill="auto"/>
            <w:noWrap/>
            <w:vAlign w:val="bottom"/>
            <w:hideMark/>
          </w:tcPr>
          <w:p w14:paraId="5348F7FF" w14:textId="77777777" w:rsidR="000F7859" w:rsidRPr="00F85178" w:rsidRDefault="000F7859" w:rsidP="000F7859">
            <w:pPr>
              <w:spacing w:line="240" w:lineRule="auto"/>
              <w:jc w:val="center"/>
              <w:rPr>
                <w:rFonts w:eastAsia="Times New Roman"/>
                <w:b/>
                <w:bCs/>
                <w:szCs w:val="24"/>
                <w:lang w:eastAsia="cs-CZ"/>
              </w:rPr>
            </w:pPr>
            <w:r w:rsidRPr="00F85178">
              <w:rPr>
                <w:rFonts w:eastAsia="Times New Roman"/>
                <w:b/>
                <w:bCs/>
                <w:szCs w:val="24"/>
                <w:lang w:eastAsia="cs-CZ"/>
              </w:rPr>
              <w:t>4,81</w:t>
            </w:r>
          </w:p>
        </w:tc>
        <w:tc>
          <w:tcPr>
            <w:tcW w:w="992" w:type="dxa"/>
            <w:tcBorders>
              <w:top w:val="double" w:sz="6" w:space="0" w:color="auto"/>
              <w:left w:val="nil"/>
              <w:bottom w:val="double" w:sz="6" w:space="0" w:color="auto"/>
            </w:tcBorders>
            <w:shd w:val="clear" w:color="auto" w:fill="auto"/>
            <w:noWrap/>
            <w:vAlign w:val="center"/>
            <w:hideMark/>
          </w:tcPr>
          <w:p w14:paraId="315ECC87" w14:textId="77777777" w:rsidR="000F7859" w:rsidRPr="00F85178" w:rsidRDefault="000F7859" w:rsidP="000F7859">
            <w:pPr>
              <w:spacing w:line="240" w:lineRule="auto"/>
              <w:jc w:val="center"/>
              <w:rPr>
                <w:rFonts w:eastAsia="Times New Roman"/>
                <w:b/>
                <w:bCs/>
                <w:sz w:val="20"/>
                <w:szCs w:val="20"/>
                <w:lang w:eastAsia="cs-CZ"/>
              </w:rPr>
            </w:pPr>
            <w:r w:rsidRPr="00F85178">
              <w:rPr>
                <w:rFonts w:eastAsia="Times New Roman"/>
                <w:b/>
                <w:bCs/>
                <w:sz w:val="20"/>
                <w:szCs w:val="20"/>
                <w:lang w:eastAsia="cs-CZ"/>
              </w:rPr>
              <w:t>-17 %</w:t>
            </w:r>
          </w:p>
        </w:tc>
      </w:tr>
    </w:tbl>
    <w:p w14:paraId="4F5B2C22" w14:textId="77777777" w:rsidR="00016B54" w:rsidRPr="00F85178" w:rsidRDefault="00016B54" w:rsidP="00145840">
      <w:pPr>
        <w:pStyle w:val="OdstavecASR"/>
      </w:pPr>
    </w:p>
    <w:p w14:paraId="77B8E7D2" w14:textId="77777777" w:rsidR="00770E25" w:rsidRPr="00F85178" w:rsidRDefault="00770E25" w:rsidP="00185DE9">
      <w:pPr>
        <w:pStyle w:val="Nadpis3"/>
        <w:keepNext w:val="0"/>
        <w:rPr>
          <w:color w:val="auto"/>
          <w:lang w:eastAsia="cs-CZ"/>
        </w:rPr>
      </w:pPr>
      <w:bookmarkStart w:id="657" w:name="_Toc515871290"/>
      <w:bookmarkStart w:id="658" w:name="_Toc14076939"/>
      <w:r w:rsidRPr="00F85178">
        <w:rPr>
          <w:color w:val="auto"/>
          <w:lang w:eastAsia="cs-CZ"/>
        </w:rPr>
        <w:t>Disposition time</w:t>
      </w:r>
      <w:bookmarkEnd w:id="657"/>
      <w:bookmarkEnd w:id="658"/>
    </w:p>
    <w:p w14:paraId="0BA24A78" w14:textId="77777777" w:rsidR="00185DE9" w:rsidRPr="00F85178" w:rsidRDefault="00185DE9" w:rsidP="00185DE9">
      <w:pPr>
        <w:rPr>
          <w:lang w:eastAsia="cs-CZ"/>
        </w:rPr>
      </w:pPr>
      <w:r w:rsidRPr="00F85178">
        <w:t>DT opět potvrzuje to, co ukazují předchozí podkapitoly. Nejdůležitější je, že DT, tedy poměr mezi nevyřízenými a vyřízenými věcmi, je nízký. Především u VS v Olomouci je pak DT značně nestabilní, zejména nárůst v roce 2016 je velmi výrazný. To ale plyne z dlouhodobě velmi malého počtu nevyřízených věcí. Při takto malých číslech se změna v počtu nevyřízených věcí o několik desítek silně projeví v DT. V reálném fungování nebo zatíženosti soudu ale k (téměř) žádné změně nedojde</w:t>
      </w:r>
      <w:r w:rsidR="00817839" w:rsidRPr="00F85178">
        <w:t>. V následujících dvou letech opět došlo k poklesu a DT se tak opět dostal přibližně na předchozí úroveň.</w:t>
      </w:r>
    </w:p>
    <w:p w14:paraId="6C0F95B6" w14:textId="77777777" w:rsidR="00BD7801" w:rsidRPr="00F85178" w:rsidRDefault="00BD7801" w:rsidP="00BD7801">
      <w:pPr>
        <w:pStyle w:val="Podtitul"/>
        <w:rPr>
          <w:color w:val="auto"/>
        </w:rPr>
      </w:pPr>
      <w:bookmarkStart w:id="659" w:name="_Toc515871418"/>
      <w:bookmarkStart w:id="660" w:name="_Toc11135149"/>
      <w:bookmarkStart w:id="661" w:name="_Toc1383758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88</w:t>
      </w:r>
      <w:r w:rsidRPr="00F85178">
        <w:rPr>
          <w:noProof/>
          <w:color w:val="auto"/>
        </w:rPr>
        <w:fldChar w:fldCharType="end"/>
      </w:r>
      <w:r w:rsidRPr="00F85178">
        <w:rPr>
          <w:color w:val="auto"/>
        </w:rPr>
        <w:t>: VS – DT trestního odvolacího řízení v letech 2008–201</w:t>
      </w:r>
      <w:bookmarkEnd w:id="659"/>
      <w:r w:rsidRPr="00F85178">
        <w:rPr>
          <w:color w:val="auto"/>
        </w:rPr>
        <w:t>8</w:t>
      </w:r>
      <w:bookmarkEnd w:id="660"/>
      <w:bookmarkEnd w:id="661"/>
    </w:p>
    <w:p w14:paraId="2CEF6932" w14:textId="77777777" w:rsidR="000F7859" w:rsidRPr="00F85178" w:rsidRDefault="00890295" w:rsidP="00145840">
      <w:pPr>
        <w:pStyle w:val="OdstavecASR"/>
      </w:pPr>
      <w:r>
        <w:rPr>
          <w:noProof/>
          <w:lang w:eastAsia="cs-CZ"/>
        </w:rPr>
        <w:drawing>
          <wp:inline distT="0" distB="0" distL="0" distR="0" wp14:anchorId="1C53764C" wp14:editId="48EE1202">
            <wp:extent cx="5118100" cy="3746500"/>
            <wp:effectExtent l="0" t="0" r="0" b="0"/>
            <wp:docPr id="91" name="Obrázek 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5"/>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7A3633A" w14:textId="173A7BDB" w:rsidR="00185DE9" w:rsidRPr="00F85178" w:rsidRDefault="00185DE9" w:rsidP="00145840">
      <w:pPr>
        <w:pStyle w:val="OdstavecASR"/>
        <w:rPr>
          <w:lang w:eastAsia="cs-CZ"/>
        </w:rPr>
      </w:pPr>
      <w:r w:rsidRPr="00F85178">
        <w:t xml:space="preserve">Situaci v této agendě lze shrnout asi tak, že ani jeden ze soudů nevykazuje problém s jejím vyřizováním a oba soudy ji vyřizují přibližně stejně rychle. V některých ukazatelích vykazuje lepší výsledky Praha, v jiných Olomouc. Data v některých obdobích vykazují určité výkyvy, které jsou způsobeny tím, že počet pozorování (např. počet pravomocně skončených věcí) je malý. </w:t>
      </w:r>
      <w:r w:rsidRPr="00F85178">
        <w:rPr>
          <w:lang w:eastAsia="cs-CZ"/>
        </w:rPr>
        <w:t>Nárůst v délkách řízení v roce 2017</w:t>
      </w:r>
      <w:r w:rsidR="00817839" w:rsidRPr="00F85178">
        <w:rPr>
          <w:lang w:eastAsia="cs-CZ"/>
        </w:rPr>
        <w:t xml:space="preserve"> a u VS v Olomouci v roce 2018</w:t>
      </w:r>
      <w:r w:rsidRPr="00F85178">
        <w:rPr>
          <w:lang w:eastAsia="cs-CZ"/>
        </w:rPr>
        <w:t xml:space="preserve"> lze prozatím považovat za výkyv. </w:t>
      </w:r>
      <w:r w:rsidR="00817839" w:rsidRPr="00F85178">
        <w:rPr>
          <w:lang w:eastAsia="cs-CZ"/>
        </w:rPr>
        <w:t>Počet nevyřízených věcí a počet nevyřízených věcí déle než 6 měsíců totiž klesá.</w:t>
      </w:r>
    </w:p>
    <w:p w14:paraId="52228D86" w14:textId="77777777" w:rsidR="000F7859" w:rsidRPr="00F85178" w:rsidRDefault="000F7859">
      <w:pPr>
        <w:spacing w:line="240" w:lineRule="auto"/>
        <w:jc w:val="left"/>
      </w:pPr>
      <w:r w:rsidRPr="00F85178">
        <w:br w:type="page"/>
      </w:r>
    </w:p>
    <w:p w14:paraId="129C256C" w14:textId="77777777" w:rsidR="00DC646C" w:rsidRPr="00F85178" w:rsidRDefault="00DC646C" w:rsidP="00DC646C">
      <w:pPr>
        <w:pStyle w:val="Nadpis2"/>
      </w:pPr>
      <w:bookmarkStart w:id="662" w:name="_Toc487791293"/>
      <w:bookmarkStart w:id="663" w:name="_Toc515871291"/>
      <w:bookmarkStart w:id="664" w:name="_Toc14076940"/>
      <w:r w:rsidRPr="00F85178">
        <w:t>Insolvenční agenda – II. stupeň</w:t>
      </w:r>
      <w:bookmarkEnd w:id="662"/>
      <w:bookmarkEnd w:id="663"/>
      <w:bookmarkEnd w:id="664"/>
    </w:p>
    <w:p w14:paraId="0B546E9D" w14:textId="77777777" w:rsidR="00A44978" w:rsidRPr="00F85178" w:rsidRDefault="00A44978" w:rsidP="00A44978">
      <w:pPr>
        <w:pStyle w:val="OdstavecASR"/>
      </w:pPr>
      <w:r w:rsidRPr="00F85178">
        <w:t>Vrchní soudy vyřizují také insolvenční agendu v druhém stupni, to znamená především odvolání podaná proti rozhodnutí prvostupňových krajských insolvenčních soudů v rejstříku INS. Dále jsou do této agendy zahrnuta řízení o podjatosti, řízení o přikázání věci a řízení o příslušnosti vztahující se k insolvenčnímu řízení. Počet napadlých věcí v těchto agendách se však pohybuje v řádech jednotek. V insolvenční agendě nejsou k dispozici délky řízení a nelze ani provést přepočet na jednoho soudce.</w:t>
      </w:r>
    </w:p>
    <w:p w14:paraId="4124305C" w14:textId="77777777" w:rsidR="00DC646C" w:rsidRPr="00F85178" w:rsidRDefault="00DC646C" w:rsidP="00DC646C">
      <w:pPr>
        <w:pStyle w:val="Nadpis3"/>
        <w:rPr>
          <w:color w:val="auto"/>
          <w:lang w:eastAsia="cs-CZ"/>
        </w:rPr>
      </w:pPr>
      <w:bookmarkStart w:id="665" w:name="_Toc515871292"/>
      <w:bookmarkStart w:id="666" w:name="_Toc14076941"/>
      <w:r w:rsidRPr="00F85178">
        <w:rPr>
          <w:color w:val="auto"/>
          <w:lang w:eastAsia="cs-CZ"/>
        </w:rPr>
        <w:t>Vyřizování věcí</w:t>
      </w:r>
      <w:bookmarkEnd w:id="665"/>
      <w:bookmarkEnd w:id="666"/>
    </w:p>
    <w:p w14:paraId="24602386" w14:textId="33F86D8E" w:rsidR="00A44978" w:rsidRPr="00F85178" w:rsidRDefault="00A44978" w:rsidP="00A44978">
      <w:pPr>
        <w:pStyle w:val="OdstavecASR"/>
      </w:pPr>
      <w:r w:rsidRPr="00F85178">
        <w:t>Z grafu je patrný velký nárůst v nápadu i počtu vyřízených věcí do roku 2014. Důvody jsou stejné jako v případě insolvenční agendy u prvostupňových soudů, tedy skutečnost, že rejstřík vznikl v roce 2008 a logicky trvá několik let, než se nápad ustálí. U odvolání dojde ke stabilizaci s určitým zpožděním oproti prvostupňové agendě. U VS Praha začal nápad klesat v</w:t>
      </w:r>
      <w:r w:rsidR="00067524">
        <w:t> </w:t>
      </w:r>
      <w:r w:rsidRPr="00F85178">
        <w:t>roce</w:t>
      </w:r>
      <w:r w:rsidR="00067524">
        <w:t xml:space="preserve"> </w:t>
      </w:r>
      <w:r w:rsidR="005E4E8C">
        <w:t>2015</w:t>
      </w:r>
      <w:r w:rsidRPr="00F85178">
        <w:t xml:space="preserve">, u VS Olomouc došlo k poklesu až v roce 2017. </w:t>
      </w:r>
      <w:r w:rsidR="004D4657" w:rsidRPr="00F85178">
        <w:t>I v roce 2018 se snížil počet napadlých a obživlých věcí, který se však neodrazil v počtu nevyřízených věcí, kdy se počet nevyřízených věcí zvýšil v roce 2018 na VS Praha téměř o 13</w:t>
      </w:r>
      <w:r w:rsidR="00143D57" w:rsidRPr="00F85178">
        <w:t xml:space="preserve"> </w:t>
      </w:r>
      <w:r w:rsidR="004D4657" w:rsidRPr="00F85178">
        <w:t>% (na VS Olomouc stagnoval).</w:t>
      </w:r>
      <w:r w:rsidRPr="00F85178">
        <w:t xml:space="preserve"> Oproti předchozímu roku se situace u obou soudů </w:t>
      </w:r>
      <w:r w:rsidR="004D4657" w:rsidRPr="00F85178">
        <w:t>již nezlepšovala</w:t>
      </w:r>
      <w:r w:rsidRPr="00F85178">
        <w:t>.</w:t>
      </w:r>
      <w:r w:rsidR="008E2839" w:rsidRPr="00F85178">
        <w:t xml:space="preserve"> Je třeba poznamenat, že pokles v počtu příchozích věcí v letech 2017 a 2018 je opravdu vysoký. Počet příchozích věcí v roce 2018 byl u VS v Praze ve srovnání s rokem 2016 o 24 % nižší. U VS v Olomouci byl nižší dokonce o 47 %.</w:t>
      </w:r>
    </w:p>
    <w:p w14:paraId="173F86F3" w14:textId="77777777" w:rsidR="00DC646C" w:rsidRPr="00F85178" w:rsidRDefault="00DC646C" w:rsidP="00DC646C">
      <w:pPr>
        <w:pStyle w:val="Podtitul"/>
        <w:rPr>
          <w:color w:val="auto"/>
        </w:rPr>
      </w:pPr>
      <w:bookmarkStart w:id="667" w:name="_Ref511907845"/>
      <w:bookmarkStart w:id="668" w:name="_Toc515871419"/>
      <w:bookmarkStart w:id="669" w:name="_Toc11135150"/>
      <w:bookmarkStart w:id="670" w:name="_Toc13837582"/>
      <w:r w:rsidRPr="00F85178">
        <w:rPr>
          <w:color w:val="auto"/>
        </w:rPr>
        <w:t xml:space="preserve">Graf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89</w:t>
      </w:r>
      <w:r w:rsidR="00D842DE" w:rsidRPr="00F85178">
        <w:rPr>
          <w:noProof/>
          <w:color w:val="auto"/>
        </w:rPr>
        <w:fldChar w:fldCharType="end"/>
      </w:r>
      <w:bookmarkEnd w:id="667"/>
      <w:r w:rsidRPr="00F85178">
        <w:rPr>
          <w:color w:val="auto"/>
        </w:rPr>
        <w:t>: VS – vyřizování insolvenční agendy v letech 2010–201</w:t>
      </w:r>
      <w:bookmarkEnd w:id="668"/>
      <w:r w:rsidRPr="00F85178">
        <w:rPr>
          <w:color w:val="auto"/>
        </w:rPr>
        <w:t>8</w:t>
      </w:r>
      <w:bookmarkEnd w:id="669"/>
      <w:bookmarkEnd w:id="670"/>
    </w:p>
    <w:p w14:paraId="7B28E5C0" w14:textId="77777777" w:rsidR="00DC646C" w:rsidRPr="00957D55" w:rsidRDefault="00890295">
      <w:pPr>
        <w:spacing w:line="240" w:lineRule="auto"/>
        <w:jc w:val="left"/>
        <w:rPr>
          <w:rFonts w:eastAsia="Times New Roman"/>
          <w:b/>
          <w:iCs/>
          <w:spacing w:val="15"/>
          <w:szCs w:val="24"/>
        </w:rPr>
      </w:pPr>
      <w:r>
        <w:rPr>
          <w:noProof/>
          <w:lang w:eastAsia="cs-CZ"/>
        </w:rPr>
        <w:drawing>
          <wp:inline distT="0" distB="0" distL="0" distR="0" wp14:anchorId="7035ACBE" wp14:editId="5630E2F1">
            <wp:extent cx="5118100" cy="3746500"/>
            <wp:effectExtent l="0" t="0" r="0" b="0"/>
            <wp:docPr id="92" name="Obrázek 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6"/>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r w:rsidR="00DC646C" w:rsidRPr="00F85178">
        <w:br w:type="page"/>
      </w:r>
    </w:p>
    <w:p w14:paraId="6B02EFE8" w14:textId="77777777" w:rsidR="00DC646C" w:rsidRPr="00F85178" w:rsidRDefault="00DC646C" w:rsidP="00DC646C">
      <w:pPr>
        <w:pStyle w:val="Nadpis3"/>
        <w:rPr>
          <w:color w:val="auto"/>
          <w:lang w:eastAsia="cs-CZ"/>
        </w:rPr>
      </w:pPr>
      <w:bookmarkStart w:id="671" w:name="_Toc515871293"/>
      <w:bookmarkStart w:id="672" w:name="_Toc14076942"/>
      <w:r w:rsidRPr="00F85178">
        <w:rPr>
          <w:color w:val="auto"/>
          <w:lang w:eastAsia="cs-CZ"/>
        </w:rPr>
        <w:t>Disposition time</w:t>
      </w:r>
      <w:bookmarkEnd w:id="671"/>
      <w:bookmarkEnd w:id="672"/>
    </w:p>
    <w:p w14:paraId="6ABA8C8B" w14:textId="77777777" w:rsidR="00DC646C" w:rsidRPr="00F85178" w:rsidRDefault="00DC646C" w:rsidP="00DC646C">
      <w:pPr>
        <w:pStyle w:val="Podtitul"/>
        <w:rPr>
          <w:color w:val="auto"/>
        </w:rPr>
      </w:pPr>
      <w:bookmarkStart w:id="673" w:name="_Toc515871420"/>
      <w:bookmarkStart w:id="674" w:name="_Toc11135151"/>
      <w:bookmarkStart w:id="675" w:name="_Toc13837583"/>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90</w:t>
      </w:r>
      <w:r w:rsidRPr="00F85178">
        <w:rPr>
          <w:noProof/>
          <w:color w:val="auto"/>
        </w:rPr>
        <w:fldChar w:fldCharType="end"/>
      </w:r>
      <w:r w:rsidRPr="00F85178">
        <w:rPr>
          <w:color w:val="auto"/>
        </w:rPr>
        <w:t>: VS – DT v insolvenční agendě v letech 2010–201</w:t>
      </w:r>
      <w:bookmarkEnd w:id="673"/>
      <w:r w:rsidRPr="00F85178">
        <w:rPr>
          <w:color w:val="auto"/>
        </w:rPr>
        <w:t>8</w:t>
      </w:r>
      <w:bookmarkEnd w:id="674"/>
      <w:bookmarkEnd w:id="675"/>
    </w:p>
    <w:p w14:paraId="11AE94AE" w14:textId="77777777" w:rsidR="000F7859" w:rsidRPr="00F85178" w:rsidRDefault="00890295" w:rsidP="00DC646C">
      <w:pPr>
        <w:pStyle w:val="Podtitul"/>
        <w:rPr>
          <w:color w:val="auto"/>
        </w:rPr>
      </w:pPr>
      <w:r>
        <w:rPr>
          <w:noProof/>
          <w:color w:val="auto"/>
          <w:lang w:eastAsia="cs-CZ"/>
        </w:rPr>
        <w:drawing>
          <wp:inline distT="0" distB="0" distL="0" distR="0" wp14:anchorId="2C7F2360" wp14:editId="247CDBF7">
            <wp:extent cx="5118100" cy="3746500"/>
            <wp:effectExtent l="0" t="0" r="0" b="0"/>
            <wp:docPr id="93" name="Obrázek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37"/>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FD22368" w14:textId="77777777" w:rsidR="0032015B" w:rsidRDefault="00A44978" w:rsidP="00A44978">
      <w:pPr>
        <w:pStyle w:val="OdstavecASR"/>
      </w:pPr>
      <w:r w:rsidRPr="00F85178">
        <w:t xml:space="preserve">Z dat </w:t>
      </w:r>
      <w:r w:rsidR="009C5F16" w:rsidRPr="00F85178">
        <w:t xml:space="preserve">byl </w:t>
      </w:r>
      <w:r w:rsidRPr="00F85178">
        <w:t xml:space="preserve">patrný zřetelný klesající trend u VS v Praze. Zejména v letech 2016 a 2017 došlo k obzvláště významnému poklesu vyplývajícímu z výše popsaných změn v počtu nevyřízených věcí. U VS v Olomouci došlo také k obrovskému poklesu v DT. Pokles v obou případech plyne z poklesu v počtu nevyřízených věcí a ten zase plyne především ze snížení nápadu. Vzhledem k poměrně velkým změnám v počtu vyřízených a nevyřízených věcí je DT v této agendě proměnlivý. Ačkoliv není pro tuto agendu k dispozici mnoho dat, můžeme dojít k závěru, že v roce 2017 </w:t>
      </w:r>
      <w:r w:rsidR="00BB1FDF" w:rsidRPr="00F85178">
        <w:t xml:space="preserve">byla </w:t>
      </w:r>
      <w:r w:rsidRPr="00F85178">
        <w:t>z hlediska vyřizování věcí tato agenda pro oba soudy bezproblémová.</w:t>
      </w:r>
      <w:r w:rsidR="007155C3" w:rsidRPr="00F85178">
        <w:t xml:space="preserve"> V roce 2018 došlo k výraznému růstu DT u obou soudů, protože počet vyřízených věcí výrazně poklesl, zatímco počet nevyřízených věcí mírně rostl nebo stagnoval. Agenda se ale stále jeví poměrně bezproblémov</w:t>
      </w:r>
      <w:r w:rsidR="00143D57" w:rsidRPr="00F85178">
        <w:t>ě</w:t>
      </w:r>
      <w:r w:rsidR="007155C3" w:rsidRPr="00F85178">
        <w:t>, neboť už jen díky pokles</w:t>
      </w:r>
      <w:r w:rsidR="00143D57" w:rsidRPr="00F85178">
        <w:t>u</w:t>
      </w:r>
      <w:r w:rsidR="007155C3" w:rsidRPr="00F85178">
        <w:t xml:space="preserve"> v počtu příchozích věcí jsou soudy méně zatížené.</w:t>
      </w:r>
    </w:p>
    <w:p w14:paraId="6A1FBD4E" w14:textId="2D4C3676" w:rsidR="00A44978" w:rsidRPr="00F85178" w:rsidRDefault="00A44978" w:rsidP="00A44978"/>
    <w:p w14:paraId="5EAE5B56" w14:textId="77777777" w:rsidR="000F7859" w:rsidRPr="00957D55" w:rsidRDefault="000F7859">
      <w:pPr>
        <w:spacing w:line="240" w:lineRule="auto"/>
        <w:jc w:val="left"/>
        <w:rPr>
          <w:rFonts w:eastAsia="Times New Roman"/>
          <w:b/>
          <w:iCs/>
          <w:spacing w:val="15"/>
          <w:szCs w:val="24"/>
        </w:rPr>
      </w:pPr>
      <w:r w:rsidRPr="00F85178">
        <w:br w:type="page"/>
      </w:r>
    </w:p>
    <w:p w14:paraId="61F2D1B3" w14:textId="77777777" w:rsidR="000F7859" w:rsidRPr="00F85178" w:rsidRDefault="000F7859" w:rsidP="000F7859">
      <w:pPr>
        <w:pStyle w:val="Nadpis1"/>
        <w:rPr>
          <w:lang w:eastAsia="cs-CZ"/>
        </w:rPr>
      </w:pPr>
      <w:bookmarkStart w:id="676" w:name="_Toc515871294"/>
      <w:bookmarkStart w:id="677" w:name="_Toc14076943"/>
      <w:r w:rsidRPr="00F85178">
        <w:rPr>
          <w:lang w:eastAsia="cs-CZ"/>
        </w:rPr>
        <w:t>Nejvyšší soud</w:t>
      </w:r>
      <w:bookmarkEnd w:id="676"/>
      <w:bookmarkEnd w:id="677"/>
    </w:p>
    <w:p w14:paraId="3B63A99A" w14:textId="4D534FFA" w:rsidR="00A44978" w:rsidRPr="00F85178" w:rsidRDefault="00A44978" w:rsidP="00A44978">
      <w:pPr>
        <w:pStyle w:val="OdstavecASR"/>
      </w:pPr>
      <w:r w:rsidRPr="00F85178">
        <w:t>Největší část agendy Nejvyššího soudu (NS) ČR, který sídlí v Brně, tvoří věci, v nichž byl podán mimořádný opravný prostředek proti rozhodnutí odvolacích soudů. Jedná se především o dovolání, a to v občanskoprávním a obchodním řízení (rejstřík Cdo, dříve také rejstřík Odo), trestním řízení (rejstřík Tdo)</w:t>
      </w:r>
      <w:r w:rsidR="000D5A00">
        <w:t>,</w:t>
      </w:r>
      <w:r w:rsidRPr="00F85178">
        <w:t xml:space="preserve"> insolvenčním řízení (rejstřík </w:t>
      </w:r>
      <w:r w:rsidR="00E513D4" w:rsidRPr="00F85178">
        <w:t>NS</w:t>
      </w:r>
      <w:r w:rsidR="00E513D4">
        <w:t>Č</w:t>
      </w:r>
      <w:r w:rsidR="00E513D4" w:rsidRPr="00F85178">
        <w:t>R</w:t>
      </w:r>
      <w:r w:rsidRPr="00F85178">
        <w:t>)</w:t>
      </w:r>
      <w:r w:rsidR="000D5A00">
        <w:t xml:space="preserve"> </w:t>
      </w:r>
      <w:r w:rsidR="007467A5">
        <w:t>a </w:t>
      </w:r>
      <w:r w:rsidR="00425BA3">
        <w:t>incidenčních sporech (rejstřík ICdo)</w:t>
      </w:r>
      <w:r w:rsidRPr="00F85178">
        <w:t>. V této zprávě sledujeme také agendu stížností pro porušení zákona (rejstřík Tz), což je další mimořádný opravný prostředek v trestním řízení. Stejně jako u ostatních soudů nechybí v této kapitole ani data týkající se personální situace. Nejvyšší soud rozhoduje i v dalších případech stanovených předpisy upravujícími působnost soudů a řízení před soudem.</w:t>
      </w:r>
      <w:r w:rsidRPr="00F85178">
        <w:rPr>
          <w:rStyle w:val="Znakapoznpodarou"/>
        </w:rPr>
        <w:footnoteReference w:id="12"/>
      </w:r>
    </w:p>
    <w:p w14:paraId="796E5029" w14:textId="77777777" w:rsidR="00A44978" w:rsidRPr="00F85178" w:rsidRDefault="00A44978" w:rsidP="00A44978">
      <w:pPr>
        <w:pStyle w:val="OdstavecASR"/>
      </w:pPr>
      <w:r w:rsidRPr="00F85178">
        <w:t>V případě Nejvyššího soudu uvádí zpráva méně ukazatelů než u soudů nižších stupňů. Jsou pro to dva důvody. Za prvé, délka řízení nebo další statistické ukazatele nejsou k dispozici. Za druhé, soud je pouze jeden a není ho tedy s čím statisticky srovnávat. Přepočet vyřizování na jednoho soudce či výpočet disposition time zde tedy mají mnohem menší smysl než u ostatních soudů.</w:t>
      </w:r>
    </w:p>
    <w:p w14:paraId="18061F38" w14:textId="77777777" w:rsidR="00A44978" w:rsidRPr="00F85178" w:rsidRDefault="00A44978" w:rsidP="00A44978">
      <w:pPr>
        <w:pStyle w:val="OdstavecASR"/>
      </w:pPr>
      <w:r w:rsidRPr="00F85178">
        <w:t>V této zprávě uvádíme základní statistické informace. Další údaje a informace o činnosti NS s rozsáhlým komentářem jsou dostupné v Ročence Nejvyššího soudu.</w:t>
      </w:r>
      <w:r w:rsidRPr="00F85178">
        <w:rPr>
          <w:rStyle w:val="Znakapoznpodarou"/>
        </w:rPr>
        <w:footnoteReference w:id="13"/>
      </w:r>
    </w:p>
    <w:p w14:paraId="3DE87798" w14:textId="77777777" w:rsidR="00A44978" w:rsidRPr="00F85178" w:rsidRDefault="00A44978" w:rsidP="00A44978">
      <w:pPr>
        <w:pStyle w:val="OdstavecASR"/>
      </w:pPr>
    </w:p>
    <w:p w14:paraId="1A40CA4D" w14:textId="77777777" w:rsidR="00E0277C" w:rsidRPr="00F85178" w:rsidRDefault="00E0277C" w:rsidP="00A44978">
      <w:pPr>
        <w:pStyle w:val="Nadpis2"/>
        <w:keepNext w:val="0"/>
        <w:rPr>
          <w:lang w:eastAsia="cs-CZ"/>
        </w:rPr>
      </w:pPr>
      <w:bookmarkStart w:id="678" w:name="_Toc515871295"/>
      <w:bookmarkStart w:id="679" w:name="_Toc14076944"/>
      <w:r w:rsidRPr="00F85178">
        <w:rPr>
          <w:lang w:eastAsia="cs-CZ"/>
        </w:rPr>
        <w:t>Personál</w:t>
      </w:r>
      <w:bookmarkEnd w:id="678"/>
      <w:bookmarkEnd w:id="679"/>
    </w:p>
    <w:p w14:paraId="429DBBC5" w14:textId="77777777" w:rsidR="00A44978" w:rsidRPr="00F85178" w:rsidRDefault="00E0277C" w:rsidP="00A44978">
      <w:pPr>
        <w:pStyle w:val="Nadpis3"/>
        <w:keepNext w:val="0"/>
        <w:rPr>
          <w:color w:val="auto"/>
          <w:lang w:eastAsia="cs-CZ"/>
        </w:rPr>
      </w:pPr>
      <w:bookmarkStart w:id="680" w:name="_Toc515871296"/>
      <w:bookmarkStart w:id="681" w:name="_Toc14076945"/>
      <w:r w:rsidRPr="00F85178">
        <w:rPr>
          <w:color w:val="auto"/>
          <w:lang w:eastAsia="cs-CZ"/>
        </w:rPr>
        <w:t>Soudci</w:t>
      </w:r>
      <w:bookmarkEnd w:id="680"/>
      <w:bookmarkEnd w:id="681"/>
    </w:p>
    <w:p w14:paraId="38395F91" w14:textId="50F2186E" w:rsidR="00A44978" w:rsidRPr="00F85178" w:rsidRDefault="00A44978" w:rsidP="00A44978">
      <w:pPr>
        <w:pStyle w:val="OdstavecASR"/>
      </w:pPr>
      <w:r w:rsidRPr="00F85178">
        <w:t xml:space="preserve">Počet soudců se od roku 2009 do roku 2014 pomalu zvyšoval. Celkem se zvýšil o šest soudců, tedy o 10 %. Z důvodu dovršení věku 70 let odešli v roce 2016 2 soudci. K 1. 1. 2017 nicméně došlo doplnění počtu soudců, takže jich k tomuto datu u NS působilo 69. </w:t>
      </w:r>
      <w:r w:rsidR="00D65DA1" w:rsidRPr="00F85178">
        <w:t>K 1.</w:t>
      </w:r>
      <w:r w:rsidR="00F823F8" w:rsidRPr="00F85178">
        <w:t xml:space="preserve"> </w:t>
      </w:r>
      <w:r w:rsidR="00D65DA1" w:rsidRPr="00F85178">
        <w:t>1. 2018 u soudu působilo 67</w:t>
      </w:r>
      <w:r w:rsidR="00765ED2">
        <w:t> </w:t>
      </w:r>
      <w:r w:rsidR="005E4E8C">
        <w:t>soudců</w:t>
      </w:r>
      <w:r w:rsidR="00D65DA1" w:rsidRPr="00F85178">
        <w:t xml:space="preserve">, tedy stejný počet jako je plánovaný počet soudců. </w:t>
      </w:r>
      <w:r w:rsidRPr="00F85178">
        <w:t>Soud je ovšem dlouhodobě posilován o stážisty z nižších soudů (aktuálně jich zde působí 1</w:t>
      </w:r>
      <w:r w:rsidR="00F642EF" w:rsidRPr="00F85178">
        <w:t>2</w:t>
      </w:r>
      <w:r w:rsidRPr="00F85178">
        <w:rPr>
          <w:rStyle w:val="Znakapoznpodarou"/>
        </w:rPr>
        <w:footnoteReference w:id="14"/>
      </w:r>
      <w:r w:rsidRPr="00F85178">
        <w:t>).</w:t>
      </w:r>
    </w:p>
    <w:p w14:paraId="0C13FFD7" w14:textId="77777777" w:rsidR="00A44978" w:rsidRPr="00F85178" w:rsidRDefault="00A44978" w:rsidP="00A44978">
      <w:pPr>
        <w:rPr>
          <w:lang w:eastAsia="cs-CZ"/>
        </w:rPr>
      </w:pPr>
    </w:p>
    <w:p w14:paraId="764A9D7D" w14:textId="77777777" w:rsidR="007E4949" w:rsidRPr="00F85178" w:rsidRDefault="007E4949" w:rsidP="007E4949">
      <w:pPr>
        <w:pStyle w:val="Podtitul"/>
        <w:rPr>
          <w:color w:val="auto"/>
        </w:rPr>
      </w:pPr>
      <w:bookmarkStart w:id="682" w:name="_Toc515871421"/>
      <w:bookmarkStart w:id="683" w:name="_Toc11135152"/>
      <w:bookmarkStart w:id="684" w:name="_Toc1383758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91</w:t>
      </w:r>
      <w:r w:rsidRPr="00F85178">
        <w:rPr>
          <w:noProof/>
          <w:color w:val="auto"/>
        </w:rPr>
        <w:fldChar w:fldCharType="end"/>
      </w:r>
      <w:r w:rsidRPr="00F85178">
        <w:rPr>
          <w:color w:val="auto"/>
        </w:rPr>
        <w:t>: NS – počet soudců v letech 2008–201</w:t>
      </w:r>
      <w:bookmarkEnd w:id="682"/>
      <w:r w:rsidRPr="00F85178">
        <w:rPr>
          <w:color w:val="auto"/>
        </w:rPr>
        <w:t>8</w:t>
      </w:r>
      <w:bookmarkEnd w:id="683"/>
      <w:bookmarkEnd w:id="684"/>
    </w:p>
    <w:p w14:paraId="2788C211" w14:textId="77777777" w:rsidR="00676A8A" w:rsidRPr="00F85178" w:rsidRDefault="00890295" w:rsidP="00676A8A">
      <w:r>
        <w:rPr>
          <w:noProof/>
          <w:lang w:eastAsia="cs-CZ"/>
        </w:rPr>
        <w:drawing>
          <wp:inline distT="0" distB="0" distL="0" distR="0" wp14:anchorId="650F4E26" wp14:editId="1735E338">
            <wp:extent cx="5118100" cy="3746500"/>
            <wp:effectExtent l="0" t="0" r="0" b="0"/>
            <wp:docPr id="94" name="Obrázek 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4"/>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489D12E" w14:textId="77777777" w:rsidR="007E4949" w:rsidRPr="00F85178" w:rsidRDefault="007E4949" w:rsidP="007E4949">
      <w:pPr>
        <w:pStyle w:val="Podtitul"/>
        <w:rPr>
          <w:color w:val="auto"/>
        </w:rPr>
      </w:pPr>
      <w:bookmarkStart w:id="685" w:name="_Toc515871422"/>
      <w:bookmarkStart w:id="686" w:name="_Toc11135153"/>
      <w:bookmarkStart w:id="687" w:name="_Toc1383758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92</w:t>
      </w:r>
      <w:r w:rsidRPr="00F85178">
        <w:rPr>
          <w:noProof/>
          <w:color w:val="auto"/>
        </w:rPr>
        <w:fldChar w:fldCharType="end"/>
      </w:r>
      <w:r w:rsidRPr="00F85178">
        <w:rPr>
          <w:color w:val="auto"/>
        </w:rPr>
        <w:t>: NS – evidenční počet soudců dle soudních úseků v letech 2008–201</w:t>
      </w:r>
      <w:bookmarkEnd w:id="685"/>
      <w:r w:rsidRPr="00F85178">
        <w:rPr>
          <w:color w:val="auto"/>
        </w:rPr>
        <w:t>8</w:t>
      </w:r>
      <w:bookmarkEnd w:id="686"/>
      <w:bookmarkEnd w:id="687"/>
    </w:p>
    <w:p w14:paraId="762AA4BA" w14:textId="77777777" w:rsidR="009F762E" w:rsidRPr="00F85178" w:rsidRDefault="00890295" w:rsidP="009F762E">
      <w:r>
        <w:rPr>
          <w:noProof/>
          <w:lang w:eastAsia="cs-CZ"/>
        </w:rPr>
        <w:drawing>
          <wp:inline distT="0" distB="0" distL="0" distR="0" wp14:anchorId="095AA5E7" wp14:editId="759B3820">
            <wp:extent cx="5118100" cy="3746500"/>
            <wp:effectExtent l="0" t="0" r="0" b="0"/>
            <wp:docPr id="95" name="Obrázek 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5"/>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5CFE7DA9" w14:textId="77777777" w:rsidR="00A44978" w:rsidRPr="00F85178" w:rsidRDefault="00A44978" w:rsidP="00A44978">
      <w:pPr>
        <w:pStyle w:val="OdstavecASR"/>
      </w:pPr>
      <w:r w:rsidRPr="00F85178">
        <w:t>Z dalšího grafu vyčteme, že výše zmíněný mírný nárůst v počtu soudců v letech 2009 až 2014 se odehrál na civilním úseku soudu. V roce 2017 byl především posílen také civilní úsek.</w:t>
      </w:r>
      <w:r w:rsidR="00D65DA1" w:rsidRPr="00F85178">
        <w:t xml:space="preserve"> V roce 2018 na tomto úseku 2 soudci skončili.</w:t>
      </w:r>
      <w:r w:rsidRPr="00F85178">
        <w:t xml:space="preserve"> V současné době je civilní úsek </w:t>
      </w:r>
      <w:r w:rsidR="00D65DA1" w:rsidRPr="00F85178">
        <w:t xml:space="preserve">asi </w:t>
      </w:r>
      <w:r w:rsidRPr="00F85178">
        <w:t>dvakrát větší než úsek trestní. To je větší rozdíl než u vrchních soudů, ale menší rozdíl než u soudů okresních a krajských.</w:t>
      </w:r>
    </w:p>
    <w:p w14:paraId="2A27B39B" w14:textId="77777777" w:rsidR="00A44978" w:rsidRPr="00F85178" w:rsidRDefault="00A44978" w:rsidP="00A44978">
      <w:pPr>
        <w:pStyle w:val="OdstavecASR"/>
      </w:pPr>
      <w:r w:rsidRPr="00F85178">
        <w:t>Na dalším grafu je stejně jako u ostatních soudů zobrazen vývoj počtu soudců a soudkyň. Od roku 2009 se jejich počet zvyšoval a v roce 2017 došlo k dalšímu významnému růstu.</w:t>
      </w:r>
    </w:p>
    <w:p w14:paraId="50221AC6" w14:textId="77777777" w:rsidR="00A44978" w:rsidRPr="00F85178" w:rsidRDefault="00A44978" w:rsidP="00A44978">
      <w:pPr>
        <w:pStyle w:val="OdstavecASR"/>
      </w:pPr>
      <w:r w:rsidRPr="00F85178">
        <w:t>U Nejvyššího soudu pokračuje trend, který je patrný i u </w:t>
      </w:r>
      <w:r w:rsidR="00D65DA1" w:rsidRPr="00F85178">
        <w:t xml:space="preserve">některých </w:t>
      </w:r>
      <w:r w:rsidRPr="00F85178">
        <w:t xml:space="preserve">soudů nižších stupňů, tedy snižování podílu soudkyň s každým dalším článkem soudní soustavy. Podíl žen mezi soudci u Nejvyššího soudu tak v roce </w:t>
      </w:r>
      <w:r w:rsidR="007E3812" w:rsidRPr="00F85178">
        <w:t xml:space="preserve">2018 </w:t>
      </w:r>
      <w:r w:rsidRPr="00F85178">
        <w:t xml:space="preserve">činil pouze asi </w:t>
      </w:r>
      <w:r w:rsidR="007E3812" w:rsidRPr="00F85178">
        <w:t>18</w:t>
      </w:r>
      <w:r w:rsidRPr="00F85178">
        <w:t> %.</w:t>
      </w:r>
    </w:p>
    <w:p w14:paraId="4769F31F" w14:textId="77777777" w:rsidR="00FF367A" w:rsidRPr="00F85178" w:rsidRDefault="00FF367A" w:rsidP="00FF367A">
      <w:pPr>
        <w:pStyle w:val="Podtitul"/>
        <w:rPr>
          <w:color w:val="auto"/>
        </w:rPr>
      </w:pPr>
      <w:bookmarkStart w:id="688" w:name="_Toc515871423"/>
      <w:bookmarkStart w:id="689" w:name="_Toc11135154"/>
      <w:bookmarkStart w:id="690" w:name="_Toc1383758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93</w:t>
      </w:r>
      <w:r w:rsidRPr="00F85178">
        <w:rPr>
          <w:noProof/>
          <w:color w:val="auto"/>
        </w:rPr>
        <w:fldChar w:fldCharType="end"/>
      </w:r>
      <w:r w:rsidRPr="00F85178">
        <w:rPr>
          <w:color w:val="auto"/>
        </w:rPr>
        <w:t>: NS – evidenční počet soudců podle pohlaví v letech 2008–201</w:t>
      </w:r>
      <w:bookmarkEnd w:id="688"/>
      <w:r w:rsidR="00901E8B" w:rsidRPr="00F85178">
        <w:rPr>
          <w:color w:val="auto"/>
        </w:rPr>
        <w:t>8</w:t>
      </w:r>
      <w:bookmarkEnd w:id="689"/>
      <w:bookmarkEnd w:id="690"/>
    </w:p>
    <w:p w14:paraId="46A0DA42" w14:textId="77777777" w:rsidR="009F762E" w:rsidRPr="00F85178" w:rsidRDefault="00890295" w:rsidP="009F762E">
      <w:r>
        <w:rPr>
          <w:noProof/>
          <w:lang w:eastAsia="cs-CZ"/>
        </w:rPr>
        <w:drawing>
          <wp:inline distT="0" distB="0" distL="0" distR="0" wp14:anchorId="5EC52014" wp14:editId="4B6C943A">
            <wp:extent cx="5118100" cy="3746500"/>
            <wp:effectExtent l="0" t="0" r="0" b="0"/>
            <wp:docPr id="96" name="Obrázek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6"/>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3E1E255" w14:textId="77777777" w:rsidR="007E4949" w:rsidRPr="00F85178" w:rsidRDefault="007E313E" w:rsidP="007E4949">
      <w:r w:rsidRPr="00F85178">
        <w:rPr>
          <w:lang w:eastAsia="cs-CZ"/>
        </w:rPr>
        <w:t>Věkovou strukturu soudců zkoumáme i u Nejvyššího soudu. Soudci u Nejvyššího soudu se už v průměru nezdají být starší než soudci u vrchních soudů. I zde došlo během let ke změnám ve věkové struktuře soudců. Zvyšoval se podíl soudců ve věku 61–70 let a snižoval se podíl soudců mezi 51. a 60. rokem věku.</w:t>
      </w:r>
    </w:p>
    <w:p w14:paraId="2BB48DE1" w14:textId="77777777" w:rsidR="003F7064" w:rsidRPr="00F85178" w:rsidRDefault="003F7064" w:rsidP="003F7064">
      <w:pPr>
        <w:pStyle w:val="Podtitul"/>
        <w:rPr>
          <w:color w:val="auto"/>
        </w:rPr>
      </w:pPr>
      <w:bookmarkStart w:id="691" w:name="_Toc515871424"/>
      <w:bookmarkStart w:id="692" w:name="_Toc11135155"/>
      <w:bookmarkStart w:id="693" w:name="_Toc13837587"/>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94</w:t>
      </w:r>
      <w:r w:rsidRPr="00F85178">
        <w:rPr>
          <w:color w:val="auto"/>
        </w:rPr>
        <w:fldChar w:fldCharType="end"/>
      </w:r>
      <w:r w:rsidRPr="00F85178">
        <w:rPr>
          <w:color w:val="auto"/>
        </w:rPr>
        <w:t>: NS – věková struktura soudců v letech 2008–201</w:t>
      </w:r>
      <w:bookmarkEnd w:id="691"/>
      <w:r w:rsidRPr="00F85178">
        <w:rPr>
          <w:color w:val="auto"/>
        </w:rPr>
        <w:t>8</w:t>
      </w:r>
      <w:bookmarkEnd w:id="692"/>
      <w:bookmarkEnd w:id="693"/>
    </w:p>
    <w:p w14:paraId="48B3B0A7" w14:textId="77777777" w:rsidR="003F7064" w:rsidRPr="00F85178" w:rsidRDefault="00890295" w:rsidP="007E4949">
      <w:r>
        <w:rPr>
          <w:noProof/>
          <w:lang w:eastAsia="cs-CZ"/>
        </w:rPr>
        <w:drawing>
          <wp:inline distT="0" distB="0" distL="0" distR="0" wp14:anchorId="1F7F63AB" wp14:editId="751F4E7D">
            <wp:extent cx="5118100" cy="3746500"/>
            <wp:effectExtent l="0" t="0" r="0" b="0"/>
            <wp:docPr id="97" name="Obrázek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7"/>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08CCE2F" w14:textId="77777777" w:rsidR="004E013E" w:rsidRPr="00F85178" w:rsidRDefault="004E013E" w:rsidP="004E013E">
      <w:pPr>
        <w:pStyle w:val="Nadpis3"/>
        <w:rPr>
          <w:color w:val="auto"/>
          <w:lang w:eastAsia="cs-CZ"/>
        </w:rPr>
      </w:pPr>
      <w:bookmarkStart w:id="694" w:name="_Toc515871297"/>
      <w:bookmarkStart w:id="695" w:name="_Toc14076946"/>
      <w:r w:rsidRPr="00F85178">
        <w:rPr>
          <w:color w:val="auto"/>
          <w:lang w:eastAsia="cs-CZ"/>
        </w:rPr>
        <w:t>Zaměstnanci ve výkonu</w:t>
      </w:r>
      <w:bookmarkEnd w:id="694"/>
      <w:bookmarkEnd w:id="695"/>
    </w:p>
    <w:p w14:paraId="24CEC0E9" w14:textId="31C1440F" w:rsidR="007E313E" w:rsidRPr="00F85178" w:rsidRDefault="007E313E" w:rsidP="007E313E">
      <w:pPr>
        <w:pStyle w:val="OdstavecASR"/>
      </w:pPr>
      <w:r w:rsidRPr="00F85178">
        <w:t xml:space="preserve">Diametrálně odlišná povaha rozhodovací činnosti </w:t>
      </w:r>
      <w:r w:rsidR="006F4641">
        <w:t>N</w:t>
      </w:r>
      <w:r w:rsidR="006F4641" w:rsidRPr="00F85178">
        <w:t xml:space="preserve">ejvyššího </w:t>
      </w:r>
      <w:r w:rsidRPr="00F85178">
        <w:t xml:space="preserve">soudu oproti soudům nižších stupňů (téměř vždy se rozhoduje bez jednání, řeší se téměř výhradně složité právní otázky) se nutně odráží i ve zcela odlišné struktuře zaměstnanců ve výkonu. K tomu nutno doplnit, že činnost asistenta na </w:t>
      </w:r>
      <w:r w:rsidR="006F4641">
        <w:t>N</w:t>
      </w:r>
      <w:r w:rsidRPr="00F85178">
        <w:t>ejvyšším soudu je velmi rozdílná oproti činnosti stejně nazvané profese na soudu prvního stupně. Ve srovnání s přechozím rokem se počet zaměstnanců ve výkonu takřka nezměnil.</w:t>
      </w:r>
    </w:p>
    <w:p w14:paraId="2ACB6A56" w14:textId="77777777" w:rsidR="004E013E" w:rsidRPr="00F85178" w:rsidRDefault="004E013E" w:rsidP="004E013E">
      <w:pPr>
        <w:pStyle w:val="Podtitul"/>
        <w:rPr>
          <w:color w:val="auto"/>
        </w:rPr>
      </w:pPr>
      <w:bookmarkStart w:id="696" w:name="_Toc515871505"/>
      <w:bookmarkStart w:id="697" w:name="_Toc11133271"/>
      <w:bookmarkStart w:id="698" w:name="_Toc13837492"/>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69</w:t>
      </w:r>
      <w:r w:rsidRPr="00F85178">
        <w:rPr>
          <w:noProof/>
          <w:color w:val="auto"/>
        </w:rPr>
        <w:fldChar w:fldCharType="end"/>
      </w:r>
      <w:r w:rsidRPr="00F85178">
        <w:rPr>
          <w:color w:val="auto"/>
        </w:rPr>
        <w:t>: NS – počet zaměstnanců ve výkonu</w:t>
      </w:r>
      <w:bookmarkEnd w:id="696"/>
      <w:bookmarkEnd w:id="697"/>
      <w:bookmarkEnd w:id="698"/>
    </w:p>
    <w:tbl>
      <w:tblPr>
        <w:tblW w:w="5120" w:type="dxa"/>
        <w:tblCellMar>
          <w:left w:w="0" w:type="dxa"/>
          <w:right w:w="0" w:type="dxa"/>
        </w:tblCellMar>
        <w:tblLook w:val="04A0" w:firstRow="1" w:lastRow="0" w:firstColumn="1" w:lastColumn="0" w:noHBand="0" w:noVBand="1"/>
      </w:tblPr>
      <w:tblGrid>
        <w:gridCol w:w="3680"/>
        <w:gridCol w:w="1440"/>
      </w:tblGrid>
      <w:tr w:rsidR="00F85178" w:rsidRPr="00F85178" w14:paraId="2ED25B42" w14:textId="77777777" w:rsidTr="00F823F8">
        <w:trPr>
          <w:trHeight w:val="345"/>
        </w:trPr>
        <w:tc>
          <w:tcPr>
            <w:tcW w:w="368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center"/>
            <w:hideMark/>
          </w:tcPr>
          <w:p w14:paraId="58BB27DA" w14:textId="77777777" w:rsidR="00414548" w:rsidRPr="00F85178" w:rsidRDefault="00F823F8" w:rsidP="00F823F8">
            <w:pPr>
              <w:spacing w:line="240" w:lineRule="auto"/>
              <w:jc w:val="center"/>
              <w:rPr>
                <w:b/>
                <w:bCs/>
              </w:rPr>
            </w:pPr>
            <w:r w:rsidRPr="00F85178">
              <w:rPr>
                <w:b/>
                <w:bCs/>
              </w:rPr>
              <w:t>Funkce</w:t>
            </w:r>
          </w:p>
        </w:tc>
        <w:tc>
          <w:tcPr>
            <w:tcW w:w="1440" w:type="dxa"/>
            <w:tcBorders>
              <w:top w:val="double" w:sz="6" w:space="0" w:color="auto"/>
              <w:left w:val="nil"/>
              <w:bottom w:val="double" w:sz="6" w:space="0" w:color="auto"/>
              <w:right w:val="nil"/>
            </w:tcBorders>
            <w:shd w:val="clear" w:color="auto" w:fill="auto"/>
            <w:noWrap/>
            <w:tcMar>
              <w:top w:w="15" w:type="dxa"/>
              <w:left w:w="15" w:type="dxa"/>
              <w:bottom w:w="0" w:type="dxa"/>
              <w:right w:w="15" w:type="dxa"/>
            </w:tcMar>
            <w:vAlign w:val="bottom"/>
            <w:hideMark/>
          </w:tcPr>
          <w:p w14:paraId="1EF4C265" w14:textId="77777777" w:rsidR="00414548" w:rsidRPr="00F85178" w:rsidRDefault="00414548">
            <w:pPr>
              <w:jc w:val="center"/>
              <w:rPr>
                <w:b/>
                <w:bCs/>
              </w:rPr>
            </w:pPr>
            <w:r w:rsidRPr="00F85178">
              <w:rPr>
                <w:b/>
                <w:bCs/>
              </w:rPr>
              <w:t>Počet osob</w:t>
            </w:r>
          </w:p>
        </w:tc>
      </w:tr>
      <w:tr w:rsidR="00F85178" w:rsidRPr="00F85178" w14:paraId="0E79C274" w14:textId="77777777" w:rsidTr="00414548">
        <w:trPr>
          <w:trHeight w:val="330"/>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703C027" w14:textId="77777777" w:rsidR="00414548" w:rsidRPr="00F85178" w:rsidRDefault="00414548">
            <w:pPr>
              <w:jc w:val="left"/>
            </w:pPr>
            <w:r w:rsidRPr="00F85178">
              <w:t>Asistent</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45EF7574" w14:textId="77777777" w:rsidR="00414548" w:rsidRPr="00F85178" w:rsidRDefault="00414548">
            <w:pPr>
              <w:jc w:val="center"/>
            </w:pPr>
            <w:r w:rsidRPr="00F85178">
              <w:t>151</w:t>
            </w:r>
          </w:p>
        </w:tc>
      </w:tr>
      <w:tr w:rsidR="00F85178" w:rsidRPr="00F85178" w14:paraId="31D5E375" w14:textId="77777777" w:rsidTr="004145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0259169" w14:textId="77777777" w:rsidR="00414548" w:rsidRPr="00F85178" w:rsidRDefault="00414548">
            <w:pPr>
              <w:jc w:val="left"/>
            </w:pPr>
            <w:r w:rsidRPr="00F85178">
              <w:t>Vedoucí kanceláře</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6C486EF7" w14:textId="77777777" w:rsidR="00414548" w:rsidRPr="00F85178" w:rsidRDefault="00414548">
            <w:pPr>
              <w:jc w:val="center"/>
            </w:pPr>
            <w:r w:rsidRPr="00F85178">
              <w:t>6</w:t>
            </w:r>
          </w:p>
        </w:tc>
      </w:tr>
      <w:tr w:rsidR="00F85178" w:rsidRPr="00F85178" w14:paraId="3F73427B" w14:textId="77777777" w:rsidTr="00414548">
        <w:trPr>
          <w:trHeight w:val="315"/>
        </w:trPr>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7583BE5E" w14:textId="77777777" w:rsidR="00414548" w:rsidRPr="00F85178" w:rsidRDefault="00414548">
            <w:pPr>
              <w:jc w:val="left"/>
            </w:pPr>
            <w:r w:rsidRPr="00F85178">
              <w:t>Protokolující úředník</w:t>
            </w:r>
          </w:p>
        </w:tc>
        <w:tc>
          <w:tcPr>
            <w:tcW w:w="0" w:type="auto"/>
            <w:tcBorders>
              <w:top w:val="nil"/>
              <w:left w:val="nil"/>
              <w:bottom w:val="single" w:sz="4" w:space="0" w:color="auto"/>
              <w:right w:val="nil"/>
            </w:tcBorders>
            <w:shd w:val="clear" w:color="auto" w:fill="auto"/>
            <w:noWrap/>
            <w:tcMar>
              <w:top w:w="15" w:type="dxa"/>
              <w:left w:w="15" w:type="dxa"/>
              <w:bottom w:w="0" w:type="dxa"/>
              <w:right w:w="15" w:type="dxa"/>
            </w:tcMar>
            <w:vAlign w:val="bottom"/>
            <w:hideMark/>
          </w:tcPr>
          <w:p w14:paraId="5A2B0532" w14:textId="77777777" w:rsidR="00414548" w:rsidRPr="00F85178" w:rsidRDefault="00414548">
            <w:pPr>
              <w:jc w:val="center"/>
            </w:pPr>
            <w:r w:rsidRPr="00F85178">
              <w:t>8</w:t>
            </w:r>
          </w:p>
        </w:tc>
      </w:tr>
      <w:tr w:rsidR="00F85178" w:rsidRPr="00F85178" w14:paraId="44A3558F" w14:textId="77777777" w:rsidTr="00414548">
        <w:trPr>
          <w:trHeight w:val="330"/>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3CA3110" w14:textId="77777777" w:rsidR="00414548" w:rsidRPr="00F85178" w:rsidRDefault="00414548">
            <w:pPr>
              <w:jc w:val="left"/>
            </w:pPr>
            <w:r w:rsidRPr="00F85178">
              <w:t>Zapisovatelka</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3EC91E7C" w14:textId="77777777" w:rsidR="00414548" w:rsidRPr="00F85178" w:rsidRDefault="00414548">
            <w:pPr>
              <w:jc w:val="center"/>
            </w:pPr>
            <w:r w:rsidRPr="00F85178">
              <w:t>17</w:t>
            </w:r>
          </w:p>
        </w:tc>
      </w:tr>
      <w:tr w:rsidR="00414548" w:rsidRPr="00F85178" w14:paraId="00770DDD" w14:textId="77777777" w:rsidTr="00414548">
        <w:trPr>
          <w:trHeight w:val="345"/>
        </w:trPr>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491638F9" w14:textId="77777777" w:rsidR="00414548" w:rsidRPr="00F85178" w:rsidRDefault="00414548">
            <w:pPr>
              <w:jc w:val="left"/>
              <w:rPr>
                <w:b/>
                <w:bCs/>
              </w:rPr>
            </w:pPr>
            <w:r w:rsidRPr="00F85178">
              <w:rPr>
                <w:b/>
                <w:bCs/>
              </w:rPr>
              <w:t>Celkem ČR</w:t>
            </w:r>
          </w:p>
        </w:tc>
        <w:tc>
          <w:tcPr>
            <w:tcW w:w="0" w:type="auto"/>
            <w:tcBorders>
              <w:top w:val="nil"/>
              <w:left w:val="nil"/>
              <w:bottom w:val="double" w:sz="6" w:space="0" w:color="auto"/>
              <w:right w:val="nil"/>
            </w:tcBorders>
            <w:shd w:val="clear" w:color="auto" w:fill="auto"/>
            <w:noWrap/>
            <w:tcMar>
              <w:top w:w="15" w:type="dxa"/>
              <w:left w:w="15" w:type="dxa"/>
              <w:bottom w:w="0" w:type="dxa"/>
              <w:right w:w="15" w:type="dxa"/>
            </w:tcMar>
            <w:vAlign w:val="bottom"/>
            <w:hideMark/>
          </w:tcPr>
          <w:p w14:paraId="7494831E" w14:textId="77777777" w:rsidR="00414548" w:rsidRPr="00F85178" w:rsidRDefault="00414548">
            <w:pPr>
              <w:jc w:val="center"/>
              <w:rPr>
                <w:b/>
                <w:bCs/>
              </w:rPr>
            </w:pPr>
            <w:r w:rsidRPr="00F85178">
              <w:rPr>
                <w:b/>
                <w:bCs/>
              </w:rPr>
              <w:t>182</w:t>
            </w:r>
          </w:p>
        </w:tc>
      </w:tr>
    </w:tbl>
    <w:p w14:paraId="725B836A" w14:textId="77777777" w:rsidR="00F823F8" w:rsidRPr="00F85178" w:rsidRDefault="00F823F8" w:rsidP="00F823F8">
      <w:pPr>
        <w:pStyle w:val="OdstavecASR"/>
      </w:pPr>
      <w:bookmarkStart w:id="699" w:name="_Toc515871298"/>
    </w:p>
    <w:p w14:paraId="3BCD7930" w14:textId="77777777" w:rsidR="00F823F8" w:rsidRPr="00F85178" w:rsidRDefault="00F823F8" w:rsidP="00F823F8">
      <w:pPr>
        <w:pStyle w:val="OdstavecASR"/>
      </w:pPr>
    </w:p>
    <w:p w14:paraId="54AEF93B" w14:textId="77777777" w:rsidR="00F823F8" w:rsidRPr="00F85178" w:rsidRDefault="00F823F8" w:rsidP="00F823F8">
      <w:pPr>
        <w:pStyle w:val="OdstavecASR"/>
      </w:pPr>
    </w:p>
    <w:p w14:paraId="579C419F" w14:textId="77777777" w:rsidR="00F823F8" w:rsidRPr="00F85178" w:rsidRDefault="00F823F8" w:rsidP="00F823F8">
      <w:pPr>
        <w:pStyle w:val="OdstavecASR"/>
      </w:pPr>
    </w:p>
    <w:p w14:paraId="208E4DE6" w14:textId="77777777" w:rsidR="00F823F8" w:rsidRPr="00F85178" w:rsidRDefault="00F823F8" w:rsidP="00F823F8">
      <w:pPr>
        <w:pStyle w:val="OdstavecASR"/>
      </w:pPr>
    </w:p>
    <w:p w14:paraId="0E4F41EE" w14:textId="77777777" w:rsidR="00143D57" w:rsidRPr="00F85178" w:rsidRDefault="00143D57" w:rsidP="00F823F8">
      <w:pPr>
        <w:pStyle w:val="OdstavecASR"/>
      </w:pPr>
    </w:p>
    <w:p w14:paraId="11A104FB" w14:textId="77777777" w:rsidR="004E013E" w:rsidRPr="00F85178" w:rsidRDefault="004E013E" w:rsidP="004E013E">
      <w:pPr>
        <w:pStyle w:val="Nadpis2"/>
        <w:rPr>
          <w:lang w:eastAsia="cs-CZ"/>
        </w:rPr>
      </w:pPr>
      <w:bookmarkStart w:id="700" w:name="_Toc14076947"/>
      <w:r w:rsidRPr="00F85178">
        <w:rPr>
          <w:lang w:eastAsia="cs-CZ"/>
        </w:rPr>
        <w:t>Civilní dovolací agenda</w:t>
      </w:r>
      <w:bookmarkEnd w:id="699"/>
      <w:bookmarkEnd w:id="700"/>
    </w:p>
    <w:p w14:paraId="6948C987" w14:textId="77777777" w:rsidR="007E313E" w:rsidRPr="00F85178" w:rsidRDefault="007E313E" w:rsidP="007E313E">
      <w:pPr>
        <w:pStyle w:val="OdstavecASR"/>
      </w:pPr>
      <w:r w:rsidRPr="00F85178">
        <w:t>Již dříve jsme uvedli, že se jedná o rejstřík Cdo, dříve též rejstřík Odo.</w:t>
      </w:r>
    </w:p>
    <w:p w14:paraId="286830A9" w14:textId="77777777" w:rsidR="004E013E" w:rsidRPr="00F85178" w:rsidRDefault="004E013E" w:rsidP="004E013E">
      <w:pPr>
        <w:pStyle w:val="Nadpis3"/>
        <w:rPr>
          <w:color w:val="auto"/>
          <w:lang w:eastAsia="cs-CZ"/>
        </w:rPr>
      </w:pPr>
      <w:bookmarkStart w:id="701" w:name="_Toc515871299"/>
      <w:bookmarkStart w:id="702" w:name="_Toc14076948"/>
      <w:r w:rsidRPr="00F85178">
        <w:rPr>
          <w:color w:val="auto"/>
          <w:lang w:eastAsia="cs-CZ"/>
        </w:rPr>
        <w:t>Vyřizování věcí</w:t>
      </w:r>
      <w:bookmarkEnd w:id="701"/>
      <w:bookmarkEnd w:id="702"/>
    </w:p>
    <w:p w14:paraId="401F9D75" w14:textId="5E5CB2FD" w:rsidR="00EA6BDB" w:rsidRPr="00F85178" w:rsidRDefault="00EA6BDB" w:rsidP="00EA6BDB">
      <w:pPr>
        <w:pStyle w:val="OdstavecASR"/>
      </w:pPr>
      <w:r w:rsidRPr="00F85178">
        <w:t>Časové řady mají v tomto případě velmi zajímavý průběh, a to i mimo běžně sledované období 2008–</w:t>
      </w:r>
      <w:r w:rsidR="00075DCB">
        <w:t>2018</w:t>
      </w:r>
      <w:r w:rsidRPr="00F85178">
        <w:t xml:space="preserve">. V roce 2001 činil nápad 3 102 věcí a počet nevyřízených věcí byl 1 663. Do roku 2008 víceméně postupně nápad narostl na 5 453 a počet nevyřízených věcí na 5 613. Následoval značný propad nápadu až na 3 914 věcí v roce 2012, což je hodnota na úrovni roku 2003. Pokles v nápadu se logicky příznivě projevil v počtu nevyřízených věcí. Od roku 2013 došlo k dalšímu růstu nápadu (podobnému tomu z let 2002–2008), který trvá dosud. Lze to přisoudit tomu, že dne 1. 1. 2013 nabyla účinnosti novela (zákon č. 404/2012 Sb.), kterou byla rozšířena objektivní přípustnost dovolání v civilních věcech. Soudu se ale tentokrát podařilo úspěšně reagovat a výrazně zvýšil počet vyřízených věcí, čímž se mu podařilo zabránit výraznému růstu v počtu nevyřízených věcí. V roce 2017 se ale rostoucí trend v nápadu silně zpomalil, téměř zastavil. V roce 2017 napadlo pouze o 40 věcí více než v roce 2016. </w:t>
      </w:r>
      <w:r w:rsidR="00F850B5" w:rsidRPr="00F85178">
        <w:t>V roce 2018 pak došlo k </w:t>
      </w:r>
      <w:r w:rsidR="007B2B96" w:rsidRPr="00F85178">
        <w:t>markantnímu</w:t>
      </w:r>
      <w:r w:rsidR="00F850B5" w:rsidRPr="00F85178">
        <w:t xml:space="preserve"> poklesu v počtu příchozích</w:t>
      </w:r>
      <w:r w:rsidR="007B2B96" w:rsidRPr="00F85178">
        <w:t xml:space="preserve"> věcí (o 22 %). Soudu, který čelil v posledních letech velké </w:t>
      </w:r>
      <w:r w:rsidR="006F4641" w:rsidRPr="00F85178">
        <w:t>případov</w:t>
      </w:r>
      <w:r w:rsidR="006F4641">
        <w:t>é</w:t>
      </w:r>
      <w:r w:rsidR="006F4641" w:rsidRPr="00F85178">
        <w:t xml:space="preserve"> </w:t>
      </w:r>
      <w:r w:rsidR="007B2B96" w:rsidRPr="00F85178">
        <w:t>zátěži</w:t>
      </w:r>
      <w:r w:rsidR="000C1C47" w:rsidRPr="00F85178">
        <w:t>,</w:t>
      </w:r>
      <w:r w:rsidR="007B2B96" w:rsidRPr="00F85178">
        <w:t xml:space="preserve"> se tak alespoň částečně ulevilo. Výše uvedené se logicky projevilo i v poklesu v počtu vyří</w:t>
      </w:r>
      <w:r w:rsidR="00075DCB">
        <w:t>z</w:t>
      </w:r>
      <w:r w:rsidR="007B2B96" w:rsidRPr="00F85178">
        <w:t>ených věcí (mezi příchozími a</w:t>
      </w:r>
      <w:r w:rsidR="000C1C47" w:rsidRPr="00F85178">
        <w:t> </w:t>
      </w:r>
      <w:r w:rsidR="007B2B96" w:rsidRPr="00F85178">
        <w:t>vyřízenými věcmi je logicky velmi silná závislost). Počet vyřízených věcí ale stále výrazně převýšil počet věcí příchozích. Došlo tedy k poklesu nevyřízených věcí.</w:t>
      </w:r>
    </w:p>
    <w:p w14:paraId="17E87815" w14:textId="77777777" w:rsidR="0035342C" w:rsidRPr="00F85178" w:rsidRDefault="0035342C" w:rsidP="0035342C">
      <w:pPr>
        <w:pStyle w:val="Podtitul"/>
        <w:rPr>
          <w:color w:val="auto"/>
        </w:rPr>
      </w:pPr>
      <w:bookmarkStart w:id="703" w:name="_Toc515871425"/>
      <w:bookmarkStart w:id="704" w:name="_Toc11135156"/>
      <w:bookmarkStart w:id="705" w:name="_Toc13837588"/>
      <w:bookmarkStart w:id="706" w:name="_Toc487791314"/>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95</w:t>
      </w:r>
      <w:r w:rsidRPr="00F85178">
        <w:rPr>
          <w:noProof/>
          <w:color w:val="auto"/>
        </w:rPr>
        <w:fldChar w:fldCharType="end"/>
      </w:r>
      <w:r w:rsidRPr="00F85178">
        <w:rPr>
          <w:color w:val="auto"/>
        </w:rPr>
        <w:t>: NS – vyřizování civilní dovolací agendy v letech 2008–201</w:t>
      </w:r>
      <w:bookmarkEnd w:id="703"/>
      <w:r w:rsidRPr="00F85178">
        <w:rPr>
          <w:color w:val="auto"/>
        </w:rPr>
        <w:t>8</w:t>
      </w:r>
      <w:bookmarkEnd w:id="704"/>
      <w:bookmarkEnd w:id="705"/>
    </w:p>
    <w:p w14:paraId="4C538AA8" w14:textId="77777777" w:rsidR="003F6FAB" w:rsidRPr="00F85178" w:rsidRDefault="00890295" w:rsidP="003F6FAB">
      <w:r>
        <w:rPr>
          <w:noProof/>
          <w:lang w:eastAsia="cs-CZ"/>
        </w:rPr>
        <w:drawing>
          <wp:inline distT="0" distB="0" distL="0" distR="0" wp14:anchorId="4D131A87" wp14:editId="70ED9677">
            <wp:extent cx="5118100" cy="3746500"/>
            <wp:effectExtent l="0" t="0" r="0" b="0"/>
            <wp:docPr id="98" name="Obrázek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8"/>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BFB1E62" w14:textId="77777777" w:rsidR="00373542" w:rsidRPr="00F85178" w:rsidRDefault="00373542" w:rsidP="00373542"/>
    <w:p w14:paraId="2BC956CA" w14:textId="77777777" w:rsidR="00373542" w:rsidRPr="00F85178" w:rsidRDefault="00373542" w:rsidP="004D4657">
      <w:pPr>
        <w:pStyle w:val="Nadpis2"/>
        <w:pageBreakBefore/>
      </w:pPr>
      <w:bookmarkStart w:id="707" w:name="_Toc515871300"/>
      <w:bookmarkStart w:id="708" w:name="_Toc14076949"/>
      <w:r w:rsidRPr="00F85178">
        <w:t>Trestní dovolací agenda</w:t>
      </w:r>
      <w:bookmarkEnd w:id="707"/>
      <w:bookmarkEnd w:id="708"/>
    </w:p>
    <w:p w14:paraId="66135E45" w14:textId="77777777" w:rsidR="004D4657" w:rsidRPr="00F85178" w:rsidRDefault="004D4657" w:rsidP="004D4657">
      <w:r w:rsidRPr="00F85178">
        <w:t>Jak již bylo řečeno, jedná se o rejstřík Tdo.</w:t>
      </w:r>
    </w:p>
    <w:p w14:paraId="10146392" w14:textId="77777777" w:rsidR="00373542" w:rsidRPr="00F85178" w:rsidRDefault="00373542" w:rsidP="00373542">
      <w:pPr>
        <w:pStyle w:val="Nadpis3"/>
        <w:rPr>
          <w:color w:val="auto"/>
          <w:lang w:eastAsia="cs-CZ"/>
        </w:rPr>
      </w:pPr>
      <w:bookmarkStart w:id="709" w:name="_Toc515871301"/>
      <w:bookmarkStart w:id="710" w:name="_Toc14076950"/>
      <w:r w:rsidRPr="00F85178">
        <w:rPr>
          <w:color w:val="auto"/>
          <w:lang w:eastAsia="cs-CZ"/>
        </w:rPr>
        <w:t>Vyřizování věcí</w:t>
      </w:r>
      <w:bookmarkEnd w:id="709"/>
      <w:bookmarkEnd w:id="710"/>
    </w:p>
    <w:p w14:paraId="793C9E18" w14:textId="77777777" w:rsidR="00373542" w:rsidRPr="00F85178" w:rsidRDefault="00373542" w:rsidP="00373542">
      <w:pPr>
        <w:pStyle w:val="Podtitul"/>
        <w:rPr>
          <w:color w:val="auto"/>
        </w:rPr>
      </w:pPr>
      <w:bookmarkStart w:id="711" w:name="_Toc515871426"/>
      <w:bookmarkStart w:id="712" w:name="_Toc11135157"/>
      <w:bookmarkStart w:id="713" w:name="_Toc13837589"/>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96</w:t>
      </w:r>
      <w:r w:rsidRPr="00F85178">
        <w:rPr>
          <w:noProof/>
          <w:color w:val="auto"/>
        </w:rPr>
        <w:fldChar w:fldCharType="end"/>
      </w:r>
      <w:r w:rsidRPr="00F85178">
        <w:rPr>
          <w:color w:val="auto"/>
        </w:rPr>
        <w:t>: NS – vyřizování trestní dovolací agendy v letech 2008–201</w:t>
      </w:r>
      <w:bookmarkEnd w:id="711"/>
      <w:r w:rsidRPr="00F85178">
        <w:rPr>
          <w:color w:val="auto"/>
        </w:rPr>
        <w:t>8</w:t>
      </w:r>
      <w:bookmarkEnd w:id="712"/>
      <w:bookmarkEnd w:id="713"/>
    </w:p>
    <w:p w14:paraId="2589F88E" w14:textId="77777777" w:rsidR="00496F76" w:rsidRPr="00F85178" w:rsidRDefault="00890295" w:rsidP="00496F76">
      <w:r>
        <w:rPr>
          <w:noProof/>
          <w:lang w:eastAsia="cs-CZ"/>
        </w:rPr>
        <w:drawing>
          <wp:inline distT="0" distB="0" distL="0" distR="0" wp14:anchorId="65B242DF" wp14:editId="02BC57BB">
            <wp:extent cx="5118100" cy="3746500"/>
            <wp:effectExtent l="0" t="0" r="0" b="0"/>
            <wp:docPr id="99" name="Obrázek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49"/>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3911208D" w14:textId="77777777" w:rsidR="004D4657" w:rsidRPr="00F85178" w:rsidRDefault="004D4657" w:rsidP="004D4657">
      <w:pPr>
        <w:pStyle w:val="OdstavecASR"/>
      </w:pPr>
      <w:r w:rsidRPr="00F85178">
        <w:t>Trestní kolegium čelí mnohem menším změnám v nápadu než kolegium občanskoprávní a obchodní. V agendě Tdo byl nicméně v letech 2013 až 2016 patrný mírný rostoucí trend v počtu napadlých věcí, což se zřejmě projevilo i v mírném růstu v počtu nevyřízených věcí. V roce 2017 nápad poklesl a počet nevyřízených věcí se díky tomu vrátil přibližně na úroveň v roce 2013</w:t>
      </w:r>
      <w:r w:rsidR="007B2B96" w:rsidRPr="00F85178">
        <w:t>, na které zůstal i v roce 2018</w:t>
      </w:r>
      <w:r w:rsidR="00F823F8" w:rsidRPr="00F85178">
        <w:t>.</w:t>
      </w:r>
      <w:r w:rsidRPr="00F85178">
        <w:t xml:space="preserve"> Počet nevyřízených věcí je v poměru k nápadu a k vyřízeným věcem stále velmi nízký; přesto je třeba ho nadále sledovat.</w:t>
      </w:r>
    </w:p>
    <w:p w14:paraId="611A8734" w14:textId="77777777" w:rsidR="00496F76" w:rsidRPr="00F85178" w:rsidRDefault="00496F76">
      <w:pPr>
        <w:spacing w:line="240" w:lineRule="auto"/>
        <w:jc w:val="left"/>
      </w:pPr>
      <w:r w:rsidRPr="00F85178">
        <w:br w:type="page"/>
      </w:r>
    </w:p>
    <w:p w14:paraId="51C1C8C1" w14:textId="77777777" w:rsidR="00727AA8" w:rsidRPr="00F85178" w:rsidRDefault="00727AA8" w:rsidP="00727AA8">
      <w:pPr>
        <w:pStyle w:val="Nadpis2"/>
      </w:pPr>
      <w:bookmarkStart w:id="714" w:name="_Toc487791304"/>
      <w:bookmarkStart w:id="715" w:name="_Toc515871302"/>
      <w:bookmarkStart w:id="716" w:name="_Toc14076951"/>
      <w:r w:rsidRPr="00F85178">
        <w:t>Stížnosti pro porušení zákona</w:t>
      </w:r>
      <w:bookmarkEnd w:id="714"/>
      <w:bookmarkEnd w:id="715"/>
      <w:bookmarkEnd w:id="716"/>
    </w:p>
    <w:p w14:paraId="123F7F6A" w14:textId="77777777" w:rsidR="004D4657" w:rsidRPr="00F85178" w:rsidRDefault="004D4657" w:rsidP="004D4657">
      <w:pPr>
        <w:pStyle w:val="OdstavecASR"/>
      </w:pPr>
      <w:r w:rsidRPr="00F85178">
        <w:t>Popis této agendy lze najít v seznamu použitých pojmů (příloha). Jedná se o rejstřík označený jako Tz. Agendu vyřizuje trestní kolegium Nejvyššího soudu.</w:t>
      </w:r>
    </w:p>
    <w:p w14:paraId="2907BD2E" w14:textId="77777777" w:rsidR="006E72F8" w:rsidRPr="00F85178" w:rsidRDefault="006E72F8" w:rsidP="006E72F8">
      <w:pPr>
        <w:pStyle w:val="Nadpis3"/>
        <w:rPr>
          <w:color w:val="auto"/>
          <w:lang w:eastAsia="cs-CZ"/>
        </w:rPr>
      </w:pPr>
      <w:bookmarkStart w:id="717" w:name="_Toc515871303"/>
      <w:bookmarkStart w:id="718" w:name="_Toc14076952"/>
      <w:r w:rsidRPr="00F85178">
        <w:rPr>
          <w:color w:val="auto"/>
          <w:lang w:eastAsia="cs-CZ"/>
        </w:rPr>
        <w:t>Vyřizování věcí</w:t>
      </w:r>
      <w:bookmarkEnd w:id="717"/>
      <w:bookmarkEnd w:id="718"/>
    </w:p>
    <w:p w14:paraId="28F165FA" w14:textId="77777777" w:rsidR="006E72F8" w:rsidRPr="00F85178" w:rsidRDefault="006E72F8" w:rsidP="006E72F8">
      <w:pPr>
        <w:pStyle w:val="Podtitul"/>
        <w:rPr>
          <w:color w:val="auto"/>
        </w:rPr>
      </w:pPr>
      <w:bookmarkStart w:id="719" w:name="_Toc515871427"/>
      <w:bookmarkStart w:id="720" w:name="_Toc11135158"/>
      <w:bookmarkStart w:id="721" w:name="_Toc13837590"/>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97</w:t>
      </w:r>
      <w:r w:rsidRPr="00F85178">
        <w:rPr>
          <w:noProof/>
          <w:color w:val="auto"/>
        </w:rPr>
        <w:fldChar w:fldCharType="end"/>
      </w:r>
      <w:r w:rsidRPr="00F85178">
        <w:rPr>
          <w:color w:val="auto"/>
        </w:rPr>
        <w:t>: NS – vyřizování stížností pro porušení zákona v letech 2010–201</w:t>
      </w:r>
      <w:bookmarkEnd w:id="719"/>
      <w:r w:rsidRPr="00F85178">
        <w:rPr>
          <w:color w:val="auto"/>
        </w:rPr>
        <w:t>8</w:t>
      </w:r>
      <w:bookmarkEnd w:id="720"/>
      <w:bookmarkEnd w:id="721"/>
    </w:p>
    <w:p w14:paraId="4FE2009C" w14:textId="77777777" w:rsidR="004D4657" w:rsidRPr="00F85178" w:rsidRDefault="00890295">
      <w:pPr>
        <w:spacing w:line="240" w:lineRule="auto"/>
        <w:jc w:val="left"/>
      </w:pPr>
      <w:r>
        <w:rPr>
          <w:noProof/>
          <w:lang w:eastAsia="cs-CZ"/>
        </w:rPr>
        <w:drawing>
          <wp:inline distT="0" distB="0" distL="0" distR="0" wp14:anchorId="0E7E57EF" wp14:editId="20002BBE">
            <wp:extent cx="5118100" cy="3746500"/>
            <wp:effectExtent l="0" t="0" r="0" b="0"/>
            <wp:docPr id="100" name="Obrázek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0"/>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2C3E43E1" w14:textId="77777777" w:rsidR="004D4657" w:rsidRPr="00F85178" w:rsidRDefault="004D4657" w:rsidP="004D4657">
      <w:pPr>
        <w:pStyle w:val="OdstavecASR"/>
      </w:pPr>
      <w:r w:rsidRPr="00F85178">
        <w:t>Oproti agendě dovolání, především dovolání v občanskoprávních a obchodních věcech, je tato agenda velmi malá. Z toho také plyne velká variabilita. U takto malých čísel je možné, aby se v jeden rok „sešlo“ větší množství pravomocných rozhodnutí, proti kterým ministr spravedlnosti považuje za vhodné podat stížnost pro porušení zákona. V absolutních číslech se ale jedná o změny malé. Určité změny mohou také plynout ze střídání ministrů spravedlnosti, kteří mohou klást tu větší, tu menší důraz na určitou problematiku. Jak je z grafu patrné, jedná se o agendu, kterou soud vyřizuje bez jakýchkoliv problémů.</w:t>
      </w:r>
    </w:p>
    <w:p w14:paraId="6BBED518" w14:textId="77777777" w:rsidR="00496F76" w:rsidRPr="00F85178" w:rsidRDefault="00496F76">
      <w:pPr>
        <w:spacing w:line="240" w:lineRule="auto"/>
        <w:jc w:val="left"/>
      </w:pPr>
      <w:r w:rsidRPr="00F85178">
        <w:br w:type="page"/>
      </w:r>
    </w:p>
    <w:p w14:paraId="1301E911" w14:textId="77777777" w:rsidR="00C17BB4" w:rsidRPr="00F85178" w:rsidRDefault="00C17BB4" w:rsidP="00C17BB4">
      <w:pPr>
        <w:pStyle w:val="Nadpis2"/>
      </w:pPr>
      <w:bookmarkStart w:id="722" w:name="_Toc515871304"/>
      <w:bookmarkStart w:id="723" w:name="_Toc14076953"/>
      <w:r w:rsidRPr="00F85178">
        <w:t>Insolvenční agenda</w:t>
      </w:r>
      <w:bookmarkEnd w:id="722"/>
      <w:bookmarkEnd w:id="723"/>
    </w:p>
    <w:p w14:paraId="4B56E1A7" w14:textId="3C3C4AF5" w:rsidR="004D4657" w:rsidRPr="00F85178" w:rsidRDefault="004D4657" w:rsidP="004D4657">
      <w:pPr>
        <w:pStyle w:val="OdstavecASR"/>
      </w:pPr>
      <w:r w:rsidRPr="00F85178">
        <w:t xml:space="preserve">Jedná se o rejstřík </w:t>
      </w:r>
      <w:r w:rsidR="000D5A00">
        <w:t>NSČR</w:t>
      </w:r>
      <w:r w:rsidRPr="00F85178">
        <w:t xml:space="preserve"> – věci předložené soudu k rozhodnutí v insolvenčním řízení (dovolání, příslušnost soudů a vyloučení soudců v insolvenčním řízení). Rejstřík spadá pod civilní úsek Nejvyššího soudu, tedy občanskoprávní a obchodní kolegium.</w:t>
      </w:r>
    </w:p>
    <w:p w14:paraId="5F1BB183" w14:textId="77777777" w:rsidR="00C17BB4" w:rsidRPr="00F85178" w:rsidRDefault="00C17BB4" w:rsidP="00C17BB4">
      <w:pPr>
        <w:pStyle w:val="Nadpis3"/>
        <w:rPr>
          <w:color w:val="auto"/>
        </w:rPr>
      </w:pPr>
      <w:bookmarkStart w:id="724" w:name="_Toc515871305"/>
      <w:bookmarkStart w:id="725" w:name="_Toc14076954"/>
      <w:r w:rsidRPr="00F85178">
        <w:rPr>
          <w:color w:val="auto"/>
        </w:rPr>
        <w:t>Vyřizování věcí</w:t>
      </w:r>
      <w:bookmarkEnd w:id="724"/>
      <w:bookmarkEnd w:id="725"/>
    </w:p>
    <w:p w14:paraId="4475D35E" w14:textId="77777777" w:rsidR="009F762E" w:rsidRPr="00F85178" w:rsidRDefault="00C17BB4" w:rsidP="00C17BB4">
      <w:pPr>
        <w:pStyle w:val="Podtitul"/>
        <w:rPr>
          <w:color w:val="auto"/>
        </w:rPr>
      </w:pPr>
      <w:bookmarkStart w:id="726" w:name="_Toc515871428"/>
      <w:bookmarkStart w:id="727" w:name="_Toc11135159"/>
      <w:bookmarkStart w:id="728" w:name="_Toc13837591"/>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98</w:t>
      </w:r>
      <w:r w:rsidRPr="00F85178">
        <w:rPr>
          <w:noProof/>
          <w:color w:val="auto"/>
        </w:rPr>
        <w:fldChar w:fldCharType="end"/>
      </w:r>
      <w:r w:rsidRPr="00F85178">
        <w:rPr>
          <w:color w:val="auto"/>
        </w:rPr>
        <w:t>: NS – vyřizování insolvenční dovolací agendy v letech 2010–201</w:t>
      </w:r>
      <w:bookmarkEnd w:id="726"/>
      <w:r w:rsidRPr="00F85178">
        <w:rPr>
          <w:color w:val="auto"/>
        </w:rPr>
        <w:t>8</w:t>
      </w:r>
      <w:bookmarkEnd w:id="727"/>
      <w:bookmarkEnd w:id="728"/>
    </w:p>
    <w:p w14:paraId="773AA2C0" w14:textId="77777777" w:rsidR="00870673" w:rsidRPr="00F85178" w:rsidRDefault="00890295">
      <w:pPr>
        <w:spacing w:line="240" w:lineRule="auto"/>
        <w:jc w:val="left"/>
      </w:pPr>
      <w:r>
        <w:rPr>
          <w:noProof/>
          <w:lang w:eastAsia="cs-CZ"/>
        </w:rPr>
        <w:drawing>
          <wp:inline distT="0" distB="0" distL="0" distR="0" wp14:anchorId="419AE02E" wp14:editId="6D971B7A">
            <wp:extent cx="5118100" cy="3746500"/>
            <wp:effectExtent l="0" t="0" r="0" b="0"/>
            <wp:docPr id="101" name="Obrázek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1"/>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F828548" w14:textId="4BA76F63" w:rsidR="004D4657" w:rsidRPr="00F85178" w:rsidRDefault="004D4657" w:rsidP="004D4657">
      <w:pPr>
        <w:pStyle w:val="OdstavecASR"/>
      </w:pPr>
      <w:r w:rsidRPr="00F85178">
        <w:t>Agenda je velmi malá, ale až do roku 2016 postupně rostla. V roce 2017 poprvé došlo k poklesu v počtu napadlých věcí, který pokračoval i v roce 2018. Růst a následný pokles nápadu v letech 2017 a 2018 plyne především z obdobného vývoje ve vyřizování druhoinstanční insolvenční agendy u vrchních soudů (</w:t>
      </w:r>
      <w:r w:rsidRPr="00F85178">
        <w:fldChar w:fldCharType="begin"/>
      </w:r>
      <w:r w:rsidRPr="00F85178">
        <w:instrText xml:space="preserve"> REF  _Ref511907845 \* Lower \h  \* MERGEFORMAT </w:instrText>
      </w:r>
      <w:r w:rsidRPr="00F85178">
        <w:fldChar w:fldCharType="separate"/>
      </w:r>
      <w:r w:rsidR="00306940" w:rsidRPr="00F85178">
        <w:t xml:space="preserve">graf </w:t>
      </w:r>
      <w:r w:rsidR="00306940">
        <w:rPr>
          <w:noProof/>
        </w:rPr>
        <w:t>89</w:t>
      </w:r>
      <w:r w:rsidRPr="00F85178">
        <w:fldChar w:fldCharType="end"/>
      </w:r>
      <w:r w:rsidRPr="00F85178">
        <w:t>).</w:t>
      </w:r>
      <w:r w:rsidR="00A11E15" w:rsidRPr="00F85178">
        <w:t xml:space="preserve"> Oproti vývoji na vrchních soudech se u Nejvyššího soudu situace u nevyřízených věcí v insolvenční agendě v roce 2018 zlepšovala.</w:t>
      </w:r>
    </w:p>
    <w:p w14:paraId="6D3FD36D" w14:textId="77777777" w:rsidR="004D4657" w:rsidRPr="00F85178" w:rsidRDefault="004D4657">
      <w:pPr>
        <w:spacing w:line="240" w:lineRule="auto"/>
        <w:jc w:val="left"/>
      </w:pPr>
    </w:p>
    <w:p w14:paraId="449EE63F" w14:textId="77777777" w:rsidR="001C69CA" w:rsidRPr="00F85178" w:rsidRDefault="001C69CA">
      <w:pPr>
        <w:spacing w:line="240" w:lineRule="auto"/>
        <w:jc w:val="left"/>
      </w:pPr>
      <w:r w:rsidRPr="00F85178">
        <w:br w:type="page"/>
      </w:r>
    </w:p>
    <w:p w14:paraId="1EF3DD39" w14:textId="77777777" w:rsidR="001C69CA" w:rsidRPr="00F85178" w:rsidRDefault="001C69CA" w:rsidP="001C69CA">
      <w:pPr>
        <w:pStyle w:val="Nadpis1"/>
        <w:rPr>
          <w:lang w:eastAsia="cs-CZ"/>
        </w:rPr>
      </w:pPr>
      <w:bookmarkStart w:id="729" w:name="_Toc515871306"/>
      <w:bookmarkStart w:id="730" w:name="_Toc14076955"/>
      <w:r w:rsidRPr="00F85178">
        <w:rPr>
          <w:lang w:eastAsia="cs-CZ"/>
        </w:rPr>
        <w:t>Nejvyšší správní soud</w:t>
      </w:r>
      <w:bookmarkEnd w:id="729"/>
      <w:bookmarkEnd w:id="730"/>
    </w:p>
    <w:p w14:paraId="0C7AA17C" w14:textId="77777777" w:rsidR="00AD317A" w:rsidRPr="00F85178" w:rsidRDefault="00AD317A" w:rsidP="00AD317A">
      <w:pPr>
        <w:pStyle w:val="OdstavecASR"/>
      </w:pPr>
      <w:r w:rsidRPr="00F85178">
        <w:t>Do pravomoci Nejvyššího správního soudu (NSS) ČR, který sídlí v Brně, spadá několik druhů rozhodování, například rozhodování ve věcech volebních, rozhodování ve věcech politických stran a hnutí (rozpuštění, pozastavení nebo znovuobnovení jejich činnosti) nebo řízení ve věcech kárné odpovědnosti soudců, státních zástupců a exekutorů. Tato zpráva se soustředí výhradně na soudy a soudce, proto jsou v této zprávě data o řízení ve věcech soudců (řízení ve věcech kárné odpovědnost soudců).</w:t>
      </w:r>
    </w:p>
    <w:p w14:paraId="5791DA5A" w14:textId="77777777" w:rsidR="00AD317A" w:rsidRPr="00F85178" w:rsidRDefault="00AD317A" w:rsidP="00AD317A">
      <w:pPr>
        <w:pStyle w:val="OdstavecASR"/>
      </w:pPr>
      <w:r w:rsidRPr="00F85178">
        <w:t>Zdaleka nejrozsáhlejší agendou NSS je ale rozhodování o kasačních stížnostech. Do agendy kasačních stížností spadá velké množství rejstříků: Azs, Ads, Afs, As, Ans, Aps, A, Aos a Ars. Do některých z těchto rejstříků se již nezapisují nové věci. Věci spadají do jednotlivých rejstříků v závislosti na prvostupňové agendě, do níž směřuje kasační stížnost (finanční, azylová apod.).</w:t>
      </w:r>
    </w:p>
    <w:p w14:paraId="11729367" w14:textId="77777777" w:rsidR="00AD317A" w:rsidRPr="00F85178" w:rsidRDefault="00AD317A" w:rsidP="00AD317A">
      <w:pPr>
        <w:pStyle w:val="OdstavecASR"/>
      </w:pPr>
      <w:r w:rsidRPr="00F85178">
        <w:t>Stejně jako u NS i u NSS zachycuje tato zpráva méně ukazatelů než u ostatních soudů. Důvody jsou stejné: délka řízení nebo další statistické ukazatele nejsou k dispozici a soud je pouze jeden a není ho tedy s čím statisticky srovnávat.</w:t>
      </w:r>
    </w:p>
    <w:p w14:paraId="738D8EB0" w14:textId="77777777" w:rsidR="00A00C24" w:rsidRPr="00F85178" w:rsidRDefault="00A00C24" w:rsidP="00A00C24">
      <w:pPr>
        <w:pStyle w:val="Nadpis2"/>
        <w:rPr>
          <w:lang w:eastAsia="cs-CZ"/>
        </w:rPr>
      </w:pPr>
      <w:bookmarkStart w:id="731" w:name="_Toc515871307"/>
      <w:bookmarkStart w:id="732" w:name="_Toc14076956"/>
      <w:r w:rsidRPr="00F85178">
        <w:rPr>
          <w:lang w:eastAsia="cs-CZ"/>
        </w:rPr>
        <w:t>Personál</w:t>
      </w:r>
      <w:bookmarkEnd w:id="731"/>
      <w:bookmarkEnd w:id="732"/>
    </w:p>
    <w:p w14:paraId="18A7DF97" w14:textId="77777777" w:rsidR="00A00C24" w:rsidRPr="00F85178" w:rsidRDefault="00A00C24" w:rsidP="00A00C24">
      <w:pPr>
        <w:pStyle w:val="Nadpis3"/>
        <w:rPr>
          <w:color w:val="auto"/>
          <w:lang w:eastAsia="cs-CZ"/>
        </w:rPr>
      </w:pPr>
      <w:bookmarkStart w:id="733" w:name="_Toc515871308"/>
      <w:bookmarkStart w:id="734" w:name="_Toc14076957"/>
      <w:r w:rsidRPr="00F85178">
        <w:rPr>
          <w:color w:val="auto"/>
          <w:lang w:eastAsia="cs-CZ"/>
        </w:rPr>
        <w:t>Soudci</w:t>
      </w:r>
      <w:bookmarkEnd w:id="733"/>
      <w:bookmarkEnd w:id="734"/>
    </w:p>
    <w:p w14:paraId="7B395BD3" w14:textId="77777777" w:rsidR="00AD317A" w:rsidRPr="00F85178" w:rsidRDefault="00AD317A" w:rsidP="00AD317A">
      <w:pPr>
        <w:pStyle w:val="OdstavecASR"/>
      </w:pPr>
      <w:r w:rsidRPr="00F85178">
        <w:t>Plánovaný počet soudců je neměnný, ale v evidenčním počtu došlo k určitým změnám. V dřívějších letech se jednalo jen o malé výkyvy, v letech 2013 až 2015 však došlo k citelnému posílení soudu a evidenční počet soudců je od roku 2015 stejně vysoký jako plánovaný počet soudců nebo vyšší</w:t>
      </w:r>
      <w:r w:rsidR="00F823F8" w:rsidRPr="00F85178">
        <w:t>.</w:t>
      </w:r>
    </w:p>
    <w:p w14:paraId="6284A1CA" w14:textId="77777777" w:rsidR="006E1529" w:rsidRPr="00F85178" w:rsidRDefault="006E1529" w:rsidP="00AD317A">
      <w:pPr>
        <w:pStyle w:val="Podtitul"/>
        <w:rPr>
          <w:color w:val="auto"/>
        </w:rPr>
      </w:pPr>
      <w:bookmarkStart w:id="735" w:name="_Toc515871429"/>
      <w:bookmarkStart w:id="736" w:name="_Toc11135160"/>
      <w:bookmarkStart w:id="737" w:name="_Toc13837592"/>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99</w:t>
      </w:r>
      <w:r w:rsidRPr="00F85178">
        <w:rPr>
          <w:noProof/>
          <w:color w:val="auto"/>
        </w:rPr>
        <w:fldChar w:fldCharType="end"/>
      </w:r>
      <w:r w:rsidRPr="00F85178">
        <w:rPr>
          <w:color w:val="auto"/>
        </w:rPr>
        <w:t>: NSS – počet soudců v letech 2008–201</w:t>
      </w:r>
      <w:bookmarkEnd w:id="735"/>
      <w:r w:rsidRPr="00F85178">
        <w:rPr>
          <w:color w:val="auto"/>
        </w:rPr>
        <w:t>8</w:t>
      </w:r>
      <w:bookmarkEnd w:id="736"/>
      <w:bookmarkEnd w:id="737"/>
    </w:p>
    <w:p w14:paraId="153FB134" w14:textId="77777777" w:rsidR="00A82426" w:rsidRPr="00F85178" w:rsidRDefault="00890295" w:rsidP="00A82426">
      <w:r>
        <w:rPr>
          <w:noProof/>
          <w:lang w:eastAsia="cs-CZ"/>
        </w:rPr>
        <w:drawing>
          <wp:inline distT="0" distB="0" distL="0" distR="0" wp14:anchorId="5905FE32" wp14:editId="55F5AD23">
            <wp:extent cx="5118100" cy="3746500"/>
            <wp:effectExtent l="0" t="0" r="0" b="0"/>
            <wp:docPr id="102" name="Obrázek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4"/>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477DE42B" w14:textId="77777777" w:rsidR="00D7388F" w:rsidRPr="00F85178" w:rsidRDefault="00FB68BE" w:rsidP="00FB68BE">
      <w:pPr>
        <w:pStyle w:val="Podtitul"/>
        <w:rPr>
          <w:color w:val="auto"/>
        </w:rPr>
      </w:pPr>
      <w:bookmarkStart w:id="738" w:name="_Toc515871430"/>
      <w:bookmarkStart w:id="739" w:name="_Toc11135161"/>
      <w:bookmarkStart w:id="740" w:name="_Toc13837593"/>
      <w:r w:rsidRPr="00F85178">
        <w:rPr>
          <w:color w:val="auto"/>
        </w:rPr>
        <w:t>G</w:t>
      </w:r>
      <w:r w:rsidR="00D7388F" w:rsidRPr="00F85178">
        <w:rPr>
          <w:color w:val="auto"/>
        </w:rPr>
        <w:t xml:space="preserve">raf </w:t>
      </w:r>
      <w:r w:rsidR="00D842DE" w:rsidRPr="00F85178">
        <w:rPr>
          <w:noProof/>
          <w:color w:val="auto"/>
        </w:rPr>
        <w:fldChar w:fldCharType="begin"/>
      </w:r>
      <w:r w:rsidR="00D842DE" w:rsidRPr="00F85178">
        <w:rPr>
          <w:noProof/>
          <w:color w:val="auto"/>
        </w:rPr>
        <w:instrText xml:space="preserve"> SEQ Graf \* ARABIC </w:instrText>
      </w:r>
      <w:r w:rsidR="00D842DE" w:rsidRPr="00F85178">
        <w:rPr>
          <w:noProof/>
          <w:color w:val="auto"/>
        </w:rPr>
        <w:fldChar w:fldCharType="separate"/>
      </w:r>
      <w:r w:rsidR="00306940">
        <w:rPr>
          <w:noProof/>
          <w:color w:val="auto"/>
        </w:rPr>
        <w:t>100</w:t>
      </w:r>
      <w:r w:rsidR="00D842DE" w:rsidRPr="00F85178">
        <w:rPr>
          <w:noProof/>
          <w:color w:val="auto"/>
        </w:rPr>
        <w:fldChar w:fldCharType="end"/>
      </w:r>
      <w:r w:rsidR="00D7388F" w:rsidRPr="00F85178">
        <w:rPr>
          <w:color w:val="auto"/>
        </w:rPr>
        <w:t>: NSS – evidenční počet soudců dle pohlaví v letech 2008–201</w:t>
      </w:r>
      <w:bookmarkEnd w:id="738"/>
      <w:r w:rsidR="00D7388F" w:rsidRPr="00F85178">
        <w:rPr>
          <w:color w:val="auto"/>
        </w:rPr>
        <w:t>8</w:t>
      </w:r>
      <w:bookmarkEnd w:id="739"/>
      <w:bookmarkEnd w:id="740"/>
    </w:p>
    <w:p w14:paraId="43A71C03" w14:textId="77777777" w:rsidR="00D7388F" w:rsidRPr="00F85178" w:rsidRDefault="00890295" w:rsidP="00D7388F">
      <w:r>
        <w:rPr>
          <w:noProof/>
          <w:lang w:eastAsia="cs-CZ"/>
        </w:rPr>
        <w:drawing>
          <wp:inline distT="0" distB="0" distL="0" distR="0" wp14:anchorId="4D0003E9" wp14:editId="14A2E693">
            <wp:extent cx="5118100" cy="3746500"/>
            <wp:effectExtent l="0" t="0" r="0" b="0"/>
            <wp:docPr id="103" name="Obrázek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5"/>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7CEA897C" w14:textId="77777777" w:rsidR="00AD317A" w:rsidRPr="00F85178" w:rsidRDefault="00AD317A" w:rsidP="00D7388F"/>
    <w:p w14:paraId="4CA9578D" w14:textId="77777777" w:rsidR="001302FF" w:rsidRPr="00F85178" w:rsidRDefault="001302FF" w:rsidP="001302FF">
      <w:pPr>
        <w:pStyle w:val="OdstavecASR"/>
      </w:pPr>
      <w:r w:rsidRPr="00F85178">
        <w:t xml:space="preserve">V grafu výše vidíme, že v posledních letech rostl počet mužů, kteří u soudu působí. V roce 2017 také klesl počet žen. U NSS je v současnosti podíl žen mezi soudci asi 29 %, tedy více než u NS, ale méně než </w:t>
      </w:r>
      <w:r w:rsidRPr="00F85178" w:rsidDel="002A40ED">
        <w:t>u</w:t>
      </w:r>
      <w:r w:rsidRPr="00F85178">
        <w:t> soudů nižších stupňů.</w:t>
      </w:r>
    </w:p>
    <w:p w14:paraId="17909FA8" w14:textId="77777777" w:rsidR="001302FF" w:rsidRPr="00F85178" w:rsidRDefault="001302FF" w:rsidP="001302FF">
      <w:pPr>
        <w:pStyle w:val="OdstavecASR"/>
      </w:pPr>
      <w:r w:rsidRPr="00F85178">
        <w:t xml:space="preserve">A v dalším grafu je zobrazen, stejně jako u ostatních článků soudní soustavy, vývoj ve věkové struktuře soudců. Zajímavý poznatkem je to, že soudci u NSS jsou výrazně mladší než </w:t>
      </w:r>
      <w:r w:rsidR="00BC1BE7" w:rsidRPr="00F85178">
        <w:t xml:space="preserve">nejen </w:t>
      </w:r>
      <w:r w:rsidRPr="00F85178">
        <w:t>soudci u Nejvyššího soudu a u vrchních soudů, ale dokonce také než soudci u soudů krajských.</w:t>
      </w:r>
    </w:p>
    <w:p w14:paraId="2249A4EF" w14:textId="77777777" w:rsidR="001302FF" w:rsidRPr="00F85178" w:rsidRDefault="001302FF" w:rsidP="001302FF">
      <w:pPr>
        <w:pStyle w:val="OdstavecASR"/>
      </w:pPr>
      <w:r w:rsidRPr="00F85178">
        <w:t>Dáme-li si údaje ze všech tří grafů dohromady, zjistíme, že soudci</w:t>
      </w:r>
      <w:r w:rsidR="00BC1BE7" w:rsidRPr="00F85178">
        <w:t>,</w:t>
      </w:r>
      <w:r w:rsidRPr="00F85178">
        <w:t xml:space="preserve"> o které byl v letech 2013 až 2015 soud posílen, byli muži ve věku 41 až 50 let.</w:t>
      </w:r>
    </w:p>
    <w:p w14:paraId="7E492170" w14:textId="77777777" w:rsidR="001302FF" w:rsidRPr="00F85178" w:rsidRDefault="001302FF" w:rsidP="00D7388F"/>
    <w:p w14:paraId="5694C3DE" w14:textId="77777777" w:rsidR="00935E31" w:rsidRPr="00F85178" w:rsidRDefault="009F762E" w:rsidP="00935E31">
      <w:pPr>
        <w:pStyle w:val="Podtitul"/>
        <w:rPr>
          <w:color w:val="auto"/>
        </w:rPr>
      </w:pPr>
      <w:r w:rsidRPr="00F85178">
        <w:rPr>
          <w:color w:val="auto"/>
        </w:rPr>
        <w:br w:type="page"/>
      </w:r>
      <w:bookmarkStart w:id="741" w:name="_Toc515871431"/>
      <w:bookmarkStart w:id="742" w:name="_Toc11135162"/>
      <w:bookmarkStart w:id="743" w:name="_Toc13837594"/>
      <w:r w:rsidR="00935E31" w:rsidRPr="00F85178">
        <w:rPr>
          <w:color w:val="auto"/>
        </w:rPr>
        <w:t xml:space="preserve">Graf </w:t>
      </w:r>
      <w:r w:rsidR="00935E31" w:rsidRPr="00F85178">
        <w:rPr>
          <w:color w:val="auto"/>
        </w:rPr>
        <w:fldChar w:fldCharType="begin"/>
      </w:r>
      <w:r w:rsidR="00935E31" w:rsidRPr="00F85178">
        <w:rPr>
          <w:color w:val="auto"/>
        </w:rPr>
        <w:instrText xml:space="preserve"> SEQ Graf \* ARABIC </w:instrText>
      </w:r>
      <w:r w:rsidR="00935E31" w:rsidRPr="00F85178">
        <w:rPr>
          <w:color w:val="auto"/>
        </w:rPr>
        <w:fldChar w:fldCharType="separate"/>
      </w:r>
      <w:r w:rsidR="00306940">
        <w:rPr>
          <w:noProof/>
          <w:color w:val="auto"/>
        </w:rPr>
        <w:t>101</w:t>
      </w:r>
      <w:r w:rsidR="00935E31" w:rsidRPr="00F85178">
        <w:rPr>
          <w:color w:val="auto"/>
        </w:rPr>
        <w:fldChar w:fldCharType="end"/>
      </w:r>
      <w:r w:rsidR="00935E31" w:rsidRPr="00F85178">
        <w:rPr>
          <w:color w:val="auto"/>
        </w:rPr>
        <w:t>: NSS – věková struktura soudců v letech 2008</w:t>
      </w:r>
      <w:r w:rsidR="00935E31" w:rsidRPr="00F85178">
        <w:rPr>
          <w:color w:val="auto"/>
        </w:rPr>
        <w:sym w:font="Symbol" w:char="F02D"/>
      </w:r>
      <w:r w:rsidR="00935E31" w:rsidRPr="00F85178">
        <w:rPr>
          <w:color w:val="auto"/>
        </w:rPr>
        <w:t>201</w:t>
      </w:r>
      <w:bookmarkEnd w:id="741"/>
      <w:r w:rsidR="00FB68BE" w:rsidRPr="00F85178">
        <w:rPr>
          <w:color w:val="auto"/>
        </w:rPr>
        <w:t>8</w:t>
      </w:r>
      <w:bookmarkEnd w:id="742"/>
      <w:bookmarkEnd w:id="743"/>
    </w:p>
    <w:p w14:paraId="242AF0FE" w14:textId="77777777" w:rsidR="009F762E" w:rsidRPr="00957D55" w:rsidRDefault="00890295">
      <w:pPr>
        <w:spacing w:line="240" w:lineRule="auto"/>
        <w:jc w:val="left"/>
        <w:rPr>
          <w:rFonts w:eastAsia="Times New Roman"/>
          <w:b/>
          <w:iCs/>
          <w:spacing w:val="15"/>
          <w:szCs w:val="24"/>
        </w:rPr>
      </w:pPr>
      <w:r>
        <w:rPr>
          <w:rFonts w:eastAsia="Times New Roman"/>
          <w:b/>
          <w:noProof/>
          <w:spacing w:val="15"/>
          <w:szCs w:val="24"/>
          <w:lang w:eastAsia="cs-CZ"/>
        </w:rPr>
        <w:drawing>
          <wp:inline distT="0" distB="0" distL="0" distR="0" wp14:anchorId="48746294" wp14:editId="33F6A50D">
            <wp:extent cx="5118100" cy="3746500"/>
            <wp:effectExtent l="0" t="0" r="0" b="0"/>
            <wp:docPr id="104" name="Obrázek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6"/>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E6C15D8" w14:textId="77777777" w:rsidR="00935E31" w:rsidRPr="00957D55" w:rsidRDefault="00935E31">
      <w:pPr>
        <w:spacing w:line="240" w:lineRule="auto"/>
        <w:jc w:val="left"/>
        <w:rPr>
          <w:rFonts w:eastAsia="Times New Roman"/>
          <w:b/>
          <w:iCs/>
          <w:spacing w:val="15"/>
          <w:szCs w:val="24"/>
        </w:rPr>
      </w:pPr>
    </w:p>
    <w:p w14:paraId="338EC394" w14:textId="77777777" w:rsidR="00935E31" w:rsidRPr="00F85178" w:rsidRDefault="00935E31" w:rsidP="00935E31">
      <w:pPr>
        <w:pStyle w:val="Nadpis3"/>
        <w:rPr>
          <w:color w:val="auto"/>
          <w:lang w:eastAsia="cs-CZ"/>
        </w:rPr>
      </w:pPr>
      <w:bookmarkStart w:id="744" w:name="_Toc515871309"/>
      <w:bookmarkStart w:id="745" w:name="_Toc14076958"/>
      <w:r w:rsidRPr="00F85178">
        <w:rPr>
          <w:color w:val="auto"/>
          <w:lang w:eastAsia="cs-CZ"/>
        </w:rPr>
        <w:t>Zaměstnanci ve výkonu</w:t>
      </w:r>
      <w:bookmarkEnd w:id="744"/>
      <w:bookmarkEnd w:id="745"/>
    </w:p>
    <w:p w14:paraId="2E595ECD" w14:textId="77777777" w:rsidR="0032015B" w:rsidRDefault="001302FF" w:rsidP="001302FF">
      <w:pPr>
        <w:pStyle w:val="OdstavecASR"/>
      </w:pPr>
      <w:r w:rsidRPr="00F85178">
        <w:t>U NSS je stejně jako u NS s výjimkou asistentů soudců malé množství zaměstnanců ve výkonu. Na jednoho soudce připadají téměř dva asistenti. Personální počty opět plynou z malého počtu věcí a vysoké náročnosti agendy. Ve srovnání s rokem 201</w:t>
      </w:r>
      <w:r w:rsidR="00A962DC" w:rsidRPr="00F85178">
        <w:t>7</w:t>
      </w:r>
      <w:r w:rsidRPr="00F85178">
        <w:t xml:space="preserve"> u soudu </w:t>
      </w:r>
      <w:r w:rsidR="00A962DC" w:rsidRPr="00F85178">
        <w:t>ubyly</w:t>
      </w:r>
      <w:r w:rsidRPr="00F85178">
        <w:t xml:space="preserve"> nové zapisovatelky</w:t>
      </w:r>
      <w:r w:rsidR="00A962DC" w:rsidRPr="00F85178">
        <w:t xml:space="preserve"> a</w:t>
      </w:r>
      <w:r w:rsidR="00BC1BE7" w:rsidRPr="00F85178">
        <w:t> </w:t>
      </w:r>
      <w:r w:rsidR="00A962DC" w:rsidRPr="00F85178">
        <w:t>jejich počet se tak téměř vrátil na úroveň v roce 2016.</w:t>
      </w:r>
    </w:p>
    <w:p w14:paraId="08998A9D" w14:textId="1BA5451E" w:rsidR="00935E31" w:rsidRPr="00F85178" w:rsidRDefault="00F24F2A" w:rsidP="001302FF">
      <w:pPr>
        <w:pStyle w:val="Podtitul"/>
        <w:rPr>
          <w:b w:val="0"/>
          <w:iCs w:val="0"/>
          <w:color w:val="auto"/>
        </w:rPr>
      </w:pPr>
      <w:bookmarkStart w:id="746" w:name="_Toc515871506"/>
      <w:bookmarkStart w:id="747" w:name="_Toc11133272"/>
      <w:bookmarkStart w:id="748" w:name="_Toc13837493"/>
      <w:r w:rsidRPr="00F85178">
        <w:rPr>
          <w:color w:val="auto"/>
        </w:rPr>
        <w:t xml:space="preserve">Tabulka </w:t>
      </w:r>
      <w:r w:rsidRPr="00F85178">
        <w:rPr>
          <w:color w:val="auto"/>
        </w:rPr>
        <w:fldChar w:fldCharType="begin"/>
      </w:r>
      <w:r w:rsidRPr="00F85178">
        <w:rPr>
          <w:color w:val="auto"/>
        </w:rPr>
        <w:instrText xml:space="preserve"> SEQ Tabulka \* ARABIC </w:instrText>
      </w:r>
      <w:r w:rsidRPr="00F85178">
        <w:rPr>
          <w:color w:val="auto"/>
        </w:rPr>
        <w:fldChar w:fldCharType="separate"/>
      </w:r>
      <w:r w:rsidR="00306940">
        <w:rPr>
          <w:noProof/>
          <w:color w:val="auto"/>
        </w:rPr>
        <w:t>70</w:t>
      </w:r>
      <w:r w:rsidRPr="00F85178">
        <w:rPr>
          <w:noProof/>
          <w:color w:val="auto"/>
        </w:rPr>
        <w:fldChar w:fldCharType="end"/>
      </w:r>
      <w:r w:rsidRPr="00F85178">
        <w:rPr>
          <w:color w:val="auto"/>
        </w:rPr>
        <w:t>: NSS – počet zaměstnanců ve výkonu</w:t>
      </w:r>
      <w:bookmarkEnd w:id="746"/>
      <w:bookmarkEnd w:id="747"/>
      <w:bookmarkEnd w:id="748"/>
    </w:p>
    <w:tbl>
      <w:tblPr>
        <w:tblW w:w="5120" w:type="dxa"/>
        <w:tblInd w:w="70" w:type="dxa"/>
        <w:tblCellMar>
          <w:left w:w="70" w:type="dxa"/>
          <w:right w:w="70" w:type="dxa"/>
        </w:tblCellMar>
        <w:tblLook w:val="04A0" w:firstRow="1" w:lastRow="0" w:firstColumn="1" w:lastColumn="0" w:noHBand="0" w:noVBand="1"/>
      </w:tblPr>
      <w:tblGrid>
        <w:gridCol w:w="3680"/>
        <w:gridCol w:w="1440"/>
      </w:tblGrid>
      <w:tr w:rsidR="00F85178" w:rsidRPr="00F85178" w14:paraId="3F0B5C46" w14:textId="77777777" w:rsidTr="00F823F8">
        <w:trPr>
          <w:trHeight w:val="345"/>
        </w:trPr>
        <w:tc>
          <w:tcPr>
            <w:tcW w:w="3680" w:type="dxa"/>
            <w:tcBorders>
              <w:top w:val="double" w:sz="6" w:space="0" w:color="auto"/>
              <w:left w:val="nil"/>
              <w:bottom w:val="double" w:sz="6" w:space="0" w:color="auto"/>
              <w:right w:val="nil"/>
            </w:tcBorders>
            <w:shd w:val="clear" w:color="auto" w:fill="auto"/>
            <w:noWrap/>
            <w:vAlign w:val="bottom"/>
            <w:hideMark/>
          </w:tcPr>
          <w:p w14:paraId="05675758" w14:textId="77777777" w:rsidR="00A962DC" w:rsidRPr="00F85178" w:rsidRDefault="00A962DC" w:rsidP="00A962DC">
            <w:pPr>
              <w:spacing w:line="240" w:lineRule="auto"/>
              <w:jc w:val="left"/>
              <w:rPr>
                <w:rFonts w:eastAsia="Times New Roman"/>
                <w:b/>
                <w:bCs/>
                <w:szCs w:val="24"/>
                <w:lang w:eastAsia="cs-CZ"/>
              </w:rPr>
            </w:pPr>
            <w:r w:rsidRPr="00F85178">
              <w:rPr>
                <w:rFonts w:eastAsia="Times New Roman"/>
                <w:b/>
                <w:bCs/>
                <w:szCs w:val="24"/>
                <w:lang w:eastAsia="cs-CZ"/>
              </w:rPr>
              <w:t>Nadřízený soud</w:t>
            </w:r>
          </w:p>
        </w:tc>
        <w:tc>
          <w:tcPr>
            <w:tcW w:w="1440" w:type="dxa"/>
            <w:tcBorders>
              <w:top w:val="double" w:sz="6" w:space="0" w:color="auto"/>
              <w:left w:val="nil"/>
              <w:bottom w:val="double" w:sz="6" w:space="0" w:color="auto"/>
              <w:right w:val="nil"/>
            </w:tcBorders>
            <w:shd w:val="clear" w:color="auto" w:fill="auto"/>
            <w:noWrap/>
            <w:vAlign w:val="bottom"/>
            <w:hideMark/>
          </w:tcPr>
          <w:p w14:paraId="688E882F" w14:textId="77777777" w:rsidR="00A962DC" w:rsidRPr="00F85178" w:rsidRDefault="00A962DC" w:rsidP="00A962DC">
            <w:pPr>
              <w:spacing w:line="240" w:lineRule="auto"/>
              <w:jc w:val="center"/>
              <w:rPr>
                <w:rFonts w:eastAsia="Times New Roman"/>
                <w:b/>
                <w:bCs/>
                <w:szCs w:val="24"/>
                <w:lang w:eastAsia="cs-CZ"/>
              </w:rPr>
            </w:pPr>
            <w:r w:rsidRPr="00F85178">
              <w:rPr>
                <w:rFonts w:eastAsia="Times New Roman"/>
                <w:b/>
                <w:bCs/>
                <w:szCs w:val="24"/>
                <w:lang w:eastAsia="cs-CZ"/>
              </w:rPr>
              <w:t>Počet osob</w:t>
            </w:r>
          </w:p>
        </w:tc>
      </w:tr>
      <w:tr w:rsidR="00F85178" w:rsidRPr="00F85178" w14:paraId="6676C5BC" w14:textId="77777777" w:rsidTr="00F823F8">
        <w:trPr>
          <w:trHeight w:val="330"/>
        </w:trPr>
        <w:tc>
          <w:tcPr>
            <w:tcW w:w="3680" w:type="dxa"/>
            <w:tcBorders>
              <w:top w:val="nil"/>
              <w:left w:val="nil"/>
              <w:bottom w:val="single" w:sz="4" w:space="0" w:color="auto"/>
              <w:right w:val="nil"/>
            </w:tcBorders>
            <w:shd w:val="clear" w:color="auto" w:fill="auto"/>
            <w:noWrap/>
            <w:vAlign w:val="bottom"/>
            <w:hideMark/>
          </w:tcPr>
          <w:p w14:paraId="31DFC42B" w14:textId="77777777" w:rsidR="00A962DC" w:rsidRPr="00F85178" w:rsidRDefault="00A962DC" w:rsidP="00A962DC">
            <w:pPr>
              <w:spacing w:line="240" w:lineRule="auto"/>
              <w:jc w:val="left"/>
              <w:rPr>
                <w:rFonts w:eastAsia="Times New Roman"/>
                <w:szCs w:val="24"/>
                <w:lang w:eastAsia="cs-CZ"/>
              </w:rPr>
            </w:pPr>
            <w:r w:rsidRPr="00F85178">
              <w:rPr>
                <w:rFonts w:eastAsia="Times New Roman"/>
                <w:szCs w:val="24"/>
                <w:lang w:eastAsia="cs-CZ"/>
              </w:rPr>
              <w:t>Asistent</w:t>
            </w:r>
          </w:p>
        </w:tc>
        <w:tc>
          <w:tcPr>
            <w:tcW w:w="1440" w:type="dxa"/>
            <w:tcBorders>
              <w:top w:val="nil"/>
              <w:left w:val="nil"/>
              <w:bottom w:val="single" w:sz="4" w:space="0" w:color="auto"/>
              <w:right w:val="nil"/>
            </w:tcBorders>
            <w:shd w:val="clear" w:color="auto" w:fill="auto"/>
            <w:noWrap/>
            <w:vAlign w:val="bottom"/>
            <w:hideMark/>
          </w:tcPr>
          <w:p w14:paraId="70757E2F" w14:textId="77777777" w:rsidR="00A962DC" w:rsidRPr="00F85178" w:rsidRDefault="00A962DC" w:rsidP="00A962DC">
            <w:pPr>
              <w:spacing w:line="240" w:lineRule="auto"/>
              <w:jc w:val="center"/>
              <w:rPr>
                <w:rFonts w:eastAsia="Times New Roman"/>
                <w:szCs w:val="24"/>
                <w:lang w:eastAsia="cs-CZ"/>
              </w:rPr>
            </w:pPr>
            <w:r w:rsidRPr="00F85178">
              <w:rPr>
                <w:rFonts w:eastAsia="Times New Roman"/>
                <w:szCs w:val="24"/>
                <w:lang w:eastAsia="cs-CZ"/>
              </w:rPr>
              <w:t>61</w:t>
            </w:r>
          </w:p>
        </w:tc>
      </w:tr>
      <w:tr w:rsidR="00F85178" w:rsidRPr="00F85178" w14:paraId="6DE1F4A6" w14:textId="77777777" w:rsidTr="00F823F8">
        <w:trPr>
          <w:trHeight w:val="315"/>
        </w:trPr>
        <w:tc>
          <w:tcPr>
            <w:tcW w:w="3680" w:type="dxa"/>
            <w:tcBorders>
              <w:top w:val="nil"/>
              <w:left w:val="nil"/>
              <w:bottom w:val="single" w:sz="4" w:space="0" w:color="auto"/>
              <w:right w:val="nil"/>
            </w:tcBorders>
            <w:shd w:val="clear" w:color="auto" w:fill="auto"/>
            <w:noWrap/>
            <w:vAlign w:val="bottom"/>
            <w:hideMark/>
          </w:tcPr>
          <w:p w14:paraId="758CB674" w14:textId="77777777" w:rsidR="00A962DC" w:rsidRPr="00F85178" w:rsidRDefault="00A962DC" w:rsidP="00A962DC">
            <w:pPr>
              <w:spacing w:line="240" w:lineRule="auto"/>
              <w:jc w:val="left"/>
              <w:rPr>
                <w:rFonts w:eastAsia="Times New Roman"/>
                <w:szCs w:val="24"/>
                <w:lang w:eastAsia="cs-CZ"/>
              </w:rPr>
            </w:pPr>
            <w:r w:rsidRPr="00F85178">
              <w:rPr>
                <w:rFonts w:eastAsia="Times New Roman"/>
                <w:szCs w:val="24"/>
                <w:lang w:eastAsia="cs-CZ"/>
              </w:rPr>
              <w:t>Vedoucí kanceláře</w:t>
            </w:r>
          </w:p>
        </w:tc>
        <w:tc>
          <w:tcPr>
            <w:tcW w:w="1440" w:type="dxa"/>
            <w:tcBorders>
              <w:top w:val="nil"/>
              <w:left w:val="nil"/>
              <w:bottom w:val="single" w:sz="4" w:space="0" w:color="auto"/>
              <w:right w:val="nil"/>
            </w:tcBorders>
            <w:shd w:val="clear" w:color="auto" w:fill="auto"/>
            <w:noWrap/>
            <w:vAlign w:val="bottom"/>
            <w:hideMark/>
          </w:tcPr>
          <w:p w14:paraId="32407554" w14:textId="77777777" w:rsidR="00A962DC" w:rsidRPr="00F85178" w:rsidRDefault="00A962DC" w:rsidP="00A962DC">
            <w:pPr>
              <w:spacing w:line="240" w:lineRule="auto"/>
              <w:jc w:val="center"/>
              <w:rPr>
                <w:rFonts w:eastAsia="Times New Roman"/>
                <w:szCs w:val="24"/>
                <w:lang w:eastAsia="cs-CZ"/>
              </w:rPr>
            </w:pPr>
            <w:r w:rsidRPr="00F85178">
              <w:rPr>
                <w:rFonts w:eastAsia="Times New Roman"/>
                <w:szCs w:val="24"/>
                <w:lang w:eastAsia="cs-CZ"/>
              </w:rPr>
              <w:t>12</w:t>
            </w:r>
          </w:p>
        </w:tc>
      </w:tr>
      <w:tr w:rsidR="00F85178" w:rsidRPr="00F85178" w14:paraId="434A930A" w14:textId="77777777" w:rsidTr="00F823F8">
        <w:trPr>
          <w:trHeight w:val="315"/>
        </w:trPr>
        <w:tc>
          <w:tcPr>
            <w:tcW w:w="3680" w:type="dxa"/>
            <w:tcBorders>
              <w:top w:val="nil"/>
              <w:left w:val="nil"/>
              <w:bottom w:val="single" w:sz="4" w:space="0" w:color="auto"/>
              <w:right w:val="nil"/>
            </w:tcBorders>
            <w:shd w:val="clear" w:color="auto" w:fill="auto"/>
            <w:noWrap/>
            <w:vAlign w:val="bottom"/>
            <w:hideMark/>
          </w:tcPr>
          <w:p w14:paraId="10737C0B" w14:textId="77777777" w:rsidR="00A962DC" w:rsidRPr="00F85178" w:rsidRDefault="00A962DC" w:rsidP="00A962DC">
            <w:pPr>
              <w:spacing w:line="240" w:lineRule="auto"/>
              <w:jc w:val="left"/>
              <w:rPr>
                <w:rFonts w:eastAsia="Times New Roman"/>
                <w:szCs w:val="24"/>
                <w:lang w:eastAsia="cs-CZ"/>
              </w:rPr>
            </w:pPr>
            <w:r w:rsidRPr="00F85178">
              <w:rPr>
                <w:rFonts w:eastAsia="Times New Roman"/>
                <w:szCs w:val="24"/>
                <w:lang w:eastAsia="cs-CZ"/>
              </w:rPr>
              <w:t>Protokolující úředník</w:t>
            </w:r>
          </w:p>
        </w:tc>
        <w:tc>
          <w:tcPr>
            <w:tcW w:w="1440" w:type="dxa"/>
            <w:tcBorders>
              <w:top w:val="nil"/>
              <w:left w:val="nil"/>
              <w:bottom w:val="single" w:sz="4" w:space="0" w:color="auto"/>
              <w:right w:val="nil"/>
            </w:tcBorders>
            <w:shd w:val="clear" w:color="auto" w:fill="auto"/>
            <w:noWrap/>
            <w:vAlign w:val="bottom"/>
            <w:hideMark/>
          </w:tcPr>
          <w:p w14:paraId="396A6FAA" w14:textId="77777777" w:rsidR="00A962DC" w:rsidRPr="00F85178" w:rsidRDefault="00A962DC" w:rsidP="00A962DC">
            <w:pPr>
              <w:spacing w:line="240" w:lineRule="auto"/>
              <w:jc w:val="center"/>
              <w:rPr>
                <w:rFonts w:eastAsia="Times New Roman"/>
                <w:szCs w:val="24"/>
                <w:lang w:eastAsia="cs-CZ"/>
              </w:rPr>
            </w:pPr>
            <w:r w:rsidRPr="00F85178">
              <w:rPr>
                <w:rFonts w:eastAsia="Times New Roman"/>
                <w:szCs w:val="24"/>
                <w:lang w:eastAsia="cs-CZ"/>
              </w:rPr>
              <w:t>3</w:t>
            </w:r>
          </w:p>
        </w:tc>
      </w:tr>
      <w:tr w:rsidR="00F85178" w:rsidRPr="00F85178" w14:paraId="18173FAB" w14:textId="77777777" w:rsidTr="00F823F8">
        <w:trPr>
          <w:trHeight w:val="330"/>
        </w:trPr>
        <w:tc>
          <w:tcPr>
            <w:tcW w:w="3680" w:type="dxa"/>
            <w:tcBorders>
              <w:top w:val="nil"/>
              <w:left w:val="nil"/>
              <w:bottom w:val="double" w:sz="6" w:space="0" w:color="auto"/>
              <w:right w:val="nil"/>
            </w:tcBorders>
            <w:shd w:val="clear" w:color="auto" w:fill="auto"/>
            <w:noWrap/>
            <w:vAlign w:val="bottom"/>
            <w:hideMark/>
          </w:tcPr>
          <w:p w14:paraId="1EF7CF03" w14:textId="77777777" w:rsidR="00A962DC" w:rsidRPr="00F85178" w:rsidRDefault="00A962DC" w:rsidP="00A962DC">
            <w:pPr>
              <w:spacing w:line="240" w:lineRule="auto"/>
              <w:jc w:val="left"/>
              <w:rPr>
                <w:rFonts w:eastAsia="Times New Roman"/>
                <w:szCs w:val="24"/>
                <w:lang w:eastAsia="cs-CZ"/>
              </w:rPr>
            </w:pPr>
            <w:r w:rsidRPr="00F85178">
              <w:rPr>
                <w:rFonts w:eastAsia="Times New Roman"/>
                <w:szCs w:val="24"/>
                <w:lang w:eastAsia="cs-CZ"/>
              </w:rPr>
              <w:t>Zapisovatelka</w:t>
            </w:r>
          </w:p>
        </w:tc>
        <w:tc>
          <w:tcPr>
            <w:tcW w:w="1440" w:type="dxa"/>
            <w:tcBorders>
              <w:top w:val="nil"/>
              <w:left w:val="nil"/>
              <w:bottom w:val="double" w:sz="6" w:space="0" w:color="auto"/>
              <w:right w:val="nil"/>
            </w:tcBorders>
            <w:shd w:val="clear" w:color="auto" w:fill="auto"/>
            <w:noWrap/>
            <w:vAlign w:val="bottom"/>
            <w:hideMark/>
          </w:tcPr>
          <w:p w14:paraId="23CD5A8B" w14:textId="77777777" w:rsidR="00A962DC" w:rsidRPr="00F85178" w:rsidRDefault="00A962DC" w:rsidP="00A962DC">
            <w:pPr>
              <w:spacing w:line="240" w:lineRule="auto"/>
              <w:jc w:val="center"/>
              <w:rPr>
                <w:rFonts w:eastAsia="Times New Roman"/>
                <w:szCs w:val="24"/>
                <w:lang w:eastAsia="cs-CZ"/>
              </w:rPr>
            </w:pPr>
            <w:r w:rsidRPr="00F85178">
              <w:rPr>
                <w:rFonts w:eastAsia="Times New Roman"/>
                <w:szCs w:val="24"/>
                <w:lang w:eastAsia="cs-CZ"/>
              </w:rPr>
              <w:t>20</w:t>
            </w:r>
          </w:p>
        </w:tc>
      </w:tr>
      <w:tr w:rsidR="00F85178" w:rsidRPr="00F85178" w14:paraId="62CEB4DF" w14:textId="77777777" w:rsidTr="00F823F8">
        <w:trPr>
          <w:trHeight w:val="345"/>
        </w:trPr>
        <w:tc>
          <w:tcPr>
            <w:tcW w:w="3680" w:type="dxa"/>
            <w:tcBorders>
              <w:top w:val="nil"/>
              <w:left w:val="nil"/>
              <w:bottom w:val="double" w:sz="6" w:space="0" w:color="auto"/>
              <w:right w:val="nil"/>
            </w:tcBorders>
            <w:shd w:val="clear" w:color="auto" w:fill="auto"/>
            <w:noWrap/>
            <w:vAlign w:val="bottom"/>
            <w:hideMark/>
          </w:tcPr>
          <w:p w14:paraId="4EF24D4D" w14:textId="77777777" w:rsidR="00A962DC" w:rsidRPr="00F85178" w:rsidRDefault="00A962DC" w:rsidP="00A962DC">
            <w:pPr>
              <w:spacing w:line="240" w:lineRule="auto"/>
              <w:jc w:val="left"/>
              <w:rPr>
                <w:rFonts w:eastAsia="Times New Roman"/>
                <w:b/>
                <w:bCs/>
                <w:szCs w:val="24"/>
                <w:lang w:eastAsia="cs-CZ"/>
              </w:rPr>
            </w:pPr>
            <w:r w:rsidRPr="00F85178">
              <w:rPr>
                <w:rFonts w:eastAsia="Times New Roman"/>
                <w:b/>
                <w:bCs/>
                <w:szCs w:val="24"/>
                <w:lang w:eastAsia="cs-CZ"/>
              </w:rPr>
              <w:t>Celkem ČR</w:t>
            </w:r>
          </w:p>
        </w:tc>
        <w:tc>
          <w:tcPr>
            <w:tcW w:w="1440" w:type="dxa"/>
            <w:tcBorders>
              <w:top w:val="nil"/>
              <w:left w:val="nil"/>
              <w:bottom w:val="double" w:sz="6" w:space="0" w:color="auto"/>
              <w:right w:val="nil"/>
            </w:tcBorders>
            <w:shd w:val="clear" w:color="auto" w:fill="auto"/>
            <w:noWrap/>
            <w:vAlign w:val="bottom"/>
            <w:hideMark/>
          </w:tcPr>
          <w:p w14:paraId="408C5612" w14:textId="77777777" w:rsidR="00A962DC" w:rsidRPr="00F85178" w:rsidRDefault="00A962DC" w:rsidP="00A962DC">
            <w:pPr>
              <w:spacing w:line="240" w:lineRule="auto"/>
              <w:jc w:val="center"/>
              <w:rPr>
                <w:rFonts w:eastAsia="Times New Roman"/>
                <w:b/>
                <w:bCs/>
                <w:szCs w:val="24"/>
                <w:lang w:eastAsia="cs-CZ"/>
              </w:rPr>
            </w:pPr>
            <w:r w:rsidRPr="00F85178">
              <w:rPr>
                <w:rFonts w:eastAsia="Times New Roman"/>
                <w:b/>
                <w:bCs/>
                <w:szCs w:val="24"/>
                <w:lang w:eastAsia="cs-CZ"/>
              </w:rPr>
              <w:t>96</w:t>
            </w:r>
          </w:p>
        </w:tc>
      </w:tr>
    </w:tbl>
    <w:p w14:paraId="2EFDC207" w14:textId="77777777" w:rsidR="00AB1E5A" w:rsidRPr="00957D55" w:rsidRDefault="00AB1E5A">
      <w:pPr>
        <w:spacing w:line="240" w:lineRule="auto"/>
        <w:jc w:val="left"/>
        <w:rPr>
          <w:rFonts w:eastAsia="Times New Roman"/>
          <w:b/>
          <w:iCs/>
          <w:spacing w:val="15"/>
          <w:szCs w:val="24"/>
        </w:rPr>
      </w:pPr>
      <w:r w:rsidRPr="00957D55">
        <w:rPr>
          <w:rFonts w:eastAsia="Times New Roman"/>
          <w:b/>
          <w:iCs/>
          <w:spacing w:val="15"/>
          <w:szCs w:val="24"/>
        </w:rPr>
        <w:br w:type="page"/>
      </w:r>
    </w:p>
    <w:p w14:paraId="5809596A" w14:textId="77777777" w:rsidR="00F24F2A" w:rsidRPr="00F85178" w:rsidRDefault="00F24F2A" w:rsidP="00F24F2A">
      <w:pPr>
        <w:pStyle w:val="Nadpis2"/>
      </w:pPr>
      <w:bookmarkStart w:id="749" w:name="_Toc487791312"/>
      <w:bookmarkStart w:id="750" w:name="_Toc515871310"/>
      <w:bookmarkStart w:id="751" w:name="_Toc14076959"/>
      <w:r w:rsidRPr="00F85178">
        <w:t>Řízení o kasačních stížnostech</w:t>
      </w:r>
      <w:bookmarkEnd w:id="749"/>
      <w:bookmarkEnd w:id="750"/>
      <w:bookmarkEnd w:id="751"/>
    </w:p>
    <w:p w14:paraId="79B80D4C" w14:textId="77777777" w:rsidR="00C62E46" w:rsidRPr="00F85178" w:rsidRDefault="00C62E46" w:rsidP="00C62E46">
      <w:pPr>
        <w:pStyle w:val="OdstavecASR"/>
      </w:pPr>
      <w:r w:rsidRPr="00F85178">
        <w:t>Rejstříky spadající do této agendy jsou popsány v úvodu této části.</w:t>
      </w:r>
    </w:p>
    <w:p w14:paraId="24E31BFD" w14:textId="77777777" w:rsidR="00F24F2A" w:rsidRPr="00F85178" w:rsidRDefault="00F24F2A" w:rsidP="00AB1E5A">
      <w:pPr>
        <w:pStyle w:val="Nadpis3"/>
        <w:rPr>
          <w:color w:val="auto"/>
        </w:rPr>
      </w:pPr>
      <w:bookmarkStart w:id="752" w:name="_Toc515871311"/>
      <w:bookmarkStart w:id="753" w:name="_Toc14076960"/>
      <w:r w:rsidRPr="00F85178">
        <w:rPr>
          <w:color w:val="auto"/>
        </w:rPr>
        <w:t>Vyřizování věcí</w:t>
      </w:r>
      <w:bookmarkEnd w:id="752"/>
      <w:bookmarkEnd w:id="753"/>
    </w:p>
    <w:p w14:paraId="37B58AA8" w14:textId="77777777" w:rsidR="00C62E46" w:rsidRPr="00F85178" w:rsidRDefault="00C62E46" w:rsidP="00C62E46">
      <w:pPr>
        <w:pStyle w:val="OdstavecASR"/>
      </w:pPr>
      <w:r w:rsidRPr="00F85178">
        <w:t>Srovnání nápadu v agendě kasačních stížností a počtu vyřízených věcí u krajských soudů ve správní agendě ukazuje, že průběh obou časových řad vykazuje značnou, i když ne úplnou podobnost. Můžeme tedy logicky dovodit, že nápad u NSS se odvíjí především od počtu pravomocně vyřízených věcí u krajských soudů.</w:t>
      </w:r>
    </w:p>
    <w:p w14:paraId="6DF3B73B" w14:textId="77777777" w:rsidR="0032015B" w:rsidRDefault="00C62E46" w:rsidP="00C62E46">
      <w:pPr>
        <w:pStyle w:val="OdstavecASR"/>
      </w:pPr>
      <w:r w:rsidRPr="00F85178">
        <w:t xml:space="preserve">V posledních letech pozorujeme stálý a zvětšující se růst v nápadu. V letech </w:t>
      </w:r>
      <w:r w:rsidR="00075DCB">
        <w:t>2016</w:t>
      </w:r>
      <w:r w:rsidR="00067524">
        <w:t>–</w:t>
      </w:r>
      <w:r w:rsidR="00075DCB">
        <w:t>2018</w:t>
      </w:r>
      <w:r w:rsidRPr="00F85178">
        <w:t xml:space="preserve"> tak soud nebyl schopen vyřídit svůj nápad, ten výrazně převýšil počet vyřízených věcí, což logicky vyústilo v rychlý růst počtu nevyřízených věcí. </w:t>
      </w:r>
      <w:r w:rsidR="008B434B" w:rsidRPr="00F85178">
        <w:t>V roce 2018 nárůst příchozích věcí zpomalil, ale nezastavil. Počet příchozích věcí tak výrazně převýšil počet věc vyřízených</w:t>
      </w:r>
      <w:r w:rsidR="00BC1BE7" w:rsidRPr="00F85178">
        <w:t>,</w:t>
      </w:r>
      <w:r w:rsidR="008B434B" w:rsidRPr="00F85178">
        <w:t xml:space="preserve"> a došlo tak k růstu v počtu nevyřízených věcí. </w:t>
      </w:r>
      <w:r w:rsidRPr="00F85178">
        <w:t>Tento růst plyne z růstu nápadu a počtu vyřízených věcí v první instanci.</w:t>
      </w:r>
    </w:p>
    <w:p w14:paraId="5847D96E" w14:textId="35969C37" w:rsidR="00F24F2A" w:rsidRPr="00F85178" w:rsidRDefault="00F24F2A" w:rsidP="00F24F2A">
      <w:pPr>
        <w:pStyle w:val="Podtitul"/>
        <w:rPr>
          <w:color w:val="auto"/>
        </w:rPr>
      </w:pPr>
      <w:bookmarkStart w:id="754" w:name="_Toc515871432"/>
      <w:bookmarkStart w:id="755" w:name="_Toc11135163"/>
      <w:bookmarkStart w:id="756" w:name="_Toc13837595"/>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102</w:t>
      </w:r>
      <w:r w:rsidRPr="00F85178">
        <w:rPr>
          <w:noProof/>
          <w:color w:val="auto"/>
        </w:rPr>
        <w:fldChar w:fldCharType="end"/>
      </w:r>
      <w:r w:rsidRPr="00F85178">
        <w:rPr>
          <w:color w:val="auto"/>
        </w:rPr>
        <w:t>: NSS – vyřizování kasačních věcí v letech 2008–201</w:t>
      </w:r>
      <w:bookmarkEnd w:id="754"/>
      <w:r w:rsidRPr="00F85178">
        <w:rPr>
          <w:color w:val="auto"/>
        </w:rPr>
        <w:t>8</w:t>
      </w:r>
      <w:bookmarkEnd w:id="755"/>
      <w:bookmarkEnd w:id="756"/>
    </w:p>
    <w:p w14:paraId="576D4373" w14:textId="77777777" w:rsidR="00AB1E5A" w:rsidRPr="00F85178" w:rsidRDefault="00890295" w:rsidP="00AB1E5A">
      <w:r>
        <w:rPr>
          <w:noProof/>
          <w:lang w:eastAsia="cs-CZ"/>
        </w:rPr>
        <w:drawing>
          <wp:inline distT="0" distB="0" distL="0" distR="0" wp14:anchorId="1826C309" wp14:editId="2214E58C">
            <wp:extent cx="5118100" cy="3746500"/>
            <wp:effectExtent l="0" t="0" r="0" b="0"/>
            <wp:docPr id="105" name="Obrázek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7"/>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15C18199" w14:textId="77777777" w:rsidR="008D1894" w:rsidRPr="00F85178" w:rsidRDefault="008D1894" w:rsidP="008D1894"/>
    <w:p w14:paraId="3B9596DC" w14:textId="77777777" w:rsidR="008D1894" w:rsidRPr="00F85178" w:rsidRDefault="008D1894" w:rsidP="008D1894">
      <w:pPr>
        <w:pStyle w:val="Nadpis2"/>
        <w:rPr>
          <w:lang w:eastAsia="cs-CZ"/>
        </w:rPr>
      </w:pPr>
      <w:bookmarkStart w:id="757" w:name="_Toc515871312"/>
      <w:bookmarkStart w:id="758" w:name="_Toc14076961"/>
      <w:r w:rsidRPr="00F85178">
        <w:rPr>
          <w:lang w:eastAsia="cs-CZ"/>
        </w:rPr>
        <w:t>Řízení ve věcech soudců</w:t>
      </w:r>
      <w:bookmarkEnd w:id="757"/>
      <w:bookmarkEnd w:id="758"/>
    </w:p>
    <w:p w14:paraId="74C94C50" w14:textId="77777777" w:rsidR="00C62E46" w:rsidRPr="00F85178" w:rsidRDefault="00C62E46" w:rsidP="00C62E46">
      <w:pPr>
        <w:rPr>
          <w:lang w:eastAsia="cs-CZ"/>
        </w:rPr>
      </w:pPr>
      <w:r w:rsidRPr="00F85178">
        <w:rPr>
          <w:lang w:eastAsia="cs-CZ"/>
        </w:rPr>
        <w:t>Přesněji řečeno, jedná se o řízení ve věcech kárné odpovědnosti soudců a ve věcech nezpůsobilosti soudce podle § 91 zákona o soudech a soudcích. Věci jsou zapisovány do rejstříku Kss.</w:t>
      </w:r>
    </w:p>
    <w:p w14:paraId="69818375" w14:textId="77777777" w:rsidR="00C62E46" w:rsidRPr="00F85178" w:rsidRDefault="00C62E46" w:rsidP="00C62E46">
      <w:pPr>
        <w:rPr>
          <w:lang w:eastAsia="cs-CZ"/>
        </w:rPr>
      </w:pPr>
    </w:p>
    <w:p w14:paraId="289D1D03" w14:textId="77777777" w:rsidR="008D1894" w:rsidRPr="00F85178" w:rsidRDefault="008D1894" w:rsidP="008D1894">
      <w:pPr>
        <w:pStyle w:val="Nadpis3"/>
        <w:rPr>
          <w:color w:val="auto"/>
          <w:lang w:eastAsia="cs-CZ"/>
        </w:rPr>
      </w:pPr>
      <w:bookmarkStart w:id="759" w:name="_Toc515871313"/>
      <w:bookmarkStart w:id="760" w:name="_Toc14076962"/>
      <w:r w:rsidRPr="00F85178">
        <w:rPr>
          <w:color w:val="auto"/>
          <w:lang w:eastAsia="cs-CZ"/>
        </w:rPr>
        <w:t>Vyřizování věcí</w:t>
      </w:r>
      <w:bookmarkEnd w:id="759"/>
      <w:bookmarkEnd w:id="760"/>
    </w:p>
    <w:p w14:paraId="2E6EB915" w14:textId="77777777" w:rsidR="008D1894" w:rsidRPr="00F85178" w:rsidRDefault="008D1894" w:rsidP="008D1894">
      <w:pPr>
        <w:pStyle w:val="Podtitul"/>
        <w:rPr>
          <w:color w:val="auto"/>
        </w:rPr>
      </w:pPr>
      <w:bookmarkStart w:id="761" w:name="_Toc515871433"/>
      <w:bookmarkStart w:id="762" w:name="_Toc11135164"/>
      <w:bookmarkStart w:id="763" w:name="_Toc13837596"/>
      <w:r w:rsidRPr="00F85178">
        <w:rPr>
          <w:color w:val="auto"/>
        </w:rPr>
        <w:t xml:space="preserve">Graf </w:t>
      </w:r>
      <w:r w:rsidRPr="00F85178">
        <w:rPr>
          <w:color w:val="auto"/>
        </w:rPr>
        <w:fldChar w:fldCharType="begin"/>
      </w:r>
      <w:r w:rsidRPr="00F85178">
        <w:rPr>
          <w:color w:val="auto"/>
        </w:rPr>
        <w:instrText xml:space="preserve"> SEQ Graf \* ARABIC </w:instrText>
      </w:r>
      <w:r w:rsidRPr="00F85178">
        <w:rPr>
          <w:color w:val="auto"/>
        </w:rPr>
        <w:fldChar w:fldCharType="separate"/>
      </w:r>
      <w:r w:rsidR="00306940">
        <w:rPr>
          <w:noProof/>
          <w:color w:val="auto"/>
        </w:rPr>
        <w:t>103</w:t>
      </w:r>
      <w:r w:rsidRPr="00F85178">
        <w:rPr>
          <w:noProof/>
          <w:color w:val="auto"/>
        </w:rPr>
        <w:fldChar w:fldCharType="end"/>
      </w:r>
      <w:r w:rsidRPr="00F85178">
        <w:rPr>
          <w:color w:val="auto"/>
        </w:rPr>
        <w:t>: NSS – vyřizování řízení ve věcech soudců v letech 2008–201</w:t>
      </w:r>
      <w:bookmarkEnd w:id="761"/>
      <w:r w:rsidRPr="00F85178">
        <w:rPr>
          <w:color w:val="auto"/>
        </w:rPr>
        <w:t>8</w:t>
      </w:r>
      <w:bookmarkEnd w:id="762"/>
      <w:bookmarkEnd w:id="763"/>
    </w:p>
    <w:p w14:paraId="68BF2EEC" w14:textId="77777777" w:rsidR="008D1894" w:rsidRPr="00F85178" w:rsidRDefault="00890295" w:rsidP="008D1894">
      <w:r>
        <w:rPr>
          <w:noProof/>
          <w:lang w:eastAsia="cs-CZ"/>
        </w:rPr>
        <w:drawing>
          <wp:inline distT="0" distB="0" distL="0" distR="0" wp14:anchorId="16B6E4F5" wp14:editId="017A4E38">
            <wp:extent cx="5118100" cy="3746500"/>
            <wp:effectExtent l="0" t="0" r="0" b="0"/>
            <wp:docPr id="106" name="Obrázek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58"/>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bwMode="auto">
                    <a:xfrm>
                      <a:off x="0" y="0"/>
                      <a:ext cx="5118100" cy="3746500"/>
                    </a:xfrm>
                    <a:prstGeom prst="rect">
                      <a:avLst/>
                    </a:prstGeom>
                    <a:noFill/>
                    <a:ln>
                      <a:noFill/>
                    </a:ln>
                  </pic:spPr>
                </pic:pic>
              </a:graphicData>
            </a:graphic>
          </wp:inline>
        </w:drawing>
      </w:r>
    </w:p>
    <w:p w14:paraId="0977FAD7" w14:textId="77777777" w:rsidR="00C62E46" w:rsidRPr="00F85178" w:rsidRDefault="00C62E46" w:rsidP="00C62E46">
      <w:pPr>
        <w:pStyle w:val="OdstavecASR"/>
        <w:rPr>
          <w:lang w:eastAsia="cs-CZ"/>
        </w:rPr>
      </w:pPr>
      <w:r w:rsidRPr="00F85178">
        <w:t xml:space="preserve">Oproti agendě kasačních stížností je tato agenda velmi malá. Z toho také plyne velká variabilita. U takto malých čísel je možné, aby se v jeden rok „sešlo“ větší množství podaných kárných žalob, případně návrhů na zahájení řízení o způsobilosti soudce. V absolutních číslech se ale jedná o změny malé. </w:t>
      </w:r>
      <w:r w:rsidRPr="00F85178">
        <w:rPr>
          <w:lang w:eastAsia="cs-CZ"/>
        </w:rPr>
        <w:t>Například v roce 201</w:t>
      </w:r>
      <w:r w:rsidR="008B434B" w:rsidRPr="00F85178">
        <w:rPr>
          <w:lang w:eastAsia="cs-CZ"/>
        </w:rPr>
        <w:t>8</w:t>
      </w:r>
      <w:r w:rsidRPr="00F85178">
        <w:rPr>
          <w:lang w:eastAsia="cs-CZ"/>
        </w:rPr>
        <w:t xml:space="preserve"> bylo z 1</w:t>
      </w:r>
      <w:r w:rsidR="008B434B" w:rsidRPr="00F85178">
        <w:rPr>
          <w:lang w:eastAsia="cs-CZ"/>
        </w:rPr>
        <w:t>8</w:t>
      </w:r>
      <w:r w:rsidRPr="00F85178">
        <w:rPr>
          <w:lang w:eastAsia="cs-CZ"/>
        </w:rPr>
        <w:t xml:space="preserve"> vyřízených věcí </w:t>
      </w:r>
      <w:r w:rsidR="008B434B" w:rsidRPr="00F85178">
        <w:rPr>
          <w:lang w:eastAsia="cs-CZ"/>
        </w:rPr>
        <w:t>10</w:t>
      </w:r>
      <w:r w:rsidRPr="00F85178">
        <w:rPr>
          <w:lang w:eastAsia="cs-CZ"/>
        </w:rPr>
        <w:t xml:space="preserve"> soudců uznáno vinnými.</w:t>
      </w:r>
    </w:p>
    <w:p w14:paraId="5ADEBB2F" w14:textId="77777777" w:rsidR="00727AA8" w:rsidRPr="00F85178" w:rsidRDefault="00727AA8" w:rsidP="00373542"/>
    <w:p w14:paraId="2DBFD2F1" w14:textId="77777777" w:rsidR="00496F76" w:rsidRPr="00F85178" w:rsidRDefault="00496F76">
      <w:pPr>
        <w:spacing w:line="240" w:lineRule="auto"/>
        <w:jc w:val="left"/>
        <w:rPr>
          <w:rFonts w:eastAsia="Times New Roman"/>
          <w:b/>
          <w:bCs/>
          <w:sz w:val="32"/>
          <w:szCs w:val="28"/>
        </w:rPr>
      </w:pPr>
      <w:r w:rsidRPr="00F85178">
        <w:br w:type="page"/>
      </w:r>
    </w:p>
    <w:p w14:paraId="330C2B5D" w14:textId="77777777" w:rsidR="009E35C2" w:rsidRPr="00F85178" w:rsidRDefault="009E35C2" w:rsidP="009E35C2">
      <w:pPr>
        <w:pStyle w:val="Nadpis1"/>
        <w:numPr>
          <w:ilvl w:val="0"/>
          <w:numId w:val="0"/>
        </w:numPr>
      </w:pPr>
      <w:bookmarkStart w:id="764" w:name="_Toc14076963"/>
      <w:r w:rsidRPr="00F85178">
        <w:t>Seznam grafů</w:t>
      </w:r>
      <w:bookmarkEnd w:id="706"/>
      <w:bookmarkEnd w:id="764"/>
    </w:p>
    <w:p w14:paraId="7F6E757A" w14:textId="77777777" w:rsidR="002922F1" w:rsidRDefault="00E935E4">
      <w:pPr>
        <w:pStyle w:val="Seznamobrzk"/>
        <w:tabs>
          <w:tab w:val="right" w:leader="dot" w:pos="9060"/>
        </w:tabs>
        <w:rPr>
          <w:rFonts w:asciiTheme="minorHAnsi" w:eastAsiaTheme="minorEastAsia" w:hAnsiTheme="minorHAnsi" w:cstheme="minorBidi"/>
          <w:noProof/>
          <w:sz w:val="22"/>
          <w:lang w:eastAsia="cs-CZ"/>
        </w:rPr>
      </w:pPr>
      <w:r w:rsidRPr="00F85178">
        <w:fldChar w:fldCharType="begin"/>
      </w:r>
      <w:r w:rsidRPr="00F85178">
        <w:instrText xml:space="preserve"> TOC \h \z \c "Graf" </w:instrText>
      </w:r>
      <w:r w:rsidRPr="00F85178">
        <w:fldChar w:fldCharType="separate"/>
      </w:r>
      <w:hyperlink w:anchor="_Toc13837494" w:history="1">
        <w:r w:rsidR="002922F1" w:rsidRPr="008E720A">
          <w:rPr>
            <w:rStyle w:val="Hypertextovodkaz"/>
            <w:noProof/>
          </w:rPr>
          <w:t>Graf 1: OS – počet soudců v letech 2008–2018</w:t>
        </w:r>
        <w:r w:rsidR="002922F1">
          <w:rPr>
            <w:noProof/>
            <w:webHidden/>
          </w:rPr>
          <w:tab/>
        </w:r>
        <w:r w:rsidR="002922F1">
          <w:rPr>
            <w:noProof/>
            <w:webHidden/>
          </w:rPr>
          <w:fldChar w:fldCharType="begin"/>
        </w:r>
        <w:r w:rsidR="002922F1">
          <w:rPr>
            <w:noProof/>
            <w:webHidden/>
          </w:rPr>
          <w:instrText xml:space="preserve"> PAGEREF _Toc13837494 \h </w:instrText>
        </w:r>
        <w:r w:rsidR="002922F1">
          <w:rPr>
            <w:noProof/>
            <w:webHidden/>
          </w:rPr>
        </w:r>
        <w:r w:rsidR="002922F1">
          <w:rPr>
            <w:noProof/>
            <w:webHidden/>
          </w:rPr>
          <w:fldChar w:fldCharType="separate"/>
        </w:r>
        <w:r w:rsidR="00AD732F">
          <w:rPr>
            <w:noProof/>
            <w:webHidden/>
          </w:rPr>
          <w:t>10</w:t>
        </w:r>
        <w:r w:rsidR="002922F1">
          <w:rPr>
            <w:noProof/>
            <w:webHidden/>
          </w:rPr>
          <w:fldChar w:fldCharType="end"/>
        </w:r>
      </w:hyperlink>
    </w:p>
    <w:p w14:paraId="4B9DD4B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5" w:history="1">
        <w:r w:rsidR="002922F1" w:rsidRPr="008E720A">
          <w:rPr>
            <w:rStyle w:val="Hypertextovodkaz"/>
            <w:noProof/>
          </w:rPr>
          <w:t>Graf 2: OS – evidenční počet soudců dle soudních úseků v letech 2008–2018</w:t>
        </w:r>
        <w:r w:rsidR="002922F1">
          <w:rPr>
            <w:noProof/>
            <w:webHidden/>
          </w:rPr>
          <w:tab/>
        </w:r>
        <w:r w:rsidR="002922F1">
          <w:rPr>
            <w:noProof/>
            <w:webHidden/>
          </w:rPr>
          <w:fldChar w:fldCharType="begin"/>
        </w:r>
        <w:r w:rsidR="002922F1">
          <w:rPr>
            <w:noProof/>
            <w:webHidden/>
          </w:rPr>
          <w:instrText xml:space="preserve"> PAGEREF _Toc13837495 \h </w:instrText>
        </w:r>
        <w:r w:rsidR="002922F1">
          <w:rPr>
            <w:noProof/>
            <w:webHidden/>
          </w:rPr>
        </w:r>
        <w:r w:rsidR="002922F1">
          <w:rPr>
            <w:noProof/>
            <w:webHidden/>
          </w:rPr>
          <w:fldChar w:fldCharType="separate"/>
        </w:r>
        <w:r w:rsidR="00AD732F">
          <w:rPr>
            <w:noProof/>
            <w:webHidden/>
          </w:rPr>
          <w:t>11</w:t>
        </w:r>
        <w:r w:rsidR="002922F1">
          <w:rPr>
            <w:noProof/>
            <w:webHidden/>
          </w:rPr>
          <w:fldChar w:fldCharType="end"/>
        </w:r>
      </w:hyperlink>
    </w:p>
    <w:p w14:paraId="00F5381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6" w:history="1">
        <w:r w:rsidR="002922F1" w:rsidRPr="008E720A">
          <w:rPr>
            <w:rStyle w:val="Hypertextovodkaz"/>
            <w:noProof/>
          </w:rPr>
          <w:t>Graf 3: OS – evidenční počet soudců u jednotlivých soudů</w:t>
        </w:r>
        <w:r w:rsidR="002922F1">
          <w:rPr>
            <w:noProof/>
            <w:webHidden/>
          </w:rPr>
          <w:tab/>
        </w:r>
        <w:r w:rsidR="002922F1">
          <w:rPr>
            <w:noProof/>
            <w:webHidden/>
          </w:rPr>
          <w:fldChar w:fldCharType="begin"/>
        </w:r>
        <w:r w:rsidR="002922F1">
          <w:rPr>
            <w:noProof/>
            <w:webHidden/>
          </w:rPr>
          <w:instrText xml:space="preserve"> PAGEREF _Toc13837496 \h </w:instrText>
        </w:r>
        <w:r w:rsidR="002922F1">
          <w:rPr>
            <w:noProof/>
            <w:webHidden/>
          </w:rPr>
        </w:r>
        <w:r w:rsidR="002922F1">
          <w:rPr>
            <w:noProof/>
            <w:webHidden/>
          </w:rPr>
          <w:fldChar w:fldCharType="separate"/>
        </w:r>
        <w:r w:rsidR="00AD732F">
          <w:rPr>
            <w:noProof/>
            <w:webHidden/>
          </w:rPr>
          <w:t>13</w:t>
        </w:r>
        <w:r w:rsidR="002922F1">
          <w:rPr>
            <w:noProof/>
            <w:webHidden/>
          </w:rPr>
          <w:fldChar w:fldCharType="end"/>
        </w:r>
      </w:hyperlink>
    </w:p>
    <w:p w14:paraId="5A7556C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7" w:history="1">
        <w:r w:rsidR="002922F1" w:rsidRPr="008E720A">
          <w:rPr>
            <w:rStyle w:val="Hypertextovodkaz"/>
            <w:noProof/>
          </w:rPr>
          <w:t>Graf 4: OS – evidenční počet soudců dle pohlaví v letech 2008–2018</w:t>
        </w:r>
        <w:r w:rsidR="002922F1">
          <w:rPr>
            <w:noProof/>
            <w:webHidden/>
          </w:rPr>
          <w:tab/>
        </w:r>
        <w:r w:rsidR="002922F1">
          <w:rPr>
            <w:noProof/>
            <w:webHidden/>
          </w:rPr>
          <w:fldChar w:fldCharType="begin"/>
        </w:r>
        <w:r w:rsidR="002922F1">
          <w:rPr>
            <w:noProof/>
            <w:webHidden/>
          </w:rPr>
          <w:instrText xml:space="preserve"> PAGEREF _Toc13837497 \h </w:instrText>
        </w:r>
        <w:r w:rsidR="002922F1">
          <w:rPr>
            <w:noProof/>
            <w:webHidden/>
          </w:rPr>
        </w:r>
        <w:r w:rsidR="002922F1">
          <w:rPr>
            <w:noProof/>
            <w:webHidden/>
          </w:rPr>
          <w:fldChar w:fldCharType="separate"/>
        </w:r>
        <w:r w:rsidR="00AD732F">
          <w:rPr>
            <w:noProof/>
            <w:webHidden/>
          </w:rPr>
          <w:t>14</w:t>
        </w:r>
        <w:r w:rsidR="002922F1">
          <w:rPr>
            <w:noProof/>
            <w:webHidden/>
          </w:rPr>
          <w:fldChar w:fldCharType="end"/>
        </w:r>
      </w:hyperlink>
    </w:p>
    <w:p w14:paraId="628F896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8" w:history="1">
        <w:r w:rsidR="002922F1" w:rsidRPr="008E720A">
          <w:rPr>
            <w:rStyle w:val="Hypertextovodkaz"/>
            <w:noProof/>
          </w:rPr>
          <w:t>Graf 5: OS – věková struktura soudců v letech 2008–2018</w:t>
        </w:r>
        <w:r w:rsidR="002922F1">
          <w:rPr>
            <w:noProof/>
            <w:webHidden/>
          </w:rPr>
          <w:tab/>
        </w:r>
        <w:r w:rsidR="002922F1">
          <w:rPr>
            <w:noProof/>
            <w:webHidden/>
          </w:rPr>
          <w:fldChar w:fldCharType="begin"/>
        </w:r>
        <w:r w:rsidR="002922F1">
          <w:rPr>
            <w:noProof/>
            <w:webHidden/>
          </w:rPr>
          <w:instrText xml:space="preserve"> PAGEREF _Toc13837498 \h </w:instrText>
        </w:r>
        <w:r w:rsidR="002922F1">
          <w:rPr>
            <w:noProof/>
            <w:webHidden/>
          </w:rPr>
        </w:r>
        <w:r w:rsidR="002922F1">
          <w:rPr>
            <w:noProof/>
            <w:webHidden/>
          </w:rPr>
          <w:fldChar w:fldCharType="separate"/>
        </w:r>
        <w:r w:rsidR="00AD732F">
          <w:rPr>
            <w:noProof/>
            <w:webHidden/>
          </w:rPr>
          <w:t>16</w:t>
        </w:r>
        <w:r w:rsidR="002922F1">
          <w:rPr>
            <w:noProof/>
            <w:webHidden/>
          </w:rPr>
          <w:fldChar w:fldCharType="end"/>
        </w:r>
      </w:hyperlink>
    </w:p>
    <w:p w14:paraId="3798248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9" w:history="1">
        <w:r w:rsidR="002922F1" w:rsidRPr="008E720A">
          <w:rPr>
            <w:rStyle w:val="Hypertextovodkaz"/>
            <w:noProof/>
          </w:rPr>
          <w:t>Graf 6: OS – délka civilního řízení v letech 2008–2018</w:t>
        </w:r>
        <w:r w:rsidR="002922F1">
          <w:rPr>
            <w:noProof/>
            <w:webHidden/>
          </w:rPr>
          <w:tab/>
        </w:r>
        <w:r w:rsidR="002922F1">
          <w:rPr>
            <w:noProof/>
            <w:webHidden/>
          </w:rPr>
          <w:fldChar w:fldCharType="begin"/>
        </w:r>
        <w:r w:rsidR="002922F1">
          <w:rPr>
            <w:noProof/>
            <w:webHidden/>
          </w:rPr>
          <w:instrText xml:space="preserve"> PAGEREF _Toc13837499 \h </w:instrText>
        </w:r>
        <w:r w:rsidR="002922F1">
          <w:rPr>
            <w:noProof/>
            <w:webHidden/>
          </w:rPr>
        </w:r>
        <w:r w:rsidR="002922F1">
          <w:rPr>
            <w:noProof/>
            <w:webHidden/>
          </w:rPr>
          <w:fldChar w:fldCharType="separate"/>
        </w:r>
        <w:r w:rsidR="00AD732F">
          <w:rPr>
            <w:noProof/>
            <w:webHidden/>
          </w:rPr>
          <w:t>20</w:t>
        </w:r>
        <w:r w:rsidR="002922F1">
          <w:rPr>
            <w:noProof/>
            <w:webHidden/>
          </w:rPr>
          <w:fldChar w:fldCharType="end"/>
        </w:r>
      </w:hyperlink>
    </w:p>
    <w:p w14:paraId="62BEAB5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0" w:history="1">
        <w:r w:rsidR="002922F1" w:rsidRPr="008E720A">
          <w:rPr>
            <w:rStyle w:val="Hypertextovodkaz"/>
            <w:noProof/>
          </w:rPr>
          <w:t>Graf 7: OS – mediánové délky civilního řízení u jednotlivých soudů</w:t>
        </w:r>
        <w:r w:rsidR="002922F1">
          <w:rPr>
            <w:noProof/>
            <w:webHidden/>
          </w:rPr>
          <w:tab/>
        </w:r>
        <w:r w:rsidR="002922F1">
          <w:rPr>
            <w:noProof/>
            <w:webHidden/>
          </w:rPr>
          <w:fldChar w:fldCharType="begin"/>
        </w:r>
        <w:r w:rsidR="002922F1">
          <w:rPr>
            <w:noProof/>
            <w:webHidden/>
          </w:rPr>
          <w:instrText xml:space="preserve"> PAGEREF _Toc13837500 \h </w:instrText>
        </w:r>
        <w:r w:rsidR="002922F1">
          <w:rPr>
            <w:noProof/>
            <w:webHidden/>
          </w:rPr>
        </w:r>
        <w:r w:rsidR="002922F1">
          <w:rPr>
            <w:noProof/>
            <w:webHidden/>
          </w:rPr>
          <w:fldChar w:fldCharType="separate"/>
        </w:r>
        <w:r w:rsidR="00AD732F">
          <w:rPr>
            <w:noProof/>
            <w:webHidden/>
          </w:rPr>
          <w:t>21</w:t>
        </w:r>
        <w:r w:rsidR="002922F1">
          <w:rPr>
            <w:noProof/>
            <w:webHidden/>
          </w:rPr>
          <w:fldChar w:fldCharType="end"/>
        </w:r>
      </w:hyperlink>
    </w:p>
    <w:p w14:paraId="47BFB69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1" w:history="1">
        <w:r w:rsidR="002922F1" w:rsidRPr="008E720A">
          <w:rPr>
            <w:rStyle w:val="Hypertextovodkaz"/>
            <w:noProof/>
          </w:rPr>
          <w:t>Graf 8: OS – krabicové grafy, mediánové délky civilního řízení</w:t>
        </w:r>
        <w:r w:rsidR="002922F1">
          <w:rPr>
            <w:noProof/>
            <w:webHidden/>
          </w:rPr>
          <w:tab/>
        </w:r>
        <w:r w:rsidR="002922F1">
          <w:rPr>
            <w:noProof/>
            <w:webHidden/>
          </w:rPr>
          <w:fldChar w:fldCharType="begin"/>
        </w:r>
        <w:r w:rsidR="002922F1">
          <w:rPr>
            <w:noProof/>
            <w:webHidden/>
          </w:rPr>
          <w:instrText xml:space="preserve"> PAGEREF _Toc13837501 \h </w:instrText>
        </w:r>
        <w:r w:rsidR="002922F1">
          <w:rPr>
            <w:noProof/>
            <w:webHidden/>
          </w:rPr>
        </w:r>
        <w:r w:rsidR="002922F1">
          <w:rPr>
            <w:noProof/>
            <w:webHidden/>
          </w:rPr>
          <w:fldChar w:fldCharType="separate"/>
        </w:r>
        <w:r w:rsidR="00AD732F">
          <w:rPr>
            <w:noProof/>
            <w:webHidden/>
          </w:rPr>
          <w:t>22</w:t>
        </w:r>
        <w:r w:rsidR="002922F1">
          <w:rPr>
            <w:noProof/>
            <w:webHidden/>
          </w:rPr>
          <w:fldChar w:fldCharType="end"/>
        </w:r>
      </w:hyperlink>
    </w:p>
    <w:p w14:paraId="20CDA3F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2" w:history="1">
        <w:r w:rsidR="002922F1" w:rsidRPr="008E720A">
          <w:rPr>
            <w:rStyle w:val="Hypertextovodkaz"/>
            <w:noProof/>
          </w:rPr>
          <w:t>Graf 9: OS – distribuce délek civilního řízení</w:t>
        </w:r>
        <w:r w:rsidR="002922F1">
          <w:rPr>
            <w:noProof/>
            <w:webHidden/>
          </w:rPr>
          <w:tab/>
        </w:r>
        <w:r w:rsidR="002922F1">
          <w:rPr>
            <w:noProof/>
            <w:webHidden/>
          </w:rPr>
          <w:fldChar w:fldCharType="begin"/>
        </w:r>
        <w:r w:rsidR="002922F1">
          <w:rPr>
            <w:noProof/>
            <w:webHidden/>
          </w:rPr>
          <w:instrText xml:space="preserve"> PAGEREF _Toc13837502 \h </w:instrText>
        </w:r>
        <w:r w:rsidR="002922F1">
          <w:rPr>
            <w:noProof/>
            <w:webHidden/>
          </w:rPr>
        </w:r>
        <w:r w:rsidR="002922F1">
          <w:rPr>
            <w:noProof/>
            <w:webHidden/>
          </w:rPr>
          <w:fldChar w:fldCharType="separate"/>
        </w:r>
        <w:r w:rsidR="00AD732F">
          <w:rPr>
            <w:noProof/>
            <w:webHidden/>
          </w:rPr>
          <w:t>23</w:t>
        </w:r>
        <w:r w:rsidR="002922F1">
          <w:rPr>
            <w:noProof/>
            <w:webHidden/>
          </w:rPr>
          <w:fldChar w:fldCharType="end"/>
        </w:r>
      </w:hyperlink>
    </w:p>
    <w:p w14:paraId="0C18090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3" w:history="1">
        <w:r w:rsidR="002922F1" w:rsidRPr="008E720A">
          <w:rPr>
            <w:rStyle w:val="Hypertextovodkaz"/>
            <w:noProof/>
          </w:rPr>
          <w:t>Graf 10: OS – vyřizování civilních věcí v letech 2008–2018</w:t>
        </w:r>
        <w:r w:rsidR="002922F1">
          <w:rPr>
            <w:noProof/>
            <w:webHidden/>
          </w:rPr>
          <w:tab/>
        </w:r>
        <w:r w:rsidR="002922F1">
          <w:rPr>
            <w:noProof/>
            <w:webHidden/>
          </w:rPr>
          <w:fldChar w:fldCharType="begin"/>
        </w:r>
        <w:r w:rsidR="002922F1">
          <w:rPr>
            <w:noProof/>
            <w:webHidden/>
          </w:rPr>
          <w:instrText xml:space="preserve"> PAGEREF _Toc13837503 \h </w:instrText>
        </w:r>
        <w:r w:rsidR="002922F1">
          <w:rPr>
            <w:noProof/>
            <w:webHidden/>
          </w:rPr>
        </w:r>
        <w:r w:rsidR="002922F1">
          <w:rPr>
            <w:noProof/>
            <w:webHidden/>
          </w:rPr>
          <w:fldChar w:fldCharType="separate"/>
        </w:r>
        <w:r w:rsidR="00AD732F">
          <w:rPr>
            <w:noProof/>
            <w:webHidden/>
          </w:rPr>
          <w:t>24</w:t>
        </w:r>
        <w:r w:rsidR="002922F1">
          <w:rPr>
            <w:noProof/>
            <w:webHidden/>
          </w:rPr>
          <w:fldChar w:fldCharType="end"/>
        </w:r>
      </w:hyperlink>
    </w:p>
    <w:p w14:paraId="111F4AA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4" w:history="1">
        <w:r w:rsidR="002922F1" w:rsidRPr="008E720A">
          <w:rPr>
            <w:rStyle w:val="Hypertextovodkaz"/>
            <w:noProof/>
          </w:rPr>
          <w:t>Graf 11: OS – počet nevyříz. civilních věcí na soudce u jednotlivých soudů</w:t>
        </w:r>
        <w:r w:rsidR="002922F1">
          <w:rPr>
            <w:noProof/>
            <w:webHidden/>
          </w:rPr>
          <w:tab/>
        </w:r>
        <w:r w:rsidR="002922F1">
          <w:rPr>
            <w:noProof/>
            <w:webHidden/>
          </w:rPr>
          <w:fldChar w:fldCharType="begin"/>
        </w:r>
        <w:r w:rsidR="002922F1">
          <w:rPr>
            <w:noProof/>
            <w:webHidden/>
          </w:rPr>
          <w:instrText xml:space="preserve"> PAGEREF _Toc13837504 \h </w:instrText>
        </w:r>
        <w:r w:rsidR="002922F1">
          <w:rPr>
            <w:noProof/>
            <w:webHidden/>
          </w:rPr>
        </w:r>
        <w:r w:rsidR="002922F1">
          <w:rPr>
            <w:noProof/>
            <w:webHidden/>
          </w:rPr>
          <w:fldChar w:fldCharType="separate"/>
        </w:r>
        <w:r w:rsidR="00AD732F">
          <w:rPr>
            <w:noProof/>
            <w:webHidden/>
          </w:rPr>
          <w:t>26</w:t>
        </w:r>
        <w:r w:rsidR="002922F1">
          <w:rPr>
            <w:noProof/>
            <w:webHidden/>
          </w:rPr>
          <w:fldChar w:fldCharType="end"/>
        </w:r>
      </w:hyperlink>
    </w:p>
    <w:p w14:paraId="787ECA5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5" w:history="1">
        <w:r w:rsidR="002922F1" w:rsidRPr="008E720A">
          <w:rPr>
            <w:rStyle w:val="Hypertextovodkaz"/>
            <w:noProof/>
          </w:rPr>
          <w:t>Graf 12: OS – počet vyřízených civilních věcí na soudce u jednotlivých soudů</w:t>
        </w:r>
        <w:r w:rsidR="002922F1">
          <w:rPr>
            <w:noProof/>
            <w:webHidden/>
          </w:rPr>
          <w:tab/>
        </w:r>
        <w:r w:rsidR="002922F1">
          <w:rPr>
            <w:noProof/>
            <w:webHidden/>
          </w:rPr>
          <w:fldChar w:fldCharType="begin"/>
        </w:r>
        <w:r w:rsidR="002922F1">
          <w:rPr>
            <w:noProof/>
            <w:webHidden/>
          </w:rPr>
          <w:instrText xml:space="preserve"> PAGEREF _Toc13837505 \h </w:instrText>
        </w:r>
        <w:r w:rsidR="002922F1">
          <w:rPr>
            <w:noProof/>
            <w:webHidden/>
          </w:rPr>
        </w:r>
        <w:r w:rsidR="002922F1">
          <w:rPr>
            <w:noProof/>
            <w:webHidden/>
          </w:rPr>
          <w:fldChar w:fldCharType="separate"/>
        </w:r>
        <w:r w:rsidR="00AD732F">
          <w:rPr>
            <w:noProof/>
            <w:webHidden/>
          </w:rPr>
          <w:t>27</w:t>
        </w:r>
        <w:r w:rsidR="002922F1">
          <w:rPr>
            <w:noProof/>
            <w:webHidden/>
          </w:rPr>
          <w:fldChar w:fldCharType="end"/>
        </w:r>
      </w:hyperlink>
    </w:p>
    <w:p w14:paraId="3325733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6" w:history="1">
        <w:r w:rsidR="002922F1" w:rsidRPr="008E720A">
          <w:rPr>
            <w:rStyle w:val="Hypertextovodkaz"/>
            <w:noProof/>
          </w:rPr>
          <w:t>Graf 13: OS – krabicové grafy, nevyřízené civilní věci na soudce</w:t>
        </w:r>
        <w:r w:rsidR="002922F1">
          <w:rPr>
            <w:noProof/>
            <w:webHidden/>
          </w:rPr>
          <w:tab/>
        </w:r>
        <w:r w:rsidR="002922F1">
          <w:rPr>
            <w:noProof/>
            <w:webHidden/>
          </w:rPr>
          <w:fldChar w:fldCharType="begin"/>
        </w:r>
        <w:r w:rsidR="002922F1">
          <w:rPr>
            <w:noProof/>
            <w:webHidden/>
          </w:rPr>
          <w:instrText xml:space="preserve"> PAGEREF _Toc13837506 \h </w:instrText>
        </w:r>
        <w:r w:rsidR="002922F1">
          <w:rPr>
            <w:noProof/>
            <w:webHidden/>
          </w:rPr>
        </w:r>
        <w:r w:rsidR="002922F1">
          <w:rPr>
            <w:noProof/>
            <w:webHidden/>
          </w:rPr>
          <w:fldChar w:fldCharType="separate"/>
        </w:r>
        <w:r w:rsidR="00AD732F">
          <w:rPr>
            <w:noProof/>
            <w:webHidden/>
          </w:rPr>
          <w:t>27</w:t>
        </w:r>
        <w:r w:rsidR="002922F1">
          <w:rPr>
            <w:noProof/>
            <w:webHidden/>
          </w:rPr>
          <w:fldChar w:fldCharType="end"/>
        </w:r>
      </w:hyperlink>
    </w:p>
    <w:p w14:paraId="3EC2493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7" w:history="1">
        <w:r w:rsidR="002922F1" w:rsidRPr="008E720A">
          <w:rPr>
            <w:rStyle w:val="Hypertextovodkaz"/>
            <w:noProof/>
          </w:rPr>
          <w:t>Graf 14: OS – disposition time civilního řízení v letech 2008–2018</w:t>
        </w:r>
        <w:r w:rsidR="002922F1">
          <w:rPr>
            <w:noProof/>
            <w:webHidden/>
          </w:rPr>
          <w:tab/>
        </w:r>
        <w:r w:rsidR="002922F1">
          <w:rPr>
            <w:noProof/>
            <w:webHidden/>
          </w:rPr>
          <w:fldChar w:fldCharType="begin"/>
        </w:r>
        <w:r w:rsidR="002922F1">
          <w:rPr>
            <w:noProof/>
            <w:webHidden/>
          </w:rPr>
          <w:instrText xml:space="preserve"> PAGEREF _Toc13837507 \h </w:instrText>
        </w:r>
        <w:r w:rsidR="002922F1">
          <w:rPr>
            <w:noProof/>
            <w:webHidden/>
          </w:rPr>
        </w:r>
        <w:r w:rsidR="002922F1">
          <w:rPr>
            <w:noProof/>
            <w:webHidden/>
          </w:rPr>
          <w:fldChar w:fldCharType="separate"/>
        </w:r>
        <w:r w:rsidR="00AD732F">
          <w:rPr>
            <w:noProof/>
            <w:webHidden/>
          </w:rPr>
          <w:t>28</w:t>
        </w:r>
        <w:r w:rsidR="002922F1">
          <w:rPr>
            <w:noProof/>
            <w:webHidden/>
          </w:rPr>
          <w:fldChar w:fldCharType="end"/>
        </w:r>
      </w:hyperlink>
    </w:p>
    <w:p w14:paraId="3E7FB85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8" w:history="1">
        <w:r w:rsidR="002922F1" w:rsidRPr="008E720A">
          <w:rPr>
            <w:rStyle w:val="Hypertextovodkaz"/>
            <w:noProof/>
          </w:rPr>
          <w:t>Graf 15: OS – disposition time civilního řízení u jednotlivých soudů</w:t>
        </w:r>
        <w:r w:rsidR="002922F1">
          <w:rPr>
            <w:noProof/>
            <w:webHidden/>
          </w:rPr>
          <w:tab/>
        </w:r>
        <w:r w:rsidR="002922F1">
          <w:rPr>
            <w:noProof/>
            <w:webHidden/>
          </w:rPr>
          <w:fldChar w:fldCharType="begin"/>
        </w:r>
        <w:r w:rsidR="002922F1">
          <w:rPr>
            <w:noProof/>
            <w:webHidden/>
          </w:rPr>
          <w:instrText xml:space="preserve"> PAGEREF _Toc13837508 \h </w:instrText>
        </w:r>
        <w:r w:rsidR="002922F1">
          <w:rPr>
            <w:noProof/>
            <w:webHidden/>
          </w:rPr>
        </w:r>
        <w:r w:rsidR="002922F1">
          <w:rPr>
            <w:noProof/>
            <w:webHidden/>
          </w:rPr>
          <w:fldChar w:fldCharType="separate"/>
        </w:r>
        <w:r w:rsidR="00AD732F">
          <w:rPr>
            <w:noProof/>
            <w:webHidden/>
          </w:rPr>
          <w:t>29</w:t>
        </w:r>
        <w:r w:rsidR="002922F1">
          <w:rPr>
            <w:noProof/>
            <w:webHidden/>
          </w:rPr>
          <w:fldChar w:fldCharType="end"/>
        </w:r>
      </w:hyperlink>
    </w:p>
    <w:p w14:paraId="44CEE68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09" w:history="1">
        <w:r w:rsidR="002922F1" w:rsidRPr="008E720A">
          <w:rPr>
            <w:rStyle w:val="Hypertextovodkaz"/>
            <w:noProof/>
          </w:rPr>
          <w:t>Graf 16: OS – krabicové grafy, DT civilního řízení</w:t>
        </w:r>
        <w:r w:rsidR="002922F1">
          <w:rPr>
            <w:noProof/>
            <w:webHidden/>
          </w:rPr>
          <w:tab/>
        </w:r>
        <w:r w:rsidR="002922F1">
          <w:rPr>
            <w:noProof/>
            <w:webHidden/>
          </w:rPr>
          <w:fldChar w:fldCharType="begin"/>
        </w:r>
        <w:r w:rsidR="002922F1">
          <w:rPr>
            <w:noProof/>
            <w:webHidden/>
          </w:rPr>
          <w:instrText xml:space="preserve"> PAGEREF _Toc13837509 \h </w:instrText>
        </w:r>
        <w:r w:rsidR="002922F1">
          <w:rPr>
            <w:noProof/>
            <w:webHidden/>
          </w:rPr>
        </w:r>
        <w:r w:rsidR="002922F1">
          <w:rPr>
            <w:noProof/>
            <w:webHidden/>
          </w:rPr>
          <w:fldChar w:fldCharType="separate"/>
        </w:r>
        <w:r w:rsidR="00AD732F">
          <w:rPr>
            <w:noProof/>
            <w:webHidden/>
          </w:rPr>
          <w:t>30</w:t>
        </w:r>
        <w:r w:rsidR="002922F1">
          <w:rPr>
            <w:noProof/>
            <w:webHidden/>
          </w:rPr>
          <w:fldChar w:fldCharType="end"/>
        </w:r>
      </w:hyperlink>
    </w:p>
    <w:p w14:paraId="506D85A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0" w:history="1">
        <w:r w:rsidR="002922F1" w:rsidRPr="008E720A">
          <w:rPr>
            <w:rStyle w:val="Hypertextovodkaz"/>
            <w:noProof/>
          </w:rPr>
          <w:t>Graf 17: OS – míra odvolání u jednotlivých soudů v civilním řízení</w:t>
        </w:r>
        <w:r w:rsidR="002922F1">
          <w:rPr>
            <w:noProof/>
            <w:webHidden/>
          </w:rPr>
          <w:tab/>
        </w:r>
        <w:r w:rsidR="002922F1">
          <w:rPr>
            <w:noProof/>
            <w:webHidden/>
          </w:rPr>
          <w:fldChar w:fldCharType="begin"/>
        </w:r>
        <w:r w:rsidR="002922F1">
          <w:rPr>
            <w:noProof/>
            <w:webHidden/>
          </w:rPr>
          <w:instrText xml:space="preserve"> PAGEREF _Toc13837510 \h </w:instrText>
        </w:r>
        <w:r w:rsidR="002922F1">
          <w:rPr>
            <w:noProof/>
            <w:webHidden/>
          </w:rPr>
        </w:r>
        <w:r w:rsidR="002922F1">
          <w:rPr>
            <w:noProof/>
            <w:webHidden/>
          </w:rPr>
          <w:fldChar w:fldCharType="separate"/>
        </w:r>
        <w:r w:rsidR="00AD732F">
          <w:rPr>
            <w:noProof/>
            <w:webHidden/>
          </w:rPr>
          <w:t>32</w:t>
        </w:r>
        <w:r w:rsidR="002922F1">
          <w:rPr>
            <w:noProof/>
            <w:webHidden/>
          </w:rPr>
          <w:fldChar w:fldCharType="end"/>
        </w:r>
      </w:hyperlink>
    </w:p>
    <w:p w14:paraId="14AC561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1" w:history="1">
        <w:r w:rsidR="002922F1" w:rsidRPr="008E720A">
          <w:rPr>
            <w:rStyle w:val="Hypertextovodkaz"/>
            <w:noProof/>
          </w:rPr>
          <w:t>Graf 18: OS – míra změny rozsudku u jednotlivých soudů v civilním řízení</w:t>
        </w:r>
        <w:r w:rsidR="002922F1">
          <w:rPr>
            <w:noProof/>
            <w:webHidden/>
          </w:rPr>
          <w:tab/>
        </w:r>
        <w:r w:rsidR="002922F1">
          <w:rPr>
            <w:noProof/>
            <w:webHidden/>
          </w:rPr>
          <w:fldChar w:fldCharType="begin"/>
        </w:r>
        <w:r w:rsidR="002922F1">
          <w:rPr>
            <w:noProof/>
            <w:webHidden/>
          </w:rPr>
          <w:instrText xml:space="preserve"> PAGEREF _Toc13837511 \h </w:instrText>
        </w:r>
        <w:r w:rsidR="002922F1">
          <w:rPr>
            <w:noProof/>
            <w:webHidden/>
          </w:rPr>
        </w:r>
        <w:r w:rsidR="002922F1">
          <w:rPr>
            <w:noProof/>
            <w:webHidden/>
          </w:rPr>
          <w:fldChar w:fldCharType="separate"/>
        </w:r>
        <w:r w:rsidR="00AD732F">
          <w:rPr>
            <w:noProof/>
            <w:webHidden/>
          </w:rPr>
          <w:t>33</w:t>
        </w:r>
        <w:r w:rsidR="002922F1">
          <w:rPr>
            <w:noProof/>
            <w:webHidden/>
          </w:rPr>
          <w:fldChar w:fldCharType="end"/>
        </w:r>
      </w:hyperlink>
    </w:p>
    <w:p w14:paraId="3270949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2" w:history="1">
        <w:r w:rsidR="002922F1" w:rsidRPr="008E720A">
          <w:rPr>
            <w:rStyle w:val="Hypertextovodkaz"/>
            <w:noProof/>
          </w:rPr>
          <w:t>Graf 19: OS – výše přiznaných nároků, kumulativní četnost</w:t>
        </w:r>
        <w:r w:rsidR="002922F1">
          <w:rPr>
            <w:noProof/>
            <w:webHidden/>
          </w:rPr>
          <w:tab/>
        </w:r>
        <w:r w:rsidR="002922F1">
          <w:rPr>
            <w:noProof/>
            <w:webHidden/>
          </w:rPr>
          <w:fldChar w:fldCharType="begin"/>
        </w:r>
        <w:r w:rsidR="002922F1">
          <w:rPr>
            <w:noProof/>
            <w:webHidden/>
          </w:rPr>
          <w:instrText xml:space="preserve"> PAGEREF _Toc13837512 \h </w:instrText>
        </w:r>
        <w:r w:rsidR="002922F1">
          <w:rPr>
            <w:noProof/>
            <w:webHidden/>
          </w:rPr>
        </w:r>
        <w:r w:rsidR="002922F1">
          <w:rPr>
            <w:noProof/>
            <w:webHidden/>
          </w:rPr>
          <w:fldChar w:fldCharType="separate"/>
        </w:r>
        <w:r w:rsidR="00AD732F">
          <w:rPr>
            <w:noProof/>
            <w:webHidden/>
          </w:rPr>
          <w:t>34</w:t>
        </w:r>
        <w:r w:rsidR="002922F1">
          <w:rPr>
            <w:noProof/>
            <w:webHidden/>
          </w:rPr>
          <w:fldChar w:fldCharType="end"/>
        </w:r>
      </w:hyperlink>
    </w:p>
    <w:p w14:paraId="2400461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3" w:history="1">
        <w:r w:rsidR="002922F1" w:rsidRPr="008E720A">
          <w:rPr>
            <w:rStyle w:val="Hypertextovodkaz"/>
            <w:noProof/>
          </w:rPr>
          <w:t>Graf 20: OS – délka civilního el. rozkazního řízení v letech 2013–2018</w:t>
        </w:r>
        <w:r w:rsidR="002922F1">
          <w:rPr>
            <w:noProof/>
            <w:webHidden/>
          </w:rPr>
          <w:tab/>
        </w:r>
        <w:r w:rsidR="002922F1">
          <w:rPr>
            <w:noProof/>
            <w:webHidden/>
          </w:rPr>
          <w:fldChar w:fldCharType="begin"/>
        </w:r>
        <w:r w:rsidR="002922F1">
          <w:rPr>
            <w:noProof/>
            <w:webHidden/>
          </w:rPr>
          <w:instrText xml:space="preserve"> PAGEREF _Toc13837513 \h </w:instrText>
        </w:r>
        <w:r w:rsidR="002922F1">
          <w:rPr>
            <w:noProof/>
            <w:webHidden/>
          </w:rPr>
        </w:r>
        <w:r w:rsidR="002922F1">
          <w:rPr>
            <w:noProof/>
            <w:webHidden/>
          </w:rPr>
          <w:fldChar w:fldCharType="separate"/>
        </w:r>
        <w:r w:rsidR="00AD732F">
          <w:rPr>
            <w:noProof/>
            <w:webHidden/>
          </w:rPr>
          <w:t>37</w:t>
        </w:r>
        <w:r w:rsidR="002922F1">
          <w:rPr>
            <w:noProof/>
            <w:webHidden/>
          </w:rPr>
          <w:fldChar w:fldCharType="end"/>
        </w:r>
      </w:hyperlink>
    </w:p>
    <w:p w14:paraId="398D717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4" w:history="1">
        <w:r w:rsidR="002922F1" w:rsidRPr="008E720A">
          <w:rPr>
            <w:rStyle w:val="Hypertextovodkaz"/>
            <w:noProof/>
          </w:rPr>
          <w:t>Graf 21: OS – vyřizování věcí v rejstříku EPR v letech 2013–2018</w:t>
        </w:r>
        <w:r w:rsidR="002922F1">
          <w:rPr>
            <w:noProof/>
            <w:webHidden/>
          </w:rPr>
          <w:tab/>
        </w:r>
        <w:r w:rsidR="002922F1">
          <w:rPr>
            <w:noProof/>
            <w:webHidden/>
          </w:rPr>
          <w:fldChar w:fldCharType="begin"/>
        </w:r>
        <w:r w:rsidR="002922F1">
          <w:rPr>
            <w:noProof/>
            <w:webHidden/>
          </w:rPr>
          <w:instrText xml:space="preserve"> PAGEREF _Toc13837514 \h </w:instrText>
        </w:r>
        <w:r w:rsidR="002922F1">
          <w:rPr>
            <w:noProof/>
            <w:webHidden/>
          </w:rPr>
        </w:r>
        <w:r w:rsidR="002922F1">
          <w:rPr>
            <w:noProof/>
            <w:webHidden/>
          </w:rPr>
          <w:fldChar w:fldCharType="separate"/>
        </w:r>
        <w:r w:rsidR="00AD732F">
          <w:rPr>
            <w:noProof/>
            <w:webHidden/>
          </w:rPr>
          <w:t>38</w:t>
        </w:r>
        <w:r w:rsidR="002922F1">
          <w:rPr>
            <w:noProof/>
            <w:webHidden/>
          </w:rPr>
          <w:fldChar w:fldCharType="end"/>
        </w:r>
      </w:hyperlink>
    </w:p>
    <w:p w14:paraId="0245BF6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5" w:history="1">
        <w:r w:rsidR="002922F1" w:rsidRPr="008E720A">
          <w:rPr>
            <w:rStyle w:val="Hypertextovodkaz"/>
            <w:noProof/>
          </w:rPr>
          <w:t>Graf 22: OS – převedeno z rejstříku EPR v letech 2013–2018</w:t>
        </w:r>
        <w:r w:rsidR="002922F1">
          <w:rPr>
            <w:noProof/>
            <w:webHidden/>
          </w:rPr>
          <w:tab/>
        </w:r>
        <w:r w:rsidR="002922F1">
          <w:rPr>
            <w:noProof/>
            <w:webHidden/>
          </w:rPr>
          <w:fldChar w:fldCharType="begin"/>
        </w:r>
        <w:r w:rsidR="002922F1">
          <w:rPr>
            <w:noProof/>
            <w:webHidden/>
          </w:rPr>
          <w:instrText xml:space="preserve"> PAGEREF _Toc13837515 \h </w:instrText>
        </w:r>
        <w:r w:rsidR="002922F1">
          <w:rPr>
            <w:noProof/>
            <w:webHidden/>
          </w:rPr>
        </w:r>
        <w:r w:rsidR="002922F1">
          <w:rPr>
            <w:noProof/>
            <w:webHidden/>
          </w:rPr>
          <w:fldChar w:fldCharType="separate"/>
        </w:r>
        <w:r w:rsidR="00AD732F">
          <w:rPr>
            <w:noProof/>
            <w:webHidden/>
          </w:rPr>
          <w:t>39</w:t>
        </w:r>
        <w:r w:rsidR="002922F1">
          <w:rPr>
            <w:noProof/>
            <w:webHidden/>
          </w:rPr>
          <w:fldChar w:fldCharType="end"/>
        </w:r>
      </w:hyperlink>
    </w:p>
    <w:p w14:paraId="48CD044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6" w:history="1">
        <w:r w:rsidR="002922F1" w:rsidRPr="008E720A">
          <w:rPr>
            <w:rStyle w:val="Hypertextovodkaz"/>
            <w:noProof/>
          </w:rPr>
          <w:t>Graf 23: OS – délka trestního řízení v letech 2008–2018 v kalendářních dnech</w:t>
        </w:r>
        <w:r w:rsidR="002922F1">
          <w:rPr>
            <w:noProof/>
            <w:webHidden/>
          </w:rPr>
          <w:tab/>
        </w:r>
        <w:r w:rsidR="002922F1">
          <w:rPr>
            <w:noProof/>
            <w:webHidden/>
          </w:rPr>
          <w:fldChar w:fldCharType="begin"/>
        </w:r>
        <w:r w:rsidR="002922F1">
          <w:rPr>
            <w:noProof/>
            <w:webHidden/>
          </w:rPr>
          <w:instrText xml:space="preserve"> PAGEREF _Toc13837516 \h </w:instrText>
        </w:r>
        <w:r w:rsidR="002922F1">
          <w:rPr>
            <w:noProof/>
            <w:webHidden/>
          </w:rPr>
        </w:r>
        <w:r w:rsidR="002922F1">
          <w:rPr>
            <w:noProof/>
            <w:webHidden/>
          </w:rPr>
          <w:fldChar w:fldCharType="separate"/>
        </w:r>
        <w:r w:rsidR="00AD732F">
          <w:rPr>
            <w:noProof/>
            <w:webHidden/>
          </w:rPr>
          <w:t>41</w:t>
        </w:r>
        <w:r w:rsidR="002922F1">
          <w:rPr>
            <w:noProof/>
            <w:webHidden/>
          </w:rPr>
          <w:fldChar w:fldCharType="end"/>
        </w:r>
      </w:hyperlink>
    </w:p>
    <w:p w14:paraId="7C2AB9B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7" w:history="1">
        <w:r w:rsidR="002922F1" w:rsidRPr="008E720A">
          <w:rPr>
            <w:rStyle w:val="Hypertextovodkaz"/>
            <w:noProof/>
          </w:rPr>
          <w:t>Graf 24: OS – mediánové délky trestního řízení u jednotlivých soudů</w:t>
        </w:r>
        <w:r w:rsidR="002922F1">
          <w:rPr>
            <w:noProof/>
            <w:webHidden/>
          </w:rPr>
          <w:tab/>
        </w:r>
        <w:r w:rsidR="002922F1">
          <w:rPr>
            <w:noProof/>
            <w:webHidden/>
          </w:rPr>
          <w:fldChar w:fldCharType="begin"/>
        </w:r>
        <w:r w:rsidR="002922F1">
          <w:rPr>
            <w:noProof/>
            <w:webHidden/>
          </w:rPr>
          <w:instrText xml:space="preserve"> PAGEREF _Toc13837517 \h </w:instrText>
        </w:r>
        <w:r w:rsidR="002922F1">
          <w:rPr>
            <w:noProof/>
            <w:webHidden/>
          </w:rPr>
        </w:r>
        <w:r w:rsidR="002922F1">
          <w:rPr>
            <w:noProof/>
            <w:webHidden/>
          </w:rPr>
          <w:fldChar w:fldCharType="separate"/>
        </w:r>
        <w:r w:rsidR="00AD732F">
          <w:rPr>
            <w:noProof/>
            <w:webHidden/>
          </w:rPr>
          <w:t>42</w:t>
        </w:r>
        <w:r w:rsidR="002922F1">
          <w:rPr>
            <w:noProof/>
            <w:webHidden/>
          </w:rPr>
          <w:fldChar w:fldCharType="end"/>
        </w:r>
      </w:hyperlink>
    </w:p>
    <w:p w14:paraId="0E22A33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8" w:history="1">
        <w:r w:rsidR="002922F1" w:rsidRPr="008E720A">
          <w:rPr>
            <w:rStyle w:val="Hypertextovodkaz"/>
            <w:noProof/>
          </w:rPr>
          <w:t>Graf 25: OS – krabicové grafy, mediánové délky trestního řízení</w:t>
        </w:r>
        <w:r w:rsidR="002922F1">
          <w:rPr>
            <w:noProof/>
            <w:webHidden/>
          </w:rPr>
          <w:tab/>
        </w:r>
        <w:r w:rsidR="002922F1">
          <w:rPr>
            <w:noProof/>
            <w:webHidden/>
          </w:rPr>
          <w:fldChar w:fldCharType="begin"/>
        </w:r>
        <w:r w:rsidR="002922F1">
          <w:rPr>
            <w:noProof/>
            <w:webHidden/>
          </w:rPr>
          <w:instrText xml:space="preserve"> PAGEREF _Toc13837518 \h </w:instrText>
        </w:r>
        <w:r w:rsidR="002922F1">
          <w:rPr>
            <w:noProof/>
            <w:webHidden/>
          </w:rPr>
        </w:r>
        <w:r w:rsidR="002922F1">
          <w:rPr>
            <w:noProof/>
            <w:webHidden/>
          </w:rPr>
          <w:fldChar w:fldCharType="separate"/>
        </w:r>
        <w:r w:rsidR="00AD732F">
          <w:rPr>
            <w:noProof/>
            <w:webHidden/>
          </w:rPr>
          <w:t>43</w:t>
        </w:r>
        <w:r w:rsidR="002922F1">
          <w:rPr>
            <w:noProof/>
            <w:webHidden/>
          </w:rPr>
          <w:fldChar w:fldCharType="end"/>
        </w:r>
      </w:hyperlink>
    </w:p>
    <w:p w14:paraId="61DCBF8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19" w:history="1">
        <w:r w:rsidR="002922F1" w:rsidRPr="008E720A">
          <w:rPr>
            <w:rStyle w:val="Hypertextovodkaz"/>
            <w:noProof/>
          </w:rPr>
          <w:t>Graf 26: OS – distribuce délek trestního řízení</w:t>
        </w:r>
        <w:r w:rsidR="002922F1">
          <w:rPr>
            <w:noProof/>
            <w:webHidden/>
          </w:rPr>
          <w:tab/>
        </w:r>
        <w:r w:rsidR="002922F1">
          <w:rPr>
            <w:noProof/>
            <w:webHidden/>
          </w:rPr>
          <w:fldChar w:fldCharType="begin"/>
        </w:r>
        <w:r w:rsidR="002922F1">
          <w:rPr>
            <w:noProof/>
            <w:webHidden/>
          </w:rPr>
          <w:instrText xml:space="preserve"> PAGEREF _Toc13837519 \h </w:instrText>
        </w:r>
        <w:r w:rsidR="002922F1">
          <w:rPr>
            <w:noProof/>
            <w:webHidden/>
          </w:rPr>
        </w:r>
        <w:r w:rsidR="002922F1">
          <w:rPr>
            <w:noProof/>
            <w:webHidden/>
          </w:rPr>
          <w:fldChar w:fldCharType="separate"/>
        </w:r>
        <w:r w:rsidR="00AD732F">
          <w:rPr>
            <w:noProof/>
            <w:webHidden/>
          </w:rPr>
          <w:t>45</w:t>
        </w:r>
        <w:r w:rsidR="002922F1">
          <w:rPr>
            <w:noProof/>
            <w:webHidden/>
          </w:rPr>
          <w:fldChar w:fldCharType="end"/>
        </w:r>
      </w:hyperlink>
    </w:p>
    <w:p w14:paraId="6CABDD7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0" w:history="1">
        <w:r w:rsidR="002922F1" w:rsidRPr="008E720A">
          <w:rPr>
            <w:rStyle w:val="Hypertextovodkaz"/>
            <w:noProof/>
          </w:rPr>
          <w:t>Graf 27: OS – vyřizování trestních věcí v letech 2008–2018</w:t>
        </w:r>
        <w:r w:rsidR="002922F1">
          <w:rPr>
            <w:noProof/>
            <w:webHidden/>
          </w:rPr>
          <w:tab/>
        </w:r>
        <w:r w:rsidR="002922F1">
          <w:rPr>
            <w:noProof/>
            <w:webHidden/>
          </w:rPr>
          <w:fldChar w:fldCharType="begin"/>
        </w:r>
        <w:r w:rsidR="002922F1">
          <w:rPr>
            <w:noProof/>
            <w:webHidden/>
          </w:rPr>
          <w:instrText xml:space="preserve"> PAGEREF _Toc13837520 \h </w:instrText>
        </w:r>
        <w:r w:rsidR="002922F1">
          <w:rPr>
            <w:noProof/>
            <w:webHidden/>
          </w:rPr>
        </w:r>
        <w:r w:rsidR="002922F1">
          <w:rPr>
            <w:noProof/>
            <w:webHidden/>
          </w:rPr>
          <w:fldChar w:fldCharType="separate"/>
        </w:r>
        <w:r w:rsidR="00AD732F">
          <w:rPr>
            <w:noProof/>
            <w:webHidden/>
          </w:rPr>
          <w:t>45</w:t>
        </w:r>
        <w:r w:rsidR="002922F1">
          <w:rPr>
            <w:noProof/>
            <w:webHidden/>
          </w:rPr>
          <w:fldChar w:fldCharType="end"/>
        </w:r>
      </w:hyperlink>
    </w:p>
    <w:p w14:paraId="185B955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1" w:history="1">
        <w:r w:rsidR="002922F1" w:rsidRPr="008E720A">
          <w:rPr>
            <w:rStyle w:val="Hypertextovodkaz"/>
            <w:noProof/>
          </w:rPr>
          <w:t>Graf 28: OS – počet nevyříz. trestních věcí na soudce u jednotlivých soudů</w:t>
        </w:r>
        <w:r w:rsidR="002922F1">
          <w:rPr>
            <w:noProof/>
            <w:webHidden/>
          </w:rPr>
          <w:tab/>
        </w:r>
        <w:r w:rsidR="002922F1">
          <w:rPr>
            <w:noProof/>
            <w:webHidden/>
          </w:rPr>
          <w:fldChar w:fldCharType="begin"/>
        </w:r>
        <w:r w:rsidR="002922F1">
          <w:rPr>
            <w:noProof/>
            <w:webHidden/>
          </w:rPr>
          <w:instrText xml:space="preserve"> PAGEREF _Toc13837521 \h </w:instrText>
        </w:r>
        <w:r w:rsidR="002922F1">
          <w:rPr>
            <w:noProof/>
            <w:webHidden/>
          </w:rPr>
        </w:r>
        <w:r w:rsidR="002922F1">
          <w:rPr>
            <w:noProof/>
            <w:webHidden/>
          </w:rPr>
          <w:fldChar w:fldCharType="separate"/>
        </w:r>
        <w:r w:rsidR="00AD732F">
          <w:rPr>
            <w:noProof/>
            <w:webHidden/>
          </w:rPr>
          <w:t>47</w:t>
        </w:r>
        <w:r w:rsidR="002922F1">
          <w:rPr>
            <w:noProof/>
            <w:webHidden/>
          </w:rPr>
          <w:fldChar w:fldCharType="end"/>
        </w:r>
      </w:hyperlink>
    </w:p>
    <w:p w14:paraId="0C7C06B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2" w:history="1">
        <w:r w:rsidR="002922F1" w:rsidRPr="008E720A">
          <w:rPr>
            <w:rStyle w:val="Hypertextovodkaz"/>
            <w:noProof/>
          </w:rPr>
          <w:t>Graf 29: OS – počet vyřízených trestních věcí na soudce u jednotlivých soudů</w:t>
        </w:r>
        <w:r w:rsidR="002922F1">
          <w:rPr>
            <w:noProof/>
            <w:webHidden/>
          </w:rPr>
          <w:tab/>
        </w:r>
        <w:r w:rsidR="002922F1">
          <w:rPr>
            <w:noProof/>
            <w:webHidden/>
          </w:rPr>
          <w:fldChar w:fldCharType="begin"/>
        </w:r>
        <w:r w:rsidR="002922F1">
          <w:rPr>
            <w:noProof/>
            <w:webHidden/>
          </w:rPr>
          <w:instrText xml:space="preserve"> PAGEREF _Toc13837522 \h </w:instrText>
        </w:r>
        <w:r w:rsidR="002922F1">
          <w:rPr>
            <w:noProof/>
            <w:webHidden/>
          </w:rPr>
        </w:r>
        <w:r w:rsidR="002922F1">
          <w:rPr>
            <w:noProof/>
            <w:webHidden/>
          </w:rPr>
          <w:fldChar w:fldCharType="separate"/>
        </w:r>
        <w:r w:rsidR="00AD732F">
          <w:rPr>
            <w:noProof/>
            <w:webHidden/>
          </w:rPr>
          <w:t>48</w:t>
        </w:r>
        <w:r w:rsidR="002922F1">
          <w:rPr>
            <w:noProof/>
            <w:webHidden/>
          </w:rPr>
          <w:fldChar w:fldCharType="end"/>
        </w:r>
      </w:hyperlink>
    </w:p>
    <w:p w14:paraId="0D1B50F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3" w:history="1">
        <w:r w:rsidR="002922F1" w:rsidRPr="008E720A">
          <w:rPr>
            <w:rStyle w:val="Hypertextovodkaz"/>
            <w:noProof/>
          </w:rPr>
          <w:t>Graf 30: OS – krabicové grafy, nevyřízené trestní věci na soudce</w:t>
        </w:r>
        <w:r w:rsidR="002922F1">
          <w:rPr>
            <w:noProof/>
            <w:webHidden/>
          </w:rPr>
          <w:tab/>
        </w:r>
        <w:r w:rsidR="002922F1">
          <w:rPr>
            <w:noProof/>
            <w:webHidden/>
          </w:rPr>
          <w:fldChar w:fldCharType="begin"/>
        </w:r>
        <w:r w:rsidR="002922F1">
          <w:rPr>
            <w:noProof/>
            <w:webHidden/>
          </w:rPr>
          <w:instrText xml:space="preserve"> PAGEREF _Toc13837523 \h </w:instrText>
        </w:r>
        <w:r w:rsidR="002922F1">
          <w:rPr>
            <w:noProof/>
            <w:webHidden/>
          </w:rPr>
        </w:r>
        <w:r w:rsidR="002922F1">
          <w:rPr>
            <w:noProof/>
            <w:webHidden/>
          </w:rPr>
          <w:fldChar w:fldCharType="separate"/>
        </w:r>
        <w:r w:rsidR="00AD732F">
          <w:rPr>
            <w:noProof/>
            <w:webHidden/>
          </w:rPr>
          <w:t>48</w:t>
        </w:r>
        <w:r w:rsidR="002922F1">
          <w:rPr>
            <w:noProof/>
            <w:webHidden/>
          </w:rPr>
          <w:fldChar w:fldCharType="end"/>
        </w:r>
      </w:hyperlink>
    </w:p>
    <w:p w14:paraId="6BFEA29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4" w:history="1">
        <w:r w:rsidR="002922F1" w:rsidRPr="008E720A">
          <w:rPr>
            <w:rStyle w:val="Hypertextovodkaz"/>
            <w:noProof/>
          </w:rPr>
          <w:t>Graf 31: OS – disposition time trestního řízení v letech 2008–2018</w:t>
        </w:r>
        <w:r w:rsidR="002922F1">
          <w:rPr>
            <w:noProof/>
            <w:webHidden/>
          </w:rPr>
          <w:tab/>
        </w:r>
        <w:r w:rsidR="002922F1">
          <w:rPr>
            <w:noProof/>
            <w:webHidden/>
          </w:rPr>
          <w:fldChar w:fldCharType="begin"/>
        </w:r>
        <w:r w:rsidR="002922F1">
          <w:rPr>
            <w:noProof/>
            <w:webHidden/>
          </w:rPr>
          <w:instrText xml:space="preserve"> PAGEREF _Toc13837524 \h </w:instrText>
        </w:r>
        <w:r w:rsidR="002922F1">
          <w:rPr>
            <w:noProof/>
            <w:webHidden/>
          </w:rPr>
        </w:r>
        <w:r w:rsidR="002922F1">
          <w:rPr>
            <w:noProof/>
            <w:webHidden/>
          </w:rPr>
          <w:fldChar w:fldCharType="separate"/>
        </w:r>
        <w:r w:rsidR="00AD732F">
          <w:rPr>
            <w:noProof/>
            <w:webHidden/>
          </w:rPr>
          <w:t>49</w:t>
        </w:r>
        <w:r w:rsidR="002922F1">
          <w:rPr>
            <w:noProof/>
            <w:webHidden/>
          </w:rPr>
          <w:fldChar w:fldCharType="end"/>
        </w:r>
      </w:hyperlink>
    </w:p>
    <w:p w14:paraId="22B0934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5" w:history="1">
        <w:r w:rsidR="002922F1" w:rsidRPr="008E720A">
          <w:rPr>
            <w:rStyle w:val="Hypertextovodkaz"/>
            <w:noProof/>
          </w:rPr>
          <w:t>Graf 32: OS – disposition time trestního řízení u jednotlivých soudů</w:t>
        </w:r>
        <w:r w:rsidR="002922F1">
          <w:rPr>
            <w:noProof/>
            <w:webHidden/>
          </w:rPr>
          <w:tab/>
        </w:r>
        <w:r w:rsidR="002922F1">
          <w:rPr>
            <w:noProof/>
            <w:webHidden/>
          </w:rPr>
          <w:fldChar w:fldCharType="begin"/>
        </w:r>
        <w:r w:rsidR="002922F1">
          <w:rPr>
            <w:noProof/>
            <w:webHidden/>
          </w:rPr>
          <w:instrText xml:space="preserve"> PAGEREF _Toc13837525 \h </w:instrText>
        </w:r>
        <w:r w:rsidR="002922F1">
          <w:rPr>
            <w:noProof/>
            <w:webHidden/>
          </w:rPr>
        </w:r>
        <w:r w:rsidR="002922F1">
          <w:rPr>
            <w:noProof/>
            <w:webHidden/>
          </w:rPr>
          <w:fldChar w:fldCharType="separate"/>
        </w:r>
        <w:r w:rsidR="00AD732F">
          <w:rPr>
            <w:noProof/>
            <w:webHidden/>
          </w:rPr>
          <w:t>50</w:t>
        </w:r>
        <w:r w:rsidR="002922F1">
          <w:rPr>
            <w:noProof/>
            <w:webHidden/>
          </w:rPr>
          <w:fldChar w:fldCharType="end"/>
        </w:r>
      </w:hyperlink>
    </w:p>
    <w:p w14:paraId="6B0E367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6" w:history="1">
        <w:r w:rsidR="002922F1" w:rsidRPr="008E720A">
          <w:rPr>
            <w:rStyle w:val="Hypertextovodkaz"/>
            <w:noProof/>
          </w:rPr>
          <w:t>Graf 33: OS – krabicové grafy, DT trestního řízení</w:t>
        </w:r>
        <w:r w:rsidR="002922F1">
          <w:rPr>
            <w:noProof/>
            <w:webHidden/>
          </w:rPr>
          <w:tab/>
        </w:r>
        <w:r w:rsidR="002922F1">
          <w:rPr>
            <w:noProof/>
            <w:webHidden/>
          </w:rPr>
          <w:fldChar w:fldCharType="begin"/>
        </w:r>
        <w:r w:rsidR="002922F1">
          <w:rPr>
            <w:noProof/>
            <w:webHidden/>
          </w:rPr>
          <w:instrText xml:space="preserve"> PAGEREF _Toc13837526 \h </w:instrText>
        </w:r>
        <w:r w:rsidR="002922F1">
          <w:rPr>
            <w:noProof/>
            <w:webHidden/>
          </w:rPr>
        </w:r>
        <w:r w:rsidR="002922F1">
          <w:rPr>
            <w:noProof/>
            <w:webHidden/>
          </w:rPr>
          <w:fldChar w:fldCharType="separate"/>
        </w:r>
        <w:r w:rsidR="00AD732F">
          <w:rPr>
            <w:noProof/>
            <w:webHidden/>
          </w:rPr>
          <w:t>51</w:t>
        </w:r>
        <w:r w:rsidR="002922F1">
          <w:rPr>
            <w:noProof/>
            <w:webHidden/>
          </w:rPr>
          <w:fldChar w:fldCharType="end"/>
        </w:r>
      </w:hyperlink>
    </w:p>
    <w:p w14:paraId="1B4D991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7" w:history="1">
        <w:r w:rsidR="002922F1" w:rsidRPr="008E720A">
          <w:rPr>
            <w:rStyle w:val="Hypertextovodkaz"/>
            <w:noProof/>
          </w:rPr>
          <w:t>Graf 34: OS – míra odvolání u jednotlivých soudů v trestním řízení</w:t>
        </w:r>
        <w:r w:rsidR="002922F1">
          <w:rPr>
            <w:noProof/>
            <w:webHidden/>
          </w:rPr>
          <w:tab/>
        </w:r>
        <w:r w:rsidR="002922F1">
          <w:rPr>
            <w:noProof/>
            <w:webHidden/>
          </w:rPr>
          <w:fldChar w:fldCharType="begin"/>
        </w:r>
        <w:r w:rsidR="002922F1">
          <w:rPr>
            <w:noProof/>
            <w:webHidden/>
          </w:rPr>
          <w:instrText xml:space="preserve"> PAGEREF _Toc13837527 \h </w:instrText>
        </w:r>
        <w:r w:rsidR="002922F1">
          <w:rPr>
            <w:noProof/>
            <w:webHidden/>
          </w:rPr>
        </w:r>
        <w:r w:rsidR="002922F1">
          <w:rPr>
            <w:noProof/>
            <w:webHidden/>
          </w:rPr>
          <w:fldChar w:fldCharType="separate"/>
        </w:r>
        <w:r w:rsidR="00AD732F">
          <w:rPr>
            <w:noProof/>
            <w:webHidden/>
          </w:rPr>
          <w:t>52</w:t>
        </w:r>
        <w:r w:rsidR="002922F1">
          <w:rPr>
            <w:noProof/>
            <w:webHidden/>
          </w:rPr>
          <w:fldChar w:fldCharType="end"/>
        </w:r>
      </w:hyperlink>
    </w:p>
    <w:p w14:paraId="0AF6605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8" w:history="1">
        <w:r w:rsidR="002922F1" w:rsidRPr="008E720A">
          <w:rPr>
            <w:rStyle w:val="Hypertextovodkaz"/>
            <w:noProof/>
          </w:rPr>
          <w:t>Graf 35: OS – míra změny rozsudku u jednotlivých soudů v trestním řízení</w:t>
        </w:r>
        <w:r w:rsidR="002922F1">
          <w:rPr>
            <w:noProof/>
            <w:webHidden/>
          </w:rPr>
          <w:tab/>
        </w:r>
        <w:r w:rsidR="002922F1">
          <w:rPr>
            <w:noProof/>
            <w:webHidden/>
          </w:rPr>
          <w:fldChar w:fldCharType="begin"/>
        </w:r>
        <w:r w:rsidR="002922F1">
          <w:rPr>
            <w:noProof/>
            <w:webHidden/>
          </w:rPr>
          <w:instrText xml:space="preserve"> PAGEREF _Toc13837528 \h </w:instrText>
        </w:r>
        <w:r w:rsidR="002922F1">
          <w:rPr>
            <w:noProof/>
            <w:webHidden/>
          </w:rPr>
        </w:r>
        <w:r w:rsidR="002922F1">
          <w:rPr>
            <w:noProof/>
            <w:webHidden/>
          </w:rPr>
          <w:fldChar w:fldCharType="separate"/>
        </w:r>
        <w:r w:rsidR="00AD732F">
          <w:rPr>
            <w:noProof/>
            <w:webHidden/>
          </w:rPr>
          <w:t>54</w:t>
        </w:r>
        <w:r w:rsidR="002922F1">
          <w:rPr>
            <w:noProof/>
            <w:webHidden/>
          </w:rPr>
          <w:fldChar w:fldCharType="end"/>
        </w:r>
      </w:hyperlink>
    </w:p>
    <w:p w14:paraId="28D9EB4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29" w:history="1">
        <w:r w:rsidR="002922F1" w:rsidRPr="008E720A">
          <w:rPr>
            <w:rStyle w:val="Hypertextovodkaz"/>
            <w:noProof/>
          </w:rPr>
          <w:t>Graf 36: OS – délka řízení v opatrovnické agendě v letech 2009–2018</w:t>
        </w:r>
        <w:r w:rsidR="002922F1">
          <w:rPr>
            <w:noProof/>
            <w:webHidden/>
          </w:rPr>
          <w:tab/>
        </w:r>
        <w:r w:rsidR="002922F1">
          <w:rPr>
            <w:noProof/>
            <w:webHidden/>
          </w:rPr>
          <w:fldChar w:fldCharType="begin"/>
        </w:r>
        <w:r w:rsidR="002922F1">
          <w:rPr>
            <w:noProof/>
            <w:webHidden/>
          </w:rPr>
          <w:instrText xml:space="preserve"> PAGEREF _Toc13837529 \h </w:instrText>
        </w:r>
        <w:r w:rsidR="002922F1">
          <w:rPr>
            <w:noProof/>
            <w:webHidden/>
          </w:rPr>
        </w:r>
        <w:r w:rsidR="002922F1">
          <w:rPr>
            <w:noProof/>
            <w:webHidden/>
          </w:rPr>
          <w:fldChar w:fldCharType="separate"/>
        </w:r>
        <w:r w:rsidR="00AD732F">
          <w:rPr>
            <w:noProof/>
            <w:webHidden/>
          </w:rPr>
          <w:t>59</w:t>
        </w:r>
        <w:r w:rsidR="002922F1">
          <w:rPr>
            <w:noProof/>
            <w:webHidden/>
          </w:rPr>
          <w:fldChar w:fldCharType="end"/>
        </w:r>
      </w:hyperlink>
    </w:p>
    <w:p w14:paraId="4B23D33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0" w:history="1">
        <w:r w:rsidR="002922F1" w:rsidRPr="008E720A">
          <w:rPr>
            <w:rStyle w:val="Hypertextovodkaz"/>
            <w:noProof/>
          </w:rPr>
          <w:t>Graf 37: OS – mediánové délky řízení v opatrov. agendě u jednotlivých soudů</w:t>
        </w:r>
        <w:r w:rsidR="002922F1">
          <w:rPr>
            <w:noProof/>
            <w:webHidden/>
          </w:rPr>
          <w:tab/>
        </w:r>
        <w:r w:rsidR="002922F1">
          <w:rPr>
            <w:noProof/>
            <w:webHidden/>
          </w:rPr>
          <w:fldChar w:fldCharType="begin"/>
        </w:r>
        <w:r w:rsidR="002922F1">
          <w:rPr>
            <w:noProof/>
            <w:webHidden/>
          </w:rPr>
          <w:instrText xml:space="preserve"> PAGEREF _Toc13837530 \h </w:instrText>
        </w:r>
        <w:r w:rsidR="002922F1">
          <w:rPr>
            <w:noProof/>
            <w:webHidden/>
          </w:rPr>
        </w:r>
        <w:r w:rsidR="002922F1">
          <w:rPr>
            <w:noProof/>
            <w:webHidden/>
          </w:rPr>
          <w:fldChar w:fldCharType="separate"/>
        </w:r>
        <w:r w:rsidR="00AD732F">
          <w:rPr>
            <w:noProof/>
            <w:webHidden/>
          </w:rPr>
          <w:t>60</w:t>
        </w:r>
        <w:r w:rsidR="002922F1">
          <w:rPr>
            <w:noProof/>
            <w:webHidden/>
          </w:rPr>
          <w:fldChar w:fldCharType="end"/>
        </w:r>
      </w:hyperlink>
    </w:p>
    <w:p w14:paraId="3869D4D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1" w:history="1">
        <w:r w:rsidR="002922F1" w:rsidRPr="008E720A">
          <w:rPr>
            <w:rStyle w:val="Hypertextovodkaz"/>
            <w:noProof/>
          </w:rPr>
          <w:t>Graf 38: OS – krabicové grafy, mediánové délky opatrovnického řízení</w:t>
        </w:r>
        <w:r w:rsidR="002922F1">
          <w:rPr>
            <w:noProof/>
            <w:webHidden/>
          </w:rPr>
          <w:tab/>
        </w:r>
        <w:r w:rsidR="002922F1">
          <w:rPr>
            <w:noProof/>
            <w:webHidden/>
          </w:rPr>
          <w:fldChar w:fldCharType="begin"/>
        </w:r>
        <w:r w:rsidR="002922F1">
          <w:rPr>
            <w:noProof/>
            <w:webHidden/>
          </w:rPr>
          <w:instrText xml:space="preserve"> PAGEREF _Toc13837531 \h </w:instrText>
        </w:r>
        <w:r w:rsidR="002922F1">
          <w:rPr>
            <w:noProof/>
            <w:webHidden/>
          </w:rPr>
        </w:r>
        <w:r w:rsidR="002922F1">
          <w:rPr>
            <w:noProof/>
            <w:webHidden/>
          </w:rPr>
          <w:fldChar w:fldCharType="separate"/>
        </w:r>
        <w:r w:rsidR="00AD732F">
          <w:rPr>
            <w:noProof/>
            <w:webHidden/>
          </w:rPr>
          <w:t>61</w:t>
        </w:r>
        <w:r w:rsidR="002922F1">
          <w:rPr>
            <w:noProof/>
            <w:webHidden/>
          </w:rPr>
          <w:fldChar w:fldCharType="end"/>
        </w:r>
      </w:hyperlink>
    </w:p>
    <w:p w14:paraId="4F1643D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2" w:history="1">
        <w:r w:rsidR="002922F1" w:rsidRPr="008E720A">
          <w:rPr>
            <w:rStyle w:val="Hypertextovodkaz"/>
            <w:noProof/>
          </w:rPr>
          <w:t>Graf 39: OS – vyřizování věcí v opatrovnické agendě v letech 2008–2018</w:t>
        </w:r>
        <w:r w:rsidR="002922F1">
          <w:rPr>
            <w:noProof/>
            <w:webHidden/>
          </w:rPr>
          <w:tab/>
        </w:r>
        <w:r w:rsidR="002922F1">
          <w:rPr>
            <w:noProof/>
            <w:webHidden/>
          </w:rPr>
          <w:fldChar w:fldCharType="begin"/>
        </w:r>
        <w:r w:rsidR="002922F1">
          <w:rPr>
            <w:noProof/>
            <w:webHidden/>
          </w:rPr>
          <w:instrText xml:space="preserve"> PAGEREF _Toc13837532 \h </w:instrText>
        </w:r>
        <w:r w:rsidR="002922F1">
          <w:rPr>
            <w:noProof/>
            <w:webHidden/>
          </w:rPr>
        </w:r>
        <w:r w:rsidR="002922F1">
          <w:rPr>
            <w:noProof/>
            <w:webHidden/>
          </w:rPr>
          <w:fldChar w:fldCharType="separate"/>
        </w:r>
        <w:r w:rsidR="00AD732F">
          <w:rPr>
            <w:noProof/>
            <w:webHidden/>
          </w:rPr>
          <w:t>62</w:t>
        </w:r>
        <w:r w:rsidR="002922F1">
          <w:rPr>
            <w:noProof/>
            <w:webHidden/>
          </w:rPr>
          <w:fldChar w:fldCharType="end"/>
        </w:r>
      </w:hyperlink>
    </w:p>
    <w:p w14:paraId="2435A13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3" w:history="1">
        <w:r w:rsidR="002922F1" w:rsidRPr="008E720A">
          <w:rPr>
            <w:rStyle w:val="Hypertextovodkaz"/>
            <w:noProof/>
          </w:rPr>
          <w:t>Graf 40: OS – disposition time v opatrovnické agendě v letech 2008–2018</w:t>
        </w:r>
        <w:r w:rsidR="002922F1">
          <w:rPr>
            <w:noProof/>
            <w:webHidden/>
          </w:rPr>
          <w:tab/>
        </w:r>
        <w:r w:rsidR="002922F1">
          <w:rPr>
            <w:noProof/>
            <w:webHidden/>
          </w:rPr>
          <w:fldChar w:fldCharType="begin"/>
        </w:r>
        <w:r w:rsidR="002922F1">
          <w:rPr>
            <w:noProof/>
            <w:webHidden/>
          </w:rPr>
          <w:instrText xml:space="preserve"> PAGEREF _Toc13837533 \h </w:instrText>
        </w:r>
        <w:r w:rsidR="002922F1">
          <w:rPr>
            <w:noProof/>
            <w:webHidden/>
          </w:rPr>
        </w:r>
        <w:r w:rsidR="002922F1">
          <w:rPr>
            <w:noProof/>
            <w:webHidden/>
          </w:rPr>
          <w:fldChar w:fldCharType="separate"/>
        </w:r>
        <w:r w:rsidR="00AD732F">
          <w:rPr>
            <w:noProof/>
            <w:webHidden/>
          </w:rPr>
          <w:t>63</w:t>
        </w:r>
        <w:r w:rsidR="002922F1">
          <w:rPr>
            <w:noProof/>
            <w:webHidden/>
          </w:rPr>
          <w:fldChar w:fldCharType="end"/>
        </w:r>
      </w:hyperlink>
    </w:p>
    <w:p w14:paraId="38769C7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4" w:history="1">
        <w:r w:rsidR="002922F1" w:rsidRPr="008E720A">
          <w:rPr>
            <w:rStyle w:val="Hypertextovodkaz"/>
            <w:noProof/>
          </w:rPr>
          <w:t>Graf 41: OS – disposition time v opatrovnické agendě u jednotlivých soudů</w:t>
        </w:r>
        <w:r w:rsidR="002922F1">
          <w:rPr>
            <w:noProof/>
            <w:webHidden/>
          </w:rPr>
          <w:tab/>
        </w:r>
        <w:r w:rsidR="002922F1">
          <w:rPr>
            <w:noProof/>
            <w:webHidden/>
          </w:rPr>
          <w:fldChar w:fldCharType="begin"/>
        </w:r>
        <w:r w:rsidR="002922F1">
          <w:rPr>
            <w:noProof/>
            <w:webHidden/>
          </w:rPr>
          <w:instrText xml:space="preserve"> PAGEREF _Toc13837534 \h </w:instrText>
        </w:r>
        <w:r w:rsidR="002922F1">
          <w:rPr>
            <w:noProof/>
            <w:webHidden/>
          </w:rPr>
        </w:r>
        <w:r w:rsidR="002922F1">
          <w:rPr>
            <w:noProof/>
            <w:webHidden/>
          </w:rPr>
          <w:fldChar w:fldCharType="separate"/>
        </w:r>
        <w:r w:rsidR="00AD732F">
          <w:rPr>
            <w:noProof/>
            <w:webHidden/>
          </w:rPr>
          <w:t>64</w:t>
        </w:r>
        <w:r w:rsidR="002922F1">
          <w:rPr>
            <w:noProof/>
            <w:webHidden/>
          </w:rPr>
          <w:fldChar w:fldCharType="end"/>
        </w:r>
      </w:hyperlink>
    </w:p>
    <w:p w14:paraId="395D40C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5" w:history="1">
        <w:r w:rsidR="002922F1" w:rsidRPr="008E720A">
          <w:rPr>
            <w:rStyle w:val="Hypertextovodkaz"/>
            <w:noProof/>
          </w:rPr>
          <w:t>Graf 42: OS – průměrná výše výživného dle povinné osoby v letech 2012–2018</w:t>
        </w:r>
        <w:r w:rsidR="002922F1">
          <w:rPr>
            <w:noProof/>
            <w:webHidden/>
          </w:rPr>
          <w:tab/>
        </w:r>
        <w:r w:rsidR="002922F1">
          <w:rPr>
            <w:noProof/>
            <w:webHidden/>
          </w:rPr>
          <w:fldChar w:fldCharType="begin"/>
        </w:r>
        <w:r w:rsidR="002922F1">
          <w:rPr>
            <w:noProof/>
            <w:webHidden/>
          </w:rPr>
          <w:instrText xml:space="preserve"> PAGEREF _Toc13837535 \h </w:instrText>
        </w:r>
        <w:r w:rsidR="002922F1">
          <w:rPr>
            <w:noProof/>
            <w:webHidden/>
          </w:rPr>
        </w:r>
        <w:r w:rsidR="002922F1">
          <w:rPr>
            <w:noProof/>
            <w:webHidden/>
          </w:rPr>
          <w:fldChar w:fldCharType="separate"/>
        </w:r>
        <w:r w:rsidR="00AD732F">
          <w:rPr>
            <w:noProof/>
            <w:webHidden/>
          </w:rPr>
          <w:t>66</w:t>
        </w:r>
        <w:r w:rsidR="002922F1">
          <w:rPr>
            <w:noProof/>
            <w:webHidden/>
          </w:rPr>
          <w:fldChar w:fldCharType="end"/>
        </w:r>
      </w:hyperlink>
    </w:p>
    <w:p w14:paraId="498AA09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6" w:history="1">
        <w:r w:rsidR="002922F1" w:rsidRPr="008E720A">
          <w:rPr>
            <w:rStyle w:val="Hypertextovodkaz"/>
            <w:noProof/>
          </w:rPr>
          <w:t>Graf 43: OS – podíl na příjmu povinné osoby v letech 2012–2018</w:t>
        </w:r>
        <w:r w:rsidR="002922F1">
          <w:rPr>
            <w:noProof/>
            <w:webHidden/>
          </w:rPr>
          <w:tab/>
        </w:r>
        <w:r w:rsidR="002922F1">
          <w:rPr>
            <w:noProof/>
            <w:webHidden/>
          </w:rPr>
          <w:fldChar w:fldCharType="begin"/>
        </w:r>
        <w:r w:rsidR="002922F1">
          <w:rPr>
            <w:noProof/>
            <w:webHidden/>
          </w:rPr>
          <w:instrText xml:space="preserve"> PAGEREF _Toc13837536 \h </w:instrText>
        </w:r>
        <w:r w:rsidR="002922F1">
          <w:rPr>
            <w:noProof/>
            <w:webHidden/>
          </w:rPr>
        </w:r>
        <w:r w:rsidR="002922F1">
          <w:rPr>
            <w:noProof/>
            <w:webHidden/>
          </w:rPr>
          <w:fldChar w:fldCharType="separate"/>
        </w:r>
        <w:r w:rsidR="00AD732F">
          <w:rPr>
            <w:noProof/>
            <w:webHidden/>
          </w:rPr>
          <w:t>67</w:t>
        </w:r>
        <w:r w:rsidR="002922F1">
          <w:rPr>
            <w:noProof/>
            <w:webHidden/>
          </w:rPr>
          <w:fldChar w:fldCharType="end"/>
        </w:r>
      </w:hyperlink>
    </w:p>
    <w:p w14:paraId="6640286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7" w:history="1">
        <w:r w:rsidR="002922F1" w:rsidRPr="008E720A">
          <w:rPr>
            <w:rStyle w:val="Hypertextovodkaz"/>
            <w:noProof/>
          </w:rPr>
          <w:t>Graf 44: OS – svěřování dítěte do péče</w:t>
        </w:r>
        <w:r w:rsidR="002922F1">
          <w:rPr>
            <w:noProof/>
            <w:webHidden/>
          </w:rPr>
          <w:tab/>
        </w:r>
        <w:r w:rsidR="002922F1">
          <w:rPr>
            <w:noProof/>
            <w:webHidden/>
          </w:rPr>
          <w:fldChar w:fldCharType="begin"/>
        </w:r>
        <w:r w:rsidR="002922F1">
          <w:rPr>
            <w:noProof/>
            <w:webHidden/>
          </w:rPr>
          <w:instrText xml:space="preserve"> PAGEREF _Toc13837537 \h </w:instrText>
        </w:r>
        <w:r w:rsidR="002922F1">
          <w:rPr>
            <w:noProof/>
            <w:webHidden/>
          </w:rPr>
        </w:r>
        <w:r w:rsidR="002922F1">
          <w:rPr>
            <w:noProof/>
            <w:webHidden/>
          </w:rPr>
          <w:fldChar w:fldCharType="separate"/>
        </w:r>
        <w:r w:rsidR="00AD732F">
          <w:rPr>
            <w:noProof/>
            <w:webHidden/>
          </w:rPr>
          <w:t>68</w:t>
        </w:r>
        <w:r w:rsidR="002922F1">
          <w:rPr>
            <w:noProof/>
            <w:webHidden/>
          </w:rPr>
          <w:fldChar w:fldCharType="end"/>
        </w:r>
      </w:hyperlink>
    </w:p>
    <w:p w14:paraId="465A1BC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8" w:history="1">
        <w:r w:rsidR="002922F1" w:rsidRPr="008E720A">
          <w:rPr>
            <w:rStyle w:val="Hypertextovodkaz"/>
            <w:noProof/>
          </w:rPr>
          <w:t>Graf 45: OS – věkové složení dětí v řízení o péči o nezletilé</w:t>
        </w:r>
        <w:r w:rsidR="002922F1">
          <w:rPr>
            <w:noProof/>
            <w:webHidden/>
          </w:rPr>
          <w:tab/>
        </w:r>
        <w:r w:rsidR="002922F1">
          <w:rPr>
            <w:noProof/>
            <w:webHidden/>
          </w:rPr>
          <w:fldChar w:fldCharType="begin"/>
        </w:r>
        <w:r w:rsidR="002922F1">
          <w:rPr>
            <w:noProof/>
            <w:webHidden/>
          </w:rPr>
          <w:instrText xml:space="preserve"> PAGEREF _Toc13837538 \h </w:instrText>
        </w:r>
        <w:r w:rsidR="002922F1">
          <w:rPr>
            <w:noProof/>
            <w:webHidden/>
          </w:rPr>
        </w:r>
        <w:r w:rsidR="002922F1">
          <w:rPr>
            <w:noProof/>
            <w:webHidden/>
          </w:rPr>
          <w:fldChar w:fldCharType="separate"/>
        </w:r>
        <w:r w:rsidR="00AD732F">
          <w:rPr>
            <w:noProof/>
            <w:webHidden/>
          </w:rPr>
          <w:t>69</w:t>
        </w:r>
        <w:r w:rsidR="002922F1">
          <w:rPr>
            <w:noProof/>
            <w:webHidden/>
          </w:rPr>
          <w:fldChar w:fldCharType="end"/>
        </w:r>
      </w:hyperlink>
    </w:p>
    <w:p w14:paraId="09E89BE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39" w:history="1">
        <w:r w:rsidR="002922F1" w:rsidRPr="008E720A">
          <w:rPr>
            <w:rStyle w:val="Hypertextovodkaz"/>
            <w:noProof/>
          </w:rPr>
          <w:t>Graf 46: KS – počet soudců v letech 2008–2018</w:t>
        </w:r>
        <w:r w:rsidR="002922F1">
          <w:rPr>
            <w:noProof/>
            <w:webHidden/>
          </w:rPr>
          <w:tab/>
        </w:r>
        <w:r w:rsidR="002922F1">
          <w:rPr>
            <w:noProof/>
            <w:webHidden/>
          </w:rPr>
          <w:fldChar w:fldCharType="begin"/>
        </w:r>
        <w:r w:rsidR="002922F1">
          <w:rPr>
            <w:noProof/>
            <w:webHidden/>
          </w:rPr>
          <w:instrText xml:space="preserve"> PAGEREF _Toc13837539 \h </w:instrText>
        </w:r>
        <w:r w:rsidR="002922F1">
          <w:rPr>
            <w:noProof/>
            <w:webHidden/>
          </w:rPr>
        </w:r>
        <w:r w:rsidR="002922F1">
          <w:rPr>
            <w:noProof/>
            <w:webHidden/>
          </w:rPr>
          <w:fldChar w:fldCharType="separate"/>
        </w:r>
        <w:r w:rsidR="00AD732F">
          <w:rPr>
            <w:noProof/>
            <w:webHidden/>
          </w:rPr>
          <w:t>71</w:t>
        </w:r>
        <w:r w:rsidR="002922F1">
          <w:rPr>
            <w:noProof/>
            <w:webHidden/>
          </w:rPr>
          <w:fldChar w:fldCharType="end"/>
        </w:r>
      </w:hyperlink>
    </w:p>
    <w:p w14:paraId="3BB0C08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0" w:history="1">
        <w:r w:rsidR="002922F1" w:rsidRPr="008E720A">
          <w:rPr>
            <w:rStyle w:val="Hypertextovodkaz"/>
            <w:noProof/>
          </w:rPr>
          <w:t>Graf 47: KS – evidenční počet soudců dle soudních úseků v letech 2008–2018</w:t>
        </w:r>
        <w:r w:rsidR="002922F1">
          <w:rPr>
            <w:noProof/>
            <w:webHidden/>
          </w:rPr>
          <w:tab/>
        </w:r>
        <w:r w:rsidR="002922F1">
          <w:rPr>
            <w:noProof/>
            <w:webHidden/>
          </w:rPr>
          <w:fldChar w:fldCharType="begin"/>
        </w:r>
        <w:r w:rsidR="002922F1">
          <w:rPr>
            <w:noProof/>
            <w:webHidden/>
          </w:rPr>
          <w:instrText xml:space="preserve"> PAGEREF _Toc13837540 \h </w:instrText>
        </w:r>
        <w:r w:rsidR="002922F1">
          <w:rPr>
            <w:noProof/>
            <w:webHidden/>
          </w:rPr>
        </w:r>
        <w:r w:rsidR="002922F1">
          <w:rPr>
            <w:noProof/>
            <w:webHidden/>
          </w:rPr>
          <w:fldChar w:fldCharType="separate"/>
        </w:r>
        <w:r w:rsidR="00AD732F">
          <w:rPr>
            <w:noProof/>
            <w:webHidden/>
          </w:rPr>
          <w:t>71</w:t>
        </w:r>
        <w:r w:rsidR="002922F1">
          <w:rPr>
            <w:noProof/>
            <w:webHidden/>
          </w:rPr>
          <w:fldChar w:fldCharType="end"/>
        </w:r>
      </w:hyperlink>
    </w:p>
    <w:p w14:paraId="06D616C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1" w:history="1">
        <w:r w:rsidR="002922F1" w:rsidRPr="008E720A">
          <w:rPr>
            <w:rStyle w:val="Hypertextovodkaz"/>
            <w:noProof/>
          </w:rPr>
          <w:t>Graf 48: KS – evidenční počet soudců dle pohlaví v letech 2008–2018</w:t>
        </w:r>
        <w:r w:rsidR="002922F1">
          <w:rPr>
            <w:noProof/>
            <w:webHidden/>
          </w:rPr>
          <w:tab/>
        </w:r>
        <w:r w:rsidR="002922F1">
          <w:rPr>
            <w:noProof/>
            <w:webHidden/>
          </w:rPr>
          <w:fldChar w:fldCharType="begin"/>
        </w:r>
        <w:r w:rsidR="002922F1">
          <w:rPr>
            <w:noProof/>
            <w:webHidden/>
          </w:rPr>
          <w:instrText xml:space="preserve"> PAGEREF _Toc13837541 \h </w:instrText>
        </w:r>
        <w:r w:rsidR="002922F1">
          <w:rPr>
            <w:noProof/>
            <w:webHidden/>
          </w:rPr>
        </w:r>
        <w:r w:rsidR="002922F1">
          <w:rPr>
            <w:noProof/>
            <w:webHidden/>
          </w:rPr>
          <w:fldChar w:fldCharType="separate"/>
        </w:r>
        <w:r w:rsidR="00AD732F">
          <w:rPr>
            <w:noProof/>
            <w:webHidden/>
          </w:rPr>
          <w:t>72</w:t>
        </w:r>
        <w:r w:rsidR="002922F1">
          <w:rPr>
            <w:noProof/>
            <w:webHidden/>
          </w:rPr>
          <w:fldChar w:fldCharType="end"/>
        </w:r>
      </w:hyperlink>
    </w:p>
    <w:p w14:paraId="5E351BD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2" w:history="1">
        <w:r w:rsidR="002922F1" w:rsidRPr="008E720A">
          <w:rPr>
            <w:rStyle w:val="Hypertextovodkaz"/>
            <w:noProof/>
          </w:rPr>
          <w:t>Graf 49: KS – věkové složení soudců v letech 2008–2018</w:t>
        </w:r>
        <w:r w:rsidR="002922F1">
          <w:rPr>
            <w:noProof/>
            <w:webHidden/>
          </w:rPr>
          <w:tab/>
        </w:r>
        <w:r w:rsidR="002922F1">
          <w:rPr>
            <w:noProof/>
            <w:webHidden/>
          </w:rPr>
          <w:fldChar w:fldCharType="begin"/>
        </w:r>
        <w:r w:rsidR="002922F1">
          <w:rPr>
            <w:noProof/>
            <w:webHidden/>
          </w:rPr>
          <w:instrText xml:space="preserve"> PAGEREF _Toc13837542 \h </w:instrText>
        </w:r>
        <w:r w:rsidR="002922F1">
          <w:rPr>
            <w:noProof/>
            <w:webHidden/>
          </w:rPr>
        </w:r>
        <w:r w:rsidR="002922F1">
          <w:rPr>
            <w:noProof/>
            <w:webHidden/>
          </w:rPr>
          <w:fldChar w:fldCharType="separate"/>
        </w:r>
        <w:r w:rsidR="00AD732F">
          <w:rPr>
            <w:noProof/>
            <w:webHidden/>
          </w:rPr>
          <w:t>74</w:t>
        </w:r>
        <w:r w:rsidR="002922F1">
          <w:rPr>
            <w:noProof/>
            <w:webHidden/>
          </w:rPr>
          <w:fldChar w:fldCharType="end"/>
        </w:r>
      </w:hyperlink>
    </w:p>
    <w:p w14:paraId="367B27B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3" w:history="1">
        <w:r w:rsidR="002922F1" w:rsidRPr="008E720A">
          <w:rPr>
            <w:rStyle w:val="Hypertextovodkaz"/>
            <w:noProof/>
          </w:rPr>
          <w:t>Graf 50: KS – délka prvostupňového civilního řízení v letech 2008–2018</w:t>
        </w:r>
        <w:r w:rsidR="002922F1">
          <w:rPr>
            <w:noProof/>
            <w:webHidden/>
          </w:rPr>
          <w:tab/>
        </w:r>
        <w:r w:rsidR="002922F1">
          <w:rPr>
            <w:noProof/>
            <w:webHidden/>
          </w:rPr>
          <w:fldChar w:fldCharType="begin"/>
        </w:r>
        <w:r w:rsidR="002922F1">
          <w:rPr>
            <w:noProof/>
            <w:webHidden/>
          </w:rPr>
          <w:instrText xml:space="preserve"> PAGEREF _Toc13837543 \h </w:instrText>
        </w:r>
        <w:r w:rsidR="002922F1">
          <w:rPr>
            <w:noProof/>
            <w:webHidden/>
          </w:rPr>
        </w:r>
        <w:r w:rsidR="002922F1">
          <w:rPr>
            <w:noProof/>
            <w:webHidden/>
          </w:rPr>
          <w:fldChar w:fldCharType="separate"/>
        </w:r>
        <w:r w:rsidR="00AD732F">
          <w:rPr>
            <w:noProof/>
            <w:webHidden/>
          </w:rPr>
          <w:t>76</w:t>
        </w:r>
        <w:r w:rsidR="002922F1">
          <w:rPr>
            <w:noProof/>
            <w:webHidden/>
          </w:rPr>
          <w:fldChar w:fldCharType="end"/>
        </w:r>
      </w:hyperlink>
    </w:p>
    <w:p w14:paraId="2DAF219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4" w:history="1">
        <w:r w:rsidR="002922F1" w:rsidRPr="008E720A">
          <w:rPr>
            <w:rStyle w:val="Hypertextovodkaz"/>
            <w:noProof/>
          </w:rPr>
          <w:t>Graf 51: KS – distribuce délek prvostupňového civilního řízení</w:t>
        </w:r>
        <w:r w:rsidR="002922F1">
          <w:rPr>
            <w:noProof/>
            <w:webHidden/>
          </w:rPr>
          <w:tab/>
        </w:r>
        <w:r w:rsidR="002922F1">
          <w:rPr>
            <w:noProof/>
            <w:webHidden/>
          </w:rPr>
          <w:fldChar w:fldCharType="begin"/>
        </w:r>
        <w:r w:rsidR="002922F1">
          <w:rPr>
            <w:noProof/>
            <w:webHidden/>
          </w:rPr>
          <w:instrText xml:space="preserve"> PAGEREF _Toc13837544 \h </w:instrText>
        </w:r>
        <w:r w:rsidR="002922F1">
          <w:rPr>
            <w:noProof/>
            <w:webHidden/>
          </w:rPr>
        </w:r>
        <w:r w:rsidR="002922F1">
          <w:rPr>
            <w:noProof/>
            <w:webHidden/>
          </w:rPr>
          <w:fldChar w:fldCharType="separate"/>
        </w:r>
        <w:r w:rsidR="00AD732F">
          <w:rPr>
            <w:noProof/>
            <w:webHidden/>
          </w:rPr>
          <w:t>78</w:t>
        </w:r>
        <w:r w:rsidR="002922F1">
          <w:rPr>
            <w:noProof/>
            <w:webHidden/>
          </w:rPr>
          <w:fldChar w:fldCharType="end"/>
        </w:r>
      </w:hyperlink>
    </w:p>
    <w:p w14:paraId="32A8B21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5" w:history="1">
        <w:r w:rsidR="002922F1" w:rsidRPr="008E720A">
          <w:rPr>
            <w:rStyle w:val="Hypertextovodkaz"/>
            <w:noProof/>
          </w:rPr>
          <w:t>Graf 52: KS – vyřizování prvostupňových civilních věcí v letech 2008–2018</w:t>
        </w:r>
        <w:r w:rsidR="002922F1">
          <w:rPr>
            <w:noProof/>
            <w:webHidden/>
          </w:rPr>
          <w:tab/>
        </w:r>
        <w:r w:rsidR="002922F1">
          <w:rPr>
            <w:noProof/>
            <w:webHidden/>
          </w:rPr>
          <w:fldChar w:fldCharType="begin"/>
        </w:r>
        <w:r w:rsidR="002922F1">
          <w:rPr>
            <w:noProof/>
            <w:webHidden/>
          </w:rPr>
          <w:instrText xml:space="preserve"> PAGEREF _Toc13837545 \h </w:instrText>
        </w:r>
        <w:r w:rsidR="002922F1">
          <w:rPr>
            <w:noProof/>
            <w:webHidden/>
          </w:rPr>
        </w:r>
        <w:r w:rsidR="002922F1">
          <w:rPr>
            <w:noProof/>
            <w:webHidden/>
          </w:rPr>
          <w:fldChar w:fldCharType="separate"/>
        </w:r>
        <w:r w:rsidR="00AD732F">
          <w:rPr>
            <w:noProof/>
            <w:webHidden/>
          </w:rPr>
          <w:t>79</w:t>
        </w:r>
        <w:r w:rsidR="002922F1">
          <w:rPr>
            <w:noProof/>
            <w:webHidden/>
          </w:rPr>
          <w:fldChar w:fldCharType="end"/>
        </w:r>
      </w:hyperlink>
    </w:p>
    <w:p w14:paraId="0CC3F49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6" w:history="1">
        <w:r w:rsidR="002922F1" w:rsidRPr="008E720A">
          <w:rPr>
            <w:rStyle w:val="Hypertextovodkaz"/>
            <w:noProof/>
          </w:rPr>
          <w:t>Graf 53: KS – vyřizování věcí v letech 2008–2018, pouze rejstřík Cm</w:t>
        </w:r>
        <w:r w:rsidR="002922F1">
          <w:rPr>
            <w:noProof/>
            <w:webHidden/>
          </w:rPr>
          <w:tab/>
        </w:r>
        <w:r w:rsidR="002922F1">
          <w:rPr>
            <w:noProof/>
            <w:webHidden/>
          </w:rPr>
          <w:fldChar w:fldCharType="begin"/>
        </w:r>
        <w:r w:rsidR="002922F1">
          <w:rPr>
            <w:noProof/>
            <w:webHidden/>
          </w:rPr>
          <w:instrText xml:space="preserve"> PAGEREF _Toc13837546 \h </w:instrText>
        </w:r>
        <w:r w:rsidR="002922F1">
          <w:rPr>
            <w:noProof/>
            <w:webHidden/>
          </w:rPr>
        </w:r>
        <w:r w:rsidR="002922F1">
          <w:rPr>
            <w:noProof/>
            <w:webHidden/>
          </w:rPr>
          <w:fldChar w:fldCharType="separate"/>
        </w:r>
        <w:r w:rsidR="00AD732F">
          <w:rPr>
            <w:noProof/>
            <w:webHidden/>
          </w:rPr>
          <w:t>80</w:t>
        </w:r>
        <w:r w:rsidR="002922F1">
          <w:rPr>
            <w:noProof/>
            <w:webHidden/>
          </w:rPr>
          <w:fldChar w:fldCharType="end"/>
        </w:r>
      </w:hyperlink>
    </w:p>
    <w:p w14:paraId="548B2A7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7" w:history="1">
        <w:r w:rsidR="002922F1" w:rsidRPr="008E720A">
          <w:rPr>
            <w:rStyle w:val="Hypertextovodkaz"/>
            <w:noProof/>
          </w:rPr>
          <w:t>Graf 54: KS – DT prvostupňového civilního řízení v letech 2008–2018</w:t>
        </w:r>
        <w:r w:rsidR="002922F1">
          <w:rPr>
            <w:noProof/>
            <w:webHidden/>
          </w:rPr>
          <w:tab/>
        </w:r>
        <w:r w:rsidR="002922F1">
          <w:rPr>
            <w:noProof/>
            <w:webHidden/>
          </w:rPr>
          <w:fldChar w:fldCharType="begin"/>
        </w:r>
        <w:r w:rsidR="002922F1">
          <w:rPr>
            <w:noProof/>
            <w:webHidden/>
          </w:rPr>
          <w:instrText xml:space="preserve"> PAGEREF _Toc13837547 \h </w:instrText>
        </w:r>
        <w:r w:rsidR="002922F1">
          <w:rPr>
            <w:noProof/>
            <w:webHidden/>
          </w:rPr>
        </w:r>
        <w:r w:rsidR="002922F1">
          <w:rPr>
            <w:noProof/>
            <w:webHidden/>
          </w:rPr>
          <w:fldChar w:fldCharType="separate"/>
        </w:r>
        <w:r w:rsidR="00AD732F">
          <w:rPr>
            <w:noProof/>
            <w:webHidden/>
          </w:rPr>
          <w:t>81</w:t>
        </w:r>
        <w:r w:rsidR="002922F1">
          <w:rPr>
            <w:noProof/>
            <w:webHidden/>
          </w:rPr>
          <w:fldChar w:fldCharType="end"/>
        </w:r>
      </w:hyperlink>
    </w:p>
    <w:p w14:paraId="79E8B00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8" w:history="1">
        <w:r w:rsidR="002922F1" w:rsidRPr="008E720A">
          <w:rPr>
            <w:rStyle w:val="Hypertextovodkaz"/>
            <w:noProof/>
          </w:rPr>
          <w:t>Graf 55: KS – délka odvolacího civilního řízení v letech 2010–2018</w:t>
        </w:r>
        <w:r w:rsidR="002922F1">
          <w:rPr>
            <w:noProof/>
            <w:webHidden/>
          </w:rPr>
          <w:tab/>
        </w:r>
        <w:r w:rsidR="002922F1">
          <w:rPr>
            <w:noProof/>
            <w:webHidden/>
          </w:rPr>
          <w:fldChar w:fldCharType="begin"/>
        </w:r>
        <w:r w:rsidR="002922F1">
          <w:rPr>
            <w:noProof/>
            <w:webHidden/>
          </w:rPr>
          <w:instrText xml:space="preserve"> PAGEREF _Toc13837548 \h </w:instrText>
        </w:r>
        <w:r w:rsidR="002922F1">
          <w:rPr>
            <w:noProof/>
            <w:webHidden/>
          </w:rPr>
        </w:r>
        <w:r w:rsidR="002922F1">
          <w:rPr>
            <w:noProof/>
            <w:webHidden/>
          </w:rPr>
          <w:fldChar w:fldCharType="separate"/>
        </w:r>
        <w:r w:rsidR="00AD732F">
          <w:rPr>
            <w:noProof/>
            <w:webHidden/>
          </w:rPr>
          <w:t>86</w:t>
        </w:r>
        <w:r w:rsidR="002922F1">
          <w:rPr>
            <w:noProof/>
            <w:webHidden/>
          </w:rPr>
          <w:fldChar w:fldCharType="end"/>
        </w:r>
      </w:hyperlink>
    </w:p>
    <w:p w14:paraId="6EB6017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49" w:history="1">
        <w:r w:rsidR="002922F1" w:rsidRPr="008E720A">
          <w:rPr>
            <w:rStyle w:val="Hypertextovodkaz"/>
            <w:noProof/>
          </w:rPr>
          <w:t>Graf 56: KS – distribuce délek odvolacího civilního řízení</w:t>
        </w:r>
        <w:r w:rsidR="002922F1">
          <w:rPr>
            <w:noProof/>
            <w:webHidden/>
          </w:rPr>
          <w:tab/>
        </w:r>
        <w:r w:rsidR="002922F1">
          <w:rPr>
            <w:noProof/>
            <w:webHidden/>
          </w:rPr>
          <w:fldChar w:fldCharType="begin"/>
        </w:r>
        <w:r w:rsidR="002922F1">
          <w:rPr>
            <w:noProof/>
            <w:webHidden/>
          </w:rPr>
          <w:instrText xml:space="preserve"> PAGEREF _Toc13837549 \h </w:instrText>
        </w:r>
        <w:r w:rsidR="002922F1">
          <w:rPr>
            <w:noProof/>
            <w:webHidden/>
          </w:rPr>
        </w:r>
        <w:r w:rsidR="002922F1">
          <w:rPr>
            <w:noProof/>
            <w:webHidden/>
          </w:rPr>
          <w:fldChar w:fldCharType="separate"/>
        </w:r>
        <w:r w:rsidR="00AD732F">
          <w:rPr>
            <w:noProof/>
            <w:webHidden/>
          </w:rPr>
          <w:t>88</w:t>
        </w:r>
        <w:r w:rsidR="002922F1">
          <w:rPr>
            <w:noProof/>
            <w:webHidden/>
          </w:rPr>
          <w:fldChar w:fldCharType="end"/>
        </w:r>
      </w:hyperlink>
    </w:p>
    <w:p w14:paraId="5763150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0" w:history="1">
        <w:r w:rsidR="002922F1" w:rsidRPr="008E720A">
          <w:rPr>
            <w:rStyle w:val="Hypertextovodkaz"/>
            <w:noProof/>
          </w:rPr>
          <w:t>Graf 57: KS – vyřizování odvolacích civilních věcí v letech 2008–2018</w:t>
        </w:r>
        <w:r w:rsidR="002922F1">
          <w:rPr>
            <w:noProof/>
            <w:webHidden/>
          </w:rPr>
          <w:tab/>
        </w:r>
        <w:r w:rsidR="002922F1">
          <w:rPr>
            <w:noProof/>
            <w:webHidden/>
          </w:rPr>
          <w:fldChar w:fldCharType="begin"/>
        </w:r>
        <w:r w:rsidR="002922F1">
          <w:rPr>
            <w:noProof/>
            <w:webHidden/>
          </w:rPr>
          <w:instrText xml:space="preserve"> PAGEREF _Toc13837550 \h </w:instrText>
        </w:r>
        <w:r w:rsidR="002922F1">
          <w:rPr>
            <w:noProof/>
            <w:webHidden/>
          </w:rPr>
        </w:r>
        <w:r w:rsidR="002922F1">
          <w:rPr>
            <w:noProof/>
            <w:webHidden/>
          </w:rPr>
          <w:fldChar w:fldCharType="separate"/>
        </w:r>
        <w:r w:rsidR="00AD732F">
          <w:rPr>
            <w:noProof/>
            <w:webHidden/>
          </w:rPr>
          <w:t>89</w:t>
        </w:r>
        <w:r w:rsidR="002922F1">
          <w:rPr>
            <w:noProof/>
            <w:webHidden/>
          </w:rPr>
          <w:fldChar w:fldCharType="end"/>
        </w:r>
      </w:hyperlink>
    </w:p>
    <w:p w14:paraId="0F2BD0C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1" w:history="1">
        <w:r w:rsidR="002922F1" w:rsidRPr="008E720A">
          <w:rPr>
            <w:rStyle w:val="Hypertextovodkaz"/>
            <w:noProof/>
          </w:rPr>
          <w:t>Graf 58: KS – DT odvolacího civilního řízení v letech 2008–2018</w:t>
        </w:r>
        <w:r w:rsidR="002922F1">
          <w:rPr>
            <w:noProof/>
            <w:webHidden/>
          </w:rPr>
          <w:tab/>
        </w:r>
        <w:r w:rsidR="002922F1">
          <w:rPr>
            <w:noProof/>
            <w:webHidden/>
          </w:rPr>
          <w:fldChar w:fldCharType="begin"/>
        </w:r>
        <w:r w:rsidR="002922F1">
          <w:rPr>
            <w:noProof/>
            <w:webHidden/>
          </w:rPr>
          <w:instrText xml:space="preserve"> PAGEREF _Toc13837551 \h </w:instrText>
        </w:r>
        <w:r w:rsidR="002922F1">
          <w:rPr>
            <w:noProof/>
            <w:webHidden/>
          </w:rPr>
        </w:r>
        <w:r w:rsidR="002922F1">
          <w:rPr>
            <w:noProof/>
            <w:webHidden/>
          </w:rPr>
          <w:fldChar w:fldCharType="separate"/>
        </w:r>
        <w:r w:rsidR="00AD732F">
          <w:rPr>
            <w:noProof/>
            <w:webHidden/>
          </w:rPr>
          <w:t>91</w:t>
        </w:r>
        <w:r w:rsidR="002922F1">
          <w:rPr>
            <w:noProof/>
            <w:webHidden/>
          </w:rPr>
          <w:fldChar w:fldCharType="end"/>
        </w:r>
      </w:hyperlink>
    </w:p>
    <w:p w14:paraId="1EF4D3C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2" w:history="1">
        <w:r w:rsidR="002922F1" w:rsidRPr="008E720A">
          <w:rPr>
            <w:rStyle w:val="Hypertextovodkaz"/>
            <w:noProof/>
          </w:rPr>
          <w:t>Graf 59: KS – délka prvostupňového trestního řízení v letech 2008–2018</w:t>
        </w:r>
        <w:r w:rsidR="002922F1">
          <w:rPr>
            <w:noProof/>
            <w:webHidden/>
          </w:rPr>
          <w:tab/>
        </w:r>
        <w:r w:rsidR="002922F1">
          <w:rPr>
            <w:noProof/>
            <w:webHidden/>
          </w:rPr>
          <w:fldChar w:fldCharType="begin"/>
        </w:r>
        <w:r w:rsidR="002922F1">
          <w:rPr>
            <w:noProof/>
            <w:webHidden/>
          </w:rPr>
          <w:instrText xml:space="preserve"> PAGEREF _Toc13837552 \h </w:instrText>
        </w:r>
        <w:r w:rsidR="002922F1">
          <w:rPr>
            <w:noProof/>
            <w:webHidden/>
          </w:rPr>
        </w:r>
        <w:r w:rsidR="002922F1">
          <w:rPr>
            <w:noProof/>
            <w:webHidden/>
          </w:rPr>
          <w:fldChar w:fldCharType="separate"/>
        </w:r>
        <w:r w:rsidR="00AD732F">
          <w:rPr>
            <w:noProof/>
            <w:webHidden/>
          </w:rPr>
          <w:t>92</w:t>
        </w:r>
        <w:r w:rsidR="002922F1">
          <w:rPr>
            <w:noProof/>
            <w:webHidden/>
          </w:rPr>
          <w:fldChar w:fldCharType="end"/>
        </w:r>
      </w:hyperlink>
    </w:p>
    <w:p w14:paraId="316C8A2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3" w:history="1">
        <w:r w:rsidR="002922F1" w:rsidRPr="008E720A">
          <w:rPr>
            <w:rStyle w:val="Hypertextovodkaz"/>
            <w:noProof/>
          </w:rPr>
          <w:t>Graf 60: KS – distribuce délek prvostupňového trestního řízení</w:t>
        </w:r>
        <w:r w:rsidR="002922F1">
          <w:rPr>
            <w:noProof/>
            <w:webHidden/>
          </w:rPr>
          <w:tab/>
        </w:r>
        <w:r w:rsidR="002922F1">
          <w:rPr>
            <w:noProof/>
            <w:webHidden/>
          </w:rPr>
          <w:fldChar w:fldCharType="begin"/>
        </w:r>
        <w:r w:rsidR="002922F1">
          <w:rPr>
            <w:noProof/>
            <w:webHidden/>
          </w:rPr>
          <w:instrText xml:space="preserve"> PAGEREF _Toc13837553 \h </w:instrText>
        </w:r>
        <w:r w:rsidR="002922F1">
          <w:rPr>
            <w:noProof/>
            <w:webHidden/>
          </w:rPr>
        </w:r>
        <w:r w:rsidR="002922F1">
          <w:rPr>
            <w:noProof/>
            <w:webHidden/>
          </w:rPr>
          <w:fldChar w:fldCharType="separate"/>
        </w:r>
        <w:r w:rsidR="00AD732F">
          <w:rPr>
            <w:noProof/>
            <w:webHidden/>
          </w:rPr>
          <w:t>95</w:t>
        </w:r>
        <w:r w:rsidR="002922F1">
          <w:rPr>
            <w:noProof/>
            <w:webHidden/>
          </w:rPr>
          <w:fldChar w:fldCharType="end"/>
        </w:r>
      </w:hyperlink>
    </w:p>
    <w:p w14:paraId="2BFDABE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4" w:history="1">
        <w:r w:rsidR="002922F1" w:rsidRPr="008E720A">
          <w:rPr>
            <w:rStyle w:val="Hypertextovodkaz"/>
            <w:noProof/>
          </w:rPr>
          <w:t>Graf 61: KS – vyřizování prvostupňových trestních věcí v letech 2008–2018</w:t>
        </w:r>
        <w:r w:rsidR="002922F1">
          <w:rPr>
            <w:noProof/>
            <w:webHidden/>
          </w:rPr>
          <w:tab/>
        </w:r>
        <w:r w:rsidR="002922F1">
          <w:rPr>
            <w:noProof/>
            <w:webHidden/>
          </w:rPr>
          <w:fldChar w:fldCharType="begin"/>
        </w:r>
        <w:r w:rsidR="002922F1">
          <w:rPr>
            <w:noProof/>
            <w:webHidden/>
          </w:rPr>
          <w:instrText xml:space="preserve"> PAGEREF _Toc13837554 \h </w:instrText>
        </w:r>
        <w:r w:rsidR="002922F1">
          <w:rPr>
            <w:noProof/>
            <w:webHidden/>
          </w:rPr>
        </w:r>
        <w:r w:rsidR="002922F1">
          <w:rPr>
            <w:noProof/>
            <w:webHidden/>
          </w:rPr>
          <w:fldChar w:fldCharType="separate"/>
        </w:r>
        <w:r w:rsidR="00AD732F">
          <w:rPr>
            <w:noProof/>
            <w:webHidden/>
          </w:rPr>
          <w:t>95</w:t>
        </w:r>
        <w:r w:rsidR="002922F1">
          <w:rPr>
            <w:noProof/>
            <w:webHidden/>
          </w:rPr>
          <w:fldChar w:fldCharType="end"/>
        </w:r>
      </w:hyperlink>
    </w:p>
    <w:p w14:paraId="3DB78DD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5" w:history="1">
        <w:r w:rsidR="002922F1" w:rsidRPr="008E720A">
          <w:rPr>
            <w:rStyle w:val="Hypertextovodkaz"/>
            <w:noProof/>
          </w:rPr>
          <w:t>Graf 62: KS – DT prvostupňového trestního řízení v letech 2008–2018</w:t>
        </w:r>
        <w:r w:rsidR="002922F1">
          <w:rPr>
            <w:noProof/>
            <w:webHidden/>
          </w:rPr>
          <w:tab/>
        </w:r>
        <w:r w:rsidR="002922F1">
          <w:rPr>
            <w:noProof/>
            <w:webHidden/>
          </w:rPr>
          <w:fldChar w:fldCharType="begin"/>
        </w:r>
        <w:r w:rsidR="002922F1">
          <w:rPr>
            <w:noProof/>
            <w:webHidden/>
          </w:rPr>
          <w:instrText xml:space="preserve"> PAGEREF _Toc13837555 \h </w:instrText>
        </w:r>
        <w:r w:rsidR="002922F1">
          <w:rPr>
            <w:noProof/>
            <w:webHidden/>
          </w:rPr>
        </w:r>
        <w:r w:rsidR="002922F1">
          <w:rPr>
            <w:noProof/>
            <w:webHidden/>
          </w:rPr>
          <w:fldChar w:fldCharType="separate"/>
        </w:r>
        <w:r w:rsidR="00AD732F">
          <w:rPr>
            <w:noProof/>
            <w:webHidden/>
          </w:rPr>
          <w:t>97</w:t>
        </w:r>
        <w:r w:rsidR="002922F1">
          <w:rPr>
            <w:noProof/>
            <w:webHidden/>
          </w:rPr>
          <w:fldChar w:fldCharType="end"/>
        </w:r>
      </w:hyperlink>
    </w:p>
    <w:p w14:paraId="45C82B7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6" w:history="1">
        <w:r w:rsidR="002922F1" w:rsidRPr="008E720A">
          <w:rPr>
            <w:rStyle w:val="Hypertextovodkaz"/>
            <w:noProof/>
          </w:rPr>
          <w:t>Graf 63: KS – délka odvolacího trestního řízení v letech 2008–2018</w:t>
        </w:r>
        <w:r w:rsidR="002922F1">
          <w:rPr>
            <w:noProof/>
            <w:webHidden/>
          </w:rPr>
          <w:tab/>
        </w:r>
        <w:r w:rsidR="002922F1">
          <w:rPr>
            <w:noProof/>
            <w:webHidden/>
          </w:rPr>
          <w:fldChar w:fldCharType="begin"/>
        </w:r>
        <w:r w:rsidR="002922F1">
          <w:rPr>
            <w:noProof/>
            <w:webHidden/>
          </w:rPr>
          <w:instrText xml:space="preserve"> PAGEREF _Toc13837556 \h </w:instrText>
        </w:r>
        <w:r w:rsidR="002922F1">
          <w:rPr>
            <w:noProof/>
            <w:webHidden/>
          </w:rPr>
        </w:r>
        <w:r w:rsidR="002922F1">
          <w:rPr>
            <w:noProof/>
            <w:webHidden/>
          </w:rPr>
          <w:fldChar w:fldCharType="separate"/>
        </w:r>
        <w:r w:rsidR="00AD732F">
          <w:rPr>
            <w:noProof/>
            <w:webHidden/>
          </w:rPr>
          <w:t>101</w:t>
        </w:r>
        <w:r w:rsidR="002922F1">
          <w:rPr>
            <w:noProof/>
            <w:webHidden/>
          </w:rPr>
          <w:fldChar w:fldCharType="end"/>
        </w:r>
      </w:hyperlink>
    </w:p>
    <w:p w14:paraId="2B3787D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7" w:history="1">
        <w:r w:rsidR="002922F1" w:rsidRPr="008E720A">
          <w:rPr>
            <w:rStyle w:val="Hypertextovodkaz"/>
            <w:noProof/>
          </w:rPr>
          <w:t>Graf 64: KS – distribuce délek trestního odvolacího řízení</w:t>
        </w:r>
        <w:r w:rsidR="002922F1">
          <w:rPr>
            <w:noProof/>
            <w:webHidden/>
          </w:rPr>
          <w:tab/>
        </w:r>
        <w:r w:rsidR="002922F1">
          <w:rPr>
            <w:noProof/>
            <w:webHidden/>
          </w:rPr>
          <w:fldChar w:fldCharType="begin"/>
        </w:r>
        <w:r w:rsidR="002922F1">
          <w:rPr>
            <w:noProof/>
            <w:webHidden/>
          </w:rPr>
          <w:instrText xml:space="preserve"> PAGEREF _Toc13837557 \h </w:instrText>
        </w:r>
        <w:r w:rsidR="002922F1">
          <w:rPr>
            <w:noProof/>
            <w:webHidden/>
          </w:rPr>
        </w:r>
        <w:r w:rsidR="002922F1">
          <w:rPr>
            <w:noProof/>
            <w:webHidden/>
          </w:rPr>
          <w:fldChar w:fldCharType="separate"/>
        </w:r>
        <w:r w:rsidR="00AD732F">
          <w:rPr>
            <w:noProof/>
            <w:webHidden/>
          </w:rPr>
          <w:t>102</w:t>
        </w:r>
        <w:r w:rsidR="002922F1">
          <w:rPr>
            <w:noProof/>
            <w:webHidden/>
          </w:rPr>
          <w:fldChar w:fldCharType="end"/>
        </w:r>
      </w:hyperlink>
    </w:p>
    <w:p w14:paraId="0C61F06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8" w:history="1">
        <w:r w:rsidR="002922F1" w:rsidRPr="008E720A">
          <w:rPr>
            <w:rStyle w:val="Hypertextovodkaz"/>
            <w:noProof/>
          </w:rPr>
          <w:t>Graf 65: KS – vyřizování odvolacích trestních věcí v letech 2008–2018</w:t>
        </w:r>
        <w:r w:rsidR="002922F1">
          <w:rPr>
            <w:noProof/>
            <w:webHidden/>
          </w:rPr>
          <w:tab/>
        </w:r>
        <w:r w:rsidR="002922F1">
          <w:rPr>
            <w:noProof/>
            <w:webHidden/>
          </w:rPr>
          <w:fldChar w:fldCharType="begin"/>
        </w:r>
        <w:r w:rsidR="002922F1">
          <w:rPr>
            <w:noProof/>
            <w:webHidden/>
          </w:rPr>
          <w:instrText xml:space="preserve"> PAGEREF _Toc13837558 \h </w:instrText>
        </w:r>
        <w:r w:rsidR="002922F1">
          <w:rPr>
            <w:noProof/>
            <w:webHidden/>
          </w:rPr>
        </w:r>
        <w:r w:rsidR="002922F1">
          <w:rPr>
            <w:noProof/>
            <w:webHidden/>
          </w:rPr>
          <w:fldChar w:fldCharType="separate"/>
        </w:r>
        <w:r w:rsidR="00AD732F">
          <w:rPr>
            <w:noProof/>
            <w:webHidden/>
          </w:rPr>
          <w:t>103</w:t>
        </w:r>
        <w:r w:rsidR="002922F1">
          <w:rPr>
            <w:noProof/>
            <w:webHidden/>
          </w:rPr>
          <w:fldChar w:fldCharType="end"/>
        </w:r>
      </w:hyperlink>
    </w:p>
    <w:p w14:paraId="2450A85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59" w:history="1">
        <w:r w:rsidR="002922F1" w:rsidRPr="008E720A">
          <w:rPr>
            <w:rStyle w:val="Hypertextovodkaz"/>
            <w:noProof/>
          </w:rPr>
          <w:t>Graf 66: KS – DT odvolacího trestního řízení v letech 2008–2018</w:t>
        </w:r>
        <w:r w:rsidR="002922F1">
          <w:rPr>
            <w:noProof/>
            <w:webHidden/>
          </w:rPr>
          <w:tab/>
        </w:r>
        <w:r w:rsidR="002922F1">
          <w:rPr>
            <w:noProof/>
            <w:webHidden/>
          </w:rPr>
          <w:fldChar w:fldCharType="begin"/>
        </w:r>
        <w:r w:rsidR="002922F1">
          <w:rPr>
            <w:noProof/>
            <w:webHidden/>
          </w:rPr>
          <w:instrText xml:space="preserve"> PAGEREF _Toc13837559 \h </w:instrText>
        </w:r>
        <w:r w:rsidR="002922F1">
          <w:rPr>
            <w:noProof/>
            <w:webHidden/>
          </w:rPr>
        </w:r>
        <w:r w:rsidR="002922F1">
          <w:rPr>
            <w:noProof/>
            <w:webHidden/>
          </w:rPr>
          <w:fldChar w:fldCharType="separate"/>
        </w:r>
        <w:r w:rsidR="00AD732F">
          <w:rPr>
            <w:noProof/>
            <w:webHidden/>
          </w:rPr>
          <w:t>104</w:t>
        </w:r>
        <w:r w:rsidR="002922F1">
          <w:rPr>
            <w:noProof/>
            <w:webHidden/>
          </w:rPr>
          <w:fldChar w:fldCharType="end"/>
        </w:r>
      </w:hyperlink>
    </w:p>
    <w:p w14:paraId="4555D96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0" w:history="1">
        <w:r w:rsidR="002922F1" w:rsidRPr="008E720A">
          <w:rPr>
            <w:rStyle w:val="Hypertextovodkaz"/>
            <w:noProof/>
          </w:rPr>
          <w:t>Graf 67: KS – délka správního řízení u KS v letech 2008–2018</w:t>
        </w:r>
        <w:r w:rsidR="002922F1">
          <w:rPr>
            <w:noProof/>
            <w:webHidden/>
          </w:rPr>
          <w:tab/>
        </w:r>
        <w:r w:rsidR="002922F1">
          <w:rPr>
            <w:noProof/>
            <w:webHidden/>
          </w:rPr>
          <w:fldChar w:fldCharType="begin"/>
        </w:r>
        <w:r w:rsidR="002922F1">
          <w:rPr>
            <w:noProof/>
            <w:webHidden/>
          </w:rPr>
          <w:instrText xml:space="preserve"> PAGEREF _Toc13837560 \h </w:instrText>
        </w:r>
        <w:r w:rsidR="002922F1">
          <w:rPr>
            <w:noProof/>
            <w:webHidden/>
          </w:rPr>
        </w:r>
        <w:r w:rsidR="002922F1">
          <w:rPr>
            <w:noProof/>
            <w:webHidden/>
          </w:rPr>
          <w:fldChar w:fldCharType="separate"/>
        </w:r>
        <w:r w:rsidR="00AD732F">
          <w:rPr>
            <w:noProof/>
            <w:webHidden/>
          </w:rPr>
          <w:t>105</w:t>
        </w:r>
        <w:r w:rsidR="002922F1">
          <w:rPr>
            <w:noProof/>
            <w:webHidden/>
          </w:rPr>
          <w:fldChar w:fldCharType="end"/>
        </w:r>
      </w:hyperlink>
    </w:p>
    <w:p w14:paraId="09833F0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1" w:history="1">
        <w:r w:rsidR="002922F1" w:rsidRPr="008E720A">
          <w:rPr>
            <w:rStyle w:val="Hypertextovodkaz"/>
            <w:noProof/>
          </w:rPr>
          <w:t>Graf 68: KS – distribuce délek správního řízení</w:t>
        </w:r>
        <w:r w:rsidR="002922F1">
          <w:rPr>
            <w:noProof/>
            <w:webHidden/>
          </w:rPr>
          <w:tab/>
        </w:r>
        <w:r w:rsidR="002922F1">
          <w:rPr>
            <w:noProof/>
            <w:webHidden/>
          </w:rPr>
          <w:fldChar w:fldCharType="begin"/>
        </w:r>
        <w:r w:rsidR="002922F1">
          <w:rPr>
            <w:noProof/>
            <w:webHidden/>
          </w:rPr>
          <w:instrText xml:space="preserve"> PAGEREF _Toc13837561 \h </w:instrText>
        </w:r>
        <w:r w:rsidR="002922F1">
          <w:rPr>
            <w:noProof/>
            <w:webHidden/>
          </w:rPr>
        </w:r>
        <w:r w:rsidR="002922F1">
          <w:rPr>
            <w:noProof/>
            <w:webHidden/>
          </w:rPr>
          <w:fldChar w:fldCharType="separate"/>
        </w:r>
        <w:r w:rsidR="00AD732F">
          <w:rPr>
            <w:noProof/>
            <w:webHidden/>
          </w:rPr>
          <w:t>106</w:t>
        </w:r>
        <w:r w:rsidR="002922F1">
          <w:rPr>
            <w:noProof/>
            <w:webHidden/>
          </w:rPr>
          <w:fldChar w:fldCharType="end"/>
        </w:r>
      </w:hyperlink>
    </w:p>
    <w:p w14:paraId="0B15E93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2" w:history="1">
        <w:r w:rsidR="002922F1" w:rsidRPr="008E720A">
          <w:rPr>
            <w:rStyle w:val="Hypertextovodkaz"/>
            <w:noProof/>
          </w:rPr>
          <w:t>Graf 69: KS – vyřizování správních věcí v letech 2008–2018</w:t>
        </w:r>
        <w:r w:rsidR="002922F1">
          <w:rPr>
            <w:noProof/>
            <w:webHidden/>
          </w:rPr>
          <w:tab/>
        </w:r>
        <w:r w:rsidR="002922F1">
          <w:rPr>
            <w:noProof/>
            <w:webHidden/>
          </w:rPr>
          <w:fldChar w:fldCharType="begin"/>
        </w:r>
        <w:r w:rsidR="002922F1">
          <w:rPr>
            <w:noProof/>
            <w:webHidden/>
          </w:rPr>
          <w:instrText xml:space="preserve"> PAGEREF _Toc13837562 \h </w:instrText>
        </w:r>
        <w:r w:rsidR="002922F1">
          <w:rPr>
            <w:noProof/>
            <w:webHidden/>
          </w:rPr>
        </w:r>
        <w:r w:rsidR="002922F1">
          <w:rPr>
            <w:noProof/>
            <w:webHidden/>
          </w:rPr>
          <w:fldChar w:fldCharType="separate"/>
        </w:r>
        <w:r w:rsidR="00AD732F">
          <w:rPr>
            <w:noProof/>
            <w:webHidden/>
          </w:rPr>
          <w:t>107</w:t>
        </w:r>
        <w:r w:rsidR="002922F1">
          <w:rPr>
            <w:noProof/>
            <w:webHidden/>
          </w:rPr>
          <w:fldChar w:fldCharType="end"/>
        </w:r>
      </w:hyperlink>
    </w:p>
    <w:p w14:paraId="62A12F4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3" w:history="1">
        <w:r w:rsidR="002922F1" w:rsidRPr="008E720A">
          <w:rPr>
            <w:rStyle w:val="Hypertextovodkaz"/>
            <w:noProof/>
          </w:rPr>
          <w:t>Graf 70: KS – vývoj počtu příchozích věcí dle agend správního soudnictví</w:t>
        </w:r>
        <w:r w:rsidR="002922F1">
          <w:rPr>
            <w:noProof/>
            <w:webHidden/>
          </w:rPr>
          <w:tab/>
        </w:r>
        <w:r w:rsidR="002922F1">
          <w:rPr>
            <w:noProof/>
            <w:webHidden/>
          </w:rPr>
          <w:fldChar w:fldCharType="begin"/>
        </w:r>
        <w:r w:rsidR="002922F1">
          <w:rPr>
            <w:noProof/>
            <w:webHidden/>
          </w:rPr>
          <w:instrText xml:space="preserve"> PAGEREF _Toc13837563 \h </w:instrText>
        </w:r>
        <w:r w:rsidR="002922F1">
          <w:rPr>
            <w:noProof/>
            <w:webHidden/>
          </w:rPr>
        </w:r>
        <w:r w:rsidR="002922F1">
          <w:rPr>
            <w:noProof/>
            <w:webHidden/>
          </w:rPr>
          <w:fldChar w:fldCharType="separate"/>
        </w:r>
        <w:r w:rsidR="00AD732F">
          <w:rPr>
            <w:noProof/>
            <w:webHidden/>
          </w:rPr>
          <w:t>108</w:t>
        </w:r>
        <w:r w:rsidR="002922F1">
          <w:rPr>
            <w:noProof/>
            <w:webHidden/>
          </w:rPr>
          <w:fldChar w:fldCharType="end"/>
        </w:r>
      </w:hyperlink>
    </w:p>
    <w:p w14:paraId="5CA0D05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4" w:history="1">
        <w:r w:rsidR="002922F1" w:rsidRPr="008E720A">
          <w:rPr>
            <w:rStyle w:val="Hypertextovodkaz"/>
            <w:noProof/>
          </w:rPr>
          <w:t>Graf 71: KS – DT správního řízení v letech 2008–2018</w:t>
        </w:r>
        <w:r w:rsidR="002922F1">
          <w:rPr>
            <w:noProof/>
            <w:webHidden/>
          </w:rPr>
          <w:tab/>
        </w:r>
        <w:r w:rsidR="002922F1">
          <w:rPr>
            <w:noProof/>
            <w:webHidden/>
          </w:rPr>
          <w:fldChar w:fldCharType="begin"/>
        </w:r>
        <w:r w:rsidR="002922F1">
          <w:rPr>
            <w:noProof/>
            <w:webHidden/>
          </w:rPr>
          <w:instrText xml:space="preserve"> PAGEREF _Toc13837564 \h </w:instrText>
        </w:r>
        <w:r w:rsidR="002922F1">
          <w:rPr>
            <w:noProof/>
            <w:webHidden/>
          </w:rPr>
        </w:r>
        <w:r w:rsidR="002922F1">
          <w:rPr>
            <w:noProof/>
            <w:webHidden/>
          </w:rPr>
          <w:fldChar w:fldCharType="separate"/>
        </w:r>
        <w:r w:rsidR="00AD732F">
          <w:rPr>
            <w:noProof/>
            <w:webHidden/>
          </w:rPr>
          <w:t>110</w:t>
        </w:r>
        <w:r w:rsidR="002922F1">
          <w:rPr>
            <w:noProof/>
            <w:webHidden/>
          </w:rPr>
          <w:fldChar w:fldCharType="end"/>
        </w:r>
      </w:hyperlink>
    </w:p>
    <w:p w14:paraId="2065E0B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5" w:history="1">
        <w:r w:rsidR="002922F1" w:rsidRPr="008E720A">
          <w:rPr>
            <w:rStyle w:val="Hypertextovodkaz"/>
            <w:noProof/>
          </w:rPr>
          <w:t>Graf 72: KS – délka insolvenčního řízení v letech 2008–2018</w:t>
        </w:r>
        <w:r w:rsidR="002922F1">
          <w:rPr>
            <w:noProof/>
            <w:webHidden/>
          </w:rPr>
          <w:tab/>
        </w:r>
        <w:r w:rsidR="002922F1">
          <w:rPr>
            <w:noProof/>
            <w:webHidden/>
          </w:rPr>
          <w:fldChar w:fldCharType="begin"/>
        </w:r>
        <w:r w:rsidR="002922F1">
          <w:rPr>
            <w:noProof/>
            <w:webHidden/>
          </w:rPr>
          <w:instrText xml:space="preserve"> PAGEREF _Toc13837565 \h </w:instrText>
        </w:r>
        <w:r w:rsidR="002922F1">
          <w:rPr>
            <w:noProof/>
            <w:webHidden/>
          </w:rPr>
        </w:r>
        <w:r w:rsidR="002922F1">
          <w:rPr>
            <w:noProof/>
            <w:webHidden/>
          </w:rPr>
          <w:fldChar w:fldCharType="separate"/>
        </w:r>
        <w:r w:rsidR="00AD732F">
          <w:rPr>
            <w:noProof/>
            <w:webHidden/>
          </w:rPr>
          <w:t>113</w:t>
        </w:r>
        <w:r w:rsidR="002922F1">
          <w:rPr>
            <w:noProof/>
            <w:webHidden/>
          </w:rPr>
          <w:fldChar w:fldCharType="end"/>
        </w:r>
      </w:hyperlink>
    </w:p>
    <w:p w14:paraId="7F69B18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6" w:history="1">
        <w:r w:rsidR="002922F1" w:rsidRPr="008E720A">
          <w:rPr>
            <w:rStyle w:val="Hypertextovodkaz"/>
            <w:noProof/>
          </w:rPr>
          <w:t>Graf 73: KS – délka druhé fáze insolvenčního řízení u PO v letech 2010–2018</w:t>
        </w:r>
        <w:r w:rsidR="002922F1">
          <w:rPr>
            <w:noProof/>
            <w:webHidden/>
          </w:rPr>
          <w:tab/>
        </w:r>
        <w:r w:rsidR="002922F1">
          <w:rPr>
            <w:noProof/>
            <w:webHidden/>
          </w:rPr>
          <w:fldChar w:fldCharType="begin"/>
        </w:r>
        <w:r w:rsidR="002922F1">
          <w:rPr>
            <w:noProof/>
            <w:webHidden/>
          </w:rPr>
          <w:instrText xml:space="preserve"> PAGEREF _Toc13837566 \h </w:instrText>
        </w:r>
        <w:r w:rsidR="002922F1">
          <w:rPr>
            <w:noProof/>
            <w:webHidden/>
          </w:rPr>
        </w:r>
        <w:r w:rsidR="002922F1">
          <w:rPr>
            <w:noProof/>
            <w:webHidden/>
          </w:rPr>
          <w:fldChar w:fldCharType="separate"/>
        </w:r>
        <w:r w:rsidR="00AD732F">
          <w:rPr>
            <w:noProof/>
            <w:webHidden/>
          </w:rPr>
          <w:t>115</w:t>
        </w:r>
        <w:r w:rsidR="002922F1">
          <w:rPr>
            <w:noProof/>
            <w:webHidden/>
          </w:rPr>
          <w:fldChar w:fldCharType="end"/>
        </w:r>
      </w:hyperlink>
    </w:p>
    <w:p w14:paraId="14CC6FF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7" w:history="1">
        <w:r w:rsidR="002922F1" w:rsidRPr="008E720A">
          <w:rPr>
            <w:rStyle w:val="Hypertextovodkaz"/>
            <w:noProof/>
          </w:rPr>
          <w:t>Graf 74: KS – délka druhé fáze insolvenčního řízení u FO v letech 2010–2018</w:t>
        </w:r>
        <w:r w:rsidR="002922F1">
          <w:rPr>
            <w:noProof/>
            <w:webHidden/>
          </w:rPr>
          <w:tab/>
        </w:r>
        <w:r w:rsidR="002922F1">
          <w:rPr>
            <w:noProof/>
            <w:webHidden/>
          </w:rPr>
          <w:fldChar w:fldCharType="begin"/>
        </w:r>
        <w:r w:rsidR="002922F1">
          <w:rPr>
            <w:noProof/>
            <w:webHidden/>
          </w:rPr>
          <w:instrText xml:space="preserve"> PAGEREF _Toc13837567 \h </w:instrText>
        </w:r>
        <w:r w:rsidR="002922F1">
          <w:rPr>
            <w:noProof/>
            <w:webHidden/>
          </w:rPr>
        </w:r>
        <w:r w:rsidR="002922F1">
          <w:rPr>
            <w:noProof/>
            <w:webHidden/>
          </w:rPr>
          <w:fldChar w:fldCharType="separate"/>
        </w:r>
        <w:r w:rsidR="00AD732F">
          <w:rPr>
            <w:noProof/>
            <w:webHidden/>
          </w:rPr>
          <w:t>116</w:t>
        </w:r>
        <w:r w:rsidR="002922F1">
          <w:rPr>
            <w:noProof/>
            <w:webHidden/>
          </w:rPr>
          <w:fldChar w:fldCharType="end"/>
        </w:r>
      </w:hyperlink>
    </w:p>
    <w:p w14:paraId="01F0548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8" w:history="1">
        <w:r w:rsidR="002922F1" w:rsidRPr="008E720A">
          <w:rPr>
            <w:rStyle w:val="Hypertextovodkaz"/>
            <w:noProof/>
          </w:rPr>
          <w:t>Graf 75: KS – vyřizování insolvenčních věcí v letech 2008–2018</w:t>
        </w:r>
        <w:r w:rsidR="002922F1">
          <w:rPr>
            <w:noProof/>
            <w:webHidden/>
          </w:rPr>
          <w:tab/>
        </w:r>
        <w:r w:rsidR="002922F1">
          <w:rPr>
            <w:noProof/>
            <w:webHidden/>
          </w:rPr>
          <w:fldChar w:fldCharType="begin"/>
        </w:r>
        <w:r w:rsidR="002922F1">
          <w:rPr>
            <w:noProof/>
            <w:webHidden/>
          </w:rPr>
          <w:instrText xml:space="preserve"> PAGEREF _Toc13837568 \h </w:instrText>
        </w:r>
        <w:r w:rsidR="002922F1">
          <w:rPr>
            <w:noProof/>
            <w:webHidden/>
          </w:rPr>
        </w:r>
        <w:r w:rsidR="002922F1">
          <w:rPr>
            <w:noProof/>
            <w:webHidden/>
          </w:rPr>
          <w:fldChar w:fldCharType="separate"/>
        </w:r>
        <w:r w:rsidR="00AD732F">
          <w:rPr>
            <w:noProof/>
            <w:webHidden/>
          </w:rPr>
          <w:t>117</w:t>
        </w:r>
        <w:r w:rsidR="002922F1">
          <w:rPr>
            <w:noProof/>
            <w:webHidden/>
          </w:rPr>
          <w:fldChar w:fldCharType="end"/>
        </w:r>
      </w:hyperlink>
    </w:p>
    <w:p w14:paraId="7BE7E4A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69" w:history="1">
        <w:r w:rsidR="002922F1" w:rsidRPr="008E720A">
          <w:rPr>
            <w:rStyle w:val="Hypertextovodkaz"/>
            <w:noProof/>
          </w:rPr>
          <w:t>Graf 76: VS – počet soudců v letech 2008–2018</w:t>
        </w:r>
        <w:r w:rsidR="002922F1">
          <w:rPr>
            <w:noProof/>
            <w:webHidden/>
          </w:rPr>
          <w:tab/>
        </w:r>
        <w:r w:rsidR="002922F1">
          <w:rPr>
            <w:noProof/>
            <w:webHidden/>
          </w:rPr>
          <w:fldChar w:fldCharType="begin"/>
        </w:r>
        <w:r w:rsidR="002922F1">
          <w:rPr>
            <w:noProof/>
            <w:webHidden/>
          </w:rPr>
          <w:instrText xml:space="preserve"> PAGEREF _Toc13837569 \h </w:instrText>
        </w:r>
        <w:r w:rsidR="002922F1">
          <w:rPr>
            <w:noProof/>
            <w:webHidden/>
          </w:rPr>
        </w:r>
        <w:r w:rsidR="002922F1">
          <w:rPr>
            <w:noProof/>
            <w:webHidden/>
          </w:rPr>
          <w:fldChar w:fldCharType="separate"/>
        </w:r>
        <w:r w:rsidR="00AD732F">
          <w:rPr>
            <w:noProof/>
            <w:webHidden/>
          </w:rPr>
          <w:t>121</w:t>
        </w:r>
        <w:r w:rsidR="002922F1">
          <w:rPr>
            <w:noProof/>
            <w:webHidden/>
          </w:rPr>
          <w:fldChar w:fldCharType="end"/>
        </w:r>
      </w:hyperlink>
    </w:p>
    <w:p w14:paraId="0A3B050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0" w:history="1">
        <w:r w:rsidR="002922F1" w:rsidRPr="008E720A">
          <w:rPr>
            <w:rStyle w:val="Hypertextovodkaz"/>
            <w:noProof/>
          </w:rPr>
          <w:t>Graf 77: VS – evidenční počet soudců dle soudních úseků v letech 2008–2018</w:t>
        </w:r>
        <w:r w:rsidR="002922F1">
          <w:rPr>
            <w:noProof/>
            <w:webHidden/>
          </w:rPr>
          <w:tab/>
        </w:r>
        <w:r w:rsidR="002922F1">
          <w:rPr>
            <w:noProof/>
            <w:webHidden/>
          </w:rPr>
          <w:fldChar w:fldCharType="begin"/>
        </w:r>
        <w:r w:rsidR="002922F1">
          <w:rPr>
            <w:noProof/>
            <w:webHidden/>
          </w:rPr>
          <w:instrText xml:space="preserve"> PAGEREF _Toc13837570 \h </w:instrText>
        </w:r>
        <w:r w:rsidR="002922F1">
          <w:rPr>
            <w:noProof/>
            <w:webHidden/>
          </w:rPr>
        </w:r>
        <w:r w:rsidR="002922F1">
          <w:rPr>
            <w:noProof/>
            <w:webHidden/>
          </w:rPr>
          <w:fldChar w:fldCharType="separate"/>
        </w:r>
        <w:r w:rsidR="00AD732F">
          <w:rPr>
            <w:noProof/>
            <w:webHidden/>
          </w:rPr>
          <w:t>122</w:t>
        </w:r>
        <w:r w:rsidR="002922F1">
          <w:rPr>
            <w:noProof/>
            <w:webHidden/>
          </w:rPr>
          <w:fldChar w:fldCharType="end"/>
        </w:r>
      </w:hyperlink>
    </w:p>
    <w:p w14:paraId="153CB6C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1" w:history="1">
        <w:r w:rsidR="002922F1" w:rsidRPr="008E720A">
          <w:rPr>
            <w:rStyle w:val="Hypertextovodkaz"/>
            <w:noProof/>
          </w:rPr>
          <w:t>Graf 78: VS – evidenční počet soudců dle pohlaví v letech 2008–2018</w:t>
        </w:r>
        <w:r w:rsidR="002922F1">
          <w:rPr>
            <w:noProof/>
            <w:webHidden/>
          </w:rPr>
          <w:tab/>
        </w:r>
        <w:r w:rsidR="002922F1">
          <w:rPr>
            <w:noProof/>
            <w:webHidden/>
          </w:rPr>
          <w:fldChar w:fldCharType="begin"/>
        </w:r>
        <w:r w:rsidR="002922F1">
          <w:rPr>
            <w:noProof/>
            <w:webHidden/>
          </w:rPr>
          <w:instrText xml:space="preserve"> PAGEREF _Toc13837571 \h </w:instrText>
        </w:r>
        <w:r w:rsidR="002922F1">
          <w:rPr>
            <w:noProof/>
            <w:webHidden/>
          </w:rPr>
        </w:r>
        <w:r w:rsidR="002922F1">
          <w:rPr>
            <w:noProof/>
            <w:webHidden/>
          </w:rPr>
          <w:fldChar w:fldCharType="separate"/>
        </w:r>
        <w:r w:rsidR="00AD732F">
          <w:rPr>
            <w:noProof/>
            <w:webHidden/>
          </w:rPr>
          <w:t>123</w:t>
        </w:r>
        <w:r w:rsidR="002922F1">
          <w:rPr>
            <w:noProof/>
            <w:webHidden/>
          </w:rPr>
          <w:fldChar w:fldCharType="end"/>
        </w:r>
      </w:hyperlink>
    </w:p>
    <w:p w14:paraId="553CFD4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2" w:history="1">
        <w:r w:rsidR="002922F1" w:rsidRPr="008E720A">
          <w:rPr>
            <w:rStyle w:val="Hypertextovodkaz"/>
            <w:noProof/>
          </w:rPr>
          <w:t>Graf 79: VS Praha – věkové složení soudců v letech 2008–2018</w:t>
        </w:r>
        <w:r w:rsidR="002922F1">
          <w:rPr>
            <w:noProof/>
            <w:webHidden/>
          </w:rPr>
          <w:tab/>
        </w:r>
        <w:r w:rsidR="002922F1">
          <w:rPr>
            <w:noProof/>
            <w:webHidden/>
          </w:rPr>
          <w:fldChar w:fldCharType="begin"/>
        </w:r>
        <w:r w:rsidR="002922F1">
          <w:rPr>
            <w:noProof/>
            <w:webHidden/>
          </w:rPr>
          <w:instrText xml:space="preserve"> PAGEREF _Toc13837572 \h </w:instrText>
        </w:r>
        <w:r w:rsidR="002922F1">
          <w:rPr>
            <w:noProof/>
            <w:webHidden/>
          </w:rPr>
        </w:r>
        <w:r w:rsidR="002922F1">
          <w:rPr>
            <w:noProof/>
            <w:webHidden/>
          </w:rPr>
          <w:fldChar w:fldCharType="separate"/>
        </w:r>
        <w:r w:rsidR="00AD732F">
          <w:rPr>
            <w:noProof/>
            <w:webHidden/>
          </w:rPr>
          <w:t>123</w:t>
        </w:r>
        <w:r w:rsidR="002922F1">
          <w:rPr>
            <w:noProof/>
            <w:webHidden/>
          </w:rPr>
          <w:fldChar w:fldCharType="end"/>
        </w:r>
      </w:hyperlink>
    </w:p>
    <w:p w14:paraId="1FCE93B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3" w:history="1">
        <w:r w:rsidR="002922F1" w:rsidRPr="008E720A">
          <w:rPr>
            <w:rStyle w:val="Hypertextovodkaz"/>
            <w:noProof/>
          </w:rPr>
          <w:t>Graf 80: VS Olomouc – věkové složení soudců v letech 2008–2018</w:t>
        </w:r>
        <w:r w:rsidR="002922F1">
          <w:rPr>
            <w:noProof/>
            <w:webHidden/>
          </w:rPr>
          <w:tab/>
        </w:r>
        <w:r w:rsidR="002922F1">
          <w:rPr>
            <w:noProof/>
            <w:webHidden/>
          </w:rPr>
          <w:fldChar w:fldCharType="begin"/>
        </w:r>
        <w:r w:rsidR="002922F1">
          <w:rPr>
            <w:noProof/>
            <w:webHidden/>
          </w:rPr>
          <w:instrText xml:space="preserve"> PAGEREF _Toc13837573 \h </w:instrText>
        </w:r>
        <w:r w:rsidR="002922F1">
          <w:rPr>
            <w:noProof/>
            <w:webHidden/>
          </w:rPr>
        </w:r>
        <w:r w:rsidR="002922F1">
          <w:rPr>
            <w:noProof/>
            <w:webHidden/>
          </w:rPr>
          <w:fldChar w:fldCharType="separate"/>
        </w:r>
        <w:r w:rsidR="00AD732F">
          <w:rPr>
            <w:noProof/>
            <w:webHidden/>
          </w:rPr>
          <w:t>124</w:t>
        </w:r>
        <w:r w:rsidR="002922F1">
          <w:rPr>
            <w:noProof/>
            <w:webHidden/>
          </w:rPr>
          <w:fldChar w:fldCharType="end"/>
        </w:r>
      </w:hyperlink>
    </w:p>
    <w:p w14:paraId="5304DEE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4" w:history="1">
        <w:r w:rsidR="002922F1" w:rsidRPr="008E720A">
          <w:rPr>
            <w:rStyle w:val="Hypertextovodkaz"/>
            <w:noProof/>
          </w:rPr>
          <w:t>Graf 81: VS – délka civilního odvolacího řízení u VS v letech 2010–2018</w:t>
        </w:r>
        <w:r w:rsidR="002922F1">
          <w:rPr>
            <w:noProof/>
            <w:webHidden/>
          </w:rPr>
          <w:tab/>
        </w:r>
        <w:r w:rsidR="002922F1">
          <w:rPr>
            <w:noProof/>
            <w:webHidden/>
          </w:rPr>
          <w:fldChar w:fldCharType="begin"/>
        </w:r>
        <w:r w:rsidR="002922F1">
          <w:rPr>
            <w:noProof/>
            <w:webHidden/>
          </w:rPr>
          <w:instrText xml:space="preserve"> PAGEREF _Toc13837574 \h </w:instrText>
        </w:r>
        <w:r w:rsidR="002922F1">
          <w:rPr>
            <w:noProof/>
            <w:webHidden/>
          </w:rPr>
        </w:r>
        <w:r w:rsidR="002922F1">
          <w:rPr>
            <w:noProof/>
            <w:webHidden/>
          </w:rPr>
          <w:fldChar w:fldCharType="separate"/>
        </w:r>
        <w:r w:rsidR="00AD732F">
          <w:rPr>
            <w:noProof/>
            <w:webHidden/>
          </w:rPr>
          <w:t>126</w:t>
        </w:r>
        <w:r w:rsidR="002922F1">
          <w:rPr>
            <w:noProof/>
            <w:webHidden/>
          </w:rPr>
          <w:fldChar w:fldCharType="end"/>
        </w:r>
      </w:hyperlink>
    </w:p>
    <w:p w14:paraId="7CE7B8C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5" w:history="1">
        <w:r w:rsidR="002922F1" w:rsidRPr="008E720A">
          <w:rPr>
            <w:rStyle w:val="Hypertextovodkaz"/>
            <w:noProof/>
          </w:rPr>
          <w:t>Graf 82: VS – distribuce délek civilního odvolacího řízení</w:t>
        </w:r>
        <w:r w:rsidR="002922F1">
          <w:rPr>
            <w:noProof/>
            <w:webHidden/>
          </w:rPr>
          <w:tab/>
        </w:r>
        <w:r w:rsidR="002922F1">
          <w:rPr>
            <w:noProof/>
            <w:webHidden/>
          </w:rPr>
          <w:fldChar w:fldCharType="begin"/>
        </w:r>
        <w:r w:rsidR="002922F1">
          <w:rPr>
            <w:noProof/>
            <w:webHidden/>
          </w:rPr>
          <w:instrText xml:space="preserve"> PAGEREF _Toc13837575 \h </w:instrText>
        </w:r>
        <w:r w:rsidR="002922F1">
          <w:rPr>
            <w:noProof/>
            <w:webHidden/>
          </w:rPr>
        </w:r>
        <w:r w:rsidR="002922F1">
          <w:rPr>
            <w:noProof/>
            <w:webHidden/>
          </w:rPr>
          <w:fldChar w:fldCharType="separate"/>
        </w:r>
        <w:r w:rsidR="00AD732F">
          <w:rPr>
            <w:noProof/>
            <w:webHidden/>
          </w:rPr>
          <w:t>127</w:t>
        </w:r>
        <w:r w:rsidR="002922F1">
          <w:rPr>
            <w:noProof/>
            <w:webHidden/>
          </w:rPr>
          <w:fldChar w:fldCharType="end"/>
        </w:r>
      </w:hyperlink>
    </w:p>
    <w:p w14:paraId="60A79B7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6" w:history="1">
        <w:r w:rsidR="002922F1" w:rsidRPr="008E720A">
          <w:rPr>
            <w:rStyle w:val="Hypertextovodkaz"/>
            <w:noProof/>
          </w:rPr>
          <w:t>Graf 83: VS – vyřizování odvolacích civilních věcí v letech 2008–2018</w:t>
        </w:r>
        <w:r w:rsidR="002922F1">
          <w:rPr>
            <w:noProof/>
            <w:webHidden/>
          </w:rPr>
          <w:tab/>
        </w:r>
        <w:r w:rsidR="002922F1">
          <w:rPr>
            <w:noProof/>
            <w:webHidden/>
          </w:rPr>
          <w:fldChar w:fldCharType="begin"/>
        </w:r>
        <w:r w:rsidR="002922F1">
          <w:rPr>
            <w:noProof/>
            <w:webHidden/>
          </w:rPr>
          <w:instrText xml:space="preserve"> PAGEREF _Toc13837576 \h </w:instrText>
        </w:r>
        <w:r w:rsidR="002922F1">
          <w:rPr>
            <w:noProof/>
            <w:webHidden/>
          </w:rPr>
        </w:r>
        <w:r w:rsidR="002922F1">
          <w:rPr>
            <w:noProof/>
            <w:webHidden/>
          </w:rPr>
          <w:fldChar w:fldCharType="separate"/>
        </w:r>
        <w:r w:rsidR="00AD732F">
          <w:rPr>
            <w:noProof/>
            <w:webHidden/>
          </w:rPr>
          <w:t>127</w:t>
        </w:r>
        <w:r w:rsidR="002922F1">
          <w:rPr>
            <w:noProof/>
            <w:webHidden/>
          </w:rPr>
          <w:fldChar w:fldCharType="end"/>
        </w:r>
      </w:hyperlink>
    </w:p>
    <w:p w14:paraId="19048FB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7" w:history="1">
        <w:r w:rsidR="002922F1" w:rsidRPr="008E720A">
          <w:rPr>
            <w:rStyle w:val="Hypertextovodkaz"/>
            <w:noProof/>
          </w:rPr>
          <w:t>Graf 84: VS – DT civilního odvolacího řízení v letech 2008–2018</w:t>
        </w:r>
        <w:r w:rsidR="002922F1">
          <w:rPr>
            <w:noProof/>
            <w:webHidden/>
          </w:rPr>
          <w:tab/>
        </w:r>
        <w:r w:rsidR="002922F1">
          <w:rPr>
            <w:noProof/>
            <w:webHidden/>
          </w:rPr>
          <w:fldChar w:fldCharType="begin"/>
        </w:r>
        <w:r w:rsidR="002922F1">
          <w:rPr>
            <w:noProof/>
            <w:webHidden/>
          </w:rPr>
          <w:instrText xml:space="preserve"> PAGEREF _Toc13837577 \h </w:instrText>
        </w:r>
        <w:r w:rsidR="002922F1">
          <w:rPr>
            <w:noProof/>
            <w:webHidden/>
          </w:rPr>
        </w:r>
        <w:r w:rsidR="002922F1">
          <w:rPr>
            <w:noProof/>
            <w:webHidden/>
          </w:rPr>
          <w:fldChar w:fldCharType="separate"/>
        </w:r>
        <w:r w:rsidR="00AD732F">
          <w:rPr>
            <w:noProof/>
            <w:webHidden/>
          </w:rPr>
          <w:t>129</w:t>
        </w:r>
        <w:r w:rsidR="002922F1">
          <w:rPr>
            <w:noProof/>
            <w:webHidden/>
          </w:rPr>
          <w:fldChar w:fldCharType="end"/>
        </w:r>
      </w:hyperlink>
    </w:p>
    <w:p w14:paraId="5F0ACEC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8" w:history="1">
        <w:r w:rsidR="002922F1" w:rsidRPr="008E720A">
          <w:rPr>
            <w:rStyle w:val="Hypertextovodkaz"/>
            <w:noProof/>
          </w:rPr>
          <w:t>Graf 85: VS – délka trestního odvolacího řízení v letech 2010–2018</w:t>
        </w:r>
        <w:r w:rsidR="002922F1">
          <w:rPr>
            <w:noProof/>
            <w:webHidden/>
          </w:rPr>
          <w:tab/>
        </w:r>
        <w:r w:rsidR="002922F1">
          <w:rPr>
            <w:noProof/>
            <w:webHidden/>
          </w:rPr>
          <w:fldChar w:fldCharType="begin"/>
        </w:r>
        <w:r w:rsidR="002922F1">
          <w:rPr>
            <w:noProof/>
            <w:webHidden/>
          </w:rPr>
          <w:instrText xml:space="preserve"> PAGEREF _Toc13837578 \h </w:instrText>
        </w:r>
        <w:r w:rsidR="002922F1">
          <w:rPr>
            <w:noProof/>
            <w:webHidden/>
          </w:rPr>
        </w:r>
        <w:r w:rsidR="002922F1">
          <w:rPr>
            <w:noProof/>
            <w:webHidden/>
          </w:rPr>
          <w:fldChar w:fldCharType="separate"/>
        </w:r>
        <w:r w:rsidR="00AD732F">
          <w:rPr>
            <w:noProof/>
            <w:webHidden/>
          </w:rPr>
          <w:t>130</w:t>
        </w:r>
        <w:r w:rsidR="002922F1">
          <w:rPr>
            <w:noProof/>
            <w:webHidden/>
          </w:rPr>
          <w:fldChar w:fldCharType="end"/>
        </w:r>
      </w:hyperlink>
    </w:p>
    <w:p w14:paraId="3CAC6E7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79" w:history="1">
        <w:r w:rsidR="002922F1" w:rsidRPr="008E720A">
          <w:rPr>
            <w:rStyle w:val="Hypertextovodkaz"/>
            <w:noProof/>
          </w:rPr>
          <w:t>Graf 86: VS – distribuce délek trestního odvolacího řízení</w:t>
        </w:r>
        <w:r w:rsidR="002922F1">
          <w:rPr>
            <w:noProof/>
            <w:webHidden/>
          </w:rPr>
          <w:tab/>
        </w:r>
        <w:r w:rsidR="002922F1">
          <w:rPr>
            <w:noProof/>
            <w:webHidden/>
          </w:rPr>
          <w:fldChar w:fldCharType="begin"/>
        </w:r>
        <w:r w:rsidR="002922F1">
          <w:rPr>
            <w:noProof/>
            <w:webHidden/>
          </w:rPr>
          <w:instrText xml:space="preserve"> PAGEREF _Toc13837579 \h </w:instrText>
        </w:r>
        <w:r w:rsidR="002922F1">
          <w:rPr>
            <w:noProof/>
            <w:webHidden/>
          </w:rPr>
        </w:r>
        <w:r w:rsidR="002922F1">
          <w:rPr>
            <w:noProof/>
            <w:webHidden/>
          </w:rPr>
          <w:fldChar w:fldCharType="separate"/>
        </w:r>
        <w:r w:rsidR="00AD732F">
          <w:rPr>
            <w:noProof/>
            <w:webHidden/>
          </w:rPr>
          <w:t>131</w:t>
        </w:r>
        <w:r w:rsidR="002922F1">
          <w:rPr>
            <w:noProof/>
            <w:webHidden/>
          </w:rPr>
          <w:fldChar w:fldCharType="end"/>
        </w:r>
      </w:hyperlink>
    </w:p>
    <w:p w14:paraId="3E164C2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0" w:history="1">
        <w:r w:rsidR="002922F1" w:rsidRPr="008E720A">
          <w:rPr>
            <w:rStyle w:val="Hypertextovodkaz"/>
            <w:noProof/>
          </w:rPr>
          <w:t>Graf 87: VS – vyřizování odvolacích trestních věcí v letech 2008–2018</w:t>
        </w:r>
        <w:r w:rsidR="002922F1">
          <w:rPr>
            <w:noProof/>
            <w:webHidden/>
          </w:rPr>
          <w:tab/>
        </w:r>
        <w:r w:rsidR="002922F1">
          <w:rPr>
            <w:noProof/>
            <w:webHidden/>
          </w:rPr>
          <w:fldChar w:fldCharType="begin"/>
        </w:r>
        <w:r w:rsidR="002922F1">
          <w:rPr>
            <w:noProof/>
            <w:webHidden/>
          </w:rPr>
          <w:instrText xml:space="preserve"> PAGEREF _Toc13837580 \h </w:instrText>
        </w:r>
        <w:r w:rsidR="002922F1">
          <w:rPr>
            <w:noProof/>
            <w:webHidden/>
          </w:rPr>
        </w:r>
        <w:r w:rsidR="002922F1">
          <w:rPr>
            <w:noProof/>
            <w:webHidden/>
          </w:rPr>
          <w:fldChar w:fldCharType="separate"/>
        </w:r>
        <w:r w:rsidR="00AD732F">
          <w:rPr>
            <w:noProof/>
            <w:webHidden/>
          </w:rPr>
          <w:t>132</w:t>
        </w:r>
        <w:r w:rsidR="002922F1">
          <w:rPr>
            <w:noProof/>
            <w:webHidden/>
          </w:rPr>
          <w:fldChar w:fldCharType="end"/>
        </w:r>
      </w:hyperlink>
    </w:p>
    <w:p w14:paraId="78736EB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1" w:history="1">
        <w:r w:rsidR="002922F1" w:rsidRPr="008E720A">
          <w:rPr>
            <w:rStyle w:val="Hypertextovodkaz"/>
            <w:noProof/>
          </w:rPr>
          <w:t>Graf 88: VS – DT trestního odvolacího řízení v letech 2008–2018</w:t>
        </w:r>
        <w:r w:rsidR="002922F1">
          <w:rPr>
            <w:noProof/>
            <w:webHidden/>
          </w:rPr>
          <w:tab/>
        </w:r>
        <w:r w:rsidR="002922F1">
          <w:rPr>
            <w:noProof/>
            <w:webHidden/>
          </w:rPr>
          <w:fldChar w:fldCharType="begin"/>
        </w:r>
        <w:r w:rsidR="002922F1">
          <w:rPr>
            <w:noProof/>
            <w:webHidden/>
          </w:rPr>
          <w:instrText xml:space="preserve"> PAGEREF _Toc13837581 \h </w:instrText>
        </w:r>
        <w:r w:rsidR="002922F1">
          <w:rPr>
            <w:noProof/>
            <w:webHidden/>
          </w:rPr>
        </w:r>
        <w:r w:rsidR="002922F1">
          <w:rPr>
            <w:noProof/>
            <w:webHidden/>
          </w:rPr>
          <w:fldChar w:fldCharType="separate"/>
        </w:r>
        <w:r w:rsidR="00AD732F">
          <w:rPr>
            <w:noProof/>
            <w:webHidden/>
          </w:rPr>
          <w:t>133</w:t>
        </w:r>
        <w:r w:rsidR="002922F1">
          <w:rPr>
            <w:noProof/>
            <w:webHidden/>
          </w:rPr>
          <w:fldChar w:fldCharType="end"/>
        </w:r>
      </w:hyperlink>
    </w:p>
    <w:p w14:paraId="7F6B75C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2" w:history="1">
        <w:r w:rsidR="002922F1" w:rsidRPr="008E720A">
          <w:rPr>
            <w:rStyle w:val="Hypertextovodkaz"/>
            <w:noProof/>
          </w:rPr>
          <w:t>Graf 89: VS – vyřizování insolvenční agendy v letech 2010–2018</w:t>
        </w:r>
        <w:r w:rsidR="002922F1">
          <w:rPr>
            <w:noProof/>
            <w:webHidden/>
          </w:rPr>
          <w:tab/>
        </w:r>
        <w:r w:rsidR="002922F1">
          <w:rPr>
            <w:noProof/>
            <w:webHidden/>
          </w:rPr>
          <w:fldChar w:fldCharType="begin"/>
        </w:r>
        <w:r w:rsidR="002922F1">
          <w:rPr>
            <w:noProof/>
            <w:webHidden/>
          </w:rPr>
          <w:instrText xml:space="preserve"> PAGEREF _Toc13837582 \h </w:instrText>
        </w:r>
        <w:r w:rsidR="002922F1">
          <w:rPr>
            <w:noProof/>
            <w:webHidden/>
          </w:rPr>
        </w:r>
        <w:r w:rsidR="002922F1">
          <w:rPr>
            <w:noProof/>
            <w:webHidden/>
          </w:rPr>
          <w:fldChar w:fldCharType="separate"/>
        </w:r>
        <w:r w:rsidR="00AD732F">
          <w:rPr>
            <w:noProof/>
            <w:webHidden/>
          </w:rPr>
          <w:t>134</w:t>
        </w:r>
        <w:r w:rsidR="002922F1">
          <w:rPr>
            <w:noProof/>
            <w:webHidden/>
          </w:rPr>
          <w:fldChar w:fldCharType="end"/>
        </w:r>
      </w:hyperlink>
    </w:p>
    <w:p w14:paraId="5892A46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3" w:history="1">
        <w:r w:rsidR="002922F1" w:rsidRPr="008E720A">
          <w:rPr>
            <w:rStyle w:val="Hypertextovodkaz"/>
            <w:noProof/>
          </w:rPr>
          <w:t>Graf 90: VS – DT v insolvenční agendě v letech 2010–2018</w:t>
        </w:r>
        <w:r w:rsidR="002922F1">
          <w:rPr>
            <w:noProof/>
            <w:webHidden/>
          </w:rPr>
          <w:tab/>
        </w:r>
        <w:r w:rsidR="002922F1">
          <w:rPr>
            <w:noProof/>
            <w:webHidden/>
          </w:rPr>
          <w:fldChar w:fldCharType="begin"/>
        </w:r>
        <w:r w:rsidR="002922F1">
          <w:rPr>
            <w:noProof/>
            <w:webHidden/>
          </w:rPr>
          <w:instrText xml:space="preserve"> PAGEREF _Toc13837583 \h </w:instrText>
        </w:r>
        <w:r w:rsidR="002922F1">
          <w:rPr>
            <w:noProof/>
            <w:webHidden/>
          </w:rPr>
        </w:r>
        <w:r w:rsidR="002922F1">
          <w:rPr>
            <w:noProof/>
            <w:webHidden/>
          </w:rPr>
          <w:fldChar w:fldCharType="separate"/>
        </w:r>
        <w:r w:rsidR="00AD732F">
          <w:rPr>
            <w:noProof/>
            <w:webHidden/>
          </w:rPr>
          <w:t>135</w:t>
        </w:r>
        <w:r w:rsidR="002922F1">
          <w:rPr>
            <w:noProof/>
            <w:webHidden/>
          </w:rPr>
          <w:fldChar w:fldCharType="end"/>
        </w:r>
      </w:hyperlink>
    </w:p>
    <w:p w14:paraId="0CBA753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4" w:history="1">
        <w:r w:rsidR="002922F1" w:rsidRPr="008E720A">
          <w:rPr>
            <w:rStyle w:val="Hypertextovodkaz"/>
            <w:noProof/>
          </w:rPr>
          <w:t>Graf 91: NS – počet soudců v letech 2008–2018</w:t>
        </w:r>
        <w:r w:rsidR="002922F1">
          <w:rPr>
            <w:noProof/>
            <w:webHidden/>
          </w:rPr>
          <w:tab/>
        </w:r>
        <w:r w:rsidR="002922F1">
          <w:rPr>
            <w:noProof/>
            <w:webHidden/>
          </w:rPr>
          <w:fldChar w:fldCharType="begin"/>
        </w:r>
        <w:r w:rsidR="002922F1">
          <w:rPr>
            <w:noProof/>
            <w:webHidden/>
          </w:rPr>
          <w:instrText xml:space="preserve"> PAGEREF _Toc13837584 \h </w:instrText>
        </w:r>
        <w:r w:rsidR="002922F1">
          <w:rPr>
            <w:noProof/>
            <w:webHidden/>
          </w:rPr>
        </w:r>
        <w:r w:rsidR="002922F1">
          <w:rPr>
            <w:noProof/>
            <w:webHidden/>
          </w:rPr>
          <w:fldChar w:fldCharType="separate"/>
        </w:r>
        <w:r w:rsidR="00AD732F">
          <w:rPr>
            <w:noProof/>
            <w:webHidden/>
          </w:rPr>
          <w:t>137</w:t>
        </w:r>
        <w:r w:rsidR="002922F1">
          <w:rPr>
            <w:noProof/>
            <w:webHidden/>
          </w:rPr>
          <w:fldChar w:fldCharType="end"/>
        </w:r>
      </w:hyperlink>
    </w:p>
    <w:p w14:paraId="682F786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5" w:history="1">
        <w:r w:rsidR="002922F1" w:rsidRPr="008E720A">
          <w:rPr>
            <w:rStyle w:val="Hypertextovodkaz"/>
            <w:noProof/>
          </w:rPr>
          <w:t>Graf 92: NS – evidenční počet soudců dle soudních úseků v letech 2008–2018</w:t>
        </w:r>
        <w:r w:rsidR="002922F1">
          <w:rPr>
            <w:noProof/>
            <w:webHidden/>
          </w:rPr>
          <w:tab/>
        </w:r>
        <w:r w:rsidR="002922F1">
          <w:rPr>
            <w:noProof/>
            <w:webHidden/>
          </w:rPr>
          <w:fldChar w:fldCharType="begin"/>
        </w:r>
        <w:r w:rsidR="002922F1">
          <w:rPr>
            <w:noProof/>
            <w:webHidden/>
          </w:rPr>
          <w:instrText xml:space="preserve"> PAGEREF _Toc13837585 \h </w:instrText>
        </w:r>
        <w:r w:rsidR="002922F1">
          <w:rPr>
            <w:noProof/>
            <w:webHidden/>
          </w:rPr>
        </w:r>
        <w:r w:rsidR="002922F1">
          <w:rPr>
            <w:noProof/>
            <w:webHidden/>
          </w:rPr>
          <w:fldChar w:fldCharType="separate"/>
        </w:r>
        <w:r w:rsidR="00AD732F">
          <w:rPr>
            <w:noProof/>
            <w:webHidden/>
          </w:rPr>
          <w:t>137</w:t>
        </w:r>
        <w:r w:rsidR="002922F1">
          <w:rPr>
            <w:noProof/>
            <w:webHidden/>
          </w:rPr>
          <w:fldChar w:fldCharType="end"/>
        </w:r>
      </w:hyperlink>
    </w:p>
    <w:p w14:paraId="0029D9F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6" w:history="1">
        <w:r w:rsidR="002922F1" w:rsidRPr="008E720A">
          <w:rPr>
            <w:rStyle w:val="Hypertextovodkaz"/>
            <w:noProof/>
          </w:rPr>
          <w:t>Graf 93: NS – evidenční počet soudců podle pohlaví v letech 2008–2018</w:t>
        </w:r>
        <w:r w:rsidR="002922F1">
          <w:rPr>
            <w:noProof/>
            <w:webHidden/>
          </w:rPr>
          <w:tab/>
        </w:r>
        <w:r w:rsidR="002922F1">
          <w:rPr>
            <w:noProof/>
            <w:webHidden/>
          </w:rPr>
          <w:fldChar w:fldCharType="begin"/>
        </w:r>
        <w:r w:rsidR="002922F1">
          <w:rPr>
            <w:noProof/>
            <w:webHidden/>
          </w:rPr>
          <w:instrText xml:space="preserve"> PAGEREF _Toc13837586 \h </w:instrText>
        </w:r>
        <w:r w:rsidR="002922F1">
          <w:rPr>
            <w:noProof/>
            <w:webHidden/>
          </w:rPr>
        </w:r>
        <w:r w:rsidR="002922F1">
          <w:rPr>
            <w:noProof/>
            <w:webHidden/>
          </w:rPr>
          <w:fldChar w:fldCharType="separate"/>
        </w:r>
        <w:r w:rsidR="00AD732F">
          <w:rPr>
            <w:noProof/>
            <w:webHidden/>
          </w:rPr>
          <w:t>138</w:t>
        </w:r>
        <w:r w:rsidR="002922F1">
          <w:rPr>
            <w:noProof/>
            <w:webHidden/>
          </w:rPr>
          <w:fldChar w:fldCharType="end"/>
        </w:r>
      </w:hyperlink>
    </w:p>
    <w:p w14:paraId="609B791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7" w:history="1">
        <w:r w:rsidR="002922F1" w:rsidRPr="008E720A">
          <w:rPr>
            <w:rStyle w:val="Hypertextovodkaz"/>
            <w:noProof/>
          </w:rPr>
          <w:t>Graf 94: NS – věková struktura soudců v letech 2008–2018</w:t>
        </w:r>
        <w:r w:rsidR="002922F1">
          <w:rPr>
            <w:noProof/>
            <w:webHidden/>
          </w:rPr>
          <w:tab/>
        </w:r>
        <w:r w:rsidR="002922F1">
          <w:rPr>
            <w:noProof/>
            <w:webHidden/>
          </w:rPr>
          <w:fldChar w:fldCharType="begin"/>
        </w:r>
        <w:r w:rsidR="002922F1">
          <w:rPr>
            <w:noProof/>
            <w:webHidden/>
          </w:rPr>
          <w:instrText xml:space="preserve"> PAGEREF _Toc13837587 \h </w:instrText>
        </w:r>
        <w:r w:rsidR="002922F1">
          <w:rPr>
            <w:noProof/>
            <w:webHidden/>
          </w:rPr>
        </w:r>
        <w:r w:rsidR="002922F1">
          <w:rPr>
            <w:noProof/>
            <w:webHidden/>
          </w:rPr>
          <w:fldChar w:fldCharType="separate"/>
        </w:r>
        <w:r w:rsidR="00AD732F">
          <w:rPr>
            <w:noProof/>
            <w:webHidden/>
          </w:rPr>
          <w:t>139</w:t>
        </w:r>
        <w:r w:rsidR="002922F1">
          <w:rPr>
            <w:noProof/>
            <w:webHidden/>
          </w:rPr>
          <w:fldChar w:fldCharType="end"/>
        </w:r>
      </w:hyperlink>
    </w:p>
    <w:p w14:paraId="47819FE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8" w:history="1">
        <w:r w:rsidR="002922F1" w:rsidRPr="008E720A">
          <w:rPr>
            <w:rStyle w:val="Hypertextovodkaz"/>
            <w:noProof/>
          </w:rPr>
          <w:t>Graf 95: NS – vyřizování civilní dovolací agendy v letech 2008–2018</w:t>
        </w:r>
        <w:r w:rsidR="002922F1">
          <w:rPr>
            <w:noProof/>
            <w:webHidden/>
          </w:rPr>
          <w:tab/>
        </w:r>
        <w:r w:rsidR="002922F1">
          <w:rPr>
            <w:noProof/>
            <w:webHidden/>
          </w:rPr>
          <w:fldChar w:fldCharType="begin"/>
        </w:r>
        <w:r w:rsidR="002922F1">
          <w:rPr>
            <w:noProof/>
            <w:webHidden/>
          </w:rPr>
          <w:instrText xml:space="preserve"> PAGEREF _Toc13837588 \h </w:instrText>
        </w:r>
        <w:r w:rsidR="002922F1">
          <w:rPr>
            <w:noProof/>
            <w:webHidden/>
          </w:rPr>
        </w:r>
        <w:r w:rsidR="002922F1">
          <w:rPr>
            <w:noProof/>
            <w:webHidden/>
          </w:rPr>
          <w:fldChar w:fldCharType="separate"/>
        </w:r>
        <w:r w:rsidR="00AD732F">
          <w:rPr>
            <w:noProof/>
            <w:webHidden/>
          </w:rPr>
          <w:t>140</w:t>
        </w:r>
        <w:r w:rsidR="002922F1">
          <w:rPr>
            <w:noProof/>
            <w:webHidden/>
          </w:rPr>
          <w:fldChar w:fldCharType="end"/>
        </w:r>
      </w:hyperlink>
    </w:p>
    <w:p w14:paraId="52E057C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89" w:history="1">
        <w:r w:rsidR="002922F1" w:rsidRPr="008E720A">
          <w:rPr>
            <w:rStyle w:val="Hypertextovodkaz"/>
            <w:noProof/>
          </w:rPr>
          <w:t>Graf 96: NS – vyřizování trestní dovolací agendy v letech 2008–2018</w:t>
        </w:r>
        <w:r w:rsidR="002922F1">
          <w:rPr>
            <w:noProof/>
            <w:webHidden/>
          </w:rPr>
          <w:tab/>
        </w:r>
        <w:r w:rsidR="002922F1">
          <w:rPr>
            <w:noProof/>
            <w:webHidden/>
          </w:rPr>
          <w:fldChar w:fldCharType="begin"/>
        </w:r>
        <w:r w:rsidR="002922F1">
          <w:rPr>
            <w:noProof/>
            <w:webHidden/>
          </w:rPr>
          <w:instrText xml:space="preserve"> PAGEREF _Toc13837589 \h </w:instrText>
        </w:r>
        <w:r w:rsidR="002922F1">
          <w:rPr>
            <w:noProof/>
            <w:webHidden/>
          </w:rPr>
        </w:r>
        <w:r w:rsidR="002922F1">
          <w:rPr>
            <w:noProof/>
            <w:webHidden/>
          </w:rPr>
          <w:fldChar w:fldCharType="separate"/>
        </w:r>
        <w:r w:rsidR="00AD732F">
          <w:rPr>
            <w:noProof/>
            <w:webHidden/>
          </w:rPr>
          <w:t>141</w:t>
        </w:r>
        <w:r w:rsidR="002922F1">
          <w:rPr>
            <w:noProof/>
            <w:webHidden/>
          </w:rPr>
          <w:fldChar w:fldCharType="end"/>
        </w:r>
      </w:hyperlink>
    </w:p>
    <w:p w14:paraId="0393641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0" w:history="1">
        <w:r w:rsidR="002922F1" w:rsidRPr="008E720A">
          <w:rPr>
            <w:rStyle w:val="Hypertextovodkaz"/>
            <w:noProof/>
          </w:rPr>
          <w:t>Graf 97: NS – vyřizování stížností pro porušení zákona v letech 2010–2018</w:t>
        </w:r>
        <w:r w:rsidR="002922F1">
          <w:rPr>
            <w:noProof/>
            <w:webHidden/>
          </w:rPr>
          <w:tab/>
        </w:r>
        <w:r w:rsidR="002922F1">
          <w:rPr>
            <w:noProof/>
            <w:webHidden/>
          </w:rPr>
          <w:fldChar w:fldCharType="begin"/>
        </w:r>
        <w:r w:rsidR="002922F1">
          <w:rPr>
            <w:noProof/>
            <w:webHidden/>
          </w:rPr>
          <w:instrText xml:space="preserve"> PAGEREF _Toc13837590 \h </w:instrText>
        </w:r>
        <w:r w:rsidR="002922F1">
          <w:rPr>
            <w:noProof/>
            <w:webHidden/>
          </w:rPr>
        </w:r>
        <w:r w:rsidR="002922F1">
          <w:rPr>
            <w:noProof/>
            <w:webHidden/>
          </w:rPr>
          <w:fldChar w:fldCharType="separate"/>
        </w:r>
        <w:r w:rsidR="00AD732F">
          <w:rPr>
            <w:noProof/>
            <w:webHidden/>
          </w:rPr>
          <w:t>142</w:t>
        </w:r>
        <w:r w:rsidR="002922F1">
          <w:rPr>
            <w:noProof/>
            <w:webHidden/>
          </w:rPr>
          <w:fldChar w:fldCharType="end"/>
        </w:r>
      </w:hyperlink>
    </w:p>
    <w:p w14:paraId="4873FCE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1" w:history="1">
        <w:r w:rsidR="002922F1" w:rsidRPr="008E720A">
          <w:rPr>
            <w:rStyle w:val="Hypertextovodkaz"/>
            <w:noProof/>
          </w:rPr>
          <w:t>Graf 98: NS – vyřizování insolvenční dovolací agendy v letech 2010–2018</w:t>
        </w:r>
        <w:r w:rsidR="002922F1">
          <w:rPr>
            <w:noProof/>
            <w:webHidden/>
          </w:rPr>
          <w:tab/>
        </w:r>
        <w:r w:rsidR="002922F1">
          <w:rPr>
            <w:noProof/>
            <w:webHidden/>
          </w:rPr>
          <w:fldChar w:fldCharType="begin"/>
        </w:r>
        <w:r w:rsidR="002922F1">
          <w:rPr>
            <w:noProof/>
            <w:webHidden/>
          </w:rPr>
          <w:instrText xml:space="preserve"> PAGEREF _Toc13837591 \h </w:instrText>
        </w:r>
        <w:r w:rsidR="002922F1">
          <w:rPr>
            <w:noProof/>
            <w:webHidden/>
          </w:rPr>
        </w:r>
        <w:r w:rsidR="002922F1">
          <w:rPr>
            <w:noProof/>
            <w:webHidden/>
          </w:rPr>
          <w:fldChar w:fldCharType="separate"/>
        </w:r>
        <w:r w:rsidR="00AD732F">
          <w:rPr>
            <w:noProof/>
            <w:webHidden/>
          </w:rPr>
          <w:t>143</w:t>
        </w:r>
        <w:r w:rsidR="002922F1">
          <w:rPr>
            <w:noProof/>
            <w:webHidden/>
          </w:rPr>
          <w:fldChar w:fldCharType="end"/>
        </w:r>
      </w:hyperlink>
    </w:p>
    <w:p w14:paraId="24B92FD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2" w:history="1">
        <w:r w:rsidR="002922F1" w:rsidRPr="008E720A">
          <w:rPr>
            <w:rStyle w:val="Hypertextovodkaz"/>
            <w:noProof/>
          </w:rPr>
          <w:t>Graf 99: NSS – počet soudců v letech 2008–2018</w:t>
        </w:r>
        <w:r w:rsidR="002922F1">
          <w:rPr>
            <w:noProof/>
            <w:webHidden/>
          </w:rPr>
          <w:tab/>
        </w:r>
        <w:r w:rsidR="002922F1">
          <w:rPr>
            <w:noProof/>
            <w:webHidden/>
          </w:rPr>
          <w:fldChar w:fldCharType="begin"/>
        </w:r>
        <w:r w:rsidR="002922F1">
          <w:rPr>
            <w:noProof/>
            <w:webHidden/>
          </w:rPr>
          <w:instrText xml:space="preserve"> PAGEREF _Toc13837592 \h </w:instrText>
        </w:r>
        <w:r w:rsidR="002922F1">
          <w:rPr>
            <w:noProof/>
            <w:webHidden/>
          </w:rPr>
        </w:r>
        <w:r w:rsidR="002922F1">
          <w:rPr>
            <w:noProof/>
            <w:webHidden/>
          </w:rPr>
          <w:fldChar w:fldCharType="separate"/>
        </w:r>
        <w:r w:rsidR="00AD732F">
          <w:rPr>
            <w:noProof/>
            <w:webHidden/>
          </w:rPr>
          <w:t>144</w:t>
        </w:r>
        <w:r w:rsidR="002922F1">
          <w:rPr>
            <w:noProof/>
            <w:webHidden/>
          </w:rPr>
          <w:fldChar w:fldCharType="end"/>
        </w:r>
      </w:hyperlink>
    </w:p>
    <w:p w14:paraId="6F6DE8E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3" w:history="1">
        <w:r w:rsidR="002922F1" w:rsidRPr="008E720A">
          <w:rPr>
            <w:rStyle w:val="Hypertextovodkaz"/>
            <w:noProof/>
          </w:rPr>
          <w:t>Graf 100: NSS – evidenční počet soudců dle pohlaví v letech 2008–2018</w:t>
        </w:r>
        <w:r w:rsidR="002922F1">
          <w:rPr>
            <w:noProof/>
            <w:webHidden/>
          </w:rPr>
          <w:tab/>
        </w:r>
        <w:r w:rsidR="002922F1">
          <w:rPr>
            <w:noProof/>
            <w:webHidden/>
          </w:rPr>
          <w:fldChar w:fldCharType="begin"/>
        </w:r>
        <w:r w:rsidR="002922F1">
          <w:rPr>
            <w:noProof/>
            <w:webHidden/>
          </w:rPr>
          <w:instrText xml:space="preserve"> PAGEREF _Toc13837593 \h </w:instrText>
        </w:r>
        <w:r w:rsidR="002922F1">
          <w:rPr>
            <w:noProof/>
            <w:webHidden/>
          </w:rPr>
        </w:r>
        <w:r w:rsidR="002922F1">
          <w:rPr>
            <w:noProof/>
            <w:webHidden/>
          </w:rPr>
          <w:fldChar w:fldCharType="separate"/>
        </w:r>
        <w:r w:rsidR="00AD732F">
          <w:rPr>
            <w:noProof/>
            <w:webHidden/>
          </w:rPr>
          <w:t>145</w:t>
        </w:r>
        <w:r w:rsidR="002922F1">
          <w:rPr>
            <w:noProof/>
            <w:webHidden/>
          </w:rPr>
          <w:fldChar w:fldCharType="end"/>
        </w:r>
      </w:hyperlink>
    </w:p>
    <w:p w14:paraId="668BF76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4" w:history="1">
        <w:r w:rsidR="002922F1" w:rsidRPr="008E720A">
          <w:rPr>
            <w:rStyle w:val="Hypertextovodkaz"/>
            <w:noProof/>
          </w:rPr>
          <w:t>Graf 101: NSS – věková struktura soudců v letech 2008</w:t>
        </w:r>
        <w:r w:rsidR="002922F1" w:rsidRPr="008E720A">
          <w:rPr>
            <w:rStyle w:val="Hypertextovodkaz"/>
            <w:noProof/>
          </w:rPr>
          <w:sym w:font="Symbol" w:char="F02D"/>
        </w:r>
        <w:r w:rsidR="002922F1" w:rsidRPr="008E720A">
          <w:rPr>
            <w:rStyle w:val="Hypertextovodkaz"/>
            <w:noProof/>
          </w:rPr>
          <w:t>2018</w:t>
        </w:r>
        <w:r w:rsidR="002922F1">
          <w:rPr>
            <w:noProof/>
            <w:webHidden/>
          </w:rPr>
          <w:tab/>
        </w:r>
        <w:r w:rsidR="002922F1">
          <w:rPr>
            <w:noProof/>
            <w:webHidden/>
          </w:rPr>
          <w:fldChar w:fldCharType="begin"/>
        </w:r>
        <w:r w:rsidR="002922F1">
          <w:rPr>
            <w:noProof/>
            <w:webHidden/>
          </w:rPr>
          <w:instrText xml:space="preserve"> PAGEREF _Toc13837594 \h </w:instrText>
        </w:r>
        <w:r w:rsidR="002922F1">
          <w:rPr>
            <w:noProof/>
            <w:webHidden/>
          </w:rPr>
        </w:r>
        <w:r w:rsidR="002922F1">
          <w:rPr>
            <w:noProof/>
            <w:webHidden/>
          </w:rPr>
          <w:fldChar w:fldCharType="separate"/>
        </w:r>
        <w:r w:rsidR="00AD732F">
          <w:rPr>
            <w:noProof/>
            <w:webHidden/>
          </w:rPr>
          <w:t>146</w:t>
        </w:r>
        <w:r w:rsidR="002922F1">
          <w:rPr>
            <w:noProof/>
            <w:webHidden/>
          </w:rPr>
          <w:fldChar w:fldCharType="end"/>
        </w:r>
      </w:hyperlink>
    </w:p>
    <w:p w14:paraId="229EE10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5" w:history="1">
        <w:r w:rsidR="002922F1" w:rsidRPr="008E720A">
          <w:rPr>
            <w:rStyle w:val="Hypertextovodkaz"/>
            <w:noProof/>
          </w:rPr>
          <w:t>Graf 102: NSS – vyřizování kasačních věcí v letech 2008–2018</w:t>
        </w:r>
        <w:r w:rsidR="002922F1">
          <w:rPr>
            <w:noProof/>
            <w:webHidden/>
          </w:rPr>
          <w:tab/>
        </w:r>
        <w:r w:rsidR="002922F1">
          <w:rPr>
            <w:noProof/>
            <w:webHidden/>
          </w:rPr>
          <w:fldChar w:fldCharType="begin"/>
        </w:r>
        <w:r w:rsidR="002922F1">
          <w:rPr>
            <w:noProof/>
            <w:webHidden/>
          </w:rPr>
          <w:instrText xml:space="preserve"> PAGEREF _Toc13837595 \h </w:instrText>
        </w:r>
        <w:r w:rsidR="002922F1">
          <w:rPr>
            <w:noProof/>
            <w:webHidden/>
          </w:rPr>
        </w:r>
        <w:r w:rsidR="002922F1">
          <w:rPr>
            <w:noProof/>
            <w:webHidden/>
          </w:rPr>
          <w:fldChar w:fldCharType="separate"/>
        </w:r>
        <w:r w:rsidR="00AD732F">
          <w:rPr>
            <w:noProof/>
            <w:webHidden/>
          </w:rPr>
          <w:t>147</w:t>
        </w:r>
        <w:r w:rsidR="002922F1">
          <w:rPr>
            <w:noProof/>
            <w:webHidden/>
          </w:rPr>
          <w:fldChar w:fldCharType="end"/>
        </w:r>
      </w:hyperlink>
    </w:p>
    <w:p w14:paraId="442C266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596" w:history="1">
        <w:r w:rsidR="002922F1" w:rsidRPr="008E720A">
          <w:rPr>
            <w:rStyle w:val="Hypertextovodkaz"/>
            <w:noProof/>
          </w:rPr>
          <w:t>Graf 103: NSS – vyřizování řízení ve věcech soudců v letech 2008–2018</w:t>
        </w:r>
        <w:r w:rsidR="002922F1">
          <w:rPr>
            <w:noProof/>
            <w:webHidden/>
          </w:rPr>
          <w:tab/>
        </w:r>
        <w:r w:rsidR="002922F1">
          <w:rPr>
            <w:noProof/>
            <w:webHidden/>
          </w:rPr>
          <w:fldChar w:fldCharType="begin"/>
        </w:r>
        <w:r w:rsidR="002922F1">
          <w:rPr>
            <w:noProof/>
            <w:webHidden/>
          </w:rPr>
          <w:instrText xml:space="preserve"> PAGEREF _Toc13837596 \h </w:instrText>
        </w:r>
        <w:r w:rsidR="002922F1">
          <w:rPr>
            <w:noProof/>
            <w:webHidden/>
          </w:rPr>
        </w:r>
        <w:r w:rsidR="002922F1">
          <w:rPr>
            <w:noProof/>
            <w:webHidden/>
          </w:rPr>
          <w:fldChar w:fldCharType="separate"/>
        </w:r>
        <w:r w:rsidR="00AD732F">
          <w:rPr>
            <w:noProof/>
            <w:webHidden/>
          </w:rPr>
          <w:t>148</w:t>
        </w:r>
        <w:r w:rsidR="002922F1">
          <w:rPr>
            <w:noProof/>
            <w:webHidden/>
          </w:rPr>
          <w:fldChar w:fldCharType="end"/>
        </w:r>
      </w:hyperlink>
    </w:p>
    <w:p w14:paraId="6A54C69A" w14:textId="77777777" w:rsidR="009E35C2" w:rsidRPr="00F85178" w:rsidRDefault="00E935E4">
      <w:pPr>
        <w:spacing w:line="240" w:lineRule="auto"/>
        <w:jc w:val="left"/>
      </w:pPr>
      <w:r w:rsidRPr="00F85178">
        <w:fldChar w:fldCharType="end"/>
      </w:r>
      <w:r w:rsidR="009E35C2" w:rsidRPr="00F85178">
        <w:br w:type="page"/>
      </w:r>
    </w:p>
    <w:p w14:paraId="5153FDA7" w14:textId="77777777" w:rsidR="009E35C2" w:rsidRPr="00F85178" w:rsidRDefault="009E35C2" w:rsidP="009E35C2">
      <w:pPr>
        <w:pStyle w:val="Nadpis1"/>
        <w:numPr>
          <w:ilvl w:val="0"/>
          <w:numId w:val="0"/>
        </w:numPr>
        <w:ind w:left="432" w:hanging="432"/>
      </w:pPr>
      <w:bookmarkStart w:id="765" w:name="_Toc487791315"/>
      <w:bookmarkStart w:id="766" w:name="_Toc14076964"/>
      <w:r w:rsidRPr="00F85178">
        <w:t>Seznam tabulek</w:t>
      </w:r>
      <w:bookmarkEnd w:id="765"/>
      <w:bookmarkEnd w:id="766"/>
    </w:p>
    <w:p w14:paraId="6F2BF1A1" w14:textId="77777777" w:rsidR="002922F1" w:rsidRDefault="005B5896">
      <w:pPr>
        <w:pStyle w:val="Seznamobrzk"/>
        <w:tabs>
          <w:tab w:val="right" w:leader="dot" w:pos="9060"/>
        </w:tabs>
        <w:rPr>
          <w:rFonts w:asciiTheme="minorHAnsi" w:eastAsiaTheme="minorEastAsia" w:hAnsiTheme="minorHAnsi" w:cstheme="minorBidi"/>
          <w:noProof/>
          <w:sz w:val="22"/>
          <w:lang w:eastAsia="cs-CZ"/>
        </w:rPr>
      </w:pPr>
      <w:r w:rsidRPr="00F85178">
        <w:rPr>
          <w:b/>
          <w:bCs/>
          <w:noProof/>
        </w:rPr>
        <w:fldChar w:fldCharType="begin"/>
      </w:r>
      <w:r w:rsidRPr="00F85178">
        <w:rPr>
          <w:b/>
          <w:bCs/>
          <w:noProof/>
        </w:rPr>
        <w:instrText xml:space="preserve"> TOC \h \z \c "Tabulka" </w:instrText>
      </w:r>
      <w:r w:rsidRPr="00F85178">
        <w:rPr>
          <w:b/>
          <w:bCs/>
          <w:noProof/>
        </w:rPr>
        <w:fldChar w:fldCharType="separate"/>
      </w:r>
      <w:hyperlink w:anchor="_Toc13837424" w:history="1">
        <w:r w:rsidR="002922F1" w:rsidRPr="00E17C1D">
          <w:rPr>
            <w:rStyle w:val="Hypertextovodkaz"/>
            <w:noProof/>
          </w:rPr>
          <w:t>Tabulka 1: OS – počet soudců dle krajů</w:t>
        </w:r>
        <w:r w:rsidR="002922F1">
          <w:rPr>
            <w:noProof/>
            <w:webHidden/>
          </w:rPr>
          <w:tab/>
        </w:r>
        <w:r w:rsidR="002922F1">
          <w:rPr>
            <w:noProof/>
            <w:webHidden/>
          </w:rPr>
          <w:fldChar w:fldCharType="begin"/>
        </w:r>
        <w:r w:rsidR="002922F1">
          <w:rPr>
            <w:noProof/>
            <w:webHidden/>
          </w:rPr>
          <w:instrText xml:space="preserve"> PAGEREF _Toc13837424 \h </w:instrText>
        </w:r>
        <w:r w:rsidR="002922F1">
          <w:rPr>
            <w:noProof/>
            <w:webHidden/>
          </w:rPr>
        </w:r>
        <w:r w:rsidR="002922F1">
          <w:rPr>
            <w:noProof/>
            <w:webHidden/>
          </w:rPr>
          <w:fldChar w:fldCharType="separate"/>
        </w:r>
        <w:r w:rsidR="00AD732F">
          <w:rPr>
            <w:noProof/>
            <w:webHidden/>
          </w:rPr>
          <w:t>12</w:t>
        </w:r>
        <w:r w:rsidR="002922F1">
          <w:rPr>
            <w:noProof/>
            <w:webHidden/>
          </w:rPr>
          <w:fldChar w:fldCharType="end"/>
        </w:r>
      </w:hyperlink>
    </w:p>
    <w:p w14:paraId="03E198F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25" w:history="1">
        <w:r w:rsidR="002922F1" w:rsidRPr="00E17C1D">
          <w:rPr>
            <w:rStyle w:val="Hypertextovodkaz"/>
            <w:noProof/>
          </w:rPr>
          <w:t>Tabulka 2: OS – evidenční počet soudců dle pohlaví a krajů</w:t>
        </w:r>
        <w:r w:rsidR="002922F1">
          <w:rPr>
            <w:noProof/>
            <w:webHidden/>
          </w:rPr>
          <w:tab/>
        </w:r>
        <w:r w:rsidR="002922F1">
          <w:rPr>
            <w:noProof/>
            <w:webHidden/>
          </w:rPr>
          <w:fldChar w:fldCharType="begin"/>
        </w:r>
        <w:r w:rsidR="002922F1">
          <w:rPr>
            <w:noProof/>
            <w:webHidden/>
          </w:rPr>
          <w:instrText xml:space="preserve"> PAGEREF _Toc13837425 \h </w:instrText>
        </w:r>
        <w:r w:rsidR="002922F1">
          <w:rPr>
            <w:noProof/>
            <w:webHidden/>
          </w:rPr>
        </w:r>
        <w:r w:rsidR="002922F1">
          <w:rPr>
            <w:noProof/>
            <w:webHidden/>
          </w:rPr>
          <w:fldChar w:fldCharType="separate"/>
        </w:r>
        <w:r w:rsidR="00AD732F">
          <w:rPr>
            <w:noProof/>
            <w:webHidden/>
          </w:rPr>
          <w:t>14</w:t>
        </w:r>
        <w:r w:rsidR="002922F1">
          <w:rPr>
            <w:noProof/>
            <w:webHidden/>
          </w:rPr>
          <w:fldChar w:fldCharType="end"/>
        </w:r>
      </w:hyperlink>
    </w:p>
    <w:p w14:paraId="00B5033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26" w:history="1">
        <w:r w:rsidR="002922F1" w:rsidRPr="00E17C1D">
          <w:rPr>
            <w:rStyle w:val="Hypertextovodkaz"/>
            <w:noProof/>
          </w:rPr>
          <w:t>Tabulka 3: OS – předsedové a místopředsedové soudů</w:t>
        </w:r>
        <w:r w:rsidR="002922F1">
          <w:rPr>
            <w:noProof/>
            <w:webHidden/>
          </w:rPr>
          <w:tab/>
        </w:r>
        <w:r w:rsidR="002922F1">
          <w:rPr>
            <w:noProof/>
            <w:webHidden/>
          </w:rPr>
          <w:fldChar w:fldCharType="begin"/>
        </w:r>
        <w:r w:rsidR="002922F1">
          <w:rPr>
            <w:noProof/>
            <w:webHidden/>
          </w:rPr>
          <w:instrText xml:space="preserve"> PAGEREF _Toc13837426 \h </w:instrText>
        </w:r>
        <w:r w:rsidR="002922F1">
          <w:rPr>
            <w:noProof/>
            <w:webHidden/>
          </w:rPr>
        </w:r>
        <w:r w:rsidR="002922F1">
          <w:rPr>
            <w:noProof/>
            <w:webHidden/>
          </w:rPr>
          <w:fldChar w:fldCharType="separate"/>
        </w:r>
        <w:r w:rsidR="00AD732F">
          <w:rPr>
            <w:noProof/>
            <w:webHidden/>
          </w:rPr>
          <w:t>15</w:t>
        </w:r>
        <w:r w:rsidR="002922F1">
          <w:rPr>
            <w:noProof/>
            <w:webHidden/>
          </w:rPr>
          <w:fldChar w:fldCharType="end"/>
        </w:r>
      </w:hyperlink>
    </w:p>
    <w:p w14:paraId="3B47ED4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27" w:history="1">
        <w:r w:rsidR="002922F1" w:rsidRPr="00E17C1D">
          <w:rPr>
            <w:rStyle w:val="Hypertextovodkaz"/>
            <w:noProof/>
          </w:rPr>
          <w:t>Tabulka 4: OS – věková struktura soudců dle krajů</w:t>
        </w:r>
        <w:r w:rsidR="002922F1">
          <w:rPr>
            <w:noProof/>
            <w:webHidden/>
          </w:rPr>
          <w:tab/>
        </w:r>
        <w:r w:rsidR="002922F1">
          <w:rPr>
            <w:noProof/>
            <w:webHidden/>
          </w:rPr>
          <w:fldChar w:fldCharType="begin"/>
        </w:r>
        <w:r w:rsidR="002922F1">
          <w:rPr>
            <w:noProof/>
            <w:webHidden/>
          </w:rPr>
          <w:instrText xml:space="preserve"> PAGEREF _Toc13837427 \h </w:instrText>
        </w:r>
        <w:r w:rsidR="002922F1">
          <w:rPr>
            <w:noProof/>
            <w:webHidden/>
          </w:rPr>
        </w:r>
        <w:r w:rsidR="002922F1">
          <w:rPr>
            <w:noProof/>
            <w:webHidden/>
          </w:rPr>
          <w:fldChar w:fldCharType="separate"/>
        </w:r>
        <w:r w:rsidR="00AD732F">
          <w:rPr>
            <w:noProof/>
            <w:webHidden/>
          </w:rPr>
          <w:t>16</w:t>
        </w:r>
        <w:r w:rsidR="002922F1">
          <w:rPr>
            <w:noProof/>
            <w:webHidden/>
          </w:rPr>
          <w:fldChar w:fldCharType="end"/>
        </w:r>
      </w:hyperlink>
    </w:p>
    <w:p w14:paraId="51678AE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28" w:history="1">
        <w:r w:rsidR="002922F1" w:rsidRPr="00E17C1D">
          <w:rPr>
            <w:rStyle w:val="Hypertextovodkaz"/>
            <w:noProof/>
          </w:rPr>
          <w:t>Tabulka 5: OS – evidenční počet zaměstnanců ve výkonu dle krajů</w:t>
        </w:r>
        <w:r w:rsidR="002922F1">
          <w:rPr>
            <w:noProof/>
            <w:webHidden/>
          </w:rPr>
          <w:tab/>
        </w:r>
        <w:r w:rsidR="002922F1">
          <w:rPr>
            <w:noProof/>
            <w:webHidden/>
          </w:rPr>
          <w:fldChar w:fldCharType="begin"/>
        </w:r>
        <w:r w:rsidR="002922F1">
          <w:rPr>
            <w:noProof/>
            <w:webHidden/>
          </w:rPr>
          <w:instrText xml:space="preserve"> PAGEREF _Toc13837428 \h </w:instrText>
        </w:r>
        <w:r w:rsidR="002922F1">
          <w:rPr>
            <w:noProof/>
            <w:webHidden/>
          </w:rPr>
        </w:r>
        <w:r w:rsidR="002922F1">
          <w:rPr>
            <w:noProof/>
            <w:webHidden/>
          </w:rPr>
          <w:fldChar w:fldCharType="separate"/>
        </w:r>
        <w:r w:rsidR="00AD732F">
          <w:rPr>
            <w:noProof/>
            <w:webHidden/>
          </w:rPr>
          <w:t>17</w:t>
        </w:r>
        <w:r w:rsidR="002922F1">
          <w:rPr>
            <w:noProof/>
            <w:webHidden/>
          </w:rPr>
          <w:fldChar w:fldCharType="end"/>
        </w:r>
      </w:hyperlink>
    </w:p>
    <w:p w14:paraId="0C487C6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29" w:history="1">
        <w:r w:rsidR="002922F1" w:rsidRPr="00E17C1D">
          <w:rPr>
            <w:rStyle w:val="Hypertextovodkaz"/>
            <w:noProof/>
          </w:rPr>
          <w:t>Tabulka 6: OS – počet přísedících dle krajů</w:t>
        </w:r>
        <w:r w:rsidR="002922F1">
          <w:rPr>
            <w:noProof/>
            <w:webHidden/>
          </w:rPr>
          <w:tab/>
        </w:r>
        <w:r w:rsidR="002922F1">
          <w:rPr>
            <w:noProof/>
            <w:webHidden/>
          </w:rPr>
          <w:fldChar w:fldCharType="begin"/>
        </w:r>
        <w:r w:rsidR="002922F1">
          <w:rPr>
            <w:noProof/>
            <w:webHidden/>
          </w:rPr>
          <w:instrText xml:space="preserve"> PAGEREF _Toc13837429 \h </w:instrText>
        </w:r>
        <w:r w:rsidR="002922F1">
          <w:rPr>
            <w:noProof/>
            <w:webHidden/>
          </w:rPr>
        </w:r>
        <w:r w:rsidR="002922F1">
          <w:rPr>
            <w:noProof/>
            <w:webHidden/>
          </w:rPr>
          <w:fldChar w:fldCharType="separate"/>
        </w:r>
        <w:r w:rsidR="00AD732F">
          <w:rPr>
            <w:noProof/>
            <w:webHidden/>
          </w:rPr>
          <w:t>18</w:t>
        </w:r>
        <w:r w:rsidR="002922F1">
          <w:rPr>
            <w:noProof/>
            <w:webHidden/>
          </w:rPr>
          <w:fldChar w:fldCharType="end"/>
        </w:r>
      </w:hyperlink>
    </w:p>
    <w:p w14:paraId="53D8ABD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0" w:history="1">
        <w:r w:rsidR="002922F1" w:rsidRPr="00E17C1D">
          <w:rPr>
            <w:rStyle w:val="Hypertextovodkaz"/>
            <w:noProof/>
          </w:rPr>
          <w:t>Tabulka 7: OS – délky civilního řízení dle krajů</w:t>
        </w:r>
        <w:r w:rsidR="002922F1">
          <w:rPr>
            <w:noProof/>
            <w:webHidden/>
          </w:rPr>
          <w:tab/>
        </w:r>
        <w:r w:rsidR="002922F1">
          <w:rPr>
            <w:noProof/>
            <w:webHidden/>
          </w:rPr>
          <w:fldChar w:fldCharType="begin"/>
        </w:r>
        <w:r w:rsidR="002922F1">
          <w:rPr>
            <w:noProof/>
            <w:webHidden/>
          </w:rPr>
          <w:instrText xml:space="preserve"> PAGEREF _Toc13837430 \h </w:instrText>
        </w:r>
        <w:r w:rsidR="002922F1">
          <w:rPr>
            <w:noProof/>
            <w:webHidden/>
          </w:rPr>
        </w:r>
        <w:r w:rsidR="002922F1">
          <w:rPr>
            <w:noProof/>
            <w:webHidden/>
          </w:rPr>
          <w:fldChar w:fldCharType="separate"/>
        </w:r>
        <w:r w:rsidR="00AD732F">
          <w:rPr>
            <w:noProof/>
            <w:webHidden/>
          </w:rPr>
          <w:t>20</w:t>
        </w:r>
        <w:r w:rsidR="002922F1">
          <w:rPr>
            <w:noProof/>
            <w:webHidden/>
          </w:rPr>
          <w:fldChar w:fldCharType="end"/>
        </w:r>
      </w:hyperlink>
    </w:p>
    <w:p w14:paraId="3A455B0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1" w:history="1">
        <w:r w:rsidR="002922F1" w:rsidRPr="00E17C1D">
          <w:rPr>
            <w:rStyle w:val="Hypertextovodkaz"/>
            <w:noProof/>
          </w:rPr>
          <w:t>Tabulka 8: OS – vyřizování civilních věcí dle krajů</w:t>
        </w:r>
        <w:r w:rsidR="002922F1">
          <w:rPr>
            <w:noProof/>
            <w:webHidden/>
          </w:rPr>
          <w:tab/>
        </w:r>
        <w:r w:rsidR="002922F1">
          <w:rPr>
            <w:noProof/>
            <w:webHidden/>
          </w:rPr>
          <w:fldChar w:fldCharType="begin"/>
        </w:r>
        <w:r w:rsidR="002922F1">
          <w:rPr>
            <w:noProof/>
            <w:webHidden/>
          </w:rPr>
          <w:instrText xml:space="preserve"> PAGEREF _Toc13837431 \h </w:instrText>
        </w:r>
        <w:r w:rsidR="002922F1">
          <w:rPr>
            <w:noProof/>
            <w:webHidden/>
          </w:rPr>
        </w:r>
        <w:r w:rsidR="002922F1">
          <w:rPr>
            <w:noProof/>
            <w:webHidden/>
          </w:rPr>
          <w:fldChar w:fldCharType="separate"/>
        </w:r>
        <w:r w:rsidR="00AD732F">
          <w:rPr>
            <w:noProof/>
            <w:webHidden/>
          </w:rPr>
          <w:t>24</w:t>
        </w:r>
        <w:r w:rsidR="002922F1">
          <w:rPr>
            <w:noProof/>
            <w:webHidden/>
          </w:rPr>
          <w:fldChar w:fldCharType="end"/>
        </w:r>
      </w:hyperlink>
    </w:p>
    <w:p w14:paraId="11C2FCE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2" w:history="1">
        <w:r w:rsidR="002922F1" w:rsidRPr="00E17C1D">
          <w:rPr>
            <w:rStyle w:val="Hypertextovodkaz"/>
            <w:noProof/>
          </w:rPr>
          <w:t>Tabulka 9: OS – vyřizování civilních věcí na soudce dle krajů</w:t>
        </w:r>
        <w:r w:rsidR="002922F1">
          <w:rPr>
            <w:noProof/>
            <w:webHidden/>
          </w:rPr>
          <w:tab/>
        </w:r>
        <w:r w:rsidR="002922F1">
          <w:rPr>
            <w:noProof/>
            <w:webHidden/>
          </w:rPr>
          <w:fldChar w:fldCharType="begin"/>
        </w:r>
        <w:r w:rsidR="002922F1">
          <w:rPr>
            <w:noProof/>
            <w:webHidden/>
          </w:rPr>
          <w:instrText xml:space="preserve"> PAGEREF _Toc13837432 \h </w:instrText>
        </w:r>
        <w:r w:rsidR="002922F1">
          <w:rPr>
            <w:noProof/>
            <w:webHidden/>
          </w:rPr>
        </w:r>
        <w:r w:rsidR="002922F1">
          <w:rPr>
            <w:noProof/>
            <w:webHidden/>
          </w:rPr>
          <w:fldChar w:fldCharType="separate"/>
        </w:r>
        <w:r w:rsidR="00AD732F">
          <w:rPr>
            <w:noProof/>
            <w:webHidden/>
          </w:rPr>
          <w:t>25</w:t>
        </w:r>
        <w:r w:rsidR="002922F1">
          <w:rPr>
            <w:noProof/>
            <w:webHidden/>
          </w:rPr>
          <w:fldChar w:fldCharType="end"/>
        </w:r>
      </w:hyperlink>
    </w:p>
    <w:p w14:paraId="006D1B7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3" w:history="1">
        <w:r w:rsidR="002922F1" w:rsidRPr="00E17C1D">
          <w:rPr>
            <w:rStyle w:val="Hypertextovodkaz"/>
            <w:noProof/>
          </w:rPr>
          <w:t>Tabulka 10: OS – disposition time v civilním řízení dle krajů</w:t>
        </w:r>
        <w:r w:rsidR="002922F1">
          <w:rPr>
            <w:noProof/>
            <w:webHidden/>
          </w:rPr>
          <w:tab/>
        </w:r>
        <w:r w:rsidR="002922F1">
          <w:rPr>
            <w:noProof/>
            <w:webHidden/>
          </w:rPr>
          <w:fldChar w:fldCharType="begin"/>
        </w:r>
        <w:r w:rsidR="002922F1">
          <w:rPr>
            <w:noProof/>
            <w:webHidden/>
          </w:rPr>
          <w:instrText xml:space="preserve"> PAGEREF _Toc13837433 \h </w:instrText>
        </w:r>
        <w:r w:rsidR="002922F1">
          <w:rPr>
            <w:noProof/>
            <w:webHidden/>
          </w:rPr>
        </w:r>
        <w:r w:rsidR="002922F1">
          <w:rPr>
            <w:noProof/>
            <w:webHidden/>
          </w:rPr>
          <w:fldChar w:fldCharType="separate"/>
        </w:r>
        <w:r w:rsidR="00AD732F">
          <w:rPr>
            <w:noProof/>
            <w:webHidden/>
          </w:rPr>
          <w:t>29</w:t>
        </w:r>
        <w:r w:rsidR="002922F1">
          <w:rPr>
            <w:noProof/>
            <w:webHidden/>
          </w:rPr>
          <w:fldChar w:fldCharType="end"/>
        </w:r>
      </w:hyperlink>
    </w:p>
    <w:p w14:paraId="74C2524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4" w:history="1">
        <w:r w:rsidR="002922F1" w:rsidRPr="00E17C1D">
          <w:rPr>
            <w:rStyle w:val="Hypertextovodkaz"/>
            <w:noProof/>
          </w:rPr>
          <w:t>Tabulka 11: OS – míra odvolání dle krajů v civilním řízení</w:t>
        </w:r>
        <w:r w:rsidR="002922F1">
          <w:rPr>
            <w:noProof/>
            <w:webHidden/>
          </w:rPr>
          <w:tab/>
        </w:r>
        <w:r w:rsidR="002922F1">
          <w:rPr>
            <w:noProof/>
            <w:webHidden/>
          </w:rPr>
          <w:fldChar w:fldCharType="begin"/>
        </w:r>
        <w:r w:rsidR="002922F1">
          <w:rPr>
            <w:noProof/>
            <w:webHidden/>
          </w:rPr>
          <w:instrText xml:space="preserve"> PAGEREF _Toc13837434 \h </w:instrText>
        </w:r>
        <w:r w:rsidR="002922F1">
          <w:rPr>
            <w:noProof/>
            <w:webHidden/>
          </w:rPr>
        </w:r>
        <w:r w:rsidR="002922F1">
          <w:rPr>
            <w:noProof/>
            <w:webHidden/>
          </w:rPr>
          <w:fldChar w:fldCharType="separate"/>
        </w:r>
        <w:r w:rsidR="00AD732F">
          <w:rPr>
            <w:noProof/>
            <w:webHidden/>
          </w:rPr>
          <w:t>31</w:t>
        </w:r>
        <w:r w:rsidR="002922F1">
          <w:rPr>
            <w:noProof/>
            <w:webHidden/>
          </w:rPr>
          <w:fldChar w:fldCharType="end"/>
        </w:r>
      </w:hyperlink>
    </w:p>
    <w:p w14:paraId="5DDB6FA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5" w:history="1">
        <w:r w:rsidR="002922F1" w:rsidRPr="00E17C1D">
          <w:rPr>
            <w:rStyle w:val="Hypertextovodkaz"/>
            <w:noProof/>
          </w:rPr>
          <w:t>Tabulka 12: OS – míra změny rozsudku dle krajů v civilním řízení</w:t>
        </w:r>
        <w:r w:rsidR="002922F1">
          <w:rPr>
            <w:noProof/>
            <w:webHidden/>
          </w:rPr>
          <w:tab/>
        </w:r>
        <w:r w:rsidR="002922F1">
          <w:rPr>
            <w:noProof/>
            <w:webHidden/>
          </w:rPr>
          <w:fldChar w:fldCharType="begin"/>
        </w:r>
        <w:r w:rsidR="002922F1">
          <w:rPr>
            <w:noProof/>
            <w:webHidden/>
          </w:rPr>
          <w:instrText xml:space="preserve"> PAGEREF _Toc13837435 \h </w:instrText>
        </w:r>
        <w:r w:rsidR="002922F1">
          <w:rPr>
            <w:noProof/>
            <w:webHidden/>
          </w:rPr>
        </w:r>
        <w:r w:rsidR="002922F1">
          <w:rPr>
            <w:noProof/>
            <w:webHidden/>
          </w:rPr>
          <w:fldChar w:fldCharType="separate"/>
        </w:r>
        <w:r w:rsidR="00AD732F">
          <w:rPr>
            <w:noProof/>
            <w:webHidden/>
          </w:rPr>
          <w:t>32</w:t>
        </w:r>
        <w:r w:rsidR="002922F1">
          <w:rPr>
            <w:noProof/>
            <w:webHidden/>
          </w:rPr>
          <w:fldChar w:fldCharType="end"/>
        </w:r>
      </w:hyperlink>
    </w:p>
    <w:p w14:paraId="4656EA1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6" w:history="1">
        <w:r w:rsidR="002922F1" w:rsidRPr="00E17C1D">
          <w:rPr>
            <w:rStyle w:val="Hypertextovodkaz"/>
            <w:noProof/>
          </w:rPr>
          <w:t>Tabulka 13: OS – nejčastější spory v civilním řízení</w:t>
        </w:r>
        <w:r w:rsidR="002922F1">
          <w:rPr>
            <w:noProof/>
            <w:webHidden/>
          </w:rPr>
          <w:tab/>
        </w:r>
        <w:r w:rsidR="002922F1">
          <w:rPr>
            <w:noProof/>
            <w:webHidden/>
          </w:rPr>
          <w:fldChar w:fldCharType="begin"/>
        </w:r>
        <w:r w:rsidR="002922F1">
          <w:rPr>
            <w:noProof/>
            <w:webHidden/>
          </w:rPr>
          <w:instrText xml:space="preserve"> PAGEREF _Toc13837436 \h </w:instrText>
        </w:r>
        <w:r w:rsidR="002922F1">
          <w:rPr>
            <w:noProof/>
            <w:webHidden/>
          </w:rPr>
        </w:r>
        <w:r w:rsidR="002922F1">
          <w:rPr>
            <w:noProof/>
            <w:webHidden/>
          </w:rPr>
          <w:fldChar w:fldCharType="separate"/>
        </w:r>
        <w:r w:rsidR="00AD732F">
          <w:rPr>
            <w:noProof/>
            <w:webHidden/>
          </w:rPr>
          <w:t>35</w:t>
        </w:r>
        <w:r w:rsidR="002922F1">
          <w:rPr>
            <w:noProof/>
            <w:webHidden/>
          </w:rPr>
          <w:fldChar w:fldCharType="end"/>
        </w:r>
      </w:hyperlink>
    </w:p>
    <w:p w14:paraId="0F5ED2A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7" w:history="1">
        <w:r w:rsidR="002922F1" w:rsidRPr="00E17C1D">
          <w:rPr>
            <w:rStyle w:val="Hypertextovodkaz"/>
            <w:noProof/>
          </w:rPr>
          <w:t>Tabulka 14: OS – délky el. rozkazního civilního řízení dle krajů</w:t>
        </w:r>
        <w:r w:rsidR="002922F1">
          <w:rPr>
            <w:noProof/>
            <w:webHidden/>
          </w:rPr>
          <w:tab/>
        </w:r>
        <w:r w:rsidR="002922F1">
          <w:rPr>
            <w:noProof/>
            <w:webHidden/>
          </w:rPr>
          <w:fldChar w:fldCharType="begin"/>
        </w:r>
        <w:r w:rsidR="002922F1">
          <w:rPr>
            <w:noProof/>
            <w:webHidden/>
          </w:rPr>
          <w:instrText xml:space="preserve"> PAGEREF _Toc13837437 \h </w:instrText>
        </w:r>
        <w:r w:rsidR="002922F1">
          <w:rPr>
            <w:noProof/>
            <w:webHidden/>
          </w:rPr>
        </w:r>
        <w:r w:rsidR="002922F1">
          <w:rPr>
            <w:noProof/>
            <w:webHidden/>
          </w:rPr>
          <w:fldChar w:fldCharType="separate"/>
        </w:r>
        <w:r w:rsidR="00AD732F">
          <w:rPr>
            <w:noProof/>
            <w:webHidden/>
          </w:rPr>
          <w:t>37</w:t>
        </w:r>
        <w:r w:rsidR="002922F1">
          <w:rPr>
            <w:noProof/>
            <w:webHidden/>
          </w:rPr>
          <w:fldChar w:fldCharType="end"/>
        </w:r>
      </w:hyperlink>
    </w:p>
    <w:p w14:paraId="43C39B1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8" w:history="1">
        <w:r w:rsidR="002922F1" w:rsidRPr="00E17C1D">
          <w:rPr>
            <w:rStyle w:val="Hypertextovodkaz"/>
            <w:noProof/>
          </w:rPr>
          <w:t>Tabulka 15: OS – vyřizování věcí v rejstříku EPR dle krajů</w:t>
        </w:r>
        <w:r w:rsidR="002922F1">
          <w:rPr>
            <w:noProof/>
            <w:webHidden/>
          </w:rPr>
          <w:tab/>
        </w:r>
        <w:r w:rsidR="002922F1">
          <w:rPr>
            <w:noProof/>
            <w:webHidden/>
          </w:rPr>
          <w:fldChar w:fldCharType="begin"/>
        </w:r>
        <w:r w:rsidR="002922F1">
          <w:rPr>
            <w:noProof/>
            <w:webHidden/>
          </w:rPr>
          <w:instrText xml:space="preserve"> PAGEREF _Toc13837438 \h </w:instrText>
        </w:r>
        <w:r w:rsidR="002922F1">
          <w:rPr>
            <w:noProof/>
            <w:webHidden/>
          </w:rPr>
        </w:r>
        <w:r w:rsidR="002922F1">
          <w:rPr>
            <w:noProof/>
            <w:webHidden/>
          </w:rPr>
          <w:fldChar w:fldCharType="separate"/>
        </w:r>
        <w:r w:rsidR="00AD732F">
          <w:rPr>
            <w:noProof/>
            <w:webHidden/>
          </w:rPr>
          <w:t>39</w:t>
        </w:r>
        <w:r w:rsidR="002922F1">
          <w:rPr>
            <w:noProof/>
            <w:webHidden/>
          </w:rPr>
          <w:fldChar w:fldCharType="end"/>
        </w:r>
      </w:hyperlink>
    </w:p>
    <w:p w14:paraId="4221C66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39" w:history="1">
        <w:r w:rsidR="002922F1" w:rsidRPr="00E17C1D">
          <w:rPr>
            <w:rStyle w:val="Hypertextovodkaz"/>
            <w:noProof/>
          </w:rPr>
          <w:t>Tabulka 16: OS – převedeno z rejstříku EPR dle krajů</w:t>
        </w:r>
        <w:r w:rsidR="002922F1">
          <w:rPr>
            <w:noProof/>
            <w:webHidden/>
          </w:rPr>
          <w:tab/>
        </w:r>
        <w:r w:rsidR="002922F1">
          <w:rPr>
            <w:noProof/>
            <w:webHidden/>
          </w:rPr>
          <w:fldChar w:fldCharType="begin"/>
        </w:r>
        <w:r w:rsidR="002922F1">
          <w:rPr>
            <w:noProof/>
            <w:webHidden/>
          </w:rPr>
          <w:instrText xml:space="preserve"> PAGEREF _Toc13837439 \h </w:instrText>
        </w:r>
        <w:r w:rsidR="002922F1">
          <w:rPr>
            <w:noProof/>
            <w:webHidden/>
          </w:rPr>
        </w:r>
        <w:r w:rsidR="002922F1">
          <w:rPr>
            <w:noProof/>
            <w:webHidden/>
          </w:rPr>
          <w:fldChar w:fldCharType="separate"/>
        </w:r>
        <w:r w:rsidR="00AD732F">
          <w:rPr>
            <w:noProof/>
            <w:webHidden/>
          </w:rPr>
          <w:t>40</w:t>
        </w:r>
        <w:r w:rsidR="002922F1">
          <w:rPr>
            <w:noProof/>
            <w:webHidden/>
          </w:rPr>
          <w:fldChar w:fldCharType="end"/>
        </w:r>
      </w:hyperlink>
    </w:p>
    <w:p w14:paraId="24C6343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0" w:history="1">
        <w:r w:rsidR="002922F1" w:rsidRPr="00E17C1D">
          <w:rPr>
            <w:rStyle w:val="Hypertextovodkaz"/>
            <w:noProof/>
          </w:rPr>
          <w:t>Tabulka 17: OS – délky trestního řízení dle krajů</w:t>
        </w:r>
        <w:r w:rsidR="002922F1">
          <w:rPr>
            <w:noProof/>
            <w:webHidden/>
          </w:rPr>
          <w:tab/>
        </w:r>
        <w:r w:rsidR="002922F1">
          <w:rPr>
            <w:noProof/>
            <w:webHidden/>
          </w:rPr>
          <w:fldChar w:fldCharType="begin"/>
        </w:r>
        <w:r w:rsidR="002922F1">
          <w:rPr>
            <w:noProof/>
            <w:webHidden/>
          </w:rPr>
          <w:instrText xml:space="preserve"> PAGEREF _Toc13837440 \h </w:instrText>
        </w:r>
        <w:r w:rsidR="002922F1">
          <w:rPr>
            <w:noProof/>
            <w:webHidden/>
          </w:rPr>
        </w:r>
        <w:r w:rsidR="002922F1">
          <w:rPr>
            <w:noProof/>
            <w:webHidden/>
          </w:rPr>
          <w:fldChar w:fldCharType="separate"/>
        </w:r>
        <w:r w:rsidR="00AD732F">
          <w:rPr>
            <w:noProof/>
            <w:webHidden/>
          </w:rPr>
          <w:t>42</w:t>
        </w:r>
        <w:r w:rsidR="002922F1">
          <w:rPr>
            <w:noProof/>
            <w:webHidden/>
          </w:rPr>
          <w:fldChar w:fldCharType="end"/>
        </w:r>
      </w:hyperlink>
    </w:p>
    <w:p w14:paraId="62CDFC0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1" w:history="1">
        <w:r w:rsidR="002922F1" w:rsidRPr="00E17C1D">
          <w:rPr>
            <w:rStyle w:val="Hypertextovodkaz"/>
            <w:noProof/>
          </w:rPr>
          <w:t>Tabulka 18: OS – délky trestního řízení dle hlav trestního zákoníku</w:t>
        </w:r>
        <w:r w:rsidR="002922F1">
          <w:rPr>
            <w:noProof/>
            <w:webHidden/>
          </w:rPr>
          <w:tab/>
        </w:r>
        <w:r w:rsidR="002922F1">
          <w:rPr>
            <w:noProof/>
            <w:webHidden/>
          </w:rPr>
          <w:fldChar w:fldCharType="begin"/>
        </w:r>
        <w:r w:rsidR="002922F1">
          <w:rPr>
            <w:noProof/>
            <w:webHidden/>
          </w:rPr>
          <w:instrText xml:space="preserve"> PAGEREF _Toc13837441 \h </w:instrText>
        </w:r>
        <w:r w:rsidR="002922F1">
          <w:rPr>
            <w:noProof/>
            <w:webHidden/>
          </w:rPr>
        </w:r>
        <w:r w:rsidR="002922F1">
          <w:rPr>
            <w:noProof/>
            <w:webHidden/>
          </w:rPr>
          <w:fldChar w:fldCharType="separate"/>
        </w:r>
        <w:r w:rsidR="00AD732F">
          <w:rPr>
            <w:noProof/>
            <w:webHidden/>
          </w:rPr>
          <w:t>44</w:t>
        </w:r>
        <w:r w:rsidR="002922F1">
          <w:rPr>
            <w:noProof/>
            <w:webHidden/>
          </w:rPr>
          <w:fldChar w:fldCharType="end"/>
        </w:r>
      </w:hyperlink>
    </w:p>
    <w:p w14:paraId="134B189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2" w:history="1">
        <w:r w:rsidR="002922F1" w:rsidRPr="00E17C1D">
          <w:rPr>
            <w:rStyle w:val="Hypertextovodkaz"/>
            <w:noProof/>
          </w:rPr>
          <w:t>Tabulka 19: OS – vyřizování trestních věcí dle krajů</w:t>
        </w:r>
        <w:r w:rsidR="002922F1">
          <w:rPr>
            <w:noProof/>
            <w:webHidden/>
          </w:rPr>
          <w:tab/>
        </w:r>
        <w:r w:rsidR="002922F1">
          <w:rPr>
            <w:noProof/>
            <w:webHidden/>
          </w:rPr>
          <w:fldChar w:fldCharType="begin"/>
        </w:r>
        <w:r w:rsidR="002922F1">
          <w:rPr>
            <w:noProof/>
            <w:webHidden/>
          </w:rPr>
          <w:instrText xml:space="preserve"> PAGEREF _Toc13837442 \h </w:instrText>
        </w:r>
        <w:r w:rsidR="002922F1">
          <w:rPr>
            <w:noProof/>
            <w:webHidden/>
          </w:rPr>
        </w:r>
        <w:r w:rsidR="002922F1">
          <w:rPr>
            <w:noProof/>
            <w:webHidden/>
          </w:rPr>
          <w:fldChar w:fldCharType="separate"/>
        </w:r>
        <w:r w:rsidR="00AD732F">
          <w:rPr>
            <w:noProof/>
            <w:webHidden/>
          </w:rPr>
          <w:t>46</w:t>
        </w:r>
        <w:r w:rsidR="002922F1">
          <w:rPr>
            <w:noProof/>
            <w:webHidden/>
          </w:rPr>
          <w:fldChar w:fldCharType="end"/>
        </w:r>
      </w:hyperlink>
    </w:p>
    <w:p w14:paraId="42FA8C6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3" w:history="1">
        <w:r w:rsidR="002922F1" w:rsidRPr="00E17C1D">
          <w:rPr>
            <w:rStyle w:val="Hypertextovodkaz"/>
            <w:noProof/>
          </w:rPr>
          <w:t>Tabulka 20: OS – vyřizování trestních věcí na soudce dle krajů</w:t>
        </w:r>
        <w:r w:rsidR="002922F1">
          <w:rPr>
            <w:noProof/>
            <w:webHidden/>
          </w:rPr>
          <w:tab/>
        </w:r>
        <w:r w:rsidR="002922F1">
          <w:rPr>
            <w:noProof/>
            <w:webHidden/>
          </w:rPr>
          <w:fldChar w:fldCharType="begin"/>
        </w:r>
        <w:r w:rsidR="002922F1">
          <w:rPr>
            <w:noProof/>
            <w:webHidden/>
          </w:rPr>
          <w:instrText xml:space="preserve"> PAGEREF _Toc13837443 \h </w:instrText>
        </w:r>
        <w:r w:rsidR="002922F1">
          <w:rPr>
            <w:noProof/>
            <w:webHidden/>
          </w:rPr>
        </w:r>
        <w:r w:rsidR="002922F1">
          <w:rPr>
            <w:noProof/>
            <w:webHidden/>
          </w:rPr>
          <w:fldChar w:fldCharType="separate"/>
        </w:r>
        <w:r w:rsidR="00AD732F">
          <w:rPr>
            <w:noProof/>
            <w:webHidden/>
          </w:rPr>
          <w:t>47</w:t>
        </w:r>
        <w:r w:rsidR="002922F1">
          <w:rPr>
            <w:noProof/>
            <w:webHidden/>
          </w:rPr>
          <w:fldChar w:fldCharType="end"/>
        </w:r>
      </w:hyperlink>
    </w:p>
    <w:p w14:paraId="20EA275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4" w:history="1">
        <w:r w:rsidR="002922F1" w:rsidRPr="00E17C1D">
          <w:rPr>
            <w:rStyle w:val="Hypertextovodkaz"/>
            <w:noProof/>
          </w:rPr>
          <w:t>Tabulka 21: OS – disposition time trestního řízení dle krajů</w:t>
        </w:r>
        <w:r w:rsidR="002922F1">
          <w:rPr>
            <w:noProof/>
            <w:webHidden/>
          </w:rPr>
          <w:tab/>
        </w:r>
        <w:r w:rsidR="002922F1">
          <w:rPr>
            <w:noProof/>
            <w:webHidden/>
          </w:rPr>
          <w:fldChar w:fldCharType="begin"/>
        </w:r>
        <w:r w:rsidR="002922F1">
          <w:rPr>
            <w:noProof/>
            <w:webHidden/>
          </w:rPr>
          <w:instrText xml:space="preserve"> PAGEREF _Toc13837444 \h </w:instrText>
        </w:r>
        <w:r w:rsidR="002922F1">
          <w:rPr>
            <w:noProof/>
            <w:webHidden/>
          </w:rPr>
        </w:r>
        <w:r w:rsidR="002922F1">
          <w:rPr>
            <w:noProof/>
            <w:webHidden/>
          </w:rPr>
          <w:fldChar w:fldCharType="separate"/>
        </w:r>
        <w:r w:rsidR="00AD732F">
          <w:rPr>
            <w:noProof/>
            <w:webHidden/>
          </w:rPr>
          <w:t>49</w:t>
        </w:r>
        <w:r w:rsidR="002922F1">
          <w:rPr>
            <w:noProof/>
            <w:webHidden/>
          </w:rPr>
          <w:fldChar w:fldCharType="end"/>
        </w:r>
      </w:hyperlink>
    </w:p>
    <w:p w14:paraId="51F2E94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5" w:history="1">
        <w:r w:rsidR="002922F1" w:rsidRPr="00E17C1D">
          <w:rPr>
            <w:rStyle w:val="Hypertextovodkaz"/>
            <w:noProof/>
          </w:rPr>
          <w:t>Tabulka 22: OS – míra odvolání dle krajů v trestním řízení</w:t>
        </w:r>
        <w:r w:rsidR="002922F1">
          <w:rPr>
            <w:noProof/>
            <w:webHidden/>
          </w:rPr>
          <w:tab/>
        </w:r>
        <w:r w:rsidR="002922F1">
          <w:rPr>
            <w:noProof/>
            <w:webHidden/>
          </w:rPr>
          <w:fldChar w:fldCharType="begin"/>
        </w:r>
        <w:r w:rsidR="002922F1">
          <w:rPr>
            <w:noProof/>
            <w:webHidden/>
          </w:rPr>
          <w:instrText xml:space="preserve"> PAGEREF _Toc13837445 \h </w:instrText>
        </w:r>
        <w:r w:rsidR="002922F1">
          <w:rPr>
            <w:noProof/>
            <w:webHidden/>
          </w:rPr>
        </w:r>
        <w:r w:rsidR="002922F1">
          <w:rPr>
            <w:noProof/>
            <w:webHidden/>
          </w:rPr>
          <w:fldChar w:fldCharType="separate"/>
        </w:r>
        <w:r w:rsidR="00AD732F">
          <w:rPr>
            <w:noProof/>
            <w:webHidden/>
          </w:rPr>
          <w:t>52</w:t>
        </w:r>
        <w:r w:rsidR="002922F1">
          <w:rPr>
            <w:noProof/>
            <w:webHidden/>
          </w:rPr>
          <w:fldChar w:fldCharType="end"/>
        </w:r>
      </w:hyperlink>
    </w:p>
    <w:p w14:paraId="6EEB172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6" w:history="1">
        <w:r w:rsidR="002922F1" w:rsidRPr="00E17C1D">
          <w:rPr>
            <w:rStyle w:val="Hypertextovodkaz"/>
            <w:noProof/>
          </w:rPr>
          <w:t>Tabulka 23: OS – míra změny rozsudku dle krajů v trestním řízení</w:t>
        </w:r>
        <w:r w:rsidR="002922F1">
          <w:rPr>
            <w:noProof/>
            <w:webHidden/>
          </w:rPr>
          <w:tab/>
        </w:r>
        <w:r w:rsidR="002922F1">
          <w:rPr>
            <w:noProof/>
            <w:webHidden/>
          </w:rPr>
          <w:fldChar w:fldCharType="begin"/>
        </w:r>
        <w:r w:rsidR="002922F1">
          <w:rPr>
            <w:noProof/>
            <w:webHidden/>
          </w:rPr>
          <w:instrText xml:space="preserve"> PAGEREF _Toc13837446 \h </w:instrText>
        </w:r>
        <w:r w:rsidR="002922F1">
          <w:rPr>
            <w:noProof/>
            <w:webHidden/>
          </w:rPr>
        </w:r>
        <w:r w:rsidR="002922F1">
          <w:rPr>
            <w:noProof/>
            <w:webHidden/>
          </w:rPr>
          <w:fldChar w:fldCharType="separate"/>
        </w:r>
        <w:r w:rsidR="00AD732F">
          <w:rPr>
            <w:noProof/>
            <w:webHidden/>
          </w:rPr>
          <w:t>53</w:t>
        </w:r>
        <w:r w:rsidR="002922F1">
          <w:rPr>
            <w:noProof/>
            <w:webHidden/>
          </w:rPr>
          <w:fldChar w:fldCharType="end"/>
        </w:r>
      </w:hyperlink>
    </w:p>
    <w:p w14:paraId="4BE3803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7" w:history="1">
        <w:r w:rsidR="002922F1" w:rsidRPr="00E17C1D">
          <w:rPr>
            <w:rStyle w:val="Hypertextovodkaz"/>
            <w:noProof/>
          </w:rPr>
          <w:t>Tabulka 24: OS – podíl počtu odsouzených dle hlav trestního zákoníku</w:t>
        </w:r>
        <w:r w:rsidR="002922F1">
          <w:rPr>
            <w:noProof/>
            <w:webHidden/>
          </w:rPr>
          <w:tab/>
        </w:r>
        <w:r w:rsidR="002922F1">
          <w:rPr>
            <w:noProof/>
            <w:webHidden/>
          </w:rPr>
          <w:fldChar w:fldCharType="begin"/>
        </w:r>
        <w:r w:rsidR="002922F1">
          <w:rPr>
            <w:noProof/>
            <w:webHidden/>
          </w:rPr>
          <w:instrText xml:space="preserve"> PAGEREF _Toc13837447 \h </w:instrText>
        </w:r>
        <w:r w:rsidR="002922F1">
          <w:rPr>
            <w:noProof/>
            <w:webHidden/>
          </w:rPr>
        </w:r>
        <w:r w:rsidR="002922F1">
          <w:rPr>
            <w:noProof/>
            <w:webHidden/>
          </w:rPr>
          <w:fldChar w:fldCharType="separate"/>
        </w:r>
        <w:r w:rsidR="00AD732F">
          <w:rPr>
            <w:noProof/>
            <w:webHidden/>
          </w:rPr>
          <w:t>56</w:t>
        </w:r>
        <w:r w:rsidR="002922F1">
          <w:rPr>
            <w:noProof/>
            <w:webHidden/>
          </w:rPr>
          <w:fldChar w:fldCharType="end"/>
        </w:r>
      </w:hyperlink>
    </w:p>
    <w:p w14:paraId="71BAAA6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8" w:history="1">
        <w:r w:rsidR="002922F1" w:rsidRPr="00E17C1D">
          <w:rPr>
            <w:rStyle w:val="Hypertextovodkaz"/>
            <w:noProof/>
          </w:rPr>
          <w:t>Tabulka 25: OS – nejčastější trestné činy dle hlav</w:t>
        </w:r>
        <w:r w:rsidR="002922F1">
          <w:rPr>
            <w:noProof/>
            <w:webHidden/>
          </w:rPr>
          <w:tab/>
        </w:r>
        <w:r w:rsidR="002922F1">
          <w:rPr>
            <w:noProof/>
            <w:webHidden/>
          </w:rPr>
          <w:fldChar w:fldCharType="begin"/>
        </w:r>
        <w:r w:rsidR="002922F1">
          <w:rPr>
            <w:noProof/>
            <w:webHidden/>
          </w:rPr>
          <w:instrText xml:space="preserve"> PAGEREF _Toc13837448 \h </w:instrText>
        </w:r>
        <w:r w:rsidR="002922F1">
          <w:rPr>
            <w:noProof/>
            <w:webHidden/>
          </w:rPr>
        </w:r>
        <w:r w:rsidR="002922F1">
          <w:rPr>
            <w:noProof/>
            <w:webHidden/>
          </w:rPr>
          <w:fldChar w:fldCharType="separate"/>
        </w:r>
        <w:r w:rsidR="00AD732F">
          <w:rPr>
            <w:noProof/>
            <w:webHidden/>
          </w:rPr>
          <w:t>57</w:t>
        </w:r>
        <w:r w:rsidR="002922F1">
          <w:rPr>
            <w:noProof/>
            <w:webHidden/>
          </w:rPr>
          <w:fldChar w:fldCharType="end"/>
        </w:r>
      </w:hyperlink>
    </w:p>
    <w:p w14:paraId="212804E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49" w:history="1">
        <w:r w:rsidR="002922F1" w:rsidRPr="00E17C1D">
          <w:rPr>
            <w:rStyle w:val="Hypertextovodkaz"/>
            <w:noProof/>
          </w:rPr>
          <w:t>Tabulka 26: OS – délky řízení v opatrovnické agendě dle krajů</w:t>
        </w:r>
        <w:r w:rsidR="002922F1">
          <w:rPr>
            <w:noProof/>
            <w:webHidden/>
          </w:rPr>
          <w:tab/>
        </w:r>
        <w:r w:rsidR="002922F1">
          <w:rPr>
            <w:noProof/>
            <w:webHidden/>
          </w:rPr>
          <w:fldChar w:fldCharType="begin"/>
        </w:r>
        <w:r w:rsidR="002922F1">
          <w:rPr>
            <w:noProof/>
            <w:webHidden/>
          </w:rPr>
          <w:instrText xml:space="preserve"> PAGEREF _Toc13837449 \h </w:instrText>
        </w:r>
        <w:r w:rsidR="002922F1">
          <w:rPr>
            <w:noProof/>
            <w:webHidden/>
          </w:rPr>
        </w:r>
        <w:r w:rsidR="002922F1">
          <w:rPr>
            <w:noProof/>
            <w:webHidden/>
          </w:rPr>
          <w:fldChar w:fldCharType="separate"/>
        </w:r>
        <w:r w:rsidR="00AD732F">
          <w:rPr>
            <w:noProof/>
            <w:webHidden/>
          </w:rPr>
          <w:t>60</w:t>
        </w:r>
        <w:r w:rsidR="002922F1">
          <w:rPr>
            <w:noProof/>
            <w:webHidden/>
          </w:rPr>
          <w:fldChar w:fldCharType="end"/>
        </w:r>
      </w:hyperlink>
    </w:p>
    <w:p w14:paraId="17505FC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0" w:history="1">
        <w:r w:rsidR="002922F1" w:rsidRPr="00E17C1D">
          <w:rPr>
            <w:rStyle w:val="Hypertextovodkaz"/>
            <w:noProof/>
          </w:rPr>
          <w:t>Tabulka 27: OS – vyřizování opatrovnických věcí dle krajů</w:t>
        </w:r>
        <w:r w:rsidR="002922F1">
          <w:rPr>
            <w:noProof/>
            <w:webHidden/>
          </w:rPr>
          <w:tab/>
        </w:r>
        <w:r w:rsidR="002922F1">
          <w:rPr>
            <w:noProof/>
            <w:webHidden/>
          </w:rPr>
          <w:fldChar w:fldCharType="begin"/>
        </w:r>
        <w:r w:rsidR="002922F1">
          <w:rPr>
            <w:noProof/>
            <w:webHidden/>
          </w:rPr>
          <w:instrText xml:space="preserve"> PAGEREF _Toc13837450 \h </w:instrText>
        </w:r>
        <w:r w:rsidR="002922F1">
          <w:rPr>
            <w:noProof/>
            <w:webHidden/>
          </w:rPr>
        </w:r>
        <w:r w:rsidR="002922F1">
          <w:rPr>
            <w:noProof/>
            <w:webHidden/>
          </w:rPr>
          <w:fldChar w:fldCharType="separate"/>
        </w:r>
        <w:r w:rsidR="00AD732F">
          <w:rPr>
            <w:noProof/>
            <w:webHidden/>
          </w:rPr>
          <w:t>62</w:t>
        </w:r>
        <w:r w:rsidR="002922F1">
          <w:rPr>
            <w:noProof/>
            <w:webHidden/>
          </w:rPr>
          <w:fldChar w:fldCharType="end"/>
        </w:r>
      </w:hyperlink>
    </w:p>
    <w:p w14:paraId="0177B4B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1" w:history="1">
        <w:r w:rsidR="002922F1" w:rsidRPr="00E17C1D">
          <w:rPr>
            <w:rStyle w:val="Hypertextovodkaz"/>
            <w:noProof/>
          </w:rPr>
          <w:t>Tabulka 28: OS – disposition time v opatrovnické agendě dle krajů</w:t>
        </w:r>
        <w:r w:rsidR="002922F1">
          <w:rPr>
            <w:noProof/>
            <w:webHidden/>
          </w:rPr>
          <w:tab/>
        </w:r>
        <w:r w:rsidR="002922F1">
          <w:rPr>
            <w:noProof/>
            <w:webHidden/>
          </w:rPr>
          <w:fldChar w:fldCharType="begin"/>
        </w:r>
        <w:r w:rsidR="002922F1">
          <w:rPr>
            <w:noProof/>
            <w:webHidden/>
          </w:rPr>
          <w:instrText xml:space="preserve"> PAGEREF _Toc13837451 \h </w:instrText>
        </w:r>
        <w:r w:rsidR="002922F1">
          <w:rPr>
            <w:noProof/>
            <w:webHidden/>
          </w:rPr>
        </w:r>
        <w:r w:rsidR="002922F1">
          <w:rPr>
            <w:noProof/>
            <w:webHidden/>
          </w:rPr>
          <w:fldChar w:fldCharType="separate"/>
        </w:r>
        <w:r w:rsidR="00AD732F">
          <w:rPr>
            <w:noProof/>
            <w:webHidden/>
          </w:rPr>
          <w:t>64</w:t>
        </w:r>
        <w:r w:rsidR="002922F1">
          <w:rPr>
            <w:noProof/>
            <w:webHidden/>
          </w:rPr>
          <w:fldChar w:fldCharType="end"/>
        </w:r>
      </w:hyperlink>
    </w:p>
    <w:p w14:paraId="685D366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2" w:history="1">
        <w:r w:rsidR="002922F1" w:rsidRPr="00E17C1D">
          <w:rPr>
            <w:rStyle w:val="Hypertextovodkaz"/>
            <w:noProof/>
          </w:rPr>
          <w:t>Tabulka 29: KS – počet soudců dle soudů</w:t>
        </w:r>
        <w:r w:rsidR="002922F1">
          <w:rPr>
            <w:noProof/>
            <w:webHidden/>
          </w:rPr>
          <w:tab/>
        </w:r>
        <w:r w:rsidR="002922F1">
          <w:rPr>
            <w:noProof/>
            <w:webHidden/>
          </w:rPr>
          <w:fldChar w:fldCharType="begin"/>
        </w:r>
        <w:r w:rsidR="002922F1">
          <w:rPr>
            <w:noProof/>
            <w:webHidden/>
          </w:rPr>
          <w:instrText xml:space="preserve"> PAGEREF _Toc13837452 \h </w:instrText>
        </w:r>
        <w:r w:rsidR="002922F1">
          <w:rPr>
            <w:noProof/>
            <w:webHidden/>
          </w:rPr>
        </w:r>
        <w:r w:rsidR="002922F1">
          <w:rPr>
            <w:noProof/>
            <w:webHidden/>
          </w:rPr>
          <w:fldChar w:fldCharType="separate"/>
        </w:r>
        <w:r w:rsidR="00AD732F">
          <w:rPr>
            <w:noProof/>
            <w:webHidden/>
          </w:rPr>
          <w:t>72</w:t>
        </w:r>
        <w:r w:rsidR="002922F1">
          <w:rPr>
            <w:noProof/>
            <w:webHidden/>
          </w:rPr>
          <w:fldChar w:fldCharType="end"/>
        </w:r>
      </w:hyperlink>
    </w:p>
    <w:p w14:paraId="5AFE2B9F"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3" w:history="1">
        <w:r w:rsidR="002922F1" w:rsidRPr="00E17C1D">
          <w:rPr>
            <w:rStyle w:val="Hypertextovodkaz"/>
            <w:noProof/>
          </w:rPr>
          <w:t>Tabulka 30: KS – evidenční počet soudců dle pohlaví a soudů</w:t>
        </w:r>
        <w:r w:rsidR="002922F1">
          <w:rPr>
            <w:noProof/>
            <w:webHidden/>
          </w:rPr>
          <w:tab/>
        </w:r>
        <w:r w:rsidR="002922F1">
          <w:rPr>
            <w:noProof/>
            <w:webHidden/>
          </w:rPr>
          <w:fldChar w:fldCharType="begin"/>
        </w:r>
        <w:r w:rsidR="002922F1">
          <w:rPr>
            <w:noProof/>
            <w:webHidden/>
          </w:rPr>
          <w:instrText xml:space="preserve"> PAGEREF _Toc13837453 \h </w:instrText>
        </w:r>
        <w:r w:rsidR="002922F1">
          <w:rPr>
            <w:noProof/>
            <w:webHidden/>
          </w:rPr>
        </w:r>
        <w:r w:rsidR="002922F1">
          <w:rPr>
            <w:noProof/>
            <w:webHidden/>
          </w:rPr>
          <w:fldChar w:fldCharType="separate"/>
        </w:r>
        <w:r w:rsidR="00AD732F">
          <w:rPr>
            <w:noProof/>
            <w:webHidden/>
          </w:rPr>
          <w:t>73</w:t>
        </w:r>
        <w:r w:rsidR="002922F1">
          <w:rPr>
            <w:noProof/>
            <w:webHidden/>
          </w:rPr>
          <w:fldChar w:fldCharType="end"/>
        </w:r>
      </w:hyperlink>
    </w:p>
    <w:p w14:paraId="63DC5C4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4" w:history="1">
        <w:r w:rsidR="002922F1" w:rsidRPr="00E17C1D">
          <w:rPr>
            <w:rStyle w:val="Hypertextovodkaz"/>
            <w:noProof/>
          </w:rPr>
          <w:t>Tabulka 31: KS – věková struktura soudců dle krajů</w:t>
        </w:r>
        <w:r w:rsidR="002922F1">
          <w:rPr>
            <w:noProof/>
            <w:webHidden/>
          </w:rPr>
          <w:tab/>
        </w:r>
        <w:r w:rsidR="002922F1">
          <w:rPr>
            <w:noProof/>
            <w:webHidden/>
          </w:rPr>
          <w:fldChar w:fldCharType="begin"/>
        </w:r>
        <w:r w:rsidR="002922F1">
          <w:rPr>
            <w:noProof/>
            <w:webHidden/>
          </w:rPr>
          <w:instrText xml:space="preserve"> PAGEREF _Toc13837454 \h </w:instrText>
        </w:r>
        <w:r w:rsidR="002922F1">
          <w:rPr>
            <w:noProof/>
            <w:webHidden/>
          </w:rPr>
        </w:r>
        <w:r w:rsidR="002922F1">
          <w:rPr>
            <w:noProof/>
            <w:webHidden/>
          </w:rPr>
          <w:fldChar w:fldCharType="separate"/>
        </w:r>
        <w:r w:rsidR="00AD732F">
          <w:rPr>
            <w:noProof/>
            <w:webHidden/>
          </w:rPr>
          <w:t>74</w:t>
        </w:r>
        <w:r w:rsidR="002922F1">
          <w:rPr>
            <w:noProof/>
            <w:webHidden/>
          </w:rPr>
          <w:fldChar w:fldCharType="end"/>
        </w:r>
      </w:hyperlink>
    </w:p>
    <w:p w14:paraId="17CC469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5" w:history="1">
        <w:r w:rsidR="002922F1" w:rsidRPr="00E17C1D">
          <w:rPr>
            <w:rStyle w:val="Hypertextovodkaz"/>
            <w:noProof/>
          </w:rPr>
          <w:t>Tabulka 32: KS – evidenční počet zaměstnanců ve výkonu dle soudů</w:t>
        </w:r>
        <w:r w:rsidR="002922F1">
          <w:rPr>
            <w:noProof/>
            <w:webHidden/>
          </w:rPr>
          <w:tab/>
        </w:r>
        <w:r w:rsidR="002922F1">
          <w:rPr>
            <w:noProof/>
            <w:webHidden/>
          </w:rPr>
          <w:fldChar w:fldCharType="begin"/>
        </w:r>
        <w:r w:rsidR="002922F1">
          <w:rPr>
            <w:noProof/>
            <w:webHidden/>
          </w:rPr>
          <w:instrText xml:space="preserve"> PAGEREF _Toc13837455 \h </w:instrText>
        </w:r>
        <w:r w:rsidR="002922F1">
          <w:rPr>
            <w:noProof/>
            <w:webHidden/>
          </w:rPr>
        </w:r>
        <w:r w:rsidR="002922F1">
          <w:rPr>
            <w:noProof/>
            <w:webHidden/>
          </w:rPr>
          <w:fldChar w:fldCharType="separate"/>
        </w:r>
        <w:r w:rsidR="00AD732F">
          <w:rPr>
            <w:noProof/>
            <w:webHidden/>
          </w:rPr>
          <w:t>75</w:t>
        </w:r>
        <w:r w:rsidR="002922F1">
          <w:rPr>
            <w:noProof/>
            <w:webHidden/>
          </w:rPr>
          <w:fldChar w:fldCharType="end"/>
        </w:r>
      </w:hyperlink>
    </w:p>
    <w:p w14:paraId="12BCD6F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6" w:history="1">
        <w:r w:rsidR="002922F1" w:rsidRPr="00E17C1D">
          <w:rPr>
            <w:rStyle w:val="Hypertextovodkaz"/>
            <w:noProof/>
          </w:rPr>
          <w:t>Tabulka 33: KS – délky prvostupňového civilního řízení dle soudů</w:t>
        </w:r>
        <w:r w:rsidR="002922F1">
          <w:rPr>
            <w:noProof/>
            <w:webHidden/>
          </w:rPr>
          <w:tab/>
        </w:r>
        <w:r w:rsidR="002922F1">
          <w:rPr>
            <w:noProof/>
            <w:webHidden/>
          </w:rPr>
          <w:fldChar w:fldCharType="begin"/>
        </w:r>
        <w:r w:rsidR="002922F1">
          <w:rPr>
            <w:noProof/>
            <w:webHidden/>
          </w:rPr>
          <w:instrText xml:space="preserve"> PAGEREF _Toc13837456 \h </w:instrText>
        </w:r>
        <w:r w:rsidR="002922F1">
          <w:rPr>
            <w:noProof/>
            <w:webHidden/>
          </w:rPr>
        </w:r>
        <w:r w:rsidR="002922F1">
          <w:rPr>
            <w:noProof/>
            <w:webHidden/>
          </w:rPr>
          <w:fldChar w:fldCharType="separate"/>
        </w:r>
        <w:r w:rsidR="00AD732F">
          <w:rPr>
            <w:noProof/>
            <w:webHidden/>
          </w:rPr>
          <w:t>77</w:t>
        </w:r>
        <w:r w:rsidR="002922F1">
          <w:rPr>
            <w:noProof/>
            <w:webHidden/>
          </w:rPr>
          <w:fldChar w:fldCharType="end"/>
        </w:r>
      </w:hyperlink>
    </w:p>
    <w:p w14:paraId="718E84F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7" w:history="1">
        <w:r w:rsidR="002922F1" w:rsidRPr="00E17C1D">
          <w:rPr>
            <w:rStyle w:val="Hypertextovodkaz"/>
            <w:noProof/>
          </w:rPr>
          <w:t>Tabulka 34: KS – vyřizování prvostupňových civilních věcí dle soudů</w:t>
        </w:r>
        <w:r w:rsidR="002922F1">
          <w:rPr>
            <w:noProof/>
            <w:webHidden/>
          </w:rPr>
          <w:tab/>
        </w:r>
        <w:r w:rsidR="002922F1">
          <w:rPr>
            <w:noProof/>
            <w:webHidden/>
          </w:rPr>
          <w:fldChar w:fldCharType="begin"/>
        </w:r>
        <w:r w:rsidR="002922F1">
          <w:rPr>
            <w:noProof/>
            <w:webHidden/>
          </w:rPr>
          <w:instrText xml:space="preserve"> PAGEREF _Toc13837457 \h </w:instrText>
        </w:r>
        <w:r w:rsidR="002922F1">
          <w:rPr>
            <w:noProof/>
            <w:webHidden/>
          </w:rPr>
        </w:r>
        <w:r w:rsidR="002922F1">
          <w:rPr>
            <w:noProof/>
            <w:webHidden/>
          </w:rPr>
          <w:fldChar w:fldCharType="separate"/>
        </w:r>
        <w:r w:rsidR="00AD732F">
          <w:rPr>
            <w:noProof/>
            <w:webHidden/>
          </w:rPr>
          <w:t>80</w:t>
        </w:r>
        <w:r w:rsidR="002922F1">
          <w:rPr>
            <w:noProof/>
            <w:webHidden/>
          </w:rPr>
          <w:fldChar w:fldCharType="end"/>
        </w:r>
      </w:hyperlink>
    </w:p>
    <w:p w14:paraId="0390A28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8" w:history="1">
        <w:r w:rsidR="002922F1" w:rsidRPr="00E17C1D">
          <w:rPr>
            <w:rStyle w:val="Hypertextovodkaz"/>
            <w:noProof/>
          </w:rPr>
          <w:t>Tabulka 35: KS – DT prvostupňového civilního řízení dle soudů</w:t>
        </w:r>
        <w:r w:rsidR="002922F1">
          <w:rPr>
            <w:noProof/>
            <w:webHidden/>
          </w:rPr>
          <w:tab/>
        </w:r>
        <w:r w:rsidR="002922F1">
          <w:rPr>
            <w:noProof/>
            <w:webHidden/>
          </w:rPr>
          <w:fldChar w:fldCharType="begin"/>
        </w:r>
        <w:r w:rsidR="002922F1">
          <w:rPr>
            <w:noProof/>
            <w:webHidden/>
          </w:rPr>
          <w:instrText xml:space="preserve"> PAGEREF _Toc13837458 \h </w:instrText>
        </w:r>
        <w:r w:rsidR="002922F1">
          <w:rPr>
            <w:noProof/>
            <w:webHidden/>
          </w:rPr>
        </w:r>
        <w:r w:rsidR="002922F1">
          <w:rPr>
            <w:noProof/>
            <w:webHidden/>
          </w:rPr>
          <w:fldChar w:fldCharType="separate"/>
        </w:r>
        <w:r w:rsidR="00AD732F">
          <w:rPr>
            <w:noProof/>
            <w:webHidden/>
          </w:rPr>
          <w:t>82</w:t>
        </w:r>
        <w:r w:rsidR="002922F1">
          <w:rPr>
            <w:noProof/>
            <w:webHidden/>
          </w:rPr>
          <w:fldChar w:fldCharType="end"/>
        </w:r>
      </w:hyperlink>
    </w:p>
    <w:p w14:paraId="5EB8970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59" w:history="1">
        <w:r w:rsidR="002922F1" w:rsidRPr="00E17C1D">
          <w:rPr>
            <w:rStyle w:val="Hypertextovodkaz"/>
            <w:noProof/>
          </w:rPr>
          <w:t>Tabulka 36: KS – míra odvolání dle soudů v civilním řízení</w:t>
        </w:r>
        <w:r w:rsidR="002922F1">
          <w:rPr>
            <w:noProof/>
            <w:webHidden/>
          </w:rPr>
          <w:tab/>
        </w:r>
        <w:r w:rsidR="002922F1">
          <w:rPr>
            <w:noProof/>
            <w:webHidden/>
          </w:rPr>
          <w:fldChar w:fldCharType="begin"/>
        </w:r>
        <w:r w:rsidR="002922F1">
          <w:rPr>
            <w:noProof/>
            <w:webHidden/>
          </w:rPr>
          <w:instrText xml:space="preserve"> PAGEREF _Toc13837459 \h </w:instrText>
        </w:r>
        <w:r w:rsidR="002922F1">
          <w:rPr>
            <w:noProof/>
            <w:webHidden/>
          </w:rPr>
        </w:r>
        <w:r w:rsidR="002922F1">
          <w:rPr>
            <w:noProof/>
            <w:webHidden/>
          </w:rPr>
          <w:fldChar w:fldCharType="separate"/>
        </w:r>
        <w:r w:rsidR="00AD732F">
          <w:rPr>
            <w:noProof/>
            <w:webHidden/>
          </w:rPr>
          <w:t>82</w:t>
        </w:r>
        <w:r w:rsidR="002922F1">
          <w:rPr>
            <w:noProof/>
            <w:webHidden/>
          </w:rPr>
          <w:fldChar w:fldCharType="end"/>
        </w:r>
      </w:hyperlink>
    </w:p>
    <w:p w14:paraId="6A86839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0" w:history="1">
        <w:r w:rsidR="002922F1" w:rsidRPr="00E17C1D">
          <w:rPr>
            <w:rStyle w:val="Hypertextovodkaz"/>
            <w:noProof/>
          </w:rPr>
          <w:t>Tabulka 37: KS – míra změny rozsudku dle soudů v civilním řízení</w:t>
        </w:r>
        <w:r w:rsidR="002922F1">
          <w:rPr>
            <w:noProof/>
            <w:webHidden/>
          </w:rPr>
          <w:tab/>
        </w:r>
        <w:r w:rsidR="002922F1">
          <w:rPr>
            <w:noProof/>
            <w:webHidden/>
          </w:rPr>
          <w:fldChar w:fldCharType="begin"/>
        </w:r>
        <w:r w:rsidR="002922F1">
          <w:rPr>
            <w:noProof/>
            <w:webHidden/>
          </w:rPr>
          <w:instrText xml:space="preserve"> PAGEREF _Toc13837460 \h </w:instrText>
        </w:r>
        <w:r w:rsidR="002922F1">
          <w:rPr>
            <w:noProof/>
            <w:webHidden/>
          </w:rPr>
        </w:r>
        <w:r w:rsidR="002922F1">
          <w:rPr>
            <w:noProof/>
            <w:webHidden/>
          </w:rPr>
          <w:fldChar w:fldCharType="separate"/>
        </w:r>
        <w:r w:rsidR="00AD732F">
          <w:rPr>
            <w:noProof/>
            <w:webHidden/>
          </w:rPr>
          <w:t>83</w:t>
        </w:r>
        <w:r w:rsidR="002922F1">
          <w:rPr>
            <w:noProof/>
            <w:webHidden/>
          </w:rPr>
          <w:fldChar w:fldCharType="end"/>
        </w:r>
      </w:hyperlink>
    </w:p>
    <w:p w14:paraId="457228F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1" w:history="1">
        <w:r w:rsidR="002922F1" w:rsidRPr="00E17C1D">
          <w:rPr>
            <w:rStyle w:val="Hypertextovodkaz"/>
            <w:noProof/>
          </w:rPr>
          <w:t>Tabulka 38: KS – výše přiznaných nároků</w:t>
        </w:r>
        <w:r w:rsidR="002922F1">
          <w:rPr>
            <w:noProof/>
            <w:webHidden/>
          </w:rPr>
          <w:tab/>
        </w:r>
        <w:r w:rsidR="002922F1">
          <w:rPr>
            <w:noProof/>
            <w:webHidden/>
          </w:rPr>
          <w:fldChar w:fldCharType="begin"/>
        </w:r>
        <w:r w:rsidR="002922F1">
          <w:rPr>
            <w:noProof/>
            <w:webHidden/>
          </w:rPr>
          <w:instrText xml:space="preserve"> PAGEREF _Toc13837461 \h </w:instrText>
        </w:r>
        <w:r w:rsidR="002922F1">
          <w:rPr>
            <w:noProof/>
            <w:webHidden/>
          </w:rPr>
        </w:r>
        <w:r w:rsidR="002922F1">
          <w:rPr>
            <w:noProof/>
            <w:webHidden/>
          </w:rPr>
          <w:fldChar w:fldCharType="separate"/>
        </w:r>
        <w:r w:rsidR="00AD732F">
          <w:rPr>
            <w:noProof/>
            <w:webHidden/>
          </w:rPr>
          <w:t>84</w:t>
        </w:r>
        <w:r w:rsidR="002922F1">
          <w:rPr>
            <w:noProof/>
            <w:webHidden/>
          </w:rPr>
          <w:fldChar w:fldCharType="end"/>
        </w:r>
      </w:hyperlink>
    </w:p>
    <w:p w14:paraId="479A7D0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2" w:history="1">
        <w:r w:rsidR="002922F1" w:rsidRPr="00E17C1D">
          <w:rPr>
            <w:rStyle w:val="Hypertextovodkaz"/>
            <w:noProof/>
          </w:rPr>
          <w:t>Tabulka 39: KS – výše přiznaných nároků v letech 2016–2018</w:t>
        </w:r>
        <w:r w:rsidR="002922F1">
          <w:rPr>
            <w:noProof/>
            <w:webHidden/>
          </w:rPr>
          <w:tab/>
        </w:r>
        <w:r w:rsidR="002922F1">
          <w:rPr>
            <w:noProof/>
            <w:webHidden/>
          </w:rPr>
          <w:fldChar w:fldCharType="begin"/>
        </w:r>
        <w:r w:rsidR="002922F1">
          <w:rPr>
            <w:noProof/>
            <w:webHidden/>
          </w:rPr>
          <w:instrText xml:space="preserve"> PAGEREF _Toc13837462 \h </w:instrText>
        </w:r>
        <w:r w:rsidR="002922F1">
          <w:rPr>
            <w:noProof/>
            <w:webHidden/>
          </w:rPr>
        </w:r>
        <w:r w:rsidR="002922F1">
          <w:rPr>
            <w:noProof/>
            <w:webHidden/>
          </w:rPr>
          <w:fldChar w:fldCharType="separate"/>
        </w:r>
        <w:r w:rsidR="00AD732F">
          <w:rPr>
            <w:noProof/>
            <w:webHidden/>
          </w:rPr>
          <w:t>84</w:t>
        </w:r>
        <w:r w:rsidR="002922F1">
          <w:rPr>
            <w:noProof/>
            <w:webHidden/>
          </w:rPr>
          <w:fldChar w:fldCharType="end"/>
        </w:r>
      </w:hyperlink>
    </w:p>
    <w:p w14:paraId="0CBB1B3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3" w:history="1">
        <w:r w:rsidR="002922F1" w:rsidRPr="00E17C1D">
          <w:rPr>
            <w:rStyle w:val="Hypertextovodkaz"/>
            <w:noProof/>
          </w:rPr>
          <w:t>Tabulka 40: KS – nejčastější spory v civilním řízení</w:t>
        </w:r>
        <w:r w:rsidR="002922F1">
          <w:rPr>
            <w:noProof/>
            <w:webHidden/>
          </w:rPr>
          <w:tab/>
        </w:r>
        <w:r w:rsidR="002922F1">
          <w:rPr>
            <w:noProof/>
            <w:webHidden/>
          </w:rPr>
          <w:fldChar w:fldCharType="begin"/>
        </w:r>
        <w:r w:rsidR="002922F1">
          <w:rPr>
            <w:noProof/>
            <w:webHidden/>
          </w:rPr>
          <w:instrText xml:space="preserve"> PAGEREF _Toc13837463 \h </w:instrText>
        </w:r>
        <w:r w:rsidR="002922F1">
          <w:rPr>
            <w:noProof/>
            <w:webHidden/>
          </w:rPr>
        </w:r>
        <w:r w:rsidR="002922F1">
          <w:rPr>
            <w:noProof/>
            <w:webHidden/>
          </w:rPr>
          <w:fldChar w:fldCharType="separate"/>
        </w:r>
        <w:r w:rsidR="00AD732F">
          <w:rPr>
            <w:noProof/>
            <w:webHidden/>
          </w:rPr>
          <w:t>85</w:t>
        </w:r>
        <w:r w:rsidR="002922F1">
          <w:rPr>
            <w:noProof/>
            <w:webHidden/>
          </w:rPr>
          <w:fldChar w:fldCharType="end"/>
        </w:r>
      </w:hyperlink>
    </w:p>
    <w:p w14:paraId="01108E4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4" w:history="1">
        <w:r w:rsidR="002922F1" w:rsidRPr="00E17C1D">
          <w:rPr>
            <w:rStyle w:val="Hypertextovodkaz"/>
            <w:noProof/>
          </w:rPr>
          <w:t>Tabulka 41: KS – délky odvolacího civilního řízení dle soudů</w:t>
        </w:r>
        <w:r w:rsidR="002922F1">
          <w:rPr>
            <w:noProof/>
            <w:webHidden/>
          </w:rPr>
          <w:tab/>
        </w:r>
        <w:r w:rsidR="002922F1">
          <w:rPr>
            <w:noProof/>
            <w:webHidden/>
          </w:rPr>
          <w:fldChar w:fldCharType="begin"/>
        </w:r>
        <w:r w:rsidR="002922F1">
          <w:rPr>
            <w:noProof/>
            <w:webHidden/>
          </w:rPr>
          <w:instrText xml:space="preserve"> PAGEREF _Toc13837464 \h </w:instrText>
        </w:r>
        <w:r w:rsidR="002922F1">
          <w:rPr>
            <w:noProof/>
            <w:webHidden/>
          </w:rPr>
        </w:r>
        <w:r w:rsidR="002922F1">
          <w:rPr>
            <w:noProof/>
            <w:webHidden/>
          </w:rPr>
          <w:fldChar w:fldCharType="separate"/>
        </w:r>
        <w:r w:rsidR="00AD732F">
          <w:rPr>
            <w:noProof/>
            <w:webHidden/>
          </w:rPr>
          <w:t>87</w:t>
        </w:r>
        <w:r w:rsidR="002922F1">
          <w:rPr>
            <w:noProof/>
            <w:webHidden/>
          </w:rPr>
          <w:fldChar w:fldCharType="end"/>
        </w:r>
      </w:hyperlink>
    </w:p>
    <w:p w14:paraId="732F56EA"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5" w:history="1">
        <w:r w:rsidR="002922F1" w:rsidRPr="00E17C1D">
          <w:rPr>
            <w:rStyle w:val="Hypertextovodkaz"/>
            <w:noProof/>
          </w:rPr>
          <w:t>Tabulka 42: KS – vyřizování odvolacích civilních věcí dle soudů</w:t>
        </w:r>
        <w:r w:rsidR="002922F1">
          <w:rPr>
            <w:noProof/>
            <w:webHidden/>
          </w:rPr>
          <w:tab/>
        </w:r>
        <w:r w:rsidR="002922F1">
          <w:rPr>
            <w:noProof/>
            <w:webHidden/>
          </w:rPr>
          <w:fldChar w:fldCharType="begin"/>
        </w:r>
        <w:r w:rsidR="002922F1">
          <w:rPr>
            <w:noProof/>
            <w:webHidden/>
          </w:rPr>
          <w:instrText xml:space="preserve"> PAGEREF _Toc13837465 \h </w:instrText>
        </w:r>
        <w:r w:rsidR="002922F1">
          <w:rPr>
            <w:noProof/>
            <w:webHidden/>
          </w:rPr>
        </w:r>
        <w:r w:rsidR="002922F1">
          <w:rPr>
            <w:noProof/>
            <w:webHidden/>
          </w:rPr>
          <w:fldChar w:fldCharType="separate"/>
        </w:r>
        <w:r w:rsidR="00AD732F">
          <w:rPr>
            <w:noProof/>
            <w:webHidden/>
          </w:rPr>
          <w:t>90</w:t>
        </w:r>
        <w:r w:rsidR="002922F1">
          <w:rPr>
            <w:noProof/>
            <w:webHidden/>
          </w:rPr>
          <w:fldChar w:fldCharType="end"/>
        </w:r>
      </w:hyperlink>
    </w:p>
    <w:p w14:paraId="7A264B63"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6" w:history="1">
        <w:r w:rsidR="002922F1" w:rsidRPr="00E17C1D">
          <w:rPr>
            <w:rStyle w:val="Hypertextovodkaz"/>
            <w:noProof/>
          </w:rPr>
          <w:t>Tabulka 43: KS – DT v civilním odvolacím řízení dle soudů</w:t>
        </w:r>
        <w:r w:rsidR="002922F1">
          <w:rPr>
            <w:noProof/>
            <w:webHidden/>
          </w:rPr>
          <w:tab/>
        </w:r>
        <w:r w:rsidR="002922F1">
          <w:rPr>
            <w:noProof/>
            <w:webHidden/>
          </w:rPr>
          <w:fldChar w:fldCharType="begin"/>
        </w:r>
        <w:r w:rsidR="002922F1">
          <w:rPr>
            <w:noProof/>
            <w:webHidden/>
          </w:rPr>
          <w:instrText xml:space="preserve"> PAGEREF _Toc13837466 \h </w:instrText>
        </w:r>
        <w:r w:rsidR="002922F1">
          <w:rPr>
            <w:noProof/>
            <w:webHidden/>
          </w:rPr>
        </w:r>
        <w:r w:rsidR="002922F1">
          <w:rPr>
            <w:noProof/>
            <w:webHidden/>
          </w:rPr>
          <w:fldChar w:fldCharType="separate"/>
        </w:r>
        <w:r w:rsidR="00AD732F">
          <w:rPr>
            <w:noProof/>
            <w:webHidden/>
          </w:rPr>
          <w:t>91</w:t>
        </w:r>
        <w:r w:rsidR="002922F1">
          <w:rPr>
            <w:noProof/>
            <w:webHidden/>
          </w:rPr>
          <w:fldChar w:fldCharType="end"/>
        </w:r>
      </w:hyperlink>
    </w:p>
    <w:p w14:paraId="2A270E6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7" w:history="1">
        <w:r w:rsidR="002922F1" w:rsidRPr="00E17C1D">
          <w:rPr>
            <w:rStyle w:val="Hypertextovodkaz"/>
            <w:noProof/>
          </w:rPr>
          <w:t>Tabulka 44: KS – délky prvostupňového trestního řízení dle soudů</w:t>
        </w:r>
        <w:r w:rsidR="002922F1">
          <w:rPr>
            <w:noProof/>
            <w:webHidden/>
          </w:rPr>
          <w:tab/>
        </w:r>
        <w:r w:rsidR="002922F1">
          <w:rPr>
            <w:noProof/>
            <w:webHidden/>
          </w:rPr>
          <w:fldChar w:fldCharType="begin"/>
        </w:r>
        <w:r w:rsidR="002922F1">
          <w:rPr>
            <w:noProof/>
            <w:webHidden/>
          </w:rPr>
          <w:instrText xml:space="preserve"> PAGEREF _Toc13837467 \h </w:instrText>
        </w:r>
        <w:r w:rsidR="002922F1">
          <w:rPr>
            <w:noProof/>
            <w:webHidden/>
          </w:rPr>
        </w:r>
        <w:r w:rsidR="002922F1">
          <w:rPr>
            <w:noProof/>
            <w:webHidden/>
          </w:rPr>
          <w:fldChar w:fldCharType="separate"/>
        </w:r>
        <w:r w:rsidR="00AD732F">
          <w:rPr>
            <w:noProof/>
            <w:webHidden/>
          </w:rPr>
          <w:t>93</w:t>
        </w:r>
        <w:r w:rsidR="002922F1">
          <w:rPr>
            <w:noProof/>
            <w:webHidden/>
          </w:rPr>
          <w:fldChar w:fldCharType="end"/>
        </w:r>
      </w:hyperlink>
    </w:p>
    <w:p w14:paraId="3761300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8" w:history="1">
        <w:r w:rsidR="002922F1" w:rsidRPr="00E17C1D">
          <w:rPr>
            <w:rStyle w:val="Hypertextovodkaz"/>
            <w:noProof/>
          </w:rPr>
          <w:t>Tabulka 45: KS – délky trestního řízení dle hlav trestního zákoníku</w:t>
        </w:r>
        <w:r w:rsidR="002922F1">
          <w:rPr>
            <w:noProof/>
            <w:webHidden/>
          </w:rPr>
          <w:tab/>
        </w:r>
        <w:r w:rsidR="002922F1">
          <w:rPr>
            <w:noProof/>
            <w:webHidden/>
          </w:rPr>
          <w:fldChar w:fldCharType="begin"/>
        </w:r>
        <w:r w:rsidR="002922F1">
          <w:rPr>
            <w:noProof/>
            <w:webHidden/>
          </w:rPr>
          <w:instrText xml:space="preserve"> PAGEREF _Toc13837468 \h </w:instrText>
        </w:r>
        <w:r w:rsidR="002922F1">
          <w:rPr>
            <w:noProof/>
            <w:webHidden/>
          </w:rPr>
        </w:r>
        <w:r w:rsidR="002922F1">
          <w:rPr>
            <w:noProof/>
            <w:webHidden/>
          </w:rPr>
          <w:fldChar w:fldCharType="separate"/>
        </w:r>
        <w:r w:rsidR="00AD732F">
          <w:rPr>
            <w:noProof/>
            <w:webHidden/>
          </w:rPr>
          <w:t>94</w:t>
        </w:r>
        <w:r w:rsidR="002922F1">
          <w:rPr>
            <w:noProof/>
            <w:webHidden/>
          </w:rPr>
          <w:fldChar w:fldCharType="end"/>
        </w:r>
      </w:hyperlink>
    </w:p>
    <w:p w14:paraId="267B905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69" w:history="1">
        <w:r w:rsidR="002922F1" w:rsidRPr="00E17C1D">
          <w:rPr>
            <w:rStyle w:val="Hypertextovodkaz"/>
            <w:noProof/>
          </w:rPr>
          <w:t>Tabulka 46: KS – vyřizování prvostupňových trestních věcí dle soudů</w:t>
        </w:r>
        <w:r w:rsidR="002922F1">
          <w:rPr>
            <w:noProof/>
            <w:webHidden/>
          </w:rPr>
          <w:tab/>
        </w:r>
        <w:r w:rsidR="002922F1">
          <w:rPr>
            <w:noProof/>
            <w:webHidden/>
          </w:rPr>
          <w:fldChar w:fldCharType="begin"/>
        </w:r>
        <w:r w:rsidR="002922F1">
          <w:rPr>
            <w:noProof/>
            <w:webHidden/>
          </w:rPr>
          <w:instrText xml:space="preserve"> PAGEREF _Toc13837469 \h </w:instrText>
        </w:r>
        <w:r w:rsidR="002922F1">
          <w:rPr>
            <w:noProof/>
            <w:webHidden/>
          </w:rPr>
        </w:r>
        <w:r w:rsidR="002922F1">
          <w:rPr>
            <w:noProof/>
            <w:webHidden/>
          </w:rPr>
          <w:fldChar w:fldCharType="separate"/>
        </w:r>
        <w:r w:rsidR="00AD732F">
          <w:rPr>
            <w:noProof/>
            <w:webHidden/>
          </w:rPr>
          <w:t>96</w:t>
        </w:r>
        <w:r w:rsidR="002922F1">
          <w:rPr>
            <w:noProof/>
            <w:webHidden/>
          </w:rPr>
          <w:fldChar w:fldCharType="end"/>
        </w:r>
      </w:hyperlink>
    </w:p>
    <w:p w14:paraId="6D5D751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0" w:history="1">
        <w:r w:rsidR="002922F1" w:rsidRPr="00E17C1D">
          <w:rPr>
            <w:rStyle w:val="Hypertextovodkaz"/>
            <w:noProof/>
          </w:rPr>
          <w:t>Tabulka 47: KS – DT v prvostupňovém trestním řízení dle soudů</w:t>
        </w:r>
        <w:r w:rsidR="002922F1">
          <w:rPr>
            <w:noProof/>
            <w:webHidden/>
          </w:rPr>
          <w:tab/>
        </w:r>
        <w:r w:rsidR="002922F1">
          <w:rPr>
            <w:noProof/>
            <w:webHidden/>
          </w:rPr>
          <w:fldChar w:fldCharType="begin"/>
        </w:r>
        <w:r w:rsidR="002922F1">
          <w:rPr>
            <w:noProof/>
            <w:webHidden/>
          </w:rPr>
          <w:instrText xml:space="preserve"> PAGEREF _Toc13837470 \h </w:instrText>
        </w:r>
        <w:r w:rsidR="002922F1">
          <w:rPr>
            <w:noProof/>
            <w:webHidden/>
          </w:rPr>
        </w:r>
        <w:r w:rsidR="002922F1">
          <w:rPr>
            <w:noProof/>
            <w:webHidden/>
          </w:rPr>
          <w:fldChar w:fldCharType="separate"/>
        </w:r>
        <w:r w:rsidR="00AD732F">
          <w:rPr>
            <w:noProof/>
            <w:webHidden/>
          </w:rPr>
          <w:t>97</w:t>
        </w:r>
        <w:r w:rsidR="002922F1">
          <w:rPr>
            <w:noProof/>
            <w:webHidden/>
          </w:rPr>
          <w:fldChar w:fldCharType="end"/>
        </w:r>
      </w:hyperlink>
    </w:p>
    <w:p w14:paraId="35617CC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1" w:history="1">
        <w:r w:rsidR="002922F1" w:rsidRPr="00E17C1D">
          <w:rPr>
            <w:rStyle w:val="Hypertextovodkaz"/>
            <w:noProof/>
          </w:rPr>
          <w:t>Tabulka 48: KS – míra odvolání dle soudů v trestním řízení</w:t>
        </w:r>
        <w:r w:rsidR="002922F1">
          <w:rPr>
            <w:noProof/>
            <w:webHidden/>
          </w:rPr>
          <w:tab/>
        </w:r>
        <w:r w:rsidR="002922F1">
          <w:rPr>
            <w:noProof/>
            <w:webHidden/>
          </w:rPr>
          <w:fldChar w:fldCharType="begin"/>
        </w:r>
        <w:r w:rsidR="002922F1">
          <w:rPr>
            <w:noProof/>
            <w:webHidden/>
          </w:rPr>
          <w:instrText xml:space="preserve"> PAGEREF _Toc13837471 \h </w:instrText>
        </w:r>
        <w:r w:rsidR="002922F1">
          <w:rPr>
            <w:noProof/>
            <w:webHidden/>
          </w:rPr>
        </w:r>
        <w:r w:rsidR="002922F1">
          <w:rPr>
            <w:noProof/>
            <w:webHidden/>
          </w:rPr>
          <w:fldChar w:fldCharType="separate"/>
        </w:r>
        <w:r w:rsidR="00AD732F">
          <w:rPr>
            <w:noProof/>
            <w:webHidden/>
          </w:rPr>
          <w:t>98</w:t>
        </w:r>
        <w:r w:rsidR="002922F1">
          <w:rPr>
            <w:noProof/>
            <w:webHidden/>
          </w:rPr>
          <w:fldChar w:fldCharType="end"/>
        </w:r>
      </w:hyperlink>
    </w:p>
    <w:p w14:paraId="77FD73C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2" w:history="1">
        <w:r w:rsidR="002922F1" w:rsidRPr="00E17C1D">
          <w:rPr>
            <w:rStyle w:val="Hypertextovodkaz"/>
            <w:noProof/>
          </w:rPr>
          <w:t>Tabulka 49: KS – míra změny rozsudku dle soudů v trestním řízení</w:t>
        </w:r>
        <w:r w:rsidR="002922F1">
          <w:rPr>
            <w:noProof/>
            <w:webHidden/>
          </w:rPr>
          <w:tab/>
        </w:r>
        <w:r w:rsidR="002922F1">
          <w:rPr>
            <w:noProof/>
            <w:webHidden/>
          </w:rPr>
          <w:fldChar w:fldCharType="begin"/>
        </w:r>
        <w:r w:rsidR="002922F1">
          <w:rPr>
            <w:noProof/>
            <w:webHidden/>
          </w:rPr>
          <w:instrText xml:space="preserve"> PAGEREF _Toc13837472 \h </w:instrText>
        </w:r>
        <w:r w:rsidR="002922F1">
          <w:rPr>
            <w:noProof/>
            <w:webHidden/>
          </w:rPr>
        </w:r>
        <w:r w:rsidR="002922F1">
          <w:rPr>
            <w:noProof/>
            <w:webHidden/>
          </w:rPr>
          <w:fldChar w:fldCharType="separate"/>
        </w:r>
        <w:r w:rsidR="00AD732F">
          <w:rPr>
            <w:noProof/>
            <w:webHidden/>
          </w:rPr>
          <w:t>98</w:t>
        </w:r>
        <w:r w:rsidR="002922F1">
          <w:rPr>
            <w:noProof/>
            <w:webHidden/>
          </w:rPr>
          <w:fldChar w:fldCharType="end"/>
        </w:r>
      </w:hyperlink>
    </w:p>
    <w:p w14:paraId="514E7E31"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3" w:history="1">
        <w:r w:rsidR="002922F1" w:rsidRPr="00E17C1D">
          <w:rPr>
            <w:rStyle w:val="Hypertextovodkaz"/>
            <w:noProof/>
          </w:rPr>
          <w:t>Tabulka 50: KS – podíl počtu odsouzených dle hlav trestního zákoníku</w:t>
        </w:r>
        <w:r w:rsidR="002922F1">
          <w:rPr>
            <w:noProof/>
            <w:webHidden/>
          </w:rPr>
          <w:tab/>
        </w:r>
        <w:r w:rsidR="002922F1">
          <w:rPr>
            <w:noProof/>
            <w:webHidden/>
          </w:rPr>
          <w:fldChar w:fldCharType="begin"/>
        </w:r>
        <w:r w:rsidR="002922F1">
          <w:rPr>
            <w:noProof/>
            <w:webHidden/>
          </w:rPr>
          <w:instrText xml:space="preserve"> PAGEREF _Toc13837473 \h </w:instrText>
        </w:r>
        <w:r w:rsidR="002922F1">
          <w:rPr>
            <w:noProof/>
            <w:webHidden/>
          </w:rPr>
        </w:r>
        <w:r w:rsidR="002922F1">
          <w:rPr>
            <w:noProof/>
            <w:webHidden/>
          </w:rPr>
          <w:fldChar w:fldCharType="separate"/>
        </w:r>
        <w:r w:rsidR="00AD732F">
          <w:rPr>
            <w:noProof/>
            <w:webHidden/>
          </w:rPr>
          <w:t>99</w:t>
        </w:r>
        <w:r w:rsidR="002922F1">
          <w:rPr>
            <w:noProof/>
            <w:webHidden/>
          </w:rPr>
          <w:fldChar w:fldCharType="end"/>
        </w:r>
      </w:hyperlink>
    </w:p>
    <w:p w14:paraId="4B4BF7F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4" w:history="1">
        <w:r w:rsidR="002922F1" w:rsidRPr="00E17C1D">
          <w:rPr>
            <w:rStyle w:val="Hypertextovodkaz"/>
            <w:noProof/>
          </w:rPr>
          <w:t>Tabulka 51: KS – nejčastější trestné činy dle hlav</w:t>
        </w:r>
        <w:r w:rsidR="002922F1">
          <w:rPr>
            <w:noProof/>
            <w:webHidden/>
          </w:rPr>
          <w:tab/>
        </w:r>
        <w:r w:rsidR="002922F1">
          <w:rPr>
            <w:noProof/>
            <w:webHidden/>
          </w:rPr>
          <w:fldChar w:fldCharType="begin"/>
        </w:r>
        <w:r w:rsidR="002922F1">
          <w:rPr>
            <w:noProof/>
            <w:webHidden/>
          </w:rPr>
          <w:instrText xml:space="preserve"> PAGEREF _Toc13837474 \h </w:instrText>
        </w:r>
        <w:r w:rsidR="002922F1">
          <w:rPr>
            <w:noProof/>
            <w:webHidden/>
          </w:rPr>
        </w:r>
        <w:r w:rsidR="002922F1">
          <w:rPr>
            <w:noProof/>
            <w:webHidden/>
          </w:rPr>
          <w:fldChar w:fldCharType="separate"/>
        </w:r>
        <w:r w:rsidR="00AD732F">
          <w:rPr>
            <w:noProof/>
            <w:webHidden/>
          </w:rPr>
          <w:t>100</w:t>
        </w:r>
        <w:r w:rsidR="002922F1">
          <w:rPr>
            <w:noProof/>
            <w:webHidden/>
          </w:rPr>
          <w:fldChar w:fldCharType="end"/>
        </w:r>
      </w:hyperlink>
    </w:p>
    <w:p w14:paraId="3C739FB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5" w:history="1">
        <w:r w:rsidR="002922F1" w:rsidRPr="00E17C1D">
          <w:rPr>
            <w:rStyle w:val="Hypertextovodkaz"/>
            <w:noProof/>
          </w:rPr>
          <w:t>Tabulka 52: KS – délky odvolacího trestního řízení dle soudů</w:t>
        </w:r>
        <w:r w:rsidR="002922F1">
          <w:rPr>
            <w:noProof/>
            <w:webHidden/>
          </w:rPr>
          <w:tab/>
        </w:r>
        <w:r w:rsidR="002922F1">
          <w:rPr>
            <w:noProof/>
            <w:webHidden/>
          </w:rPr>
          <w:fldChar w:fldCharType="begin"/>
        </w:r>
        <w:r w:rsidR="002922F1">
          <w:rPr>
            <w:noProof/>
            <w:webHidden/>
          </w:rPr>
          <w:instrText xml:space="preserve"> PAGEREF _Toc13837475 \h </w:instrText>
        </w:r>
        <w:r w:rsidR="002922F1">
          <w:rPr>
            <w:noProof/>
            <w:webHidden/>
          </w:rPr>
        </w:r>
        <w:r w:rsidR="002922F1">
          <w:rPr>
            <w:noProof/>
            <w:webHidden/>
          </w:rPr>
          <w:fldChar w:fldCharType="separate"/>
        </w:r>
        <w:r w:rsidR="00AD732F">
          <w:rPr>
            <w:noProof/>
            <w:webHidden/>
          </w:rPr>
          <w:t>102</w:t>
        </w:r>
        <w:r w:rsidR="002922F1">
          <w:rPr>
            <w:noProof/>
            <w:webHidden/>
          </w:rPr>
          <w:fldChar w:fldCharType="end"/>
        </w:r>
      </w:hyperlink>
    </w:p>
    <w:p w14:paraId="3AC3B834"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6" w:history="1">
        <w:r w:rsidR="002922F1" w:rsidRPr="00E17C1D">
          <w:rPr>
            <w:rStyle w:val="Hypertextovodkaz"/>
            <w:noProof/>
          </w:rPr>
          <w:t>Tabulka 53: KS – vyřizování odvolacích trestních věcí dle soudů</w:t>
        </w:r>
        <w:r w:rsidR="002922F1">
          <w:rPr>
            <w:noProof/>
            <w:webHidden/>
          </w:rPr>
          <w:tab/>
        </w:r>
        <w:r w:rsidR="002922F1">
          <w:rPr>
            <w:noProof/>
            <w:webHidden/>
          </w:rPr>
          <w:fldChar w:fldCharType="begin"/>
        </w:r>
        <w:r w:rsidR="002922F1">
          <w:rPr>
            <w:noProof/>
            <w:webHidden/>
          </w:rPr>
          <w:instrText xml:space="preserve"> PAGEREF _Toc13837476 \h </w:instrText>
        </w:r>
        <w:r w:rsidR="002922F1">
          <w:rPr>
            <w:noProof/>
            <w:webHidden/>
          </w:rPr>
        </w:r>
        <w:r w:rsidR="002922F1">
          <w:rPr>
            <w:noProof/>
            <w:webHidden/>
          </w:rPr>
          <w:fldChar w:fldCharType="separate"/>
        </w:r>
        <w:r w:rsidR="00AD732F">
          <w:rPr>
            <w:noProof/>
            <w:webHidden/>
          </w:rPr>
          <w:t>103</w:t>
        </w:r>
        <w:r w:rsidR="002922F1">
          <w:rPr>
            <w:noProof/>
            <w:webHidden/>
          </w:rPr>
          <w:fldChar w:fldCharType="end"/>
        </w:r>
      </w:hyperlink>
    </w:p>
    <w:p w14:paraId="017E729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7" w:history="1">
        <w:r w:rsidR="002922F1" w:rsidRPr="00E17C1D">
          <w:rPr>
            <w:rStyle w:val="Hypertextovodkaz"/>
            <w:noProof/>
          </w:rPr>
          <w:t>Tabulka 54: KS – DT odvolacího trestního řízení dle soudů</w:t>
        </w:r>
        <w:r w:rsidR="002922F1">
          <w:rPr>
            <w:noProof/>
            <w:webHidden/>
          </w:rPr>
          <w:tab/>
        </w:r>
        <w:r w:rsidR="002922F1">
          <w:rPr>
            <w:noProof/>
            <w:webHidden/>
          </w:rPr>
          <w:fldChar w:fldCharType="begin"/>
        </w:r>
        <w:r w:rsidR="002922F1">
          <w:rPr>
            <w:noProof/>
            <w:webHidden/>
          </w:rPr>
          <w:instrText xml:space="preserve"> PAGEREF _Toc13837477 \h </w:instrText>
        </w:r>
        <w:r w:rsidR="002922F1">
          <w:rPr>
            <w:noProof/>
            <w:webHidden/>
          </w:rPr>
        </w:r>
        <w:r w:rsidR="002922F1">
          <w:rPr>
            <w:noProof/>
            <w:webHidden/>
          </w:rPr>
          <w:fldChar w:fldCharType="separate"/>
        </w:r>
        <w:r w:rsidR="00AD732F">
          <w:rPr>
            <w:noProof/>
            <w:webHidden/>
          </w:rPr>
          <w:t>104</w:t>
        </w:r>
        <w:r w:rsidR="002922F1">
          <w:rPr>
            <w:noProof/>
            <w:webHidden/>
          </w:rPr>
          <w:fldChar w:fldCharType="end"/>
        </w:r>
      </w:hyperlink>
    </w:p>
    <w:p w14:paraId="6AFFD51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8" w:history="1">
        <w:r w:rsidR="002922F1" w:rsidRPr="00E17C1D">
          <w:rPr>
            <w:rStyle w:val="Hypertextovodkaz"/>
            <w:noProof/>
          </w:rPr>
          <w:t>Tabulka 55: KS – délky správního řízení dle soudů</w:t>
        </w:r>
        <w:r w:rsidR="002922F1">
          <w:rPr>
            <w:noProof/>
            <w:webHidden/>
          </w:rPr>
          <w:tab/>
        </w:r>
        <w:r w:rsidR="002922F1">
          <w:rPr>
            <w:noProof/>
            <w:webHidden/>
          </w:rPr>
          <w:fldChar w:fldCharType="begin"/>
        </w:r>
        <w:r w:rsidR="002922F1">
          <w:rPr>
            <w:noProof/>
            <w:webHidden/>
          </w:rPr>
          <w:instrText xml:space="preserve"> PAGEREF _Toc13837478 \h </w:instrText>
        </w:r>
        <w:r w:rsidR="002922F1">
          <w:rPr>
            <w:noProof/>
            <w:webHidden/>
          </w:rPr>
        </w:r>
        <w:r w:rsidR="002922F1">
          <w:rPr>
            <w:noProof/>
            <w:webHidden/>
          </w:rPr>
          <w:fldChar w:fldCharType="separate"/>
        </w:r>
        <w:r w:rsidR="00AD732F">
          <w:rPr>
            <w:noProof/>
            <w:webHidden/>
          </w:rPr>
          <w:t>106</w:t>
        </w:r>
        <w:r w:rsidR="002922F1">
          <w:rPr>
            <w:noProof/>
            <w:webHidden/>
          </w:rPr>
          <w:fldChar w:fldCharType="end"/>
        </w:r>
      </w:hyperlink>
    </w:p>
    <w:p w14:paraId="739DB37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79" w:history="1">
        <w:r w:rsidR="002922F1" w:rsidRPr="00E17C1D">
          <w:rPr>
            <w:rStyle w:val="Hypertextovodkaz"/>
            <w:noProof/>
          </w:rPr>
          <w:t>Tabulka 56: KS – vyřizování správních věcí dle soudů</w:t>
        </w:r>
        <w:r w:rsidR="002922F1">
          <w:rPr>
            <w:noProof/>
            <w:webHidden/>
          </w:rPr>
          <w:tab/>
        </w:r>
        <w:r w:rsidR="002922F1">
          <w:rPr>
            <w:noProof/>
            <w:webHidden/>
          </w:rPr>
          <w:fldChar w:fldCharType="begin"/>
        </w:r>
        <w:r w:rsidR="002922F1">
          <w:rPr>
            <w:noProof/>
            <w:webHidden/>
          </w:rPr>
          <w:instrText xml:space="preserve"> PAGEREF _Toc13837479 \h </w:instrText>
        </w:r>
        <w:r w:rsidR="002922F1">
          <w:rPr>
            <w:noProof/>
            <w:webHidden/>
          </w:rPr>
        </w:r>
        <w:r w:rsidR="002922F1">
          <w:rPr>
            <w:noProof/>
            <w:webHidden/>
          </w:rPr>
          <w:fldChar w:fldCharType="separate"/>
        </w:r>
        <w:r w:rsidR="00AD732F">
          <w:rPr>
            <w:noProof/>
            <w:webHidden/>
          </w:rPr>
          <w:t>108</w:t>
        </w:r>
        <w:r w:rsidR="002922F1">
          <w:rPr>
            <w:noProof/>
            <w:webHidden/>
          </w:rPr>
          <w:fldChar w:fldCharType="end"/>
        </w:r>
      </w:hyperlink>
    </w:p>
    <w:p w14:paraId="03FA836C"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0" w:history="1">
        <w:r w:rsidR="002922F1" w:rsidRPr="00E17C1D">
          <w:rPr>
            <w:rStyle w:val="Hypertextovodkaz"/>
            <w:noProof/>
          </w:rPr>
          <w:t>Tabulka 57: KS – podíl nevyřízených věcí druhů agendy správního soudnictví</w:t>
        </w:r>
        <w:r w:rsidR="002922F1">
          <w:rPr>
            <w:noProof/>
            <w:webHidden/>
          </w:rPr>
          <w:tab/>
        </w:r>
        <w:r w:rsidR="002922F1">
          <w:rPr>
            <w:noProof/>
            <w:webHidden/>
          </w:rPr>
          <w:fldChar w:fldCharType="begin"/>
        </w:r>
        <w:r w:rsidR="002922F1">
          <w:rPr>
            <w:noProof/>
            <w:webHidden/>
          </w:rPr>
          <w:instrText xml:space="preserve"> PAGEREF _Toc13837480 \h </w:instrText>
        </w:r>
        <w:r w:rsidR="002922F1">
          <w:rPr>
            <w:noProof/>
            <w:webHidden/>
          </w:rPr>
        </w:r>
        <w:r w:rsidR="002922F1">
          <w:rPr>
            <w:noProof/>
            <w:webHidden/>
          </w:rPr>
          <w:fldChar w:fldCharType="separate"/>
        </w:r>
        <w:r w:rsidR="00AD732F">
          <w:rPr>
            <w:noProof/>
            <w:webHidden/>
          </w:rPr>
          <w:t>109</w:t>
        </w:r>
        <w:r w:rsidR="002922F1">
          <w:rPr>
            <w:noProof/>
            <w:webHidden/>
          </w:rPr>
          <w:fldChar w:fldCharType="end"/>
        </w:r>
      </w:hyperlink>
    </w:p>
    <w:p w14:paraId="3C9079B6"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1" w:history="1">
        <w:r w:rsidR="002922F1" w:rsidRPr="00E17C1D">
          <w:rPr>
            <w:rStyle w:val="Hypertextovodkaz"/>
            <w:noProof/>
          </w:rPr>
          <w:t>Tabulka 58: KS – vyřizování správních věcí na soudce dle soudů</w:t>
        </w:r>
        <w:r w:rsidR="002922F1">
          <w:rPr>
            <w:noProof/>
            <w:webHidden/>
          </w:rPr>
          <w:tab/>
        </w:r>
        <w:r w:rsidR="002922F1">
          <w:rPr>
            <w:noProof/>
            <w:webHidden/>
          </w:rPr>
          <w:fldChar w:fldCharType="begin"/>
        </w:r>
        <w:r w:rsidR="002922F1">
          <w:rPr>
            <w:noProof/>
            <w:webHidden/>
          </w:rPr>
          <w:instrText xml:space="preserve"> PAGEREF _Toc13837481 \h </w:instrText>
        </w:r>
        <w:r w:rsidR="002922F1">
          <w:rPr>
            <w:noProof/>
            <w:webHidden/>
          </w:rPr>
        </w:r>
        <w:r w:rsidR="002922F1">
          <w:rPr>
            <w:noProof/>
            <w:webHidden/>
          </w:rPr>
          <w:fldChar w:fldCharType="separate"/>
        </w:r>
        <w:r w:rsidR="00AD732F">
          <w:rPr>
            <w:noProof/>
            <w:webHidden/>
          </w:rPr>
          <w:t>109</w:t>
        </w:r>
        <w:r w:rsidR="002922F1">
          <w:rPr>
            <w:noProof/>
            <w:webHidden/>
          </w:rPr>
          <w:fldChar w:fldCharType="end"/>
        </w:r>
      </w:hyperlink>
    </w:p>
    <w:p w14:paraId="0D9A0CCB"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2" w:history="1">
        <w:r w:rsidR="002922F1" w:rsidRPr="00E17C1D">
          <w:rPr>
            <w:rStyle w:val="Hypertextovodkaz"/>
            <w:noProof/>
          </w:rPr>
          <w:t>Tabulka 59: KS – DT správního řízení dle soudů</w:t>
        </w:r>
        <w:r w:rsidR="002922F1">
          <w:rPr>
            <w:noProof/>
            <w:webHidden/>
          </w:rPr>
          <w:tab/>
        </w:r>
        <w:r w:rsidR="002922F1">
          <w:rPr>
            <w:noProof/>
            <w:webHidden/>
          </w:rPr>
          <w:fldChar w:fldCharType="begin"/>
        </w:r>
        <w:r w:rsidR="002922F1">
          <w:rPr>
            <w:noProof/>
            <w:webHidden/>
          </w:rPr>
          <w:instrText xml:space="preserve"> PAGEREF _Toc13837482 \h </w:instrText>
        </w:r>
        <w:r w:rsidR="002922F1">
          <w:rPr>
            <w:noProof/>
            <w:webHidden/>
          </w:rPr>
        </w:r>
        <w:r w:rsidR="002922F1">
          <w:rPr>
            <w:noProof/>
            <w:webHidden/>
          </w:rPr>
          <w:fldChar w:fldCharType="separate"/>
        </w:r>
        <w:r w:rsidR="00AD732F">
          <w:rPr>
            <w:noProof/>
            <w:webHidden/>
          </w:rPr>
          <w:t>111</w:t>
        </w:r>
        <w:r w:rsidR="002922F1">
          <w:rPr>
            <w:noProof/>
            <w:webHidden/>
          </w:rPr>
          <w:fldChar w:fldCharType="end"/>
        </w:r>
      </w:hyperlink>
    </w:p>
    <w:p w14:paraId="69E97AC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3" w:history="1">
        <w:r w:rsidR="002922F1" w:rsidRPr="00E17C1D">
          <w:rPr>
            <w:rStyle w:val="Hypertextovodkaz"/>
            <w:noProof/>
          </w:rPr>
          <w:t>Tabulka 60: KS – délky insolvenčního řízení dle soudů</w:t>
        </w:r>
        <w:r w:rsidR="002922F1">
          <w:rPr>
            <w:noProof/>
            <w:webHidden/>
          </w:rPr>
          <w:tab/>
        </w:r>
        <w:r w:rsidR="002922F1">
          <w:rPr>
            <w:noProof/>
            <w:webHidden/>
          </w:rPr>
          <w:fldChar w:fldCharType="begin"/>
        </w:r>
        <w:r w:rsidR="002922F1">
          <w:rPr>
            <w:noProof/>
            <w:webHidden/>
          </w:rPr>
          <w:instrText xml:space="preserve"> PAGEREF _Toc13837483 \h </w:instrText>
        </w:r>
        <w:r w:rsidR="002922F1">
          <w:rPr>
            <w:noProof/>
            <w:webHidden/>
          </w:rPr>
        </w:r>
        <w:r w:rsidR="002922F1">
          <w:rPr>
            <w:noProof/>
            <w:webHidden/>
          </w:rPr>
          <w:fldChar w:fldCharType="separate"/>
        </w:r>
        <w:r w:rsidR="00AD732F">
          <w:rPr>
            <w:noProof/>
            <w:webHidden/>
          </w:rPr>
          <w:t>114</w:t>
        </w:r>
        <w:r w:rsidR="002922F1">
          <w:rPr>
            <w:noProof/>
            <w:webHidden/>
          </w:rPr>
          <w:fldChar w:fldCharType="end"/>
        </w:r>
      </w:hyperlink>
    </w:p>
    <w:p w14:paraId="3D17CC2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4" w:history="1">
        <w:r w:rsidR="002922F1" w:rsidRPr="00E17C1D">
          <w:rPr>
            <w:rStyle w:val="Hypertextovodkaz"/>
            <w:noProof/>
          </w:rPr>
          <w:t>Tabulka 61: KS – délka druhé fáze insolvenčního řízení u PO dle soudů</w:t>
        </w:r>
        <w:r w:rsidR="002922F1">
          <w:rPr>
            <w:noProof/>
            <w:webHidden/>
          </w:rPr>
          <w:tab/>
        </w:r>
        <w:r w:rsidR="002922F1">
          <w:rPr>
            <w:noProof/>
            <w:webHidden/>
          </w:rPr>
          <w:fldChar w:fldCharType="begin"/>
        </w:r>
        <w:r w:rsidR="002922F1">
          <w:rPr>
            <w:noProof/>
            <w:webHidden/>
          </w:rPr>
          <w:instrText xml:space="preserve"> PAGEREF _Toc13837484 \h </w:instrText>
        </w:r>
        <w:r w:rsidR="002922F1">
          <w:rPr>
            <w:noProof/>
            <w:webHidden/>
          </w:rPr>
        </w:r>
        <w:r w:rsidR="002922F1">
          <w:rPr>
            <w:noProof/>
            <w:webHidden/>
          </w:rPr>
          <w:fldChar w:fldCharType="separate"/>
        </w:r>
        <w:r w:rsidR="00AD732F">
          <w:rPr>
            <w:noProof/>
            <w:webHidden/>
          </w:rPr>
          <w:t>116</w:t>
        </w:r>
        <w:r w:rsidR="002922F1">
          <w:rPr>
            <w:noProof/>
            <w:webHidden/>
          </w:rPr>
          <w:fldChar w:fldCharType="end"/>
        </w:r>
      </w:hyperlink>
    </w:p>
    <w:p w14:paraId="54FFE648"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5" w:history="1">
        <w:r w:rsidR="002922F1" w:rsidRPr="00E17C1D">
          <w:rPr>
            <w:rStyle w:val="Hypertextovodkaz"/>
            <w:noProof/>
          </w:rPr>
          <w:t>Tabulka 62: KS – délka druhé fáze insolvenčního řízení u FO dle soudů</w:t>
        </w:r>
        <w:r w:rsidR="002922F1">
          <w:rPr>
            <w:noProof/>
            <w:webHidden/>
          </w:rPr>
          <w:tab/>
        </w:r>
        <w:r w:rsidR="002922F1">
          <w:rPr>
            <w:noProof/>
            <w:webHidden/>
          </w:rPr>
          <w:fldChar w:fldCharType="begin"/>
        </w:r>
        <w:r w:rsidR="002922F1">
          <w:rPr>
            <w:noProof/>
            <w:webHidden/>
          </w:rPr>
          <w:instrText xml:space="preserve"> PAGEREF _Toc13837485 \h </w:instrText>
        </w:r>
        <w:r w:rsidR="002922F1">
          <w:rPr>
            <w:noProof/>
            <w:webHidden/>
          </w:rPr>
        </w:r>
        <w:r w:rsidR="002922F1">
          <w:rPr>
            <w:noProof/>
            <w:webHidden/>
          </w:rPr>
          <w:fldChar w:fldCharType="separate"/>
        </w:r>
        <w:r w:rsidR="00AD732F">
          <w:rPr>
            <w:noProof/>
            <w:webHidden/>
          </w:rPr>
          <w:t>117</w:t>
        </w:r>
        <w:r w:rsidR="002922F1">
          <w:rPr>
            <w:noProof/>
            <w:webHidden/>
          </w:rPr>
          <w:fldChar w:fldCharType="end"/>
        </w:r>
      </w:hyperlink>
    </w:p>
    <w:p w14:paraId="78324A7E"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6" w:history="1">
        <w:r w:rsidR="002922F1" w:rsidRPr="00E17C1D">
          <w:rPr>
            <w:rStyle w:val="Hypertextovodkaz"/>
            <w:noProof/>
          </w:rPr>
          <w:t>Tabulka 63: KS – vyřizování insolvenčních věcí dle soudů</w:t>
        </w:r>
        <w:r w:rsidR="002922F1">
          <w:rPr>
            <w:noProof/>
            <w:webHidden/>
          </w:rPr>
          <w:tab/>
        </w:r>
        <w:r w:rsidR="002922F1">
          <w:rPr>
            <w:noProof/>
            <w:webHidden/>
          </w:rPr>
          <w:fldChar w:fldCharType="begin"/>
        </w:r>
        <w:r w:rsidR="002922F1">
          <w:rPr>
            <w:noProof/>
            <w:webHidden/>
          </w:rPr>
          <w:instrText xml:space="preserve"> PAGEREF _Toc13837486 \h </w:instrText>
        </w:r>
        <w:r w:rsidR="002922F1">
          <w:rPr>
            <w:noProof/>
            <w:webHidden/>
          </w:rPr>
        </w:r>
        <w:r w:rsidR="002922F1">
          <w:rPr>
            <w:noProof/>
            <w:webHidden/>
          </w:rPr>
          <w:fldChar w:fldCharType="separate"/>
        </w:r>
        <w:r w:rsidR="00AD732F">
          <w:rPr>
            <w:noProof/>
            <w:webHidden/>
          </w:rPr>
          <w:t>118</w:t>
        </w:r>
        <w:r w:rsidR="002922F1">
          <w:rPr>
            <w:noProof/>
            <w:webHidden/>
          </w:rPr>
          <w:fldChar w:fldCharType="end"/>
        </w:r>
      </w:hyperlink>
    </w:p>
    <w:p w14:paraId="3C60CB05"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7" w:history="1">
        <w:r w:rsidR="002922F1" w:rsidRPr="00E17C1D">
          <w:rPr>
            <w:rStyle w:val="Hypertextovodkaz"/>
            <w:noProof/>
          </w:rPr>
          <w:t>Tabulka 64: KS – vyřizování insolvenčních věcí na soudce dle soudů</w:t>
        </w:r>
        <w:r w:rsidR="002922F1">
          <w:rPr>
            <w:noProof/>
            <w:webHidden/>
          </w:rPr>
          <w:tab/>
        </w:r>
        <w:r w:rsidR="002922F1">
          <w:rPr>
            <w:noProof/>
            <w:webHidden/>
          </w:rPr>
          <w:fldChar w:fldCharType="begin"/>
        </w:r>
        <w:r w:rsidR="002922F1">
          <w:rPr>
            <w:noProof/>
            <w:webHidden/>
          </w:rPr>
          <w:instrText xml:space="preserve"> PAGEREF _Toc13837487 \h </w:instrText>
        </w:r>
        <w:r w:rsidR="002922F1">
          <w:rPr>
            <w:noProof/>
            <w:webHidden/>
          </w:rPr>
        </w:r>
        <w:r w:rsidR="002922F1">
          <w:rPr>
            <w:noProof/>
            <w:webHidden/>
          </w:rPr>
          <w:fldChar w:fldCharType="separate"/>
        </w:r>
        <w:r w:rsidR="00AD732F">
          <w:rPr>
            <w:noProof/>
            <w:webHidden/>
          </w:rPr>
          <w:t>119</w:t>
        </w:r>
        <w:r w:rsidR="002922F1">
          <w:rPr>
            <w:noProof/>
            <w:webHidden/>
          </w:rPr>
          <w:fldChar w:fldCharType="end"/>
        </w:r>
      </w:hyperlink>
    </w:p>
    <w:p w14:paraId="68595369"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8" w:history="1">
        <w:r w:rsidR="002922F1" w:rsidRPr="00E17C1D">
          <w:rPr>
            <w:rStyle w:val="Hypertextovodkaz"/>
            <w:noProof/>
          </w:rPr>
          <w:t>Tabulka 65: KS – podíl jednotlivých způsobů řešení úpadku</w:t>
        </w:r>
        <w:r w:rsidR="002922F1">
          <w:rPr>
            <w:noProof/>
            <w:webHidden/>
          </w:rPr>
          <w:tab/>
        </w:r>
        <w:r w:rsidR="002922F1">
          <w:rPr>
            <w:noProof/>
            <w:webHidden/>
          </w:rPr>
          <w:fldChar w:fldCharType="begin"/>
        </w:r>
        <w:r w:rsidR="002922F1">
          <w:rPr>
            <w:noProof/>
            <w:webHidden/>
          </w:rPr>
          <w:instrText xml:space="preserve"> PAGEREF _Toc13837488 \h </w:instrText>
        </w:r>
        <w:r w:rsidR="002922F1">
          <w:rPr>
            <w:noProof/>
            <w:webHidden/>
          </w:rPr>
        </w:r>
        <w:r w:rsidR="002922F1">
          <w:rPr>
            <w:noProof/>
            <w:webHidden/>
          </w:rPr>
          <w:fldChar w:fldCharType="separate"/>
        </w:r>
        <w:r w:rsidR="00AD732F">
          <w:rPr>
            <w:noProof/>
            <w:webHidden/>
          </w:rPr>
          <w:t>120</w:t>
        </w:r>
        <w:r w:rsidR="002922F1">
          <w:rPr>
            <w:noProof/>
            <w:webHidden/>
          </w:rPr>
          <w:fldChar w:fldCharType="end"/>
        </w:r>
      </w:hyperlink>
    </w:p>
    <w:p w14:paraId="45E1BFC2"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89" w:history="1">
        <w:r w:rsidR="002922F1" w:rsidRPr="00E17C1D">
          <w:rPr>
            <w:rStyle w:val="Hypertextovodkaz"/>
            <w:noProof/>
          </w:rPr>
          <w:t>Tabulka 66: VS – počet zaměstnanců ve výkonu dle soudů</w:t>
        </w:r>
        <w:r w:rsidR="002922F1">
          <w:rPr>
            <w:noProof/>
            <w:webHidden/>
          </w:rPr>
          <w:tab/>
        </w:r>
        <w:r w:rsidR="002922F1">
          <w:rPr>
            <w:noProof/>
            <w:webHidden/>
          </w:rPr>
          <w:fldChar w:fldCharType="begin"/>
        </w:r>
        <w:r w:rsidR="002922F1">
          <w:rPr>
            <w:noProof/>
            <w:webHidden/>
          </w:rPr>
          <w:instrText xml:space="preserve"> PAGEREF _Toc13837489 \h </w:instrText>
        </w:r>
        <w:r w:rsidR="002922F1">
          <w:rPr>
            <w:noProof/>
            <w:webHidden/>
          </w:rPr>
        </w:r>
        <w:r w:rsidR="002922F1">
          <w:rPr>
            <w:noProof/>
            <w:webHidden/>
          </w:rPr>
          <w:fldChar w:fldCharType="separate"/>
        </w:r>
        <w:r w:rsidR="00AD732F">
          <w:rPr>
            <w:noProof/>
            <w:webHidden/>
          </w:rPr>
          <w:t>125</w:t>
        </w:r>
        <w:r w:rsidR="002922F1">
          <w:rPr>
            <w:noProof/>
            <w:webHidden/>
          </w:rPr>
          <w:fldChar w:fldCharType="end"/>
        </w:r>
      </w:hyperlink>
    </w:p>
    <w:p w14:paraId="00863C7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0" w:history="1">
        <w:r w:rsidR="002922F1" w:rsidRPr="00E17C1D">
          <w:rPr>
            <w:rStyle w:val="Hypertextovodkaz"/>
            <w:noProof/>
          </w:rPr>
          <w:t>Tabulka 67: VS – vyřizování odvolacích civilních věcí na soudce</w:t>
        </w:r>
        <w:r w:rsidR="002922F1">
          <w:rPr>
            <w:noProof/>
            <w:webHidden/>
          </w:rPr>
          <w:tab/>
        </w:r>
        <w:r w:rsidR="002922F1">
          <w:rPr>
            <w:noProof/>
            <w:webHidden/>
          </w:rPr>
          <w:fldChar w:fldCharType="begin"/>
        </w:r>
        <w:r w:rsidR="002922F1">
          <w:rPr>
            <w:noProof/>
            <w:webHidden/>
          </w:rPr>
          <w:instrText xml:space="preserve"> PAGEREF _Toc13837490 \h </w:instrText>
        </w:r>
        <w:r w:rsidR="002922F1">
          <w:rPr>
            <w:noProof/>
            <w:webHidden/>
          </w:rPr>
        </w:r>
        <w:r w:rsidR="002922F1">
          <w:rPr>
            <w:noProof/>
            <w:webHidden/>
          </w:rPr>
          <w:fldChar w:fldCharType="separate"/>
        </w:r>
        <w:r w:rsidR="00AD732F">
          <w:rPr>
            <w:noProof/>
            <w:webHidden/>
          </w:rPr>
          <w:t>128</w:t>
        </w:r>
        <w:r w:rsidR="002922F1">
          <w:rPr>
            <w:noProof/>
            <w:webHidden/>
          </w:rPr>
          <w:fldChar w:fldCharType="end"/>
        </w:r>
      </w:hyperlink>
    </w:p>
    <w:p w14:paraId="38C948B0"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1" w:history="1">
        <w:r w:rsidR="002922F1" w:rsidRPr="00E17C1D">
          <w:rPr>
            <w:rStyle w:val="Hypertextovodkaz"/>
            <w:noProof/>
          </w:rPr>
          <w:t>Tabulka 68: VS – vyřizování odvolacích trestních věcí na soudce</w:t>
        </w:r>
        <w:r w:rsidR="002922F1">
          <w:rPr>
            <w:noProof/>
            <w:webHidden/>
          </w:rPr>
          <w:tab/>
        </w:r>
        <w:r w:rsidR="002922F1">
          <w:rPr>
            <w:noProof/>
            <w:webHidden/>
          </w:rPr>
          <w:fldChar w:fldCharType="begin"/>
        </w:r>
        <w:r w:rsidR="002922F1">
          <w:rPr>
            <w:noProof/>
            <w:webHidden/>
          </w:rPr>
          <w:instrText xml:space="preserve"> PAGEREF _Toc13837491 \h </w:instrText>
        </w:r>
        <w:r w:rsidR="002922F1">
          <w:rPr>
            <w:noProof/>
            <w:webHidden/>
          </w:rPr>
        </w:r>
        <w:r w:rsidR="002922F1">
          <w:rPr>
            <w:noProof/>
            <w:webHidden/>
          </w:rPr>
          <w:fldChar w:fldCharType="separate"/>
        </w:r>
        <w:r w:rsidR="00AD732F">
          <w:rPr>
            <w:noProof/>
            <w:webHidden/>
          </w:rPr>
          <w:t>132</w:t>
        </w:r>
        <w:r w:rsidR="002922F1">
          <w:rPr>
            <w:noProof/>
            <w:webHidden/>
          </w:rPr>
          <w:fldChar w:fldCharType="end"/>
        </w:r>
      </w:hyperlink>
    </w:p>
    <w:p w14:paraId="1CF66407"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2" w:history="1">
        <w:r w:rsidR="002922F1" w:rsidRPr="00E17C1D">
          <w:rPr>
            <w:rStyle w:val="Hypertextovodkaz"/>
            <w:noProof/>
          </w:rPr>
          <w:t>Tabulka 69: NS – počet zaměstnanců ve výkonu</w:t>
        </w:r>
        <w:r w:rsidR="002922F1">
          <w:rPr>
            <w:noProof/>
            <w:webHidden/>
          </w:rPr>
          <w:tab/>
        </w:r>
        <w:r w:rsidR="002922F1">
          <w:rPr>
            <w:noProof/>
            <w:webHidden/>
          </w:rPr>
          <w:fldChar w:fldCharType="begin"/>
        </w:r>
        <w:r w:rsidR="002922F1">
          <w:rPr>
            <w:noProof/>
            <w:webHidden/>
          </w:rPr>
          <w:instrText xml:space="preserve"> PAGEREF _Toc13837492 \h </w:instrText>
        </w:r>
        <w:r w:rsidR="002922F1">
          <w:rPr>
            <w:noProof/>
            <w:webHidden/>
          </w:rPr>
        </w:r>
        <w:r w:rsidR="002922F1">
          <w:rPr>
            <w:noProof/>
            <w:webHidden/>
          </w:rPr>
          <w:fldChar w:fldCharType="separate"/>
        </w:r>
        <w:r w:rsidR="00AD732F">
          <w:rPr>
            <w:noProof/>
            <w:webHidden/>
          </w:rPr>
          <w:t>139</w:t>
        </w:r>
        <w:r w:rsidR="002922F1">
          <w:rPr>
            <w:noProof/>
            <w:webHidden/>
          </w:rPr>
          <w:fldChar w:fldCharType="end"/>
        </w:r>
      </w:hyperlink>
    </w:p>
    <w:p w14:paraId="3368288D" w14:textId="77777777" w:rsidR="002922F1" w:rsidRDefault="00D818C4">
      <w:pPr>
        <w:pStyle w:val="Seznamobrzk"/>
        <w:tabs>
          <w:tab w:val="right" w:leader="dot" w:pos="9060"/>
        </w:tabs>
        <w:rPr>
          <w:rFonts w:asciiTheme="minorHAnsi" w:eastAsiaTheme="minorEastAsia" w:hAnsiTheme="minorHAnsi" w:cstheme="minorBidi"/>
          <w:noProof/>
          <w:sz w:val="22"/>
          <w:lang w:eastAsia="cs-CZ"/>
        </w:rPr>
      </w:pPr>
      <w:hyperlink w:anchor="_Toc13837493" w:history="1">
        <w:r w:rsidR="002922F1" w:rsidRPr="00E17C1D">
          <w:rPr>
            <w:rStyle w:val="Hypertextovodkaz"/>
            <w:noProof/>
          </w:rPr>
          <w:t>Tabulka 70: NSS – počet zaměstnanců ve výkonu</w:t>
        </w:r>
        <w:r w:rsidR="002922F1">
          <w:rPr>
            <w:noProof/>
            <w:webHidden/>
          </w:rPr>
          <w:tab/>
        </w:r>
        <w:r w:rsidR="002922F1">
          <w:rPr>
            <w:noProof/>
            <w:webHidden/>
          </w:rPr>
          <w:fldChar w:fldCharType="begin"/>
        </w:r>
        <w:r w:rsidR="002922F1">
          <w:rPr>
            <w:noProof/>
            <w:webHidden/>
          </w:rPr>
          <w:instrText xml:space="preserve"> PAGEREF _Toc13837493 \h </w:instrText>
        </w:r>
        <w:r w:rsidR="002922F1">
          <w:rPr>
            <w:noProof/>
            <w:webHidden/>
          </w:rPr>
        </w:r>
        <w:r w:rsidR="002922F1">
          <w:rPr>
            <w:noProof/>
            <w:webHidden/>
          </w:rPr>
          <w:fldChar w:fldCharType="separate"/>
        </w:r>
        <w:r w:rsidR="00AD732F">
          <w:rPr>
            <w:noProof/>
            <w:webHidden/>
          </w:rPr>
          <w:t>146</w:t>
        </w:r>
        <w:r w:rsidR="002922F1">
          <w:rPr>
            <w:noProof/>
            <w:webHidden/>
          </w:rPr>
          <w:fldChar w:fldCharType="end"/>
        </w:r>
      </w:hyperlink>
    </w:p>
    <w:p w14:paraId="660B7BF5" w14:textId="77777777" w:rsidR="00695BE9" w:rsidRPr="00F85178" w:rsidRDefault="005B5896">
      <w:pPr>
        <w:spacing w:line="240" w:lineRule="auto"/>
        <w:jc w:val="left"/>
      </w:pPr>
      <w:r w:rsidRPr="00F85178">
        <w:rPr>
          <w:b/>
          <w:bCs/>
          <w:noProof/>
        </w:rPr>
        <w:fldChar w:fldCharType="end"/>
      </w:r>
      <w:r w:rsidR="00695BE9" w:rsidRPr="00F85178">
        <w:br w:type="page"/>
      </w:r>
    </w:p>
    <w:p w14:paraId="619F4BFB" w14:textId="77777777" w:rsidR="004F14A1" w:rsidRPr="00F85178" w:rsidRDefault="004F14A1" w:rsidP="004F14A1">
      <w:pPr>
        <w:pStyle w:val="Nadpis1"/>
        <w:numPr>
          <w:ilvl w:val="0"/>
          <w:numId w:val="0"/>
        </w:numPr>
      </w:pPr>
      <w:bookmarkStart w:id="767" w:name="_Toc487791316"/>
      <w:bookmarkStart w:id="768" w:name="_Toc14076965"/>
      <w:r w:rsidRPr="00F85178">
        <w:t>Přílohy</w:t>
      </w:r>
      <w:bookmarkEnd w:id="767"/>
      <w:bookmarkEnd w:id="768"/>
    </w:p>
    <w:p w14:paraId="3732BE31" w14:textId="77777777" w:rsidR="004F14A1" w:rsidRPr="00F85178" w:rsidRDefault="004F14A1" w:rsidP="004F14A1">
      <w:pPr>
        <w:pStyle w:val="Nadpis2"/>
        <w:numPr>
          <w:ilvl w:val="0"/>
          <w:numId w:val="0"/>
        </w:numPr>
      </w:pPr>
      <w:bookmarkStart w:id="769" w:name="_Ref482901945"/>
      <w:bookmarkStart w:id="770" w:name="_Toc487791317"/>
      <w:bookmarkStart w:id="771" w:name="_Toc14076966"/>
      <w:r w:rsidRPr="00F85178">
        <w:t>Příloha A – seznam použitých pojmů</w:t>
      </w:r>
      <w:bookmarkEnd w:id="769"/>
      <w:bookmarkEnd w:id="770"/>
      <w:bookmarkEnd w:id="771"/>
    </w:p>
    <w:p w14:paraId="30B727C2" w14:textId="77777777" w:rsidR="004F14A1" w:rsidRPr="00F85178" w:rsidRDefault="004F14A1" w:rsidP="004F14A1">
      <w:pPr>
        <w:pStyle w:val="Nadpis3"/>
        <w:numPr>
          <w:ilvl w:val="0"/>
          <w:numId w:val="0"/>
        </w:numPr>
        <w:rPr>
          <w:color w:val="auto"/>
        </w:rPr>
      </w:pPr>
      <w:bookmarkStart w:id="772" w:name="_Toc487791318"/>
      <w:bookmarkStart w:id="773" w:name="_Toc14076967"/>
      <w:r w:rsidRPr="00F85178">
        <w:rPr>
          <w:color w:val="auto"/>
        </w:rPr>
        <w:t>Statistické pojmy</w:t>
      </w:r>
      <w:r w:rsidR="009B748A" w:rsidRPr="00F85178">
        <w:rPr>
          <w:color w:val="auto"/>
        </w:rPr>
        <w:t xml:space="preserve"> a </w:t>
      </w:r>
      <w:r w:rsidRPr="00F85178">
        <w:rPr>
          <w:color w:val="auto"/>
        </w:rPr>
        <w:t>použité statistické ukazatele</w:t>
      </w:r>
      <w:bookmarkEnd w:id="772"/>
      <w:bookmarkEnd w:id="773"/>
    </w:p>
    <w:p w14:paraId="7D7CFBAA" w14:textId="77777777" w:rsidR="004F14A1" w:rsidRPr="00F85178" w:rsidRDefault="004F14A1" w:rsidP="00590CE0">
      <w:pPr>
        <w:pStyle w:val="Odstavecseseznamem"/>
        <w:numPr>
          <w:ilvl w:val="0"/>
          <w:numId w:val="4"/>
        </w:numPr>
      </w:pPr>
      <w:r w:rsidRPr="00F85178">
        <w:rPr>
          <w:b/>
        </w:rPr>
        <w:t xml:space="preserve">Časová řada </w:t>
      </w:r>
      <w:r w:rsidRPr="00F85178">
        <w:t>– umožňuje sledovat vývoj daného ukazatele (např. průměrné délky řízení)</w:t>
      </w:r>
      <w:r w:rsidR="0093094A" w:rsidRPr="00F85178">
        <w:t xml:space="preserve"> v </w:t>
      </w:r>
      <w:r w:rsidRPr="00F85178">
        <w:t>čase. Periodicita řad je</w:t>
      </w:r>
      <w:r w:rsidR="0093094A" w:rsidRPr="00F85178">
        <w:t xml:space="preserve"> v </w:t>
      </w:r>
      <w:r w:rsidRPr="00F85178">
        <w:t>této zprávě roční, porovnáváme tedy mezi sebou jednotlivé roky. Řady jsou buď intervalové (např. počet vyřízených věcí za rok), nebo okamžikové (např. počet nevyřízených věcí</w:t>
      </w:r>
      <w:r w:rsidR="0093094A" w:rsidRPr="00F85178">
        <w:t xml:space="preserve"> k </w:t>
      </w:r>
      <w:r w:rsidRPr="00F85178">
        <w:t>31. 12. daného roku). Časové řady jsou vždy znázorněny</w:t>
      </w:r>
      <w:r w:rsidR="0093094A" w:rsidRPr="00F85178">
        <w:t xml:space="preserve"> v </w:t>
      </w:r>
      <w:r w:rsidRPr="00F85178">
        <w:t>grafické podobě.</w:t>
      </w:r>
    </w:p>
    <w:p w14:paraId="3ECF9FD2" w14:textId="77777777" w:rsidR="004F14A1" w:rsidRPr="00F85178" w:rsidRDefault="004F14A1" w:rsidP="00590CE0">
      <w:pPr>
        <w:pStyle w:val="Odstavecseseznamem"/>
        <w:numPr>
          <w:ilvl w:val="0"/>
          <w:numId w:val="4"/>
        </w:numPr>
        <w:rPr>
          <w:b/>
        </w:rPr>
      </w:pPr>
      <w:r w:rsidRPr="00F85178">
        <w:rPr>
          <w:b/>
        </w:rPr>
        <w:t xml:space="preserve">Délka řízení </w:t>
      </w:r>
      <w:r w:rsidRPr="00F85178">
        <w:t>–</w:t>
      </w:r>
      <w:r w:rsidR="0093094A" w:rsidRPr="00F85178">
        <w:t xml:space="preserve"> v </w:t>
      </w:r>
      <w:r w:rsidRPr="00F85178">
        <w:t>textu je pojem často používán</w:t>
      </w:r>
      <w:r w:rsidR="0093094A" w:rsidRPr="00F85178">
        <w:t xml:space="preserve"> v </w:t>
      </w:r>
      <w:r w:rsidRPr="00F85178">
        <w:t>množném čísle „délky řízení“. Tím jsou obvykle myšleny sledované ukazatele (průměrná délka řízení, mediánová délka řízení</w:t>
      </w:r>
      <w:r w:rsidR="009B748A" w:rsidRPr="00F85178">
        <w:t xml:space="preserve"> a </w:t>
      </w:r>
      <w:r w:rsidRPr="00F85178">
        <w:t>devadesátý percentil). U každé podkapitoly je uvedeno,</w:t>
      </w:r>
      <w:r w:rsidR="009B748A" w:rsidRPr="00F85178">
        <w:t xml:space="preserve"> o </w:t>
      </w:r>
      <w:r w:rsidRPr="00F85178">
        <w:t>jakou délku řízení se jedná (ode dne nápadu do dne vyřízení soudem I. stupně apod.). Délka řízení je vždy</w:t>
      </w:r>
      <w:r w:rsidRPr="00F85178" w:rsidDel="00312547">
        <w:t xml:space="preserve"> </w:t>
      </w:r>
      <w:r w:rsidRPr="00F85178">
        <w:t>udávána</w:t>
      </w:r>
      <w:r w:rsidR="0093094A" w:rsidRPr="00F85178">
        <w:t xml:space="preserve"> v </w:t>
      </w:r>
      <w:r w:rsidRPr="00F85178">
        <w:t>kalendářních dnech. Vypočtena je ze statistických listů</w:t>
      </w:r>
      <w:r w:rsidR="009B748A" w:rsidRPr="00F85178">
        <w:t xml:space="preserve"> a </w:t>
      </w:r>
      <w:r w:rsidRPr="00F85178">
        <w:t>považována za jeden</w:t>
      </w:r>
      <w:r w:rsidR="0093094A" w:rsidRPr="00F85178">
        <w:t xml:space="preserve"> z </w:t>
      </w:r>
      <w:r w:rsidRPr="00F85178">
        <w:t>ukazatelů výkonnosti</w:t>
      </w:r>
      <w:r w:rsidR="009B748A" w:rsidRPr="00F85178">
        <w:t xml:space="preserve"> a </w:t>
      </w:r>
      <w:r w:rsidRPr="00F85178">
        <w:t>zatíženosti soudů.</w:t>
      </w:r>
    </w:p>
    <w:p w14:paraId="3E3306E4" w14:textId="77777777" w:rsidR="004F14A1" w:rsidRPr="00F85178" w:rsidRDefault="004F14A1" w:rsidP="00590CE0">
      <w:pPr>
        <w:pStyle w:val="Odstavecseseznamem"/>
        <w:numPr>
          <w:ilvl w:val="0"/>
          <w:numId w:val="4"/>
        </w:numPr>
      </w:pPr>
      <w:r w:rsidRPr="00F85178">
        <w:rPr>
          <w:b/>
        </w:rPr>
        <w:t xml:space="preserve">Disposition time (DT) </w:t>
      </w:r>
      <w:r w:rsidRPr="00F85178">
        <w:t>– je vypočítán podle metodiky CEPEJ</w:t>
      </w:r>
      <w:r w:rsidRPr="00F85178">
        <w:rPr>
          <w:rStyle w:val="Znakapoznpodarou"/>
        </w:rPr>
        <w:footnoteReference w:id="15"/>
      </w:r>
      <w:r w:rsidRPr="00F85178">
        <w:t xml:space="preserve"> jako (počet nevyřízených věcí na konci daného období) / (počet vyřízených věcí</w:t>
      </w:r>
      <w:r w:rsidR="0093094A" w:rsidRPr="00F85178">
        <w:t xml:space="preserve"> v </w:t>
      </w:r>
      <w:r w:rsidRPr="00F85178">
        <w:t xml:space="preserve">daném období) × 365. </w:t>
      </w:r>
      <w:r w:rsidR="00C1268A" w:rsidRPr="00F85178">
        <w:t xml:space="preserve">Tento údaj v podstatě ukazuje, za kolik dní by při stejném tempu soud dovyřídil všechny věci, které u něj dnes leží, kdyby k němu již žádné další nepřicházely. </w:t>
      </w:r>
      <w:r w:rsidRPr="00F85178">
        <w:t>Nejedná se</w:t>
      </w:r>
      <w:r w:rsidR="009B748A" w:rsidRPr="00F85178">
        <w:t xml:space="preserve"> o </w:t>
      </w:r>
      <w:r w:rsidRPr="00F85178">
        <w:t>délku řízení, přestože by se to mohlo podle názvu nabízet. Další informace</w:t>
      </w:r>
      <w:r w:rsidR="0093094A" w:rsidRPr="00F85178">
        <w:t xml:space="preserve"> k </w:t>
      </w:r>
      <w:r w:rsidRPr="00F85178">
        <w:t>tomuto ukazateli obsahuje podkapitola</w:t>
      </w:r>
      <w:r w:rsidR="00C43CBB" w:rsidRPr="00F85178">
        <w:t> </w:t>
      </w:r>
      <w:r w:rsidR="005C706B" w:rsidRPr="00F85178">
        <w:t>2.2.4</w:t>
      </w:r>
      <w:r w:rsidRPr="00F85178">
        <w:t>. DT je považován za jeden</w:t>
      </w:r>
      <w:r w:rsidR="0093094A" w:rsidRPr="00F85178">
        <w:t xml:space="preserve"> z </w:t>
      </w:r>
      <w:r w:rsidRPr="00F85178">
        <w:t>ukazatelů výkonnosti</w:t>
      </w:r>
      <w:r w:rsidR="009B748A" w:rsidRPr="00F85178">
        <w:t xml:space="preserve"> a </w:t>
      </w:r>
      <w:r w:rsidRPr="00F85178">
        <w:t>zatíženosti soudů.</w:t>
      </w:r>
    </w:p>
    <w:p w14:paraId="469C3D3B" w14:textId="77777777" w:rsidR="004F14A1" w:rsidRPr="00F85178" w:rsidRDefault="004F14A1" w:rsidP="00590CE0">
      <w:pPr>
        <w:pStyle w:val="Odstavecseseznamem"/>
        <w:numPr>
          <w:ilvl w:val="0"/>
          <w:numId w:val="4"/>
        </w:numPr>
        <w:rPr>
          <w:b/>
        </w:rPr>
      </w:pPr>
      <w:r w:rsidRPr="00F85178">
        <w:rPr>
          <w:b/>
        </w:rPr>
        <w:t xml:space="preserve">Evidenční počet soudců </w:t>
      </w:r>
      <w:r w:rsidRPr="00F85178">
        <w:t>– zahrnuje všechny soudce. Do čísla jsou tedy započteni</w:t>
      </w:r>
      <w:r w:rsidR="009B748A" w:rsidRPr="00F85178">
        <w:t xml:space="preserve"> i </w:t>
      </w:r>
      <w:r w:rsidRPr="00F85178">
        <w:t>dlouhodobě nepřítomní soudci (např. na mateřské nebo rodičovské dovolené, dlouhodobě nemocní, na stáži). Uváděné počty jsou vždy</w:t>
      </w:r>
      <w:r w:rsidR="0093094A" w:rsidRPr="00F85178">
        <w:t xml:space="preserve"> k </w:t>
      </w:r>
      <w:r w:rsidRPr="00F85178">
        <w:t>1. 1. sledovaného roku.</w:t>
      </w:r>
    </w:p>
    <w:p w14:paraId="72E5E98E" w14:textId="77777777" w:rsidR="004F14A1" w:rsidRPr="00F85178" w:rsidRDefault="004F14A1" w:rsidP="00590CE0">
      <w:pPr>
        <w:pStyle w:val="Odstavecseseznamem"/>
        <w:numPr>
          <w:ilvl w:val="0"/>
          <w:numId w:val="4"/>
        </w:numPr>
      </w:pPr>
      <w:r w:rsidRPr="00F85178">
        <w:rPr>
          <w:b/>
        </w:rPr>
        <w:t xml:space="preserve">Histogram </w:t>
      </w:r>
      <w:r w:rsidRPr="00F85178">
        <w:t>– používá se pro znázornění rozdělení zkoumaných dat za využití sloupcového grafu. V této zprávě je na ose </w:t>
      </w:r>
      <w:r w:rsidRPr="00F85178">
        <w:rPr>
          <w:i/>
        </w:rPr>
        <w:t>x</w:t>
      </w:r>
      <w:r w:rsidRPr="00F85178">
        <w:t xml:space="preserve"> zkoumaný ukazatel, na ose </w:t>
      </w:r>
      <w:r w:rsidRPr="00F85178">
        <w:rPr>
          <w:i/>
        </w:rPr>
        <w:t>y</w:t>
      </w:r>
      <w:r w:rsidRPr="00F85178">
        <w:t xml:space="preserve"> je relativní četnost</w:t>
      </w:r>
      <w:r w:rsidR="0093094A" w:rsidRPr="00F85178">
        <w:t xml:space="preserve"> v</w:t>
      </w:r>
      <w:r w:rsidR="002A1DAA" w:rsidRPr="00F85178">
        <w:t> %</w:t>
      </w:r>
      <w:r w:rsidRPr="00F85178">
        <w:t>. Výška sloupců tedy vyjadřuje relativní četnost. Jedná se</w:t>
      </w:r>
      <w:r w:rsidR="009B748A" w:rsidRPr="00F85178">
        <w:t xml:space="preserve"> o </w:t>
      </w:r>
      <w:r w:rsidRPr="00F85178">
        <w:t>počet pozorování, která se nacházejí</w:t>
      </w:r>
      <w:r w:rsidR="0093094A" w:rsidRPr="00F85178">
        <w:t xml:space="preserve"> v </w:t>
      </w:r>
      <w:r w:rsidRPr="00F85178">
        <w:t>daném intervalu / celkový počet pozorování</w:t>
      </w:r>
      <w:r w:rsidR="0093094A" w:rsidRPr="00F85178">
        <w:t xml:space="preserve"> v </w:t>
      </w:r>
      <w:r w:rsidRPr="00F85178">
        <w:t>datovém souboru × 100</w:t>
      </w:r>
      <w:r w:rsidR="002A1DAA" w:rsidRPr="00F85178">
        <w:t> %</w:t>
      </w:r>
      <w:r w:rsidRPr="00F85178">
        <w:t>.</w:t>
      </w:r>
    </w:p>
    <w:p w14:paraId="793DE6B7" w14:textId="77777777" w:rsidR="004F14A1" w:rsidRPr="00F85178" w:rsidRDefault="004F14A1" w:rsidP="00590CE0">
      <w:pPr>
        <w:pStyle w:val="Odstavecseseznamem"/>
        <w:numPr>
          <w:ilvl w:val="0"/>
          <w:numId w:val="4"/>
        </w:numPr>
      </w:pPr>
      <w:r w:rsidRPr="00F85178">
        <w:rPr>
          <w:b/>
        </w:rPr>
        <w:t xml:space="preserve">Kartogram </w:t>
      </w:r>
      <w:r w:rsidRPr="00F85178">
        <w:t>–</w:t>
      </w:r>
      <w:r w:rsidR="0093094A" w:rsidRPr="00F85178">
        <w:t xml:space="preserve"> v </w:t>
      </w:r>
      <w:r w:rsidRPr="00F85178">
        <w:t>této zprávě se jedná</w:t>
      </w:r>
      <w:r w:rsidR="009B748A" w:rsidRPr="00F85178">
        <w:t xml:space="preserve"> o </w:t>
      </w:r>
      <w:r w:rsidRPr="00F85178">
        <w:t>mapu, která znázorňuje výši zkoumaného ukazatele</w:t>
      </w:r>
      <w:r w:rsidR="0093094A" w:rsidRPr="00F85178">
        <w:t xml:space="preserve"> v </w:t>
      </w:r>
      <w:r w:rsidRPr="00F85178">
        <w:t>soudních okresech nebo obvodech hlavního města Prahy. Tmavší odstín barvy obvykle značí vyšší hodnotu ukazatele. Například tmavší odstíny fialové barvy značí vyšší mediánovou délku řízení. U kartogramů je potřeba věnovat pozornost šíři intervalů, aby nedošlo</w:t>
      </w:r>
      <w:r w:rsidR="0093094A" w:rsidRPr="00F85178">
        <w:t xml:space="preserve"> k </w:t>
      </w:r>
      <w:r w:rsidRPr="00F85178">
        <w:t>dezinterpretaci. Graf se vždy skládá ze dvou kartogramů – větší znázorňuje celou ČR, Praha je pak znázorněna na menším kartogramu</w:t>
      </w:r>
      <w:r w:rsidR="0093094A" w:rsidRPr="00F85178">
        <w:t xml:space="preserve"> v </w:t>
      </w:r>
      <w:r w:rsidRPr="00F85178">
        <w:t>pravém horním rohu.</w:t>
      </w:r>
    </w:p>
    <w:p w14:paraId="56C8FDAE" w14:textId="77777777" w:rsidR="004F14A1" w:rsidRPr="00F85178" w:rsidRDefault="00890295" w:rsidP="00590CE0">
      <w:pPr>
        <w:pStyle w:val="Odstavecseseznamem"/>
        <w:numPr>
          <w:ilvl w:val="0"/>
          <w:numId w:val="4"/>
        </w:numPr>
      </w:pPr>
      <w:r>
        <w:rPr>
          <w:noProof/>
          <w:lang w:eastAsia="cs-CZ"/>
        </w:rPr>
        <w:drawing>
          <wp:anchor distT="0" distB="0" distL="114300" distR="114300" simplePos="0" relativeHeight="251651584" behindDoc="0" locked="0" layoutInCell="1" allowOverlap="1" wp14:anchorId="4C176B32" wp14:editId="3978477D">
            <wp:simplePos x="0" y="0"/>
            <wp:positionH relativeFrom="column">
              <wp:posOffset>455295</wp:posOffset>
            </wp:positionH>
            <wp:positionV relativeFrom="paragraph">
              <wp:posOffset>1405255</wp:posOffset>
            </wp:positionV>
            <wp:extent cx="3589020" cy="2681605"/>
            <wp:effectExtent l="0" t="0" r="0" b="0"/>
            <wp:wrapTopAndBottom/>
            <wp:docPr id="16" name="Obráze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8"/>
                    <pic:cNvPicPr>
                      <a:picLocks noChangeAspect="1" noChangeArrowheads="1"/>
                    </pic:cNvPicPr>
                  </pic:nvPicPr>
                  <pic:blipFill>
                    <a:blip r:embed="rId132">
                      <a:extLst>
                        <a:ext uri="{28A0092B-C50C-407E-A947-70E740481C1C}">
                          <a14:useLocalDpi xmlns:a14="http://schemas.microsoft.com/office/drawing/2010/main" val="0"/>
                        </a:ext>
                      </a:extLst>
                    </a:blip>
                    <a:srcRect/>
                    <a:stretch>
                      <a:fillRect/>
                    </a:stretch>
                  </pic:blipFill>
                  <pic:spPr bwMode="auto">
                    <a:xfrm>
                      <a:off x="0" y="0"/>
                      <a:ext cx="3589020" cy="26816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4A1" w:rsidRPr="00F85178">
        <w:rPr>
          <w:b/>
        </w:rPr>
        <w:t xml:space="preserve">Krabicový graf </w:t>
      </w:r>
      <w:r w:rsidR="004F14A1" w:rsidRPr="00F85178">
        <w:t xml:space="preserve">– </w:t>
      </w:r>
      <w:r w:rsidR="004F14A1" w:rsidRPr="00F85178">
        <w:rPr>
          <w:rStyle w:val="OdstavecASRChar"/>
          <w:rFonts w:ascii="Garamond" w:hAnsi="Garamond"/>
        </w:rPr>
        <w:t>nebo krabicový diagram,</w:t>
      </w:r>
      <w:r w:rsidR="0093094A" w:rsidRPr="00F85178">
        <w:rPr>
          <w:rStyle w:val="OdstavecASRChar"/>
          <w:rFonts w:ascii="Garamond" w:hAnsi="Garamond"/>
        </w:rPr>
        <w:t xml:space="preserve"> z </w:t>
      </w:r>
      <w:r w:rsidR="004F14A1" w:rsidRPr="00F85178">
        <w:rPr>
          <w:rStyle w:val="OdstavecASRChar"/>
          <w:rFonts w:ascii="Garamond" w:hAnsi="Garamond"/>
        </w:rPr>
        <w:t xml:space="preserve">anglického </w:t>
      </w:r>
      <w:r w:rsidR="004F14A1" w:rsidRPr="00F85178">
        <w:rPr>
          <w:rStyle w:val="OdstavecASRChar"/>
          <w:rFonts w:ascii="Garamond" w:hAnsi="Garamond"/>
          <w:i/>
        </w:rPr>
        <w:t>box plot</w:t>
      </w:r>
      <w:r w:rsidR="004F14A1" w:rsidRPr="00F85178">
        <w:rPr>
          <w:rStyle w:val="OdstavecASRChar"/>
          <w:rFonts w:ascii="Garamond" w:hAnsi="Garamond"/>
        </w:rPr>
        <w:t>. U vybraných ukazatelů</w:t>
      </w:r>
      <w:r w:rsidR="009B748A" w:rsidRPr="00F85178">
        <w:rPr>
          <w:rStyle w:val="OdstavecASRChar"/>
          <w:rFonts w:ascii="Garamond" w:hAnsi="Garamond"/>
        </w:rPr>
        <w:t xml:space="preserve"> a </w:t>
      </w:r>
      <w:r w:rsidR="004F14A1" w:rsidRPr="00F85178">
        <w:rPr>
          <w:rStyle w:val="OdstavecASRChar"/>
          <w:rFonts w:ascii="Garamond" w:hAnsi="Garamond"/>
        </w:rPr>
        <w:t>agend je sestaven pro každý rok. Krabicové grafy jsou seřazeny za sebe do časové řady, aby bylo vidět, jak se</w:t>
      </w:r>
      <w:r w:rsidR="0093094A" w:rsidRPr="00F85178">
        <w:rPr>
          <w:rStyle w:val="OdstavecASRChar"/>
          <w:rFonts w:ascii="Garamond" w:hAnsi="Garamond"/>
        </w:rPr>
        <w:t xml:space="preserve"> s </w:t>
      </w:r>
      <w:r w:rsidR="004F14A1" w:rsidRPr="00F85178">
        <w:rPr>
          <w:rStyle w:val="OdstavecASRChar"/>
          <w:rFonts w:ascii="Garamond" w:hAnsi="Garamond"/>
        </w:rPr>
        <w:t>postupem času měnily,</w:t>
      </w:r>
      <w:r w:rsidR="009B748A" w:rsidRPr="00F85178">
        <w:rPr>
          <w:rStyle w:val="OdstavecASRChar"/>
          <w:rFonts w:ascii="Garamond" w:hAnsi="Garamond"/>
        </w:rPr>
        <w:t xml:space="preserve"> a </w:t>
      </w:r>
      <w:r w:rsidR="004F14A1" w:rsidRPr="00F85178">
        <w:rPr>
          <w:rStyle w:val="OdstavecASRChar"/>
          <w:rFonts w:ascii="Garamond" w:hAnsi="Garamond"/>
        </w:rPr>
        <w:t>jak se tedy měnila data,</w:t>
      </w:r>
      <w:r w:rsidR="0093094A" w:rsidRPr="00F85178">
        <w:rPr>
          <w:rStyle w:val="OdstavecASRChar"/>
          <w:rFonts w:ascii="Garamond" w:hAnsi="Garamond"/>
        </w:rPr>
        <w:t xml:space="preserve"> z </w:t>
      </w:r>
      <w:r w:rsidR="004F14A1" w:rsidRPr="00F85178">
        <w:rPr>
          <w:rStyle w:val="OdstavecASRChar"/>
          <w:rFonts w:ascii="Garamond" w:hAnsi="Garamond"/>
        </w:rPr>
        <w:t>nichž vychází. Na obrázku níže je zobrazen krabicový graf</w:t>
      </w:r>
      <w:r w:rsidR="009B748A" w:rsidRPr="00F85178">
        <w:rPr>
          <w:rStyle w:val="OdstavecASRChar"/>
          <w:rFonts w:ascii="Garamond" w:hAnsi="Garamond"/>
        </w:rPr>
        <w:t xml:space="preserve"> i </w:t>
      </w:r>
      <w:r w:rsidR="0093094A" w:rsidRPr="00F85178">
        <w:rPr>
          <w:rStyle w:val="OdstavecASRChar"/>
          <w:rFonts w:ascii="Garamond" w:hAnsi="Garamond"/>
        </w:rPr>
        <w:t>s </w:t>
      </w:r>
      <w:r w:rsidR="004F14A1" w:rsidRPr="00F85178">
        <w:rPr>
          <w:rStyle w:val="OdstavecASRChar"/>
          <w:rFonts w:ascii="Garamond" w:hAnsi="Garamond"/>
        </w:rPr>
        <w:t>popisky jednotlivých částí. Pojmy medián</w:t>
      </w:r>
      <w:r w:rsidR="009B748A" w:rsidRPr="00F85178">
        <w:rPr>
          <w:rStyle w:val="OdstavecASRChar"/>
          <w:rFonts w:ascii="Garamond" w:hAnsi="Garamond"/>
        </w:rPr>
        <w:t xml:space="preserve"> a </w:t>
      </w:r>
      <w:r w:rsidR="004F14A1" w:rsidRPr="00F85178">
        <w:rPr>
          <w:rStyle w:val="OdstavecASRChar"/>
          <w:rFonts w:ascii="Garamond" w:hAnsi="Garamond"/>
        </w:rPr>
        <w:t>kvartil jsou vysvětleny</w:t>
      </w:r>
      <w:r w:rsidR="0093094A" w:rsidRPr="00F85178">
        <w:rPr>
          <w:rStyle w:val="OdstavecASRChar"/>
          <w:rFonts w:ascii="Garamond" w:hAnsi="Garamond"/>
        </w:rPr>
        <w:t xml:space="preserve"> v </w:t>
      </w:r>
      <w:r w:rsidR="004F14A1" w:rsidRPr="00F85178">
        <w:rPr>
          <w:rStyle w:val="OdstavecASRChar"/>
          <w:rFonts w:ascii="Garamond" w:hAnsi="Garamond"/>
        </w:rPr>
        <w:t xml:space="preserve">příslušných heslech tohoto seznamu. Přilehlé hodnoty se rovnají 1,5násobku hodnoty příslušného kvartilu. Odlehlé hodnoty (tzv. </w:t>
      </w:r>
      <w:r w:rsidR="004F14A1" w:rsidRPr="00F85178">
        <w:rPr>
          <w:rStyle w:val="OdstavecASRChar"/>
          <w:rFonts w:ascii="Garamond" w:hAnsi="Garamond"/>
          <w:i/>
        </w:rPr>
        <w:t>outliers</w:t>
      </w:r>
      <w:r w:rsidR="004F14A1" w:rsidRPr="00F85178">
        <w:rPr>
          <w:rStyle w:val="OdstavecASRChar"/>
          <w:rFonts w:ascii="Garamond" w:hAnsi="Garamond"/>
        </w:rPr>
        <w:t>) jsou pak hodnoty větší, než je přilehlá hodnota.</w:t>
      </w:r>
    </w:p>
    <w:p w14:paraId="77B8D825" w14:textId="77777777" w:rsidR="004F14A1" w:rsidRPr="00F85178" w:rsidRDefault="004F14A1" w:rsidP="004F14A1">
      <w:pPr>
        <w:pStyle w:val="Odstavecseseznamem"/>
      </w:pPr>
      <w:r w:rsidRPr="00F85178">
        <w:t>Příklad grafu zobrazuje data, která jsou téměř dokonale symetrická, jedinou výjimku tvoří odlehlé hodnoty. Vousy</w:t>
      </w:r>
      <w:r w:rsidR="009B748A" w:rsidRPr="00F85178">
        <w:t xml:space="preserve"> i </w:t>
      </w:r>
      <w:r w:rsidRPr="00F85178">
        <w:t>části boxu (krabice) jsou totožné nad</w:t>
      </w:r>
      <w:r w:rsidR="009B748A" w:rsidRPr="00F85178">
        <w:t xml:space="preserve"> i </w:t>
      </w:r>
      <w:r w:rsidRPr="00F85178">
        <w:t>pod mediánem. Reálná data ale takto symetrická většinou nejsou. Části nad</w:t>
      </w:r>
      <w:r w:rsidR="009B748A" w:rsidRPr="00F85178">
        <w:t xml:space="preserve"> i </w:t>
      </w:r>
      <w:r w:rsidRPr="00F85178">
        <w:t>pod mediánem jsou různě velké</w:t>
      </w:r>
      <w:r w:rsidR="009B748A" w:rsidRPr="00F85178">
        <w:t xml:space="preserve"> a </w:t>
      </w:r>
      <w:r w:rsidRPr="00F85178">
        <w:t>samozřejmě se mění během času.</w:t>
      </w:r>
    </w:p>
    <w:p w14:paraId="0948FEC7" w14:textId="77777777" w:rsidR="004F14A1" w:rsidRPr="00F85178" w:rsidRDefault="004F14A1" w:rsidP="004F14A1">
      <w:pPr>
        <w:pStyle w:val="Odstavecseseznamem"/>
      </w:pPr>
      <w:r w:rsidRPr="00F85178">
        <w:t>Větší box, delší vousy nebo více odlehlých hodnot značí větší variabilitu</w:t>
      </w:r>
      <w:r w:rsidR="0093094A" w:rsidRPr="00F85178">
        <w:t xml:space="preserve"> v </w:t>
      </w:r>
      <w:r w:rsidRPr="00F85178">
        <w:t>datech,</w:t>
      </w:r>
      <w:r w:rsidR="009B748A" w:rsidRPr="00F85178">
        <w:t xml:space="preserve"> a </w:t>
      </w:r>
      <w:r w:rsidRPr="00F85178">
        <w:t>tedy</w:t>
      </w:r>
      <w:r w:rsidR="009B748A" w:rsidRPr="00F85178">
        <w:t xml:space="preserve"> i </w:t>
      </w:r>
      <w:r w:rsidRPr="00F85178">
        <w:t>větší rozdíly mezi soudy. Vždy je však potřeba věnovat pozornost měřítku osy </w:t>
      </w:r>
      <w:r w:rsidRPr="00F85178">
        <w:rPr>
          <w:i/>
        </w:rPr>
        <w:t>y</w:t>
      </w:r>
      <w:r w:rsidRPr="00F85178">
        <w:t>.</w:t>
      </w:r>
    </w:p>
    <w:p w14:paraId="5062CB2B" w14:textId="77777777" w:rsidR="004F14A1" w:rsidRPr="00F85178" w:rsidRDefault="004F14A1" w:rsidP="004F14A1">
      <w:pPr>
        <w:pStyle w:val="Odstavecseseznamem"/>
      </w:pPr>
      <w:r w:rsidRPr="00F85178">
        <w:t>Výhodou krabicového grafu je, že poskytuje lepší</w:t>
      </w:r>
      <w:r w:rsidR="009B748A" w:rsidRPr="00F85178">
        <w:t xml:space="preserve"> a </w:t>
      </w:r>
      <w:r w:rsidRPr="00F85178">
        <w:t>komplexnější přehled</w:t>
      </w:r>
      <w:r w:rsidR="009B748A" w:rsidRPr="00F85178">
        <w:t xml:space="preserve"> o </w:t>
      </w:r>
      <w:r w:rsidRPr="00F85178">
        <w:t>rozdělení</w:t>
      </w:r>
      <w:r w:rsidR="009B748A" w:rsidRPr="00F85178">
        <w:t xml:space="preserve"> a </w:t>
      </w:r>
      <w:r w:rsidRPr="00F85178">
        <w:t>míře variability</w:t>
      </w:r>
      <w:r w:rsidR="0093094A" w:rsidRPr="00F85178">
        <w:t xml:space="preserve"> v </w:t>
      </w:r>
      <w:r w:rsidRPr="00F85178">
        <w:t>datech než pouze jeden sledovaný ukazatel, jako je například směrodatná odchylka. Přitom je ale stále vhodný pro sledování změn</w:t>
      </w:r>
      <w:r w:rsidR="0093094A" w:rsidRPr="00F85178">
        <w:t xml:space="preserve"> v </w:t>
      </w:r>
      <w:r w:rsidRPr="00F85178">
        <w:t>čase.</w:t>
      </w:r>
    </w:p>
    <w:p w14:paraId="79191745" w14:textId="5EDE74FA" w:rsidR="00EE0C8A" w:rsidRPr="00F85178" w:rsidRDefault="00EE0C8A" w:rsidP="00EE0C8A">
      <w:pPr>
        <w:pStyle w:val="Odstavecseseznamem"/>
        <w:numPr>
          <w:ilvl w:val="0"/>
          <w:numId w:val="4"/>
        </w:numPr>
      </w:pPr>
      <w:r w:rsidRPr="00F85178">
        <w:rPr>
          <w:b/>
        </w:rPr>
        <w:t xml:space="preserve">Kumulativní četnost </w:t>
      </w:r>
      <w:r w:rsidRPr="00F85178">
        <w:t>–</w:t>
      </w:r>
      <w:r w:rsidR="001E1489" w:rsidRPr="00F85178">
        <w:t xml:space="preserve"> abso</w:t>
      </w:r>
      <w:r w:rsidR="00CC1B3E" w:rsidRPr="00F85178">
        <w:t>lutní četnost vyjadřuje, kolikrát se daná hodnota v souboru vyskytuje. Kumulativní četnost je pak součet absolutních četno</w:t>
      </w:r>
      <w:r w:rsidR="008E360E" w:rsidRPr="00F85178">
        <w:t>s</w:t>
      </w:r>
      <w:r w:rsidR="00CC1B3E" w:rsidRPr="00F85178">
        <w:t>tí u hodnot rovných nebo nižších než daná hodnota. Máme-li například soubor, kde jsou hodnoty {1,1,2,2,3,3,3,4}. Absolutní četnost hodnoty 2 je dva a kumulativní čestnost je čtyři (2+2). Kumulativní četnost lze také vyjádřit relativně, a v tomto případě je relativní čestnost 0,5 (50 %)</w:t>
      </w:r>
    </w:p>
    <w:p w14:paraId="529EAC6C" w14:textId="77777777" w:rsidR="004F14A1" w:rsidRPr="00F85178" w:rsidRDefault="004F14A1" w:rsidP="00590CE0">
      <w:pPr>
        <w:pStyle w:val="Odstavecseseznamem"/>
        <w:numPr>
          <w:ilvl w:val="0"/>
          <w:numId w:val="4"/>
        </w:numPr>
      </w:pPr>
      <w:r w:rsidRPr="00F85178">
        <w:rPr>
          <w:b/>
        </w:rPr>
        <w:t xml:space="preserve">Kvartil </w:t>
      </w:r>
      <w:r w:rsidRPr="00F85178">
        <w:t>– tři kvartily rozdělí vzestupně setříděný soubor hodnot na čtyři stejně velké části,</w:t>
      </w:r>
      <w:r w:rsidR="0093094A" w:rsidRPr="00F85178">
        <w:t xml:space="preserve"> z </w:t>
      </w:r>
      <w:r w:rsidRPr="00F85178">
        <w:t>nichž každá představuje právě jednu čtvrtinu. První kvartil (tzv. dolní) se rovná 25. percentilu, tedy 25</w:t>
      </w:r>
      <w:r w:rsidR="002A1DAA" w:rsidRPr="00F85178">
        <w:t> %</w:t>
      </w:r>
      <w:r w:rsidRPr="00F85178">
        <w:t xml:space="preserve"> hodnot je menší</w:t>
      </w:r>
      <w:r w:rsidR="009B748A" w:rsidRPr="00F85178">
        <w:t xml:space="preserve"> a </w:t>
      </w:r>
      <w:r w:rsidRPr="00F85178">
        <w:t>75</w:t>
      </w:r>
      <w:r w:rsidR="002A1DAA" w:rsidRPr="00F85178">
        <w:t> %</w:t>
      </w:r>
      <w:r w:rsidRPr="00F85178">
        <w:t xml:space="preserve"> je větší, druhý kvartil (střední) je mediánem</w:t>
      </w:r>
      <w:r w:rsidR="009B748A" w:rsidRPr="00F85178">
        <w:t xml:space="preserve"> a </w:t>
      </w:r>
      <w:r w:rsidRPr="00F85178">
        <w:t>třetí kvartil (horní) je roven 75. percentilu.</w:t>
      </w:r>
    </w:p>
    <w:p w14:paraId="2C499CE7" w14:textId="77777777" w:rsidR="004F14A1" w:rsidRPr="00F85178" w:rsidRDefault="004F14A1" w:rsidP="00590CE0">
      <w:pPr>
        <w:pStyle w:val="Odstavecseseznamem"/>
        <w:numPr>
          <w:ilvl w:val="0"/>
          <w:numId w:val="4"/>
        </w:numPr>
      </w:pPr>
      <w:r w:rsidRPr="00F85178">
        <w:rPr>
          <w:b/>
        </w:rPr>
        <w:t xml:space="preserve">Medián </w:t>
      </w:r>
      <w:r w:rsidRPr="00F85178">
        <w:t>– hodnota, která se nachází přesně uprostřed vzestupně setříděného souboru hodnot</w:t>
      </w:r>
      <w:r w:rsidR="009B748A" w:rsidRPr="00F85178">
        <w:t xml:space="preserve"> a </w:t>
      </w:r>
      <w:r w:rsidRPr="00F85178">
        <w:t>dělí ho na dvě stejně velké části</w:t>
      </w:r>
      <w:r w:rsidR="009B748A" w:rsidRPr="00F85178">
        <w:t xml:space="preserve"> o </w:t>
      </w:r>
      <w:r w:rsidRPr="00F85178">
        <w:t>stejném počtu hodnot. Platí, že nejméně 50</w:t>
      </w:r>
      <w:r w:rsidR="002A1DAA" w:rsidRPr="00F85178">
        <w:t> %</w:t>
      </w:r>
      <w:r w:rsidRPr="00F85178">
        <w:t xml:space="preserve"> hodnot je menších nebo rovno</w:t>
      </w:r>
      <w:r w:rsidR="009B748A" w:rsidRPr="00F85178">
        <w:t xml:space="preserve"> a </w:t>
      </w:r>
      <w:r w:rsidRPr="00F85178">
        <w:t>nejméně 50</w:t>
      </w:r>
      <w:r w:rsidR="002A1DAA" w:rsidRPr="00F85178">
        <w:t> %</w:t>
      </w:r>
      <w:r w:rsidRPr="00F85178">
        <w:t xml:space="preserve"> hodnot je větších nebo rovno mediánu. Medián se rovná druhému kvartilu, pátému decilu</w:t>
      </w:r>
      <w:r w:rsidR="009B748A" w:rsidRPr="00F85178">
        <w:t xml:space="preserve"> a </w:t>
      </w:r>
      <w:r w:rsidRPr="00F85178">
        <w:t>padesátému percentilu. Má-li soud mediánovou délku řízení např. 200 dnů, řízení pro první polovinu případů (tedy věcí) trvá maximálně 200 dnů včetně, pro druhou polovinu 200 dnů nebo více.</w:t>
      </w:r>
    </w:p>
    <w:p w14:paraId="1F151273" w14:textId="77777777" w:rsidR="004F14A1" w:rsidRPr="00F85178" w:rsidRDefault="004F14A1" w:rsidP="00590CE0">
      <w:pPr>
        <w:pStyle w:val="Odstavecseseznamem"/>
        <w:numPr>
          <w:ilvl w:val="0"/>
          <w:numId w:val="4"/>
        </w:numPr>
      </w:pPr>
      <w:r w:rsidRPr="00F85178">
        <w:rPr>
          <w:b/>
        </w:rPr>
        <w:t xml:space="preserve">Měřítko náročnosti agendy </w:t>
      </w:r>
      <w:r w:rsidRPr="00F85178">
        <w:t>– měřítka byla pro každou soudní agendu (rejstřík) stanovena komisí složenou ze soudců</w:t>
      </w:r>
      <w:r w:rsidR="009B748A" w:rsidRPr="00F85178">
        <w:t xml:space="preserve"> a </w:t>
      </w:r>
      <w:r w:rsidRPr="00F85178">
        <w:t>expertů. Teoreticky určuje náročnost průměrné věci</w:t>
      </w:r>
      <w:r w:rsidR="0093094A" w:rsidRPr="00F85178">
        <w:t xml:space="preserve"> v </w:t>
      </w:r>
      <w:r w:rsidRPr="00F85178">
        <w:t>dané agendě (rejstříku). Měřítka vyjadřují počet věcí, které by měl jeden soudce nebo zaměstnanec ve výkonu vyřídit (zpracovat) za rok. Vyšší číslo tedy znamená nižší náročnost. Měřítka jsou využita při tzv. systemizaci (viz toto heslo).</w:t>
      </w:r>
    </w:p>
    <w:p w14:paraId="06719907" w14:textId="77777777" w:rsidR="00125C43" w:rsidRPr="00F85178" w:rsidRDefault="00125C43" w:rsidP="00125C43">
      <w:pPr>
        <w:pStyle w:val="Odstavecseseznamem"/>
        <w:numPr>
          <w:ilvl w:val="0"/>
          <w:numId w:val="4"/>
        </w:numPr>
      </w:pPr>
      <w:r w:rsidRPr="00F85178">
        <w:rPr>
          <w:b/>
        </w:rPr>
        <w:t xml:space="preserve">Míra celkové změny rozsudku </w:t>
      </w:r>
      <w:r w:rsidRPr="00F85178">
        <w:t>–</w:t>
      </w:r>
      <w:r w:rsidR="00632F03" w:rsidRPr="00F85178">
        <w:t xml:space="preserve"> vypočtena jako míra odvolání</w:t>
      </w:r>
      <w:r w:rsidR="002E799C" w:rsidRPr="00F85178">
        <w:t xml:space="preserve"> krát míra změny rozsudku. Jde o podíl věcí,</w:t>
      </w:r>
      <w:r w:rsidR="0093094A" w:rsidRPr="00F85178">
        <w:t xml:space="preserve"> v </w:t>
      </w:r>
      <w:r w:rsidR="002E799C" w:rsidRPr="00F85178">
        <w:t>nichž nakonec bylo odvolacím soudem změněno rozhodnutí soudu I. stupně ke všem prvostupňových rozhodnutí</w:t>
      </w:r>
      <w:r w:rsidR="00BC2FD8" w:rsidRPr="00F85178">
        <w:t>m</w:t>
      </w:r>
      <w:r w:rsidR="002E799C" w:rsidRPr="00F85178">
        <w:t>.</w:t>
      </w:r>
    </w:p>
    <w:p w14:paraId="4F084D73" w14:textId="77777777" w:rsidR="004F14A1" w:rsidRPr="00F85178" w:rsidRDefault="004F14A1" w:rsidP="00590CE0">
      <w:pPr>
        <w:pStyle w:val="Odstavecseseznamem"/>
        <w:numPr>
          <w:ilvl w:val="0"/>
          <w:numId w:val="4"/>
        </w:numPr>
        <w:ind w:left="714" w:hanging="357"/>
      </w:pPr>
      <w:r w:rsidRPr="00F85178">
        <w:rPr>
          <w:b/>
        </w:rPr>
        <w:t xml:space="preserve">Míra odvolání </w:t>
      </w:r>
      <w:r w:rsidRPr="00F85178">
        <w:t>– je vypočtena ze statistických listů</w:t>
      </w:r>
      <w:r w:rsidR="009B748A" w:rsidRPr="00F85178">
        <w:t xml:space="preserve"> a </w:t>
      </w:r>
      <w:r w:rsidRPr="00F85178">
        <w:t>jedná se</w:t>
      </w:r>
      <w:r w:rsidR="009B748A" w:rsidRPr="00F85178">
        <w:t xml:space="preserve"> o </w:t>
      </w:r>
      <w:r w:rsidRPr="00F85178">
        <w:t>poměr pravomocně vyřízených věcí,</w:t>
      </w:r>
      <w:r w:rsidR="0093094A" w:rsidRPr="00F85178">
        <w:t xml:space="preserve"> v </w:t>
      </w:r>
      <w:r w:rsidRPr="00F85178">
        <w:t>nichž bylo podáno odvolání,</w:t>
      </w:r>
      <w:r w:rsidR="0093094A" w:rsidRPr="00F85178">
        <w:t xml:space="preserve"> k </w:t>
      </w:r>
      <w:r w:rsidRPr="00F85178">
        <w:t>celkovému počtu pravomocně skončených (vyřízených) věcí × 100</w:t>
      </w:r>
      <w:r w:rsidR="002A1DAA" w:rsidRPr="00F85178">
        <w:t> %</w:t>
      </w:r>
      <w:r w:rsidRPr="00F85178">
        <w:t xml:space="preserve">. </w:t>
      </w:r>
      <w:r w:rsidRPr="00F85178">
        <w:rPr>
          <w:bCs/>
          <w:i/>
        </w:rPr>
        <w:t>Ceteris paribus</w:t>
      </w:r>
      <w:r w:rsidRPr="00F85178">
        <w:rPr>
          <w:i/>
        </w:rPr>
        <w:t xml:space="preserve"> </w:t>
      </w:r>
      <w:r w:rsidRPr="00F85178">
        <w:t>(za jinak neměnných podmínek) ji</w:t>
      </w:r>
      <w:r w:rsidRPr="00F85178">
        <w:rPr>
          <w:i/>
        </w:rPr>
        <w:t xml:space="preserve"> </w:t>
      </w:r>
      <w:r w:rsidRPr="00F85178">
        <w:t>lze považovat za aproximaci složitosti věcí (čím složitější věc, tím pravděpodobnější odvolání), je však třeba mít na paměti, že je ovlivněna</w:t>
      </w:r>
      <w:r w:rsidR="009B748A" w:rsidRPr="00F85178">
        <w:t xml:space="preserve"> i </w:t>
      </w:r>
      <w:r w:rsidRPr="00F85178">
        <w:t>mnoha dalšími faktory.</w:t>
      </w:r>
      <w:r w:rsidR="00632F03" w:rsidRPr="00F85178">
        <w:t xml:space="preserve"> Způsob výpočtu míry odvolání </w:t>
      </w:r>
      <w:r w:rsidR="00FA01EE" w:rsidRPr="00F85178">
        <w:t xml:space="preserve">jsme </w:t>
      </w:r>
      <w:r w:rsidR="00632F03" w:rsidRPr="00F85178">
        <w:t xml:space="preserve">oproti </w:t>
      </w:r>
      <w:r w:rsidR="00BC2FD8" w:rsidRPr="00F85178">
        <w:t>verzi</w:t>
      </w:r>
      <w:r w:rsidR="0093094A" w:rsidRPr="00F85178">
        <w:t xml:space="preserve"> z </w:t>
      </w:r>
      <w:r w:rsidR="00BC2FD8" w:rsidRPr="00F85178">
        <w:t xml:space="preserve">roku 2016 </w:t>
      </w:r>
      <w:r w:rsidR="00FA01EE" w:rsidRPr="00F85178">
        <w:t>upravili</w:t>
      </w:r>
      <w:r w:rsidR="00632F03" w:rsidRPr="00F85178">
        <w:t>. Nyní jsou zahrnuty</w:t>
      </w:r>
      <w:r w:rsidR="009B748A" w:rsidRPr="00F85178">
        <w:t xml:space="preserve"> i </w:t>
      </w:r>
      <w:r w:rsidR="00632F03" w:rsidRPr="00F85178">
        <w:t>věci,</w:t>
      </w:r>
      <w:r w:rsidR="0093094A" w:rsidRPr="00F85178">
        <w:t xml:space="preserve"> v </w:t>
      </w:r>
      <w:r w:rsidR="00632F03" w:rsidRPr="00F85178">
        <w:t>nichž odvolací soud zrušil rozhodnutí soudu I. stupně</w:t>
      </w:r>
      <w:r w:rsidR="009B748A" w:rsidRPr="00F85178">
        <w:t xml:space="preserve"> a </w:t>
      </w:r>
      <w:r w:rsidR="00632F03" w:rsidRPr="00F85178">
        <w:t>věc mu vrátil. Následně již odvolání podáno nebylo.</w:t>
      </w:r>
      <w:r w:rsidR="00A32553" w:rsidRPr="00F85178">
        <w:t xml:space="preserve"> Dále jsme data </w:t>
      </w:r>
      <w:r w:rsidR="00CE457C" w:rsidRPr="00F85178">
        <w:t xml:space="preserve">u prvostupňové civilní agendy </w:t>
      </w:r>
      <w:r w:rsidR="00A32553" w:rsidRPr="00F85178">
        <w:t>očistili o</w:t>
      </w:r>
      <w:r w:rsidR="00AA7698" w:rsidRPr="00F85178">
        <w:t> </w:t>
      </w:r>
      <w:r w:rsidR="00A32553" w:rsidRPr="00F85178">
        <w:t xml:space="preserve">spory, kde byla výše </w:t>
      </w:r>
      <w:r w:rsidR="00E52D9B" w:rsidRPr="00F85178">
        <w:t>přiznaného</w:t>
      </w:r>
      <w:r w:rsidR="00A32553" w:rsidRPr="00F85178">
        <w:t xml:space="preserve"> nároku menší než 10 000. V těchto sporech (až na </w:t>
      </w:r>
      <w:r w:rsidR="00E52D9B" w:rsidRPr="00F85178">
        <w:t>výjimky</w:t>
      </w:r>
      <w:r w:rsidR="00A32553" w:rsidRPr="00F85178">
        <w:t>) nelze podat odvolání,</w:t>
      </w:r>
      <w:r w:rsidR="009B748A" w:rsidRPr="00F85178">
        <w:t xml:space="preserve"> a </w:t>
      </w:r>
      <w:r w:rsidR="00A32553" w:rsidRPr="00F85178">
        <w:t xml:space="preserve">jejich zahrnutí by tak snižovala vypočtené hodnoty míry odvolání. Po této </w:t>
      </w:r>
      <w:r w:rsidR="00E52D9B" w:rsidRPr="00F85178">
        <w:t>úpravě</w:t>
      </w:r>
      <w:r w:rsidR="00A32553" w:rsidRPr="00F85178">
        <w:t xml:space="preserve"> tak došlo</w:t>
      </w:r>
      <w:r w:rsidR="0093094A" w:rsidRPr="00F85178">
        <w:t xml:space="preserve"> k </w:t>
      </w:r>
      <w:r w:rsidR="00A32553" w:rsidRPr="00F85178">
        <w:t>poměrně značnému zvýšení míry odvolání.</w:t>
      </w:r>
      <w:r w:rsidR="00BC2FD8" w:rsidRPr="00F85178">
        <w:t xml:space="preserve"> </w:t>
      </w:r>
      <w:r w:rsidR="00D6421E" w:rsidRPr="00F85178">
        <w:t xml:space="preserve">Změnu </w:t>
      </w:r>
      <w:r w:rsidR="00BC2FD8" w:rsidRPr="00F85178">
        <w:t xml:space="preserve">metodiky </w:t>
      </w:r>
      <w:r w:rsidR="00D6421E" w:rsidRPr="00F85178">
        <w:t>jsme aplikovali</w:t>
      </w:r>
      <w:r w:rsidR="009B748A" w:rsidRPr="00F85178">
        <w:t xml:space="preserve"> i </w:t>
      </w:r>
      <w:r w:rsidR="00BC2FD8" w:rsidRPr="00F85178">
        <w:t>na data</w:t>
      </w:r>
      <w:r w:rsidR="0093094A" w:rsidRPr="00F85178">
        <w:t xml:space="preserve"> z </w:t>
      </w:r>
      <w:r w:rsidR="00BC2FD8" w:rsidRPr="00F85178">
        <w:t>předchozích let.</w:t>
      </w:r>
    </w:p>
    <w:p w14:paraId="0C901F8E" w14:textId="77777777" w:rsidR="00125C43" w:rsidRPr="00F85178" w:rsidRDefault="00125C43" w:rsidP="00125C43">
      <w:pPr>
        <w:pStyle w:val="Odstavecseseznamem"/>
        <w:numPr>
          <w:ilvl w:val="0"/>
          <w:numId w:val="4"/>
        </w:numPr>
      </w:pPr>
      <w:r w:rsidRPr="00F85178">
        <w:rPr>
          <w:b/>
        </w:rPr>
        <w:t xml:space="preserve">Míra vyřizování </w:t>
      </w:r>
      <w:r w:rsidRPr="00F85178">
        <w:t>– je vypočtena jako (počet vyřízených věcí</w:t>
      </w:r>
      <w:r w:rsidR="0093094A" w:rsidRPr="00F85178">
        <w:t xml:space="preserve"> v </w:t>
      </w:r>
      <w:r w:rsidRPr="00F85178">
        <w:t>daném období)</w:t>
      </w:r>
      <w:r w:rsidR="008B1399" w:rsidRPr="00F85178">
        <w:t xml:space="preserve"> </w:t>
      </w:r>
      <w:r w:rsidRPr="00F85178">
        <w:t>/ (počet příchozích věcí</w:t>
      </w:r>
      <w:r w:rsidR="0093094A" w:rsidRPr="00F85178">
        <w:t xml:space="preserve"> v </w:t>
      </w:r>
      <w:r w:rsidRPr="00F85178">
        <w:t>daném období) × 100</w:t>
      </w:r>
      <w:r w:rsidR="002A1DAA" w:rsidRPr="00F85178">
        <w:t> %</w:t>
      </w:r>
      <w:r w:rsidRPr="00F85178">
        <w:t>. Udává tedy, zda soud vyřídil více věcí, než mu nově přišlo</w:t>
      </w:r>
      <w:r w:rsidR="00BC2FD8" w:rsidRPr="00F85178">
        <w:t xml:space="preserve"> (nápad</w:t>
      </w:r>
      <w:r w:rsidR="009B748A" w:rsidRPr="00F85178">
        <w:t xml:space="preserve"> a </w:t>
      </w:r>
      <w:r w:rsidR="00BC2FD8" w:rsidRPr="00F85178">
        <w:t>obživa)</w:t>
      </w:r>
      <w:r w:rsidRPr="00F85178">
        <w:t>. Je-li větší než 100</w:t>
      </w:r>
      <w:r w:rsidR="002A1DAA" w:rsidRPr="00F85178">
        <w:t> %</w:t>
      </w:r>
      <w:r w:rsidRPr="00F85178">
        <w:t>, soud vyřídil více věcí, než mu přišlo,</w:t>
      </w:r>
      <w:r w:rsidR="009B748A" w:rsidRPr="00F85178">
        <w:t xml:space="preserve"> a </w:t>
      </w:r>
      <w:r w:rsidRPr="00F85178">
        <w:t>snížil se tedy počet nevyřízených věcí. Je-li menší než 100</w:t>
      </w:r>
      <w:r w:rsidR="002A1DAA" w:rsidRPr="00F85178">
        <w:t> %</w:t>
      </w:r>
      <w:r w:rsidRPr="00F85178">
        <w:t>, soud vyřídil měně věcí, než mu přišlo,</w:t>
      </w:r>
      <w:r w:rsidR="009B748A" w:rsidRPr="00F85178">
        <w:t xml:space="preserve"> a </w:t>
      </w:r>
      <w:r w:rsidRPr="00F85178">
        <w:t>zvýšil se tedy počet nevyřízených věcí.</w:t>
      </w:r>
    </w:p>
    <w:p w14:paraId="101737D9" w14:textId="77777777" w:rsidR="004F14A1" w:rsidRPr="00F85178" w:rsidRDefault="004F14A1" w:rsidP="00590CE0">
      <w:pPr>
        <w:pStyle w:val="Odstavecseseznamem"/>
        <w:numPr>
          <w:ilvl w:val="0"/>
          <w:numId w:val="4"/>
        </w:numPr>
      </w:pPr>
      <w:r w:rsidRPr="00F85178">
        <w:rPr>
          <w:b/>
        </w:rPr>
        <w:t xml:space="preserve">Míra změny rozsudku </w:t>
      </w:r>
      <w:r w:rsidRPr="00F85178">
        <w:t>– je vypočtena ze statistických listů</w:t>
      </w:r>
      <w:r w:rsidR="009B748A" w:rsidRPr="00F85178">
        <w:t xml:space="preserve"> a </w:t>
      </w:r>
      <w:r w:rsidRPr="00F85178">
        <w:t>jedná se</w:t>
      </w:r>
      <w:r w:rsidR="009B748A" w:rsidRPr="00F85178">
        <w:t xml:space="preserve"> o </w:t>
      </w:r>
      <w:r w:rsidRPr="00F85178">
        <w:t>poměr pravomocně skončených věcí,</w:t>
      </w:r>
      <w:r w:rsidR="0093094A" w:rsidRPr="00F85178">
        <w:t xml:space="preserve"> v </w:t>
      </w:r>
      <w:r w:rsidRPr="00F85178">
        <w:t>nichž bylo vyhověno odvolání (tedy rozsudek soudu I. stupně byl změněn odvolacím soudem na podkladě odvolání)</w:t>
      </w:r>
      <w:r w:rsidR="0093094A" w:rsidRPr="00F85178">
        <w:t xml:space="preserve"> k </w:t>
      </w:r>
      <w:r w:rsidRPr="00F85178">
        <w:t>celkovému počtu pravomocně skončených věcí,</w:t>
      </w:r>
      <w:r w:rsidR="0093094A" w:rsidRPr="00F85178">
        <w:t xml:space="preserve"> v </w:t>
      </w:r>
      <w:r w:rsidRPr="00F85178">
        <w:t>nichž bylo podáno odvolání × 100</w:t>
      </w:r>
      <w:r w:rsidR="002A1DAA" w:rsidRPr="00F85178">
        <w:t> %</w:t>
      </w:r>
      <w:r w:rsidRPr="00F85178">
        <w:t>. Do změny rozsudku jsou započítány</w:t>
      </w:r>
      <w:r w:rsidR="009B748A" w:rsidRPr="00F85178">
        <w:t xml:space="preserve"> i </w:t>
      </w:r>
      <w:r w:rsidRPr="00F85178">
        <w:t xml:space="preserve">případy, kdy bylo rozhodnutí soudu I. stupně u odvolacího soudu zrušeno nebo vráceno soudu I. stupně. </w:t>
      </w:r>
      <w:r w:rsidRPr="00F85178">
        <w:rPr>
          <w:bCs/>
          <w:i/>
        </w:rPr>
        <w:t>Ceteris paribus</w:t>
      </w:r>
      <w:r w:rsidRPr="00F85178">
        <w:rPr>
          <w:i/>
        </w:rPr>
        <w:t xml:space="preserve"> </w:t>
      </w:r>
      <w:r w:rsidRPr="00F85178">
        <w:t>(za jinak neměnných podmínek) ji</w:t>
      </w:r>
      <w:r w:rsidRPr="00F85178">
        <w:rPr>
          <w:i/>
        </w:rPr>
        <w:t xml:space="preserve"> </w:t>
      </w:r>
      <w:r w:rsidRPr="00F85178">
        <w:t>lze považovat za aproximaci kvality rozhodování, je však třeba mít na paměti, že je ovlivněna</w:t>
      </w:r>
      <w:r w:rsidR="009B748A" w:rsidRPr="00F85178">
        <w:t xml:space="preserve"> i </w:t>
      </w:r>
      <w:r w:rsidRPr="00F85178">
        <w:t>mnoha dalšími faktory.</w:t>
      </w:r>
    </w:p>
    <w:p w14:paraId="65C62837" w14:textId="77777777" w:rsidR="004F14A1" w:rsidRPr="00F85178" w:rsidRDefault="004F14A1" w:rsidP="00590CE0">
      <w:pPr>
        <w:pStyle w:val="Odstavecseseznamem"/>
        <w:numPr>
          <w:ilvl w:val="0"/>
          <w:numId w:val="4"/>
        </w:numPr>
        <w:ind w:left="714" w:hanging="357"/>
      </w:pPr>
      <w:r w:rsidRPr="00F85178">
        <w:rPr>
          <w:b/>
        </w:rPr>
        <w:t>Nápad</w:t>
      </w:r>
      <w:r w:rsidRPr="00F85178">
        <w:t xml:space="preserve"> – nebo také napadlé věci. Počet nově zapsaných věcí do rejstříku za určité období. V této zprávě se jedná vždy</w:t>
      </w:r>
      <w:r w:rsidR="009B748A" w:rsidRPr="00F85178">
        <w:t xml:space="preserve"> o </w:t>
      </w:r>
      <w:r w:rsidRPr="00F85178">
        <w:t xml:space="preserve">roční data, která </w:t>
      </w:r>
      <w:r w:rsidR="00D6421E" w:rsidRPr="00F85178">
        <w:t>získáváme</w:t>
      </w:r>
      <w:r w:rsidR="0093094A" w:rsidRPr="00F85178">
        <w:t xml:space="preserve"> z </w:t>
      </w:r>
      <w:r w:rsidRPr="00F85178">
        <w:t>výkazů</w:t>
      </w:r>
      <w:r w:rsidR="009B748A" w:rsidRPr="00F85178">
        <w:t xml:space="preserve"> o </w:t>
      </w:r>
      <w:r w:rsidRPr="00F85178">
        <w:t>činnosti soudů.</w:t>
      </w:r>
    </w:p>
    <w:p w14:paraId="7E01C282" w14:textId="77777777" w:rsidR="004F14A1" w:rsidRPr="00F85178" w:rsidRDefault="004F14A1" w:rsidP="00590CE0">
      <w:pPr>
        <w:pStyle w:val="Odstavecseseznamem"/>
        <w:numPr>
          <w:ilvl w:val="0"/>
          <w:numId w:val="4"/>
        </w:numPr>
        <w:ind w:left="714" w:hanging="357"/>
      </w:pPr>
      <w:r w:rsidRPr="00F85178">
        <w:rPr>
          <w:b/>
        </w:rPr>
        <w:t xml:space="preserve">Nevyřízené věci </w:t>
      </w:r>
      <w:r w:rsidRPr="00F85178">
        <w:t>– počet věcí, které nebyly vyřízeny (skončeny)</w:t>
      </w:r>
      <w:r w:rsidR="0093094A" w:rsidRPr="00F85178">
        <w:t xml:space="preserve"> k </w:t>
      </w:r>
      <w:r w:rsidRPr="00F85178">
        <w:t>poslednímu dni vykazovaného období. Na rozdíl od ukazatelů jako je nápad, obživa nebo vyřízené věci, které se vztahují</w:t>
      </w:r>
      <w:r w:rsidR="0093094A" w:rsidRPr="00F85178">
        <w:t xml:space="preserve"> k </w:t>
      </w:r>
      <w:r w:rsidRPr="00F85178">
        <w:t>celému sledovanému období, se</w:t>
      </w:r>
      <w:r w:rsidR="0093094A" w:rsidRPr="00F85178">
        <w:t xml:space="preserve"> v </w:t>
      </w:r>
      <w:r w:rsidRPr="00F85178">
        <w:t>tomto případě jedná</w:t>
      </w:r>
      <w:r w:rsidR="009B748A" w:rsidRPr="00F85178">
        <w:t xml:space="preserve"> o </w:t>
      </w:r>
      <w:r w:rsidRPr="00F85178">
        <w:t>stav</w:t>
      </w:r>
      <w:r w:rsidR="0093094A" w:rsidRPr="00F85178">
        <w:t xml:space="preserve"> k </w:t>
      </w:r>
      <w:r w:rsidRPr="00F85178">
        <w:t>určitému datu,</w:t>
      </w:r>
      <w:r w:rsidR="0093094A" w:rsidRPr="00F85178">
        <w:t xml:space="preserve"> v </w:t>
      </w:r>
      <w:r w:rsidRPr="00F85178">
        <w:t>této zprávě vždy</w:t>
      </w:r>
      <w:r w:rsidR="0093094A" w:rsidRPr="00F85178">
        <w:t xml:space="preserve"> k </w:t>
      </w:r>
      <w:r w:rsidRPr="00F85178">
        <w:t>31. 12. daného roku. Data pocházejí</w:t>
      </w:r>
      <w:r w:rsidR="0093094A" w:rsidRPr="00F85178">
        <w:t xml:space="preserve"> z </w:t>
      </w:r>
      <w:r w:rsidRPr="00F85178">
        <w:t>výkazů</w:t>
      </w:r>
      <w:r w:rsidR="009B748A" w:rsidRPr="00F85178">
        <w:t xml:space="preserve"> o </w:t>
      </w:r>
      <w:r w:rsidRPr="00F85178">
        <w:t>činnosti soudů.</w:t>
      </w:r>
    </w:p>
    <w:p w14:paraId="248FF116" w14:textId="77777777" w:rsidR="004F14A1" w:rsidRPr="00F85178" w:rsidRDefault="004F14A1" w:rsidP="00590CE0">
      <w:pPr>
        <w:pStyle w:val="Odstavecseseznamem"/>
        <w:numPr>
          <w:ilvl w:val="0"/>
          <w:numId w:val="4"/>
        </w:numPr>
        <w:ind w:left="714" w:hanging="357"/>
      </w:pPr>
      <w:r w:rsidRPr="00F85178">
        <w:rPr>
          <w:b/>
        </w:rPr>
        <w:t xml:space="preserve">Obživa </w:t>
      </w:r>
      <w:r w:rsidRPr="00F85178">
        <w:t>– nebo také obživlé věci. Jedná se</w:t>
      </w:r>
      <w:r w:rsidR="009B748A" w:rsidRPr="00F85178">
        <w:t xml:space="preserve"> o </w:t>
      </w:r>
      <w:r w:rsidRPr="00F85178">
        <w:t>případy, kdy byla věc sice vyřízena, ale</w:t>
      </w:r>
      <w:r w:rsidR="0093094A" w:rsidRPr="00F85178">
        <w:t xml:space="preserve"> z </w:t>
      </w:r>
      <w:r w:rsidRPr="00F85178">
        <w:t>určitého důvodu se</w:t>
      </w:r>
      <w:r w:rsidR="0093094A" w:rsidRPr="00F85178">
        <w:t xml:space="preserve"> v </w:t>
      </w:r>
      <w:r w:rsidRPr="00F85178">
        <w:t>řízení pokračuje (většinou</w:t>
      </w:r>
      <w:r w:rsidR="0093094A" w:rsidRPr="00F85178">
        <w:t xml:space="preserve"> v </w:t>
      </w:r>
      <w:r w:rsidRPr="00F85178">
        <w:t xml:space="preserve">důsledku odvolacího řízení, kdy </w:t>
      </w:r>
      <w:r w:rsidR="00D6421E" w:rsidRPr="00F85178">
        <w:t xml:space="preserve">bylo </w:t>
      </w:r>
      <w:r w:rsidRPr="00F85178">
        <w:t>rozhodnutí soudu I. stupně zrušeno</w:t>
      </w:r>
      <w:r w:rsidR="009B748A" w:rsidRPr="00F85178">
        <w:t xml:space="preserve"> a </w:t>
      </w:r>
      <w:r w:rsidRPr="00F85178">
        <w:t>vráceno mu</w:t>
      </w:r>
      <w:r w:rsidR="0093094A" w:rsidRPr="00F85178">
        <w:t xml:space="preserve"> k </w:t>
      </w:r>
      <w:r w:rsidRPr="00F85178">
        <w:t>novému projednání, či po podání odporu). V této zprávě se stejně jako u nápadu jedná</w:t>
      </w:r>
      <w:r w:rsidR="009B748A" w:rsidRPr="00F85178">
        <w:t xml:space="preserve"> o </w:t>
      </w:r>
      <w:r w:rsidRPr="00F85178">
        <w:t>počet věcí, které obživly za vykazované období, tedy za celý daný rok. Data jsou rovněž získávána</w:t>
      </w:r>
      <w:r w:rsidR="0093094A" w:rsidRPr="00F85178">
        <w:t xml:space="preserve"> z </w:t>
      </w:r>
      <w:r w:rsidRPr="00F85178">
        <w:t>výkazů</w:t>
      </w:r>
      <w:r w:rsidR="009B748A" w:rsidRPr="00F85178">
        <w:t xml:space="preserve"> o </w:t>
      </w:r>
      <w:r w:rsidRPr="00F85178">
        <w:t>činnosti soudů.</w:t>
      </w:r>
    </w:p>
    <w:p w14:paraId="41209635" w14:textId="77777777" w:rsidR="004F14A1" w:rsidRPr="00F85178" w:rsidRDefault="004F14A1" w:rsidP="00590CE0">
      <w:pPr>
        <w:pStyle w:val="Odstavecseseznamem"/>
        <w:numPr>
          <w:ilvl w:val="0"/>
          <w:numId w:val="4"/>
        </w:numPr>
      </w:pPr>
      <w:r w:rsidRPr="00F85178">
        <w:rPr>
          <w:b/>
        </w:rPr>
        <w:t xml:space="preserve">Percentil </w:t>
      </w:r>
      <w:r w:rsidRPr="00F85178">
        <w:t>– percentily dělí vzestupně setříděný soubor hodnot na setiny (na sto stejných částí). Devadesátý percentil znamená, že 90</w:t>
      </w:r>
      <w:r w:rsidR="002A1DAA" w:rsidRPr="00F85178">
        <w:t> %</w:t>
      </w:r>
      <w:r w:rsidRPr="00F85178">
        <w:t xml:space="preserve"> hodnot je menších nebo rovno</w:t>
      </w:r>
      <w:r w:rsidR="009B748A" w:rsidRPr="00F85178">
        <w:t xml:space="preserve"> a </w:t>
      </w:r>
      <w:r w:rsidRPr="00F85178">
        <w:t>10</w:t>
      </w:r>
      <w:r w:rsidR="002A1DAA" w:rsidRPr="00F85178">
        <w:t> %</w:t>
      </w:r>
      <w:r w:rsidRPr="00F85178">
        <w:t xml:space="preserve"> hodnot větších nebo rovno hodnotě percentilu. Má-li tedy soud devadesátý percentil délky řízení 400 dnů, znamená to, že vyřízení 90</w:t>
      </w:r>
      <w:r w:rsidR="002A1DAA" w:rsidRPr="00F85178">
        <w:t> %</w:t>
      </w:r>
      <w:r w:rsidRPr="00F85178">
        <w:t xml:space="preserve"> věcí trvá maximálně 400 dnů, zbylých 10</w:t>
      </w:r>
      <w:r w:rsidR="002A1DAA" w:rsidRPr="00F85178">
        <w:t> %</w:t>
      </w:r>
      <w:r w:rsidRPr="00F85178">
        <w:t xml:space="preserve"> pak 400 dnů</w:t>
      </w:r>
      <w:r w:rsidR="009B748A" w:rsidRPr="00F85178">
        <w:t xml:space="preserve"> a </w:t>
      </w:r>
      <w:r w:rsidRPr="00F85178">
        <w:t>více.</w:t>
      </w:r>
    </w:p>
    <w:p w14:paraId="1A2F5875" w14:textId="77777777" w:rsidR="004F14A1" w:rsidRPr="00F85178" w:rsidRDefault="004F14A1" w:rsidP="00590CE0">
      <w:pPr>
        <w:pStyle w:val="Odstavecseseznamem"/>
        <w:numPr>
          <w:ilvl w:val="0"/>
          <w:numId w:val="4"/>
        </w:numPr>
      </w:pPr>
      <w:r w:rsidRPr="00F85178">
        <w:rPr>
          <w:b/>
        </w:rPr>
        <w:t xml:space="preserve">Plánovaný počet soudců </w:t>
      </w:r>
      <w:r w:rsidRPr="00F85178">
        <w:t>– odhad počtu soudců potřebných</w:t>
      </w:r>
      <w:r w:rsidR="0093094A" w:rsidRPr="00F85178">
        <w:t xml:space="preserve"> k </w:t>
      </w:r>
      <w:r w:rsidRPr="00F85178">
        <w:t>vyřízení nápadu za předmětný rok. Je vypočítáván pro všechny okresní</w:t>
      </w:r>
      <w:r w:rsidR="009B748A" w:rsidRPr="00F85178">
        <w:t xml:space="preserve"> a </w:t>
      </w:r>
      <w:r w:rsidRPr="00F85178">
        <w:t>krajské soudy</w:t>
      </w:r>
      <w:r w:rsidRPr="00F85178">
        <w:rPr>
          <w:lang w:eastAsia="cs-CZ"/>
        </w:rPr>
        <w:t>, zpravidla</w:t>
      </w:r>
      <w:r w:rsidRPr="00F85178">
        <w:t xml:space="preserve"> jednou ročně pro následující rok. Systemizace </w:t>
      </w:r>
      <w:r w:rsidRPr="00F85178">
        <w:rPr>
          <w:lang w:eastAsia="cs-CZ"/>
        </w:rPr>
        <w:t>vyšších soudů je určena na základě dohody, nikoliv výpočtem.</w:t>
      </w:r>
    </w:p>
    <w:p w14:paraId="256134E1" w14:textId="77777777" w:rsidR="00010643" w:rsidRPr="00F85178" w:rsidRDefault="00EE1D27" w:rsidP="00544CF2">
      <w:pPr>
        <w:pStyle w:val="Odstavecseseznamem"/>
        <w:numPr>
          <w:ilvl w:val="0"/>
          <w:numId w:val="4"/>
        </w:numPr>
      </w:pPr>
      <w:r w:rsidRPr="00F85178">
        <w:rPr>
          <w:b/>
        </w:rPr>
        <w:t>Plošný</w:t>
      </w:r>
      <w:r w:rsidR="0047023C" w:rsidRPr="00F85178">
        <w:rPr>
          <w:b/>
        </w:rPr>
        <w:t xml:space="preserve"> </w:t>
      </w:r>
      <w:r w:rsidRPr="00F85178">
        <w:rPr>
          <w:b/>
        </w:rPr>
        <w:t>graf</w:t>
      </w:r>
      <w:r w:rsidR="00544CF2" w:rsidRPr="00F85178">
        <w:rPr>
          <w:b/>
        </w:rPr>
        <w:t xml:space="preserve"> </w:t>
      </w:r>
      <w:r w:rsidR="00544CF2" w:rsidRPr="00F85178">
        <w:t xml:space="preserve">– </w:t>
      </w:r>
      <w:r w:rsidR="00C843D4" w:rsidRPr="00F85178">
        <w:t>typ</w:t>
      </w:r>
      <w:r w:rsidR="00544CF2" w:rsidRPr="00F85178">
        <w:t xml:space="preserve"> </w:t>
      </w:r>
      <w:r w:rsidR="00C843D4" w:rsidRPr="00F85178">
        <w:t xml:space="preserve">grafu, který velmi dobře </w:t>
      </w:r>
      <w:r w:rsidR="0047023C" w:rsidRPr="00F85178">
        <w:t>znázorňuje velikost změn</w:t>
      </w:r>
      <w:r w:rsidR="0093094A" w:rsidRPr="00F85178">
        <w:t xml:space="preserve"> v </w:t>
      </w:r>
      <w:r w:rsidR="0047023C" w:rsidRPr="00F85178">
        <w:t>čase</w:t>
      </w:r>
      <w:r w:rsidR="009B748A" w:rsidRPr="00F85178">
        <w:t xml:space="preserve"> a </w:t>
      </w:r>
      <w:r w:rsidR="0093094A" w:rsidRPr="00F85178">
        <w:t>v </w:t>
      </w:r>
      <w:r w:rsidR="00F32736" w:rsidRPr="00F85178">
        <w:t>součtu zobrazovaných hodnot vyjadřuje rovněž vztah jednotlivých částí</w:t>
      </w:r>
      <w:r w:rsidR="0093094A" w:rsidRPr="00F85178">
        <w:t xml:space="preserve"> k </w:t>
      </w:r>
      <w:r w:rsidR="00F32736" w:rsidRPr="00F85178">
        <w:t>celku. Jedná se</w:t>
      </w:r>
      <w:r w:rsidR="0093094A" w:rsidRPr="00F85178">
        <w:t xml:space="preserve"> v </w:t>
      </w:r>
      <w:r w:rsidR="00F32736" w:rsidRPr="00F85178">
        <w:t>podstatě</w:t>
      </w:r>
      <w:r w:rsidR="009B748A" w:rsidRPr="00F85178">
        <w:t xml:space="preserve"> o </w:t>
      </w:r>
      <w:r w:rsidR="00BB5424" w:rsidRPr="00F85178">
        <w:t>spojnicový</w:t>
      </w:r>
      <w:r w:rsidR="00BA22ED" w:rsidRPr="00F85178">
        <w:t xml:space="preserve"> graf</w:t>
      </w:r>
      <w:r w:rsidR="00F32736" w:rsidRPr="00F85178">
        <w:t>, ale plochy p</w:t>
      </w:r>
      <w:r w:rsidR="00BA22ED" w:rsidRPr="00F85178">
        <w:t>od čarami jsou vyplněny barvami</w:t>
      </w:r>
      <w:r w:rsidR="00BB5424" w:rsidRPr="00F85178">
        <w:t xml:space="preserve">. </w:t>
      </w:r>
      <w:r w:rsidR="00544CF2" w:rsidRPr="00F85178">
        <w:t>Plošných grafů existuje několik podtypů</w:t>
      </w:r>
      <w:r w:rsidR="009B748A" w:rsidRPr="00F85178">
        <w:t xml:space="preserve"> a </w:t>
      </w:r>
      <w:r w:rsidR="0093094A" w:rsidRPr="00F85178">
        <w:t>v </w:t>
      </w:r>
      <w:r w:rsidR="00BA22ED" w:rsidRPr="00F85178">
        <w:t xml:space="preserve">této zprávě </w:t>
      </w:r>
      <w:r w:rsidRPr="00F85178">
        <w:t>používáme</w:t>
      </w:r>
      <w:r w:rsidR="00BB5424" w:rsidRPr="00F85178">
        <w:t xml:space="preserve"> skládaný plošný graf</w:t>
      </w:r>
      <w:r w:rsidR="009B748A" w:rsidRPr="00F85178">
        <w:t xml:space="preserve"> a </w:t>
      </w:r>
      <w:r w:rsidRPr="00F85178">
        <w:t>stoprocentní skládaný plošný graf</w:t>
      </w:r>
      <w:r w:rsidR="00BA22ED" w:rsidRPr="00F85178">
        <w:t>.</w:t>
      </w:r>
      <w:r w:rsidR="00544CF2" w:rsidRPr="00F85178">
        <w:t xml:space="preserve"> </w:t>
      </w:r>
      <w:r w:rsidR="00DC63B2" w:rsidRPr="00F85178">
        <w:t>O</w:t>
      </w:r>
      <w:r w:rsidR="00544CF2" w:rsidRPr="00F85178">
        <w:t>s</w:t>
      </w:r>
      <w:r w:rsidR="00DC63B2" w:rsidRPr="00F85178">
        <w:t>a </w:t>
      </w:r>
      <w:r w:rsidR="00544CF2" w:rsidRPr="00F85178">
        <w:rPr>
          <w:i/>
        </w:rPr>
        <w:t>x</w:t>
      </w:r>
      <w:r w:rsidR="00DC63B2" w:rsidRPr="00F85178">
        <w:t xml:space="preserve"> znázorňuje </w:t>
      </w:r>
      <w:r w:rsidR="00544CF2" w:rsidRPr="00F85178">
        <w:t>čas</w:t>
      </w:r>
      <w:r w:rsidR="009B748A" w:rsidRPr="00F85178">
        <w:t xml:space="preserve"> a </w:t>
      </w:r>
      <w:r w:rsidR="00544CF2" w:rsidRPr="00F85178">
        <w:t>na svislé ose</w:t>
      </w:r>
      <w:r w:rsidR="00DC63B2" w:rsidRPr="00F85178">
        <w:t> </w:t>
      </w:r>
      <w:r w:rsidR="00DC63B2" w:rsidRPr="00F85178">
        <w:rPr>
          <w:i/>
        </w:rPr>
        <w:t>y</w:t>
      </w:r>
      <w:r w:rsidR="00DC63B2" w:rsidRPr="00F85178">
        <w:t xml:space="preserve"> </w:t>
      </w:r>
      <w:r w:rsidR="00544CF2" w:rsidRPr="00F85178">
        <w:t xml:space="preserve">jsou hodnoty </w:t>
      </w:r>
      <w:r w:rsidR="00FF1386" w:rsidRPr="00F85178">
        <w:t xml:space="preserve">jednotlivých druhů zkoumaných </w:t>
      </w:r>
      <w:r w:rsidR="00DC63B2" w:rsidRPr="00F85178">
        <w:t>ukazatelů</w:t>
      </w:r>
      <w:r w:rsidR="0093094A" w:rsidRPr="00F85178">
        <w:t xml:space="preserve"> v </w:t>
      </w:r>
      <w:r w:rsidR="00BB5424" w:rsidRPr="00F85178">
        <w:t>absolutních číslech nebo</w:t>
      </w:r>
      <w:r w:rsidR="0093094A" w:rsidRPr="00F85178">
        <w:t xml:space="preserve"> v </w:t>
      </w:r>
      <w:r w:rsidR="00FF1386" w:rsidRPr="00F85178">
        <w:t>procentním poměru</w:t>
      </w:r>
      <w:r w:rsidR="00BB5424" w:rsidRPr="00F85178">
        <w:t>.</w:t>
      </w:r>
    </w:p>
    <w:p w14:paraId="1D36744E" w14:textId="77777777" w:rsidR="004F14A1" w:rsidRPr="00F85178" w:rsidRDefault="004F14A1" w:rsidP="00590CE0">
      <w:pPr>
        <w:pStyle w:val="Odstavecseseznamem"/>
        <w:numPr>
          <w:ilvl w:val="0"/>
          <w:numId w:val="4"/>
        </w:numPr>
      </w:pPr>
      <w:r w:rsidRPr="00F85178">
        <w:rPr>
          <w:b/>
        </w:rPr>
        <w:t xml:space="preserve">Počet soudců na MD/RD </w:t>
      </w:r>
      <w:r w:rsidRPr="00F85178">
        <w:t xml:space="preserve">– počet soudců, kteří jsou na mateřské nebo rodičovské dovolené. Je zahrnut do evidenčního počtu soudců. </w:t>
      </w:r>
      <w:r w:rsidR="000061FF" w:rsidRPr="00F85178">
        <w:t xml:space="preserve">Uvádíme </w:t>
      </w:r>
      <w:r w:rsidRPr="00F85178">
        <w:t>vždy údaje</w:t>
      </w:r>
      <w:r w:rsidR="0093094A" w:rsidRPr="00F85178">
        <w:t xml:space="preserve"> k </w:t>
      </w:r>
      <w:r w:rsidRPr="00F85178">
        <w:t>1. 1. daného roku.</w:t>
      </w:r>
    </w:p>
    <w:p w14:paraId="4D18A2A3" w14:textId="77777777" w:rsidR="004F14A1" w:rsidRPr="00F85178" w:rsidRDefault="004F14A1" w:rsidP="00590CE0">
      <w:pPr>
        <w:pStyle w:val="Odstavecseseznamem"/>
        <w:numPr>
          <w:ilvl w:val="0"/>
          <w:numId w:val="4"/>
        </w:numPr>
        <w:rPr>
          <w:b/>
        </w:rPr>
      </w:pPr>
      <w:r w:rsidRPr="00F85178">
        <w:rPr>
          <w:b/>
        </w:rPr>
        <w:t xml:space="preserve">Průměr </w:t>
      </w:r>
      <w:r w:rsidRPr="00F85178">
        <w:t>– je míněn aritmetický průměr hodnot.</w:t>
      </w:r>
    </w:p>
    <w:p w14:paraId="452419F0" w14:textId="77777777" w:rsidR="004F14A1" w:rsidRPr="00F85178" w:rsidRDefault="004F14A1" w:rsidP="00590CE0">
      <w:pPr>
        <w:pStyle w:val="Odstavecseseznamem"/>
        <w:numPr>
          <w:ilvl w:val="0"/>
          <w:numId w:val="4"/>
        </w:numPr>
      </w:pPr>
      <w:r w:rsidRPr="00F85178">
        <w:rPr>
          <w:b/>
        </w:rPr>
        <w:t xml:space="preserve">Přepočet na soudce </w:t>
      </w:r>
      <w:r w:rsidRPr="00F85178">
        <w:t>– počty napadlých, vyřízených</w:t>
      </w:r>
      <w:r w:rsidR="009B748A" w:rsidRPr="00F85178">
        <w:t xml:space="preserve"> a </w:t>
      </w:r>
      <w:r w:rsidRPr="00F85178">
        <w:t>nevyřízených věcí jsou vyděleny evidenčním počtem soudců. Jedná se</w:t>
      </w:r>
      <w:r w:rsidR="009B748A" w:rsidRPr="00F85178">
        <w:t xml:space="preserve"> o </w:t>
      </w:r>
      <w:r w:rsidRPr="00F85178">
        <w:t>jeden</w:t>
      </w:r>
      <w:r w:rsidR="0093094A" w:rsidRPr="00F85178">
        <w:t xml:space="preserve"> z </w:t>
      </w:r>
      <w:r w:rsidRPr="00F85178">
        <w:t>ukazatelů výkonnosti</w:t>
      </w:r>
      <w:r w:rsidR="009B748A" w:rsidRPr="00F85178">
        <w:t xml:space="preserve"> a </w:t>
      </w:r>
      <w:r w:rsidRPr="00F85178">
        <w:t>zatíženosti soudů.</w:t>
      </w:r>
    </w:p>
    <w:p w14:paraId="1503D40C" w14:textId="77777777" w:rsidR="004F14A1" w:rsidRPr="00F85178" w:rsidRDefault="004F14A1" w:rsidP="00590CE0">
      <w:pPr>
        <w:pStyle w:val="Odstavecseseznamem"/>
        <w:numPr>
          <w:ilvl w:val="0"/>
          <w:numId w:val="4"/>
        </w:numPr>
      </w:pPr>
      <w:r w:rsidRPr="00F85178">
        <w:rPr>
          <w:b/>
        </w:rPr>
        <w:t xml:space="preserve">Příchozí věci </w:t>
      </w:r>
      <w:r w:rsidRPr="00F85178">
        <w:t>–</w:t>
      </w:r>
      <w:r w:rsidR="0093094A" w:rsidRPr="00F85178">
        <w:t xml:space="preserve"> v </w:t>
      </w:r>
      <w:r w:rsidRPr="00F85178">
        <w:t>této zprávě znamená součet napadlých</w:t>
      </w:r>
      <w:r w:rsidR="009B748A" w:rsidRPr="00F85178">
        <w:t xml:space="preserve"> a </w:t>
      </w:r>
      <w:r w:rsidRPr="00F85178">
        <w:t>obživlých věcí.</w:t>
      </w:r>
    </w:p>
    <w:p w14:paraId="4EEA8B41" w14:textId="77777777" w:rsidR="004F14A1" w:rsidRPr="00F85178" w:rsidRDefault="004F14A1" w:rsidP="00590CE0">
      <w:pPr>
        <w:pStyle w:val="Odstavecseseznamem"/>
        <w:numPr>
          <w:ilvl w:val="0"/>
          <w:numId w:val="4"/>
        </w:numPr>
      </w:pPr>
      <w:r w:rsidRPr="00F85178">
        <w:rPr>
          <w:b/>
        </w:rPr>
        <w:t xml:space="preserve">Statistické listy (SL) </w:t>
      </w:r>
      <w:r w:rsidRPr="00F85178">
        <w:t>– po pravomocném skončení (konečném vyřízení) věci</w:t>
      </w:r>
      <w:r w:rsidR="0093094A" w:rsidRPr="00F85178">
        <w:t xml:space="preserve"> v </w:t>
      </w:r>
      <w:r w:rsidRPr="00F85178">
        <w:t>hlavních agendách jsou vyplňovány u jednotlivých soudů odpovědnou osobou, odeslány</w:t>
      </w:r>
      <w:r w:rsidR="0093094A" w:rsidRPr="00F85178">
        <w:t xml:space="preserve"> v </w:t>
      </w:r>
      <w:r w:rsidRPr="00F85178">
        <w:t>elektronické podobě</w:t>
      </w:r>
      <w:r w:rsidR="009B748A" w:rsidRPr="00F85178">
        <w:t xml:space="preserve"> a </w:t>
      </w:r>
      <w:r w:rsidRPr="00F85178">
        <w:t>automaticky zařazeny do datového skladu. Vyhotovují se ke každé věci (osobě</w:t>
      </w:r>
      <w:r w:rsidR="0093094A" w:rsidRPr="00F85178">
        <w:t xml:space="preserve"> v </w:t>
      </w:r>
      <w:r w:rsidRPr="00F85178">
        <w:t>trestní agendě). Obsahují velmi detailní údaje</w:t>
      </w:r>
      <w:r w:rsidR="009B748A" w:rsidRPr="00F85178">
        <w:t xml:space="preserve"> o </w:t>
      </w:r>
      <w:r w:rsidRPr="00F85178">
        <w:t>věci (významné datumy, údaje</w:t>
      </w:r>
      <w:r w:rsidR="009B748A" w:rsidRPr="00F85178">
        <w:t xml:space="preserve"> o </w:t>
      </w:r>
      <w:r w:rsidRPr="00F85178">
        <w:t>odvolání, výsledek řízení, anonymizované údaje</w:t>
      </w:r>
      <w:r w:rsidR="009B748A" w:rsidRPr="00F85178">
        <w:t xml:space="preserve"> o </w:t>
      </w:r>
      <w:r w:rsidRPr="00F85178">
        <w:t>účastnících řízení,</w:t>
      </w:r>
      <w:r w:rsidR="009B748A" w:rsidRPr="00F85178">
        <w:t xml:space="preserve"> o </w:t>
      </w:r>
      <w:r w:rsidRPr="00F85178">
        <w:t>výši</w:t>
      </w:r>
      <w:r w:rsidR="009B748A" w:rsidRPr="00F85178">
        <w:t xml:space="preserve"> a </w:t>
      </w:r>
      <w:r w:rsidRPr="00F85178">
        <w:t>druhu trestu apod.).</w:t>
      </w:r>
    </w:p>
    <w:p w14:paraId="16ED0D9D" w14:textId="77777777" w:rsidR="004F14A1" w:rsidRPr="00F85178" w:rsidRDefault="004F14A1" w:rsidP="00590CE0">
      <w:pPr>
        <w:pStyle w:val="Odstavecseseznamem"/>
        <w:numPr>
          <w:ilvl w:val="0"/>
          <w:numId w:val="4"/>
        </w:numPr>
      </w:pPr>
      <w:r w:rsidRPr="00F85178">
        <w:rPr>
          <w:b/>
        </w:rPr>
        <w:t>Výkazy</w:t>
      </w:r>
      <w:r w:rsidR="009B748A" w:rsidRPr="00F85178">
        <w:rPr>
          <w:b/>
        </w:rPr>
        <w:t xml:space="preserve"> o </w:t>
      </w:r>
      <w:r w:rsidRPr="00F85178">
        <w:rPr>
          <w:b/>
        </w:rPr>
        <w:t xml:space="preserve">činnosti soudů </w:t>
      </w:r>
      <w:r w:rsidRPr="00F85178">
        <w:t>– obsahují především údaje</w:t>
      </w:r>
      <w:r w:rsidR="009B748A" w:rsidRPr="00F85178">
        <w:t xml:space="preserve"> o </w:t>
      </w:r>
      <w:r w:rsidRPr="00F85178">
        <w:t>počtu napadlých, obživlých, vyřízených</w:t>
      </w:r>
      <w:r w:rsidR="009B748A" w:rsidRPr="00F85178">
        <w:t xml:space="preserve"> a </w:t>
      </w:r>
      <w:r w:rsidRPr="00F85178">
        <w:t>nevyřízených věcí za zkoumané období, ale</w:t>
      </w:r>
      <w:r w:rsidR="009B748A" w:rsidRPr="00F85178">
        <w:t xml:space="preserve"> i </w:t>
      </w:r>
      <w:r w:rsidRPr="00F85178">
        <w:t>další data, např. dělení vyřízených věcí podle způsobu vyřízení</w:t>
      </w:r>
      <w:r w:rsidR="009B748A" w:rsidRPr="00F85178">
        <w:t xml:space="preserve"> a </w:t>
      </w:r>
      <w:r w:rsidRPr="00F85178">
        <w:t>dělení obživlých věcí podle důvodu pro obživnutí. Vypočítávají se automaticky pro každou agendu (rejstřík)</w:t>
      </w:r>
      <w:r w:rsidR="009B748A" w:rsidRPr="00F85178">
        <w:t xml:space="preserve"> a </w:t>
      </w:r>
      <w:r w:rsidRPr="00F85178">
        <w:t>každý soud.</w:t>
      </w:r>
    </w:p>
    <w:p w14:paraId="1F300113" w14:textId="77777777" w:rsidR="004F14A1" w:rsidRPr="00F85178" w:rsidRDefault="004F14A1" w:rsidP="00590CE0">
      <w:pPr>
        <w:pStyle w:val="Odstavecseseznamem"/>
        <w:numPr>
          <w:ilvl w:val="0"/>
          <w:numId w:val="4"/>
        </w:numPr>
        <w:rPr>
          <w:b/>
        </w:rPr>
      </w:pPr>
      <w:r w:rsidRPr="00F85178">
        <w:rPr>
          <w:b/>
        </w:rPr>
        <w:t xml:space="preserve">Vyřízené věci </w:t>
      </w:r>
      <w:r w:rsidRPr="00F85178">
        <w:t>–</w:t>
      </w:r>
      <w:r w:rsidR="0093094A" w:rsidRPr="00F85178">
        <w:t xml:space="preserve"> v </w:t>
      </w:r>
      <w:r w:rsidRPr="00F85178">
        <w:t>této zprávě se vždy jedná</w:t>
      </w:r>
      <w:r w:rsidR="009B748A" w:rsidRPr="00F85178">
        <w:t xml:space="preserve"> o </w:t>
      </w:r>
      <w:r w:rsidRPr="00F85178">
        <w:t>roční data, která jsou získána</w:t>
      </w:r>
      <w:r w:rsidR="0093094A" w:rsidRPr="00F85178">
        <w:t xml:space="preserve"> z </w:t>
      </w:r>
      <w:r w:rsidRPr="00F85178">
        <w:t>výkazů</w:t>
      </w:r>
      <w:r w:rsidR="009B748A" w:rsidRPr="00F85178">
        <w:t xml:space="preserve"> o </w:t>
      </w:r>
      <w:r w:rsidRPr="00F85178">
        <w:t>činnosti soudů.</w:t>
      </w:r>
    </w:p>
    <w:p w14:paraId="0FA602DB" w14:textId="77777777" w:rsidR="004F14A1" w:rsidRPr="00F85178" w:rsidRDefault="004F14A1" w:rsidP="004F14A1"/>
    <w:p w14:paraId="6EC853F0" w14:textId="77777777" w:rsidR="004F14A1" w:rsidRPr="00F85178" w:rsidRDefault="004F14A1" w:rsidP="004F14A1">
      <w:pPr>
        <w:pStyle w:val="Nadpis3"/>
        <w:pageBreakBefore/>
        <w:numPr>
          <w:ilvl w:val="0"/>
          <w:numId w:val="0"/>
        </w:numPr>
        <w:rPr>
          <w:color w:val="auto"/>
        </w:rPr>
      </w:pPr>
      <w:bookmarkStart w:id="774" w:name="_Toc487791319"/>
      <w:bookmarkStart w:id="775" w:name="_Toc14076968"/>
      <w:r w:rsidRPr="00F85178">
        <w:rPr>
          <w:color w:val="auto"/>
        </w:rPr>
        <w:t>Právní</w:t>
      </w:r>
      <w:r w:rsidR="009B748A" w:rsidRPr="00F85178">
        <w:rPr>
          <w:color w:val="auto"/>
        </w:rPr>
        <w:t xml:space="preserve"> a </w:t>
      </w:r>
      <w:r w:rsidRPr="00F85178">
        <w:rPr>
          <w:color w:val="auto"/>
        </w:rPr>
        <w:t>ostatní pojmy</w:t>
      </w:r>
      <w:bookmarkEnd w:id="774"/>
      <w:bookmarkEnd w:id="775"/>
    </w:p>
    <w:p w14:paraId="164909DD" w14:textId="77777777" w:rsidR="004F14A1" w:rsidRPr="00F85178" w:rsidRDefault="004F14A1" w:rsidP="00590CE0">
      <w:pPr>
        <w:pStyle w:val="Odstavecseseznamem"/>
        <w:numPr>
          <w:ilvl w:val="0"/>
          <w:numId w:val="4"/>
        </w:numPr>
      </w:pPr>
      <w:r w:rsidRPr="00F85178">
        <w:rPr>
          <w:b/>
        </w:rPr>
        <w:t xml:space="preserve">Civilní </w:t>
      </w:r>
      <w:r w:rsidRPr="00F85178">
        <w:t>– (agenda, řízení, úsek) činnost soudů</w:t>
      </w:r>
      <w:r w:rsidR="0093094A" w:rsidRPr="00F85178">
        <w:t xml:space="preserve"> v </w:t>
      </w:r>
      <w:r w:rsidRPr="00F85178">
        <w:t>občanském soudním řízení. Civilní soudnictví</w:t>
      </w:r>
      <w:r w:rsidR="0093094A" w:rsidRPr="00F85178">
        <w:t xml:space="preserve"> v </w:t>
      </w:r>
      <w:r w:rsidRPr="00F85178">
        <w:t>sobě dále zahrnuje celou řadů různých specificky upravených typů řízení (řízení</w:t>
      </w:r>
      <w:r w:rsidR="009B748A" w:rsidRPr="00F85178">
        <w:t xml:space="preserve"> o </w:t>
      </w:r>
      <w:r w:rsidRPr="00F85178">
        <w:t>pozůstalosti, umoření listin apod.)</w:t>
      </w:r>
      <w:r w:rsidR="009B748A" w:rsidRPr="00F85178">
        <w:t xml:space="preserve"> a </w:t>
      </w:r>
      <w:r w:rsidRPr="00F85178">
        <w:t>člení se tudíž na další agendy. Do samostatných agend se</w:t>
      </w:r>
      <w:r w:rsidR="0093094A" w:rsidRPr="00F85178">
        <w:t xml:space="preserve"> z </w:t>
      </w:r>
      <w:r w:rsidRPr="00F85178">
        <w:t>něj vyčleňuje opatrovnická</w:t>
      </w:r>
      <w:r w:rsidR="009B748A" w:rsidRPr="00F85178">
        <w:t xml:space="preserve"> a </w:t>
      </w:r>
      <w:r w:rsidRPr="00F85178">
        <w:t>obchodní agenda,</w:t>
      </w:r>
      <w:r w:rsidR="0093094A" w:rsidRPr="00F85178">
        <w:t xml:space="preserve"> z </w:t>
      </w:r>
      <w:r w:rsidRPr="00F85178">
        <w:t>obchodní agendy pak dále zvlášť agenda insolvenční. V této zprávě se civilní agendou myslí zpravidla věci vedené</w:t>
      </w:r>
      <w:r w:rsidR="0093094A" w:rsidRPr="00F85178">
        <w:t xml:space="preserve"> v </w:t>
      </w:r>
      <w:r w:rsidRPr="00F85178">
        <w:t>rejstříku C, do kterého se zapisují zejména občanskoprávní návrhy týkající se právních poměrů mezi žalobcem</w:t>
      </w:r>
      <w:r w:rsidR="009B748A" w:rsidRPr="00F85178">
        <w:t xml:space="preserve"> a </w:t>
      </w:r>
      <w:r w:rsidRPr="00F85178">
        <w:t>žalovaným</w:t>
      </w:r>
      <w:r w:rsidR="009B748A" w:rsidRPr="00F85178">
        <w:t xml:space="preserve"> a </w:t>
      </w:r>
      <w:r w:rsidRPr="00F85178">
        <w:t>návrhy na rozhodnutí ve statusových věcech manželských</w:t>
      </w:r>
      <w:r w:rsidR="009B748A" w:rsidRPr="00F85178">
        <w:t xml:space="preserve"> a </w:t>
      </w:r>
      <w:r w:rsidRPr="00F85178">
        <w:t>partnerských.</w:t>
      </w:r>
    </w:p>
    <w:p w14:paraId="0B0C1784" w14:textId="77777777" w:rsidR="004F14A1" w:rsidRPr="00F85178" w:rsidRDefault="004F14A1" w:rsidP="00590CE0">
      <w:pPr>
        <w:pStyle w:val="Odstavecseseznamem"/>
        <w:numPr>
          <w:ilvl w:val="0"/>
          <w:numId w:val="4"/>
        </w:numPr>
      </w:pPr>
      <w:r w:rsidRPr="00F85178">
        <w:rPr>
          <w:b/>
        </w:rPr>
        <w:t xml:space="preserve">Dovolání </w:t>
      </w:r>
      <w:r w:rsidRPr="00F85178">
        <w:t>– mimořádný opravný prostředek, jímž lze napadnout pravomocné rozhodnutí odvolacího soudu, pokud to zákon připouští. O dovolání rozhoduje Nejvyšší soud;</w:t>
      </w:r>
      <w:r w:rsidR="0093094A" w:rsidRPr="00F85178">
        <w:t xml:space="preserve"> v </w:t>
      </w:r>
      <w:r w:rsidRPr="00F85178">
        <w:t>civilních řízeních nemusí být</w:t>
      </w:r>
      <w:r w:rsidR="0093094A" w:rsidRPr="00F85178">
        <w:t xml:space="preserve"> v </w:t>
      </w:r>
      <w:r w:rsidRPr="00F85178">
        <w:t>zákonem stanovených případech věc předložena dovolacímu soudu, ale</w:t>
      </w:r>
      <w:r w:rsidR="009B748A" w:rsidRPr="00F85178">
        <w:t xml:space="preserve"> o </w:t>
      </w:r>
      <w:r w:rsidRPr="00F85178">
        <w:t>dovolání může rozhodnout soud</w:t>
      </w:r>
      <w:r w:rsidR="0093094A" w:rsidRPr="00F85178">
        <w:t xml:space="preserve"> v </w:t>
      </w:r>
      <w:r w:rsidRPr="00F85178">
        <w:t>první instanci (jedná se zejména</w:t>
      </w:r>
      <w:r w:rsidR="009B748A" w:rsidRPr="00F85178">
        <w:t xml:space="preserve"> o </w:t>
      </w:r>
      <w:r w:rsidRPr="00F85178">
        <w:t>zastavení dovolacího řízení pro nezaplacení soudního poplatku, odmítnutí dovolání pro opožděnost apod.).</w:t>
      </w:r>
    </w:p>
    <w:p w14:paraId="69EEC737" w14:textId="77777777" w:rsidR="004F14A1" w:rsidRPr="00F85178" w:rsidRDefault="004F14A1" w:rsidP="00590CE0">
      <w:pPr>
        <w:pStyle w:val="Odstavecseseznamem"/>
        <w:numPr>
          <w:ilvl w:val="0"/>
          <w:numId w:val="4"/>
        </w:numPr>
      </w:pPr>
      <w:r w:rsidRPr="00F85178">
        <w:rPr>
          <w:b/>
        </w:rPr>
        <w:t xml:space="preserve">Hlavní agendy </w:t>
      </w:r>
      <w:r w:rsidRPr="00F85178">
        <w:t>– jedná se</w:t>
      </w:r>
      <w:r w:rsidR="009B748A" w:rsidRPr="00F85178">
        <w:t xml:space="preserve"> o </w:t>
      </w:r>
      <w:r w:rsidRPr="00F85178">
        <w:t>takové agendy soudů, které svou velikostí</w:t>
      </w:r>
      <w:r w:rsidR="009B748A" w:rsidRPr="00F85178">
        <w:t xml:space="preserve"> a </w:t>
      </w:r>
      <w:r w:rsidRPr="00F85178">
        <w:t>významem tvoří stěžejní část jejich práce. V případě soudů jsou to</w:t>
      </w:r>
      <w:r w:rsidR="0093094A" w:rsidRPr="00F85178">
        <w:t xml:space="preserve"> z </w:t>
      </w:r>
      <w:r w:rsidRPr="00F85178">
        <w:t>civilní (občanskoprávní) agendy věci zapisované do rejstříku C,</w:t>
      </w:r>
      <w:r w:rsidR="0093094A" w:rsidRPr="00F85178">
        <w:t xml:space="preserve"> z </w:t>
      </w:r>
      <w:r w:rsidRPr="00F85178">
        <w:t>opatrovnické agendy věci vedené</w:t>
      </w:r>
      <w:r w:rsidR="0093094A" w:rsidRPr="00F85178">
        <w:t xml:space="preserve"> v </w:t>
      </w:r>
      <w:r w:rsidRPr="00F85178">
        <w:t>rejstříku P</w:t>
      </w:r>
      <w:r w:rsidR="009B748A" w:rsidRPr="00F85178">
        <w:t xml:space="preserve"> a </w:t>
      </w:r>
      <w:r w:rsidRPr="00F85178">
        <w:t>Nc, u obchodní agendy věci</w:t>
      </w:r>
      <w:r w:rsidR="0093094A" w:rsidRPr="00F85178">
        <w:t xml:space="preserve"> z </w:t>
      </w:r>
      <w:r w:rsidRPr="00F85178">
        <w:t>rejstříku Cm</w:t>
      </w:r>
      <w:r w:rsidR="009B748A" w:rsidRPr="00F85178">
        <w:t xml:space="preserve"> a </w:t>
      </w:r>
      <w:r w:rsidRPr="00F85178">
        <w:t>insolvenčního rejstříku INS,</w:t>
      </w:r>
      <w:r w:rsidR="0093094A" w:rsidRPr="00F85178">
        <w:t xml:space="preserve"> z </w:t>
      </w:r>
      <w:r w:rsidRPr="00F85178">
        <w:t>trestní agendy rejstříky T</w:t>
      </w:r>
      <w:r w:rsidR="009B748A" w:rsidRPr="00F85178">
        <w:t xml:space="preserve"> a </w:t>
      </w:r>
      <w:r w:rsidRPr="00F85178">
        <w:t>Tm</w:t>
      </w:r>
      <w:r w:rsidR="009B748A" w:rsidRPr="00F85178">
        <w:t xml:space="preserve"> a </w:t>
      </w:r>
      <w:r w:rsidRPr="00F85178">
        <w:t>ze správního soudnictví všechny správní rejstříky kromě tzv. všeobecného rejstříku správního soudnictví.</w:t>
      </w:r>
    </w:p>
    <w:p w14:paraId="085D85E4" w14:textId="77777777" w:rsidR="004F14A1" w:rsidRPr="00F85178" w:rsidRDefault="004F14A1" w:rsidP="00590CE0">
      <w:pPr>
        <w:pStyle w:val="Odstavecseseznamem"/>
        <w:numPr>
          <w:ilvl w:val="0"/>
          <w:numId w:val="4"/>
        </w:numPr>
      </w:pPr>
      <w:r w:rsidRPr="00F85178">
        <w:rPr>
          <w:b/>
        </w:rPr>
        <w:t xml:space="preserve">InfoData </w:t>
      </w:r>
      <w:r w:rsidRPr="00F85178">
        <w:t>– statistický portál Ministerstva spravedlnosti, který umožňuje přístup široké veřejnosti</w:t>
      </w:r>
      <w:r w:rsidR="0093094A" w:rsidRPr="00F85178">
        <w:t xml:space="preserve"> k </w:t>
      </w:r>
      <w:r w:rsidRPr="00F85178">
        <w:t>výkazům</w:t>
      </w:r>
      <w:r w:rsidR="009B748A" w:rsidRPr="00F85178">
        <w:t xml:space="preserve"> a </w:t>
      </w:r>
      <w:r w:rsidRPr="00F85178">
        <w:t>statistikám soudů. Jeho hlavním cílem je prezentovat všechny důležité informace</w:t>
      </w:r>
      <w:r w:rsidR="009B748A" w:rsidRPr="00F85178">
        <w:t xml:space="preserve"> o </w:t>
      </w:r>
      <w:r w:rsidRPr="00F85178">
        <w:t>justici na jednom místě</w:t>
      </w:r>
      <w:r w:rsidR="009B748A" w:rsidRPr="00F85178">
        <w:t xml:space="preserve"> a </w:t>
      </w:r>
      <w:r w:rsidRPr="00F85178">
        <w:t>tím přispět</w:t>
      </w:r>
      <w:r w:rsidR="0093094A" w:rsidRPr="00F85178">
        <w:t xml:space="preserve"> k </w:t>
      </w:r>
      <w:r w:rsidRPr="00F85178">
        <w:t>její větší otevřenosti (</w:t>
      </w:r>
      <w:hyperlink r:id="rId133" w:history="1">
        <w:r w:rsidRPr="00957D55">
          <w:rPr>
            <w:rStyle w:val="Hypertextovodkaz"/>
          </w:rPr>
          <w:t>http://cslav.justice.cz/InfoData/uvod.html</w:t>
        </w:r>
      </w:hyperlink>
      <w:r w:rsidRPr="00F85178">
        <w:t>).</w:t>
      </w:r>
    </w:p>
    <w:p w14:paraId="06E62771" w14:textId="77777777" w:rsidR="004F14A1" w:rsidRPr="00F85178" w:rsidRDefault="004F14A1" w:rsidP="00590CE0">
      <w:pPr>
        <w:pStyle w:val="Odstavecseseznamem"/>
        <w:numPr>
          <w:ilvl w:val="0"/>
          <w:numId w:val="4"/>
        </w:numPr>
      </w:pPr>
      <w:r w:rsidRPr="00F85178">
        <w:rPr>
          <w:b/>
        </w:rPr>
        <w:t xml:space="preserve">Insolvence </w:t>
      </w:r>
      <w:r w:rsidRPr="00F85178">
        <w:t>– jinak také insolvenční agenda (řízení). Jedná se</w:t>
      </w:r>
      <w:r w:rsidR="009B748A" w:rsidRPr="00F85178">
        <w:t xml:space="preserve"> o </w:t>
      </w:r>
      <w:r w:rsidRPr="00F85178">
        <w:t>zvláštní soudní řízení civilní agendy, jehož předmětem je projednání úpadku</w:t>
      </w:r>
      <w:r w:rsidR="009B748A" w:rsidRPr="00F85178">
        <w:t xml:space="preserve"> a </w:t>
      </w:r>
      <w:r w:rsidRPr="00F85178">
        <w:t>jeho řešení.</w:t>
      </w:r>
    </w:p>
    <w:p w14:paraId="4683C296" w14:textId="77777777" w:rsidR="004F14A1" w:rsidRPr="00F85178" w:rsidRDefault="004F14A1" w:rsidP="00590CE0">
      <w:pPr>
        <w:pStyle w:val="Odstavecseseznamem"/>
        <w:numPr>
          <w:ilvl w:val="0"/>
          <w:numId w:val="4"/>
        </w:numPr>
      </w:pPr>
      <w:r w:rsidRPr="00F85178">
        <w:rPr>
          <w:b/>
        </w:rPr>
        <w:t xml:space="preserve">Jmenovací etapa </w:t>
      </w:r>
      <w:r w:rsidRPr="00F85178">
        <w:t>– jinak také etapa jmenování soudců. Soudce jmenuje prezident na návrh ministra spravedlnosti, dle aktuální potřeby jednotlivých soudů.</w:t>
      </w:r>
    </w:p>
    <w:p w14:paraId="47CCD899" w14:textId="77777777" w:rsidR="004F14A1" w:rsidRPr="00F85178" w:rsidRDefault="004F14A1" w:rsidP="00590CE0">
      <w:pPr>
        <w:pStyle w:val="Odstavecseseznamem"/>
        <w:numPr>
          <w:ilvl w:val="0"/>
          <w:numId w:val="4"/>
        </w:numPr>
      </w:pPr>
      <w:r w:rsidRPr="00F85178">
        <w:rPr>
          <w:b/>
        </w:rPr>
        <w:t xml:space="preserve">Kasační stížnost </w:t>
      </w:r>
      <w:r w:rsidRPr="00F85178">
        <w:t>– mimořádný opravný prostředek, jímž lze napadnout pravomocné rozhodnutí krajského soudu vydané ve správním soudnictví. Kasační stížnost je možné podat</w:t>
      </w:r>
      <w:r w:rsidR="0093094A" w:rsidRPr="00F85178">
        <w:t xml:space="preserve"> v </w:t>
      </w:r>
      <w:r w:rsidRPr="00F85178">
        <w:t>zásadě proti každému takovému rozhodnutí, není-li</w:t>
      </w:r>
      <w:r w:rsidR="0093094A" w:rsidRPr="00F85178">
        <w:t xml:space="preserve"> z </w:t>
      </w:r>
      <w:r w:rsidRPr="00F85178">
        <w:t>přezkoumání</w:t>
      </w:r>
      <w:r w:rsidR="0093094A" w:rsidRPr="00F85178">
        <w:t xml:space="preserve"> v </w:t>
      </w:r>
      <w:r w:rsidRPr="00F85178">
        <w:t>kasačním řízení zákonem výslovně vyloučeno. O kasačních stížnostech rozhoduje Nejvyšší správní soud.</w:t>
      </w:r>
    </w:p>
    <w:p w14:paraId="189E32D6" w14:textId="77777777" w:rsidR="004F14A1" w:rsidRPr="00F85178" w:rsidRDefault="004F14A1" w:rsidP="00590CE0">
      <w:pPr>
        <w:pStyle w:val="Odstavecseseznamem"/>
        <w:numPr>
          <w:ilvl w:val="0"/>
          <w:numId w:val="4"/>
        </w:numPr>
      </w:pPr>
      <w:r w:rsidRPr="00F85178">
        <w:rPr>
          <w:b/>
        </w:rPr>
        <w:t xml:space="preserve">Krajské soudy (KS) </w:t>
      </w:r>
      <w:r w:rsidRPr="00F85178">
        <w:t>– druhý ze čtyř článků soustavy soudů ČR. Působí jich celkem osm,</w:t>
      </w:r>
      <w:r w:rsidR="009B748A" w:rsidRPr="00F85178">
        <w:t xml:space="preserve"> a </w:t>
      </w:r>
      <w:r w:rsidRPr="00F85178">
        <w:t>to Krajský soud</w:t>
      </w:r>
      <w:r w:rsidR="0093094A" w:rsidRPr="00F85178">
        <w:t xml:space="preserve"> v </w:t>
      </w:r>
      <w:r w:rsidRPr="00F85178">
        <w:t>Praze,</w:t>
      </w:r>
      <w:r w:rsidR="0093094A" w:rsidRPr="00F85178">
        <w:t xml:space="preserve"> v </w:t>
      </w:r>
      <w:r w:rsidRPr="00F85178">
        <w:t>Českých Budějovicích,</w:t>
      </w:r>
      <w:r w:rsidR="0093094A" w:rsidRPr="00F85178">
        <w:t xml:space="preserve"> v </w:t>
      </w:r>
      <w:r w:rsidRPr="00F85178">
        <w:t>Plzni,</w:t>
      </w:r>
      <w:r w:rsidR="0093094A" w:rsidRPr="00F85178">
        <w:t xml:space="preserve"> v </w:t>
      </w:r>
      <w:r w:rsidRPr="00F85178">
        <w:t>Ústí nad Labem,</w:t>
      </w:r>
      <w:r w:rsidR="0093094A" w:rsidRPr="00F85178">
        <w:t xml:space="preserve"> v </w:t>
      </w:r>
      <w:r w:rsidRPr="00F85178">
        <w:t>Hradci Králové,</w:t>
      </w:r>
      <w:r w:rsidR="0093094A" w:rsidRPr="00F85178">
        <w:t xml:space="preserve"> v </w:t>
      </w:r>
      <w:r w:rsidRPr="00F85178">
        <w:t>Brně</w:t>
      </w:r>
      <w:r w:rsidR="009B748A" w:rsidRPr="00F85178">
        <w:t xml:space="preserve"> a </w:t>
      </w:r>
      <w:r w:rsidR="0093094A" w:rsidRPr="00F85178">
        <w:t>v </w:t>
      </w:r>
      <w:r w:rsidRPr="00F85178">
        <w:t>Ostravě</w:t>
      </w:r>
      <w:r w:rsidR="009B748A" w:rsidRPr="00F85178">
        <w:t xml:space="preserve"> a </w:t>
      </w:r>
      <w:r w:rsidRPr="00F85178">
        <w:t>Městský soud</w:t>
      </w:r>
      <w:r w:rsidR="0093094A" w:rsidRPr="00F85178">
        <w:t xml:space="preserve"> v </w:t>
      </w:r>
      <w:r w:rsidRPr="00F85178">
        <w:t>Praze, který vykonává působnost krajského soudu pro území hlavního města Prahy.</w:t>
      </w:r>
    </w:p>
    <w:p w14:paraId="0810F9A3" w14:textId="77777777" w:rsidR="005D1A78" w:rsidRPr="00F85178" w:rsidRDefault="008F693E" w:rsidP="003549CA">
      <w:pPr>
        <w:pStyle w:val="Odstavecseseznamem"/>
        <w:numPr>
          <w:ilvl w:val="0"/>
          <w:numId w:val="4"/>
        </w:numPr>
      </w:pPr>
      <w:r w:rsidRPr="00F85178">
        <w:rPr>
          <w:b/>
        </w:rPr>
        <w:t xml:space="preserve">Moratorium </w:t>
      </w:r>
      <w:r w:rsidRPr="00F85178">
        <w:t>–</w:t>
      </w:r>
      <w:r w:rsidR="005D1A78" w:rsidRPr="00F85178">
        <w:t xml:space="preserve"> představuje poslední </w:t>
      </w:r>
      <w:r w:rsidR="008450CF" w:rsidRPr="00F85178">
        <w:t>možnost odvrátit úpadek dlužníka před jeho zjištěním</w:t>
      </w:r>
      <w:r w:rsidR="00C24188" w:rsidRPr="00F85178">
        <w:t>, neboť po dobu jeho trvání nelze vyhlásit úpadek</w:t>
      </w:r>
      <w:r w:rsidR="00AA7698" w:rsidRPr="00F85178">
        <w:t xml:space="preserve"> dlužníka</w:t>
      </w:r>
      <w:r w:rsidR="00C24188" w:rsidRPr="00F85178">
        <w:t>, platí však stejné účinky jako při zahájení insolvenčního řízení. O moratorium může žádat jen dlužník, který je podnikatelem</w:t>
      </w:r>
      <w:r w:rsidR="004C4836" w:rsidRPr="00F85178">
        <w:t>.</w:t>
      </w:r>
      <w:r w:rsidR="005D1A78" w:rsidRPr="00F85178">
        <w:t xml:space="preserve"> Moratorium </w:t>
      </w:r>
      <w:r w:rsidR="00237028" w:rsidRPr="00F85178">
        <w:t xml:space="preserve">se vyhlašuje za </w:t>
      </w:r>
      <w:r w:rsidR="00E52D9B" w:rsidRPr="00F85178">
        <w:t>splnění</w:t>
      </w:r>
      <w:r w:rsidR="00237028" w:rsidRPr="00F85178">
        <w:t xml:space="preserve"> zákonných podmínek nejdéle na </w:t>
      </w:r>
      <w:r w:rsidR="003549CA" w:rsidRPr="00F85178">
        <w:t xml:space="preserve">dobu </w:t>
      </w:r>
      <w:r w:rsidR="00237028" w:rsidRPr="00F85178">
        <w:t>3 </w:t>
      </w:r>
      <w:r w:rsidR="003549CA" w:rsidRPr="00F85178">
        <w:t xml:space="preserve">měsíců; </w:t>
      </w:r>
      <w:r w:rsidR="00237028" w:rsidRPr="00F85178">
        <w:t>ve zvláštních případech může být prodloužen</w:t>
      </w:r>
      <w:r w:rsidR="003549CA" w:rsidRPr="00F85178">
        <w:t>o</w:t>
      </w:r>
      <w:r w:rsidR="00237028" w:rsidRPr="00F85178">
        <w:t xml:space="preserve"> o dalších třicet </w:t>
      </w:r>
      <w:r w:rsidR="003549CA" w:rsidRPr="00F85178">
        <w:t>dnů</w:t>
      </w:r>
      <w:r w:rsidR="005D1A78" w:rsidRPr="00F85178">
        <w:t xml:space="preserve">. </w:t>
      </w:r>
      <w:r w:rsidR="00237028" w:rsidRPr="00F85178" w:rsidDel="003549CA">
        <w:t xml:space="preserve">Smyslem </w:t>
      </w:r>
      <w:r w:rsidR="003549CA" w:rsidRPr="00F85178" w:rsidDel="003549CA">
        <w:t xml:space="preserve">moratoria je poskytnout </w:t>
      </w:r>
      <w:r w:rsidR="004C4836" w:rsidRPr="00F85178" w:rsidDel="003549CA">
        <w:t>dlužník</w:t>
      </w:r>
      <w:r w:rsidR="004C4836" w:rsidRPr="00F85178">
        <w:t>ovi</w:t>
      </w:r>
      <w:r w:rsidR="004C4836" w:rsidRPr="00F85178" w:rsidDel="003549CA">
        <w:t xml:space="preserve"> </w:t>
      </w:r>
      <w:r w:rsidR="003549CA" w:rsidRPr="00F85178" w:rsidDel="003549CA">
        <w:t>čas na vyřešení svých nesplácených závazků</w:t>
      </w:r>
      <w:r w:rsidR="009B748A" w:rsidRPr="00F85178">
        <w:t xml:space="preserve"> a </w:t>
      </w:r>
      <w:r w:rsidR="003549CA" w:rsidRPr="00F85178" w:rsidDel="003549CA">
        <w:t>pohledávek</w:t>
      </w:r>
      <w:r w:rsidR="008450CF" w:rsidRPr="00F85178">
        <w:t>, za</w:t>
      </w:r>
      <w:r w:rsidR="00D50672" w:rsidRPr="00F85178">
        <w:t>chovat</w:t>
      </w:r>
      <w:r w:rsidR="008450CF" w:rsidRPr="00F85178">
        <w:t xml:space="preserve"> provoz podniku dlužníka</w:t>
      </w:r>
      <w:r w:rsidR="009B748A" w:rsidRPr="00F85178">
        <w:t xml:space="preserve"> a </w:t>
      </w:r>
      <w:r w:rsidR="003549CA" w:rsidRPr="00F85178" w:rsidDel="003549CA">
        <w:t>vyrovnat se</w:t>
      </w:r>
      <w:r w:rsidR="0093094A" w:rsidRPr="00F85178">
        <w:t xml:space="preserve"> s </w:t>
      </w:r>
      <w:r w:rsidR="003549CA" w:rsidRPr="00F85178" w:rsidDel="003549CA">
        <w:t xml:space="preserve">věřiteli ještě před </w:t>
      </w:r>
      <w:r w:rsidR="004C4836" w:rsidRPr="00F85178">
        <w:t>tím, než proběhne celé insolvenční</w:t>
      </w:r>
      <w:r w:rsidR="003549CA" w:rsidRPr="00F85178" w:rsidDel="003549CA">
        <w:t xml:space="preserve"> řízení</w:t>
      </w:r>
      <w:r w:rsidR="005D1A78" w:rsidRPr="00F85178" w:rsidDel="003549CA">
        <w:t>.</w:t>
      </w:r>
    </w:p>
    <w:p w14:paraId="0E45970B" w14:textId="77777777" w:rsidR="004F14A1" w:rsidRPr="00F85178" w:rsidRDefault="004F14A1" w:rsidP="00590CE0">
      <w:pPr>
        <w:pStyle w:val="Odstavecseseznamem"/>
        <w:numPr>
          <w:ilvl w:val="0"/>
          <w:numId w:val="4"/>
        </w:numPr>
        <w:ind w:left="714" w:hanging="357"/>
      </w:pPr>
      <w:r w:rsidRPr="00F85178">
        <w:rPr>
          <w:b/>
        </w:rPr>
        <w:t xml:space="preserve">Nadřízený soud </w:t>
      </w:r>
      <w:r w:rsidRPr="00F85178">
        <w:t>–</w:t>
      </w:r>
      <w:r w:rsidR="0093094A" w:rsidRPr="00F85178">
        <w:t xml:space="preserve"> z </w:t>
      </w:r>
      <w:r w:rsidRPr="00F85178">
        <w:t>hlediska hierarchického organizačního uspořádání soudní soustavy lze soudy obecně označovat podle jejich postavení</w:t>
      </w:r>
      <w:r w:rsidR="0093094A" w:rsidRPr="00F85178">
        <w:t xml:space="preserve"> v </w:t>
      </w:r>
      <w:r w:rsidRPr="00F85178">
        <w:t>soustavě jako soudy vyšší</w:t>
      </w:r>
      <w:r w:rsidR="009B748A" w:rsidRPr="00F85178">
        <w:t xml:space="preserve"> a </w:t>
      </w:r>
      <w:r w:rsidRPr="00F85178">
        <w:t>nižší</w:t>
      </w:r>
      <w:r w:rsidR="009B748A" w:rsidRPr="00F85178">
        <w:t xml:space="preserve"> a </w:t>
      </w:r>
      <w:r w:rsidR="0093094A" w:rsidRPr="00F85178">
        <w:t>z </w:t>
      </w:r>
      <w:r w:rsidRPr="00F85178">
        <w:t>hlediska instančních vztahů také jako soudy nadřízené (vyššího stupně)</w:t>
      </w:r>
      <w:r w:rsidR="009B748A" w:rsidRPr="00F85178">
        <w:t xml:space="preserve"> a </w:t>
      </w:r>
      <w:r w:rsidRPr="00F85178">
        <w:t>podřízené (nižšího stupně). Vyšším soudem je soud, který</w:t>
      </w:r>
      <w:r w:rsidR="0093094A" w:rsidRPr="00F85178">
        <w:t xml:space="preserve"> v </w:t>
      </w:r>
      <w:r w:rsidRPr="00F85178">
        <w:t>soudní soustavě zaujímá oproti jinému soudu vyšší postavení bez ohledu na to, zda nižší soud je činný</w:t>
      </w:r>
      <w:r w:rsidR="0093094A" w:rsidRPr="00F85178">
        <w:t xml:space="preserve"> v </w:t>
      </w:r>
      <w:r w:rsidRPr="00F85178">
        <w:t>obvodu působnosti soudu vyššího. Nadřízeným soudem je soud vyšší ve vztahu</w:t>
      </w:r>
      <w:r w:rsidR="0093094A" w:rsidRPr="00F85178">
        <w:t xml:space="preserve"> k </w:t>
      </w:r>
      <w:r w:rsidRPr="00F85178">
        <w:t>soudu nižšímu (podřízenému), který spadá do jeho obvodu působnosti. Například krajský soud je vždy nadřízeným soudem ve vztahu</w:t>
      </w:r>
      <w:r w:rsidR="0093094A" w:rsidRPr="00F85178">
        <w:t xml:space="preserve"> k </w:t>
      </w:r>
      <w:r w:rsidRPr="00F85178">
        <w:t>okresním soudům</w:t>
      </w:r>
      <w:r w:rsidR="0093094A" w:rsidRPr="00F85178">
        <w:t xml:space="preserve"> v </w:t>
      </w:r>
      <w:r w:rsidRPr="00F85178">
        <w:t>obvodu jeho působnosti, nikoliv však již ve vztahu</w:t>
      </w:r>
      <w:r w:rsidR="0093094A" w:rsidRPr="00F85178">
        <w:t xml:space="preserve"> k </w:t>
      </w:r>
      <w:r w:rsidRPr="00F85178">
        <w:t>okresním soudům, které spadají do působnosti jiného krajského soudu apod.</w:t>
      </w:r>
    </w:p>
    <w:p w14:paraId="1EC036A6" w14:textId="77777777" w:rsidR="004F14A1" w:rsidRPr="00F85178" w:rsidRDefault="004F14A1" w:rsidP="00590CE0">
      <w:pPr>
        <w:pStyle w:val="Odstavecseseznamem"/>
        <w:numPr>
          <w:ilvl w:val="0"/>
          <w:numId w:val="4"/>
        </w:numPr>
        <w:ind w:left="714" w:hanging="357"/>
      </w:pPr>
      <w:r w:rsidRPr="00F85178">
        <w:rPr>
          <w:b/>
        </w:rPr>
        <w:t xml:space="preserve">Nejvyšší soud (NS) </w:t>
      </w:r>
      <w:r w:rsidRPr="00F85178">
        <w:t>– čtvrtý článek soudní soustavy</w:t>
      </w:r>
      <w:r w:rsidR="009B748A" w:rsidRPr="00F85178">
        <w:t xml:space="preserve"> a </w:t>
      </w:r>
      <w:r w:rsidR="00404B31" w:rsidRPr="00F85178">
        <w:t>vrcholný soudní orgán</w:t>
      </w:r>
      <w:r w:rsidRPr="00F85178">
        <w:t xml:space="preserve"> ve věcech patřících do pravomoci soudů</w:t>
      </w:r>
      <w:r w:rsidR="0093094A" w:rsidRPr="00F85178">
        <w:t xml:space="preserve"> v </w:t>
      </w:r>
      <w:r w:rsidRPr="00F85178">
        <w:t>civilním</w:t>
      </w:r>
      <w:r w:rsidR="009B748A" w:rsidRPr="00F85178">
        <w:t xml:space="preserve"> a </w:t>
      </w:r>
      <w:r w:rsidRPr="00F85178">
        <w:t>trestním soudnictví</w:t>
      </w:r>
      <w:r w:rsidR="0093094A" w:rsidRPr="00F85178">
        <w:t xml:space="preserve"> s </w:t>
      </w:r>
      <w:r w:rsidRPr="00F85178">
        <w:t>výjimkou záležitostí,</w:t>
      </w:r>
      <w:r w:rsidR="009B748A" w:rsidRPr="00F85178">
        <w:t xml:space="preserve"> o </w:t>
      </w:r>
      <w:r w:rsidRPr="00F85178">
        <w:t>nichž rozhoduje Ústavní soud</w:t>
      </w:r>
      <w:r w:rsidR="009B748A" w:rsidRPr="00F85178">
        <w:t xml:space="preserve"> a </w:t>
      </w:r>
      <w:r w:rsidRPr="00F85178">
        <w:t>Nejvyšší správní soud. Rozhoduje</w:t>
      </w:r>
      <w:r w:rsidR="009B748A" w:rsidRPr="00F85178">
        <w:t xml:space="preserve"> o </w:t>
      </w:r>
      <w:r w:rsidRPr="00F85178">
        <w:t>mimořádných opravných prostředcích</w:t>
      </w:r>
      <w:r w:rsidR="0093094A" w:rsidRPr="00F85178">
        <w:t xml:space="preserve"> v </w:t>
      </w:r>
      <w:r w:rsidRPr="00F85178">
        <w:t>případech stanovených zákony</w:t>
      </w:r>
      <w:r w:rsidR="009B748A" w:rsidRPr="00F85178">
        <w:t xml:space="preserve"> o </w:t>
      </w:r>
      <w:r w:rsidRPr="00F85178">
        <w:t>řízení před soudy</w:t>
      </w:r>
      <w:r w:rsidR="009B748A" w:rsidRPr="00F85178">
        <w:t xml:space="preserve"> a </w:t>
      </w:r>
      <w:r w:rsidR="0093094A" w:rsidRPr="00F85178">
        <w:t>v </w:t>
      </w:r>
      <w:r w:rsidRPr="00F85178">
        <w:t>jiných případech stanovených zvláštním právním předpisem nebo mezinárodní smlouvou,</w:t>
      </w:r>
      <w:r w:rsidR="0093094A" w:rsidRPr="00F85178">
        <w:t xml:space="preserve"> s </w:t>
      </w:r>
      <w:r w:rsidRPr="00F85178">
        <w:t>níž vyslovil souhlas Parlament, jíž je Česká republika vázána</w:t>
      </w:r>
      <w:r w:rsidR="009B748A" w:rsidRPr="00F85178">
        <w:t xml:space="preserve"> a </w:t>
      </w:r>
      <w:r w:rsidRPr="00F85178">
        <w:t>která byla vyhlášena. Sídlí</w:t>
      </w:r>
      <w:r w:rsidR="0093094A" w:rsidRPr="00F85178">
        <w:t xml:space="preserve"> v </w:t>
      </w:r>
      <w:r w:rsidRPr="00F85178">
        <w:t>Brně.</w:t>
      </w:r>
    </w:p>
    <w:p w14:paraId="4EFD33E1" w14:textId="77777777" w:rsidR="004F14A1" w:rsidRPr="00F85178" w:rsidRDefault="004F14A1" w:rsidP="00590CE0">
      <w:pPr>
        <w:pStyle w:val="Odstavecseseznamem"/>
        <w:numPr>
          <w:ilvl w:val="0"/>
          <w:numId w:val="4"/>
        </w:numPr>
        <w:ind w:left="714" w:hanging="357"/>
      </w:pPr>
      <w:r w:rsidRPr="00F85178">
        <w:rPr>
          <w:b/>
        </w:rPr>
        <w:t xml:space="preserve">Nejvyšší správní soud (NSS) </w:t>
      </w:r>
      <w:r w:rsidRPr="00F85178">
        <w:t>– vrcholný soudní orgán ve věcech patřících do pravomoci soudů ve správním soudnictví. Správní soudnictví</w:t>
      </w:r>
      <w:r w:rsidR="0093094A" w:rsidRPr="00F85178">
        <w:t xml:space="preserve"> v </w:t>
      </w:r>
      <w:r w:rsidRPr="00F85178">
        <w:t>ČR spolu</w:t>
      </w:r>
      <w:r w:rsidR="0093094A" w:rsidRPr="00F85178">
        <w:t xml:space="preserve"> s </w:t>
      </w:r>
      <w:r w:rsidRPr="00F85178">
        <w:t>NSS vykonávají dále už jen krajské soudy. Sídlí</w:t>
      </w:r>
      <w:r w:rsidR="0093094A" w:rsidRPr="00F85178">
        <w:t xml:space="preserve"> v </w:t>
      </w:r>
      <w:r w:rsidRPr="00F85178">
        <w:t>Brně.</w:t>
      </w:r>
    </w:p>
    <w:p w14:paraId="62BC13B5" w14:textId="77777777" w:rsidR="004F14A1" w:rsidRPr="00F85178" w:rsidRDefault="004F14A1" w:rsidP="00590CE0">
      <w:pPr>
        <w:pStyle w:val="Odstavecseseznamem"/>
        <w:numPr>
          <w:ilvl w:val="0"/>
          <w:numId w:val="4"/>
        </w:numPr>
        <w:ind w:left="714" w:hanging="357"/>
      </w:pPr>
      <w:r w:rsidRPr="00F85178">
        <w:rPr>
          <w:b/>
        </w:rPr>
        <w:t xml:space="preserve">OZ </w:t>
      </w:r>
      <w:r w:rsidRPr="00F85178">
        <w:t>– občanský zákoník, zákon</w:t>
      </w:r>
      <w:r w:rsidR="0093094A" w:rsidRPr="00F85178">
        <w:t xml:space="preserve"> č. </w:t>
      </w:r>
      <w:r w:rsidRPr="00F85178">
        <w:t>89/2012</w:t>
      </w:r>
      <w:r w:rsidR="0093094A" w:rsidRPr="00F85178">
        <w:t> Sb.</w:t>
      </w:r>
      <w:r w:rsidRPr="00F85178">
        <w:t>, který rekodifikoval české soukromé právo</w:t>
      </w:r>
      <w:r w:rsidR="009B748A" w:rsidRPr="00F85178">
        <w:t xml:space="preserve"> a </w:t>
      </w:r>
      <w:r w:rsidRPr="00F85178">
        <w:t>nahradil předchozí československý občanský zákoník</w:t>
      </w:r>
      <w:r w:rsidR="0093094A" w:rsidRPr="00F85178">
        <w:t xml:space="preserve"> z </w:t>
      </w:r>
      <w:r w:rsidRPr="00F85178">
        <w:t>roku 1964. Nabyl účinnosti dnem 1. 1. 2014.</w:t>
      </w:r>
    </w:p>
    <w:p w14:paraId="644CDFD7" w14:textId="77777777" w:rsidR="004F14A1" w:rsidRPr="00F85178" w:rsidRDefault="004F14A1" w:rsidP="00590CE0">
      <w:pPr>
        <w:pStyle w:val="Odstavecseseznamem"/>
        <w:numPr>
          <w:ilvl w:val="0"/>
          <w:numId w:val="4"/>
        </w:numPr>
        <w:ind w:left="714" w:hanging="357"/>
      </w:pPr>
      <w:r w:rsidRPr="00F85178">
        <w:rPr>
          <w:b/>
        </w:rPr>
        <w:t xml:space="preserve">Obchodní </w:t>
      </w:r>
      <w:r w:rsidRPr="00F85178">
        <w:t>– (agenda, úsek) jedna ze samostatně sledovaných agend civilního soudnictví, jejíž převážnou část tvoří spory mezi podnikateli</w:t>
      </w:r>
      <w:r w:rsidR="009B748A" w:rsidRPr="00F85178">
        <w:t xml:space="preserve"> a </w:t>
      </w:r>
      <w:r w:rsidRPr="00F85178">
        <w:t>statusové věci právnických osob, včetně jejich zrušení</w:t>
      </w:r>
      <w:r w:rsidR="009B748A" w:rsidRPr="00F85178">
        <w:t xml:space="preserve"> a </w:t>
      </w:r>
      <w:r w:rsidRPr="00F85178">
        <w:t>likvidace, jmenování</w:t>
      </w:r>
      <w:r w:rsidR="009B748A" w:rsidRPr="00F85178">
        <w:t xml:space="preserve"> a </w:t>
      </w:r>
      <w:r w:rsidRPr="00F85178">
        <w:t>odvolávání členů jejich orgánů nebo likvidátora</w:t>
      </w:r>
      <w:r w:rsidR="009B748A" w:rsidRPr="00F85178">
        <w:t xml:space="preserve"> a </w:t>
      </w:r>
      <w:r w:rsidRPr="00F85178">
        <w:t>přeměn. Do obchodní agendy se řadí</w:t>
      </w:r>
      <w:r w:rsidR="009B748A" w:rsidRPr="00F85178">
        <w:t xml:space="preserve"> i </w:t>
      </w:r>
      <w:r w:rsidRPr="00F85178">
        <w:t>dvě další agendy se specificky upraveným druhem řízení. V prvním případě se jedná</w:t>
      </w:r>
      <w:r w:rsidR="009B748A" w:rsidRPr="00F85178">
        <w:t xml:space="preserve"> o </w:t>
      </w:r>
      <w:r w:rsidRPr="00F85178">
        <w:t>insolvenci, která je vzhledem ke svému rozsahu</w:t>
      </w:r>
      <w:r w:rsidR="009B748A" w:rsidRPr="00F85178">
        <w:t xml:space="preserve"> a </w:t>
      </w:r>
      <w:r w:rsidRPr="00F85178">
        <w:t>významu sledována zvlášť. V druhém případě jde</w:t>
      </w:r>
      <w:r w:rsidR="009B748A" w:rsidRPr="00F85178">
        <w:t xml:space="preserve"> o </w:t>
      </w:r>
      <w:r w:rsidRPr="00F85178">
        <w:t>řízení ve věcech veřejných rejstříků právnických</w:t>
      </w:r>
      <w:r w:rsidR="009B748A" w:rsidRPr="00F85178">
        <w:t xml:space="preserve"> a </w:t>
      </w:r>
      <w:r w:rsidRPr="00F85178">
        <w:t>fyzických osob. Tato zpráva se posledně uvedenou agendou nezabývá; údaje</w:t>
      </w:r>
      <w:r w:rsidR="009B748A" w:rsidRPr="00F85178">
        <w:t xml:space="preserve"> o </w:t>
      </w:r>
      <w:r w:rsidRPr="00F85178">
        <w:t>ní lze získat</w:t>
      </w:r>
      <w:r w:rsidR="0093094A" w:rsidRPr="00F85178">
        <w:t xml:space="preserve"> z </w:t>
      </w:r>
      <w:r w:rsidRPr="00F85178">
        <w:t>ostatních veřejných zdrojů justičních statistik.</w:t>
      </w:r>
    </w:p>
    <w:p w14:paraId="74343A2E" w14:textId="77777777" w:rsidR="004F14A1" w:rsidRPr="00F85178" w:rsidRDefault="004F14A1" w:rsidP="00590CE0">
      <w:pPr>
        <w:pStyle w:val="Odstavecseseznamem"/>
        <w:numPr>
          <w:ilvl w:val="0"/>
          <w:numId w:val="4"/>
        </w:numPr>
      </w:pPr>
      <w:r w:rsidRPr="00F85178">
        <w:rPr>
          <w:b/>
        </w:rPr>
        <w:t xml:space="preserve">Odvolací instance (agenda) </w:t>
      </w:r>
      <w:r w:rsidRPr="00F85178">
        <w:t>– také soud II. stupně (druhostupňová agenda). Soudní řízení bývá zpravidla dvoustupňové. Každá nová věc (spor nebo jiná právní věc) je nejdříve projednána</w:t>
      </w:r>
      <w:r w:rsidR="009B748A" w:rsidRPr="00F85178">
        <w:t xml:space="preserve"> a </w:t>
      </w:r>
      <w:r w:rsidRPr="00F85178">
        <w:t>rozhodnuta</w:t>
      </w:r>
      <w:r w:rsidR="0093094A" w:rsidRPr="00F85178">
        <w:t xml:space="preserve"> v </w:t>
      </w:r>
      <w:r w:rsidRPr="00F85178">
        <w:t>první instanci (viz dále). Lze-li nepravomocné rozhodnutí soudu I. stupně napadnout opravným prostředkem, koná se následně u bezprostředně nadřízeného soudu odvolací řízení.</w:t>
      </w:r>
    </w:p>
    <w:p w14:paraId="12A8F950" w14:textId="77777777" w:rsidR="004F14A1" w:rsidRPr="00F85178" w:rsidRDefault="004F14A1" w:rsidP="00590CE0">
      <w:pPr>
        <w:pStyle w:val="Odstavecseseznamem"/>
        <w:numPr>
          <w:ilvl w:val="0"/>
          <w:numId w:val="4"/>
        </w:numPr>
      </w:pPr>
      <w:r w:rsidRPr="00F85178">
        <w:rPr>
          <w:b/>
        </w:rPr>
        <w:t>Okresní soudy (OS)</w:t>
      </w:r>
      <w:r w:rsidRPr="00F85178">
        <w:t xml:space="preserve"> – první, nejnižší článek soudní soustavy. Tento článek soustavy čítá celkem 86 okresních soudů,</w:t>
      </w:r>
      <w:r w:rsidR="0093094A" w:rsidRPr="00F85178">
        <w:t xml:space="preserve"> z </w:t>
      </w:r>
      <w:r w:rsidRPr="00F85178">
        <w:t xml:space="preserve">nichž 75 je označeno jako </w:t>
      </w:r>
      <w:r w:rsidRPr="00F85178">
        <w:rPr>
          <w:i/>
        </w:rPr>
        <w:t>okresní</w:t>
      </w:r>
      <w:r w:rsidRPr="00F85178">
        <w:t xml:space="preserve">, deset soudů na území hlavního města Prahy jako </w:t>
      </w:r>
      <w:r w:rsidRPr="00F85178">
        <w:rPr>
          <w:i/>
        </w:rPr>
        <w:t>obvodní</w:t>
      </w:r>
      <w:r w:rsidRPr="00F85178">
        <w:t xml:space="preserve"> (území hl. m. Prahy se dělí na deset soudních obvodů),</w:t>
      </w:r>
      <w:r w:rsidR="009B748A" w:rsidRPr="00F85178">
        <w:t xml:space="preserve"> a </w:t>
      </w:r>
      <w:r w:rsidRPr="00F85178">
        <w:t xml:space="preserve">jeden jako </w:t>
      </w:r>
      <w:r w:rsidRPr="00F85178">
        <w:rPr>
          <w:i/>
        </w:rPr>
        <w:t>městský</w:t>
      </w:r>
      <w:r w:rsidRPr="00F85178">
        <w:t xml:space="preserve"> – Městský soud</w:t>
      </w:r>
      <w:r w:rsidR="0093094A" w:rsidRPr="00F85178">
        <w:t xml:space="preserve"> v </w:t>
      </w:r>
      <w:r w:rsidRPr="00F85178">
        <w:t>Brně, který vykonává působnost okresního soudu pro území Statutárního města Brno (okres Brno-město).</w:t>
      </w:r>
    </w:p>
    <w:p w14:paraId="77713C9D" w14:textId="77777777" w:rsidR="004F14A1" w:rsidRPr="00F85178" w:rsidRDefault="004F14A1" w:rsidP="00590CE0">
      <w:pPr>
        <w:pStyle w:val="Odstavecseseznamem"/>
        <w:numPr>
          <w:ilvl w:val="0"/>
          <w:numId w:val="4"/>
        </w:numPr>
      </w:pPr>
      <w:r w:rsidRPr="00F85178">
        <w:rPr>
          <w:b/>
        </w:rPr>
        <w:t xml:space="preserve">Opatrovnická </w:t>
      </w:r>
      <w:r w:rsidRPr="00F85178">
        <w:t>– (agenda, řízení, úsek) je jednou ze samostatných agend civilního soudnictví, kterou tvoří zejména věci týkající se svéprávnosti</w:t>
      </w:r>
      <w:r w:rsidR="009B748A" w:rsidRPr="00F85178">
        <w:t xml:space="preserve"> a </w:t>
      </w:r>
      <w:r w:rsidRPr="00F85178">
        <w:t>opatrovnictví člověka</w:t>
      </w:r>
      <w:r w:rsidR="009B748A" w:rsidRPr="00F85178">
        <w:t xml:space="preserve"> a </w:t>
      </w:r>
      <w:r w:rsidRPr="00F85178">
        <w:t>dále především záležitosti kolem nezletilých dětí, poručenství</w:t>
      </w:r>
      <w:r w:rsidR="009B748A" w:rsidRPr="00F85178">
        <w:t xml:space="preserve"> a </w:t>
      </w:r>
      <w:r w:rsidRPr="00F85178">
        <w:t>jiné formy péče</w:t>
      </w:r>
      <w:r w:rsidR="009B748A" w:rsidRPr="00F85178">
        <w:t xml:space="preserve"> o </w:t>
      </w:r>
      <w:r w:rsidRPr="00F85178">
        <w:t xml:space="preserve">dítě. Kromě výše uvedeného se do opatrovnické agendy započítávají také věci tzv. </w:t>
      </w:r>
      <w:r w:rsidRPr="00F85178">
        <w:rPr>
          <w:i/>
        </w:rPr>
        <w:t>detenčního řízení</w:t>
      </w:r>
      <w:r w:rsidRPr="00F85178">
        <w:t>, tedy řízení ve věcech vyslovení přípustnosti převzetí nebo držení ve zdravotním ústavu (rejstřík L). Vzhledem</w:t>
      </w:r>
      <w:r w:rsidR="0093094A" w:rsidRPr="00F85178">
        <w:t xml:space="preserve"> k </w:t>
      </w:r>
      <w:r w:rsidRPr="00F85178">
        <w:t>omezenému rozsahu detenční agendy se jí tato zpráva nezabývá.</w:t>
      </w:r>
    </w:p>
    <w:p w14:paraId="4E2F48F9" w14:textId="77777777" w:rsidR="004F14A1" w:rsidRPr="00F85178" w:rsidRDefault="004F14A1" w:rsidP="00590CE0">
      <w:pPr>
        <w:pStyle w:val="Odstavecseseznamem"/>
        <w:numPr>
          <w:ilvl w:val="0"/>
          <w:numId w:val="4"/>
        </w:numPr>
      </w:pPr>
      <w:r w:rsidRPr="00F85178">
        <w:rPr>
          <w:b/>
        </w:rPr>
        <w:t xml:space="preserve">První instance (prvoinstanční agenda) </w:t>
      </w:r>
      <w:r w:rsidRPr="00F85178">
        <w:t>– také soud I. stupně (prvostupňová agenda). Okresní soudy jsou soudy první instance vždy, není-li</w:t>
      </w:r>
      <w:r w:rsidR="0093094A" w:rsidRPr="00F85178">
        <w:t xml:space="preserve"> k </w:t>
      </w:r>
      <w:r w:rsidRPr="00F85178">
        <w:t>tomu podle předpisů upravujících soudní řízení učen jiný článek soudní soustavy. Takovým jiným článkem jsou zpravidla krajské soudy. Existuje však velmi malý okruh věcí, kdy jako prvoinstanční soud působí soudy vrchní nebo nejvyšší (Nejvyšší soud</w:t>
      </w:r>
      <w:r w:rsidR="009B748A" w:rsidRPr="00F85178">
        <w:t xml:space="preserve"> a </w:t>
      </w:r>
      <w:r w:rsidRPr="00F85178">
        <w:t>Nejvyšší správní soud).</w:t>
      </w:r>
    </w:p>
    <w:p w14:paraId="070F4EB4" w14:textId="77777777" w:rsidR="00C766D7" w:rsidRPr="00F85178" w:rsidRDefault="00C766D7" w:rsidP="001F1F79">
      <w:pPr>
        <w:pStyle w:val="Odstavecseseznamem"/>
        <w:numPr>
          <w:ilvl w:val="0"/>
          <w:numId w:val="4"/>
        </w:numPr>
      </w:pPr>
      <w:r w:rsidRPr="00F85178">
        <w:rPr>
          <w:b/>
        </w:rPr>
        <w:t xml:space="preserve">Přísedící soudu </w:t>
      </w:r>
      <w:r w:rsidRPr="00F85178">
        <w:t xml:space="preserve">– </w:t>
      </w:r>
      <w:r w:rsidR="001F1F79" w:rsidRPr="00F85178">
        <w:t>laické osoby (nejedná se odborně vzdělané soudce), které jsou vedle předsedy členy soudního senátu. Jejich role v rozhodovací činnosti soudu spočívá v</w:t>
      </w:r>
      <w:r w:rsidR="00B71D87" w:rsidRPr="00F85178">
        <w:t xml:space="preserve"> přítomnosti na </w:t>
      </w:r>
      <w:r w:rsidR="003863CF" w:rsidRPr="00F85178">
        <w:t>zasedáních některých</w:t>
      </w:r>
      <w:r w:rsidR="00B71D87" w:rsidRPr="00F85178">
        <w:t xml:space="preserve"> tříčlenných soudních senátů</w:t>
      </w:r>
      <w:r w:rsidR="001F1F79" w:rsidRPr="00F85178">
        <w:t xml:space="preserve">, přičemž vždy dva přísedící doplňuje </w:t>
      </w:r>
      <w:r w:rsidR="003863CF" w:rsidRPr="00F85178">
        <w:t>jeden profesionální soudce. Ten</w:t>
      </w:r>
      <w:r w:rsidR="001F1F79" w:rsidRPr="00F85178">
        <w:t xml:space="preserve"> je předsedou daného senátu, ale při poradě o rozsudku ho mohou přísedící přehlasovat, neboť platí rovnost hlasů </w:t>
      </w:r>
      <w:r w:rsidR="008E360E" w:rsidRPr="00F85178">
        <w:t>[</w:t>
      </w:r>
      <w:r w:rsidR="001F1F79" w:rsidRPr="00F85178">
        <w:t xml:space="preserve">více viz </w:t>
      </w:r>
      <w:r w:rsidR="008E360E" w:rsidRPr="00F85178">
        <w:t>zákon č. 6/2002 Sb., o soudech, soudcích, přísedících a státní správě soudů a o změně některých dalších zákonů (zákon o soudech a soudcích), ve znění pozdějších předpisů]</w:t>
      </w:r>
      <w:r w:rsidR="00B71D87" w:rsidRPr="00F85178">
        <w:t>.</w:t>
      </w:r>
    </w:p>
    <w:p w14:paraId="714B057C" w14:textId="77777777" w:rsidR="004F14A1" w:rsidRPr="00F85178" w:rsidRDefault="004F14A1" w:rsidP="00590CE0">
      <w:pPr>
        <w:pStyle w:val="Odstavecseseznamem"/>
        <w:numPr>
          <w:ilvl w:val="0"/>
          <w:numId w:val="4"/>
        </w:numPr>
      </w:pPr>
      <w:r w:rsidRPr="00F85178">
        <w:rPr>
          <w:b/>
        </w:rPr>
        <w:t xml:space="preserve">Rejstřík </w:t>
      </w:r>
      <w:r w:rsidRPr="00F85178">
        <w:t>– je evidenční pomůcka, která podává přehled</w:t>
      </w:r>
      <w:r w:rsidR="009B748A" w:rsidRPr="00F85178">
        <w:t xml:space="preserve"> o </w:t>
      </w:r>
      <w:r w:rsidRPr="00F85178">
        <w:t>počtu</w:t>
      </w:r>
      <w:r w:rsidR="009B748A" w:rsidRPr="00F85178">
        <w:t xml:space="preserve"> a </w:t>
      </w:r>
      <w:r w:rsidRPr="00F85178">
        <w:t>stavu vyřizování jednotlivých věcí. Je také podkladem pro vypracování statistických výkazů</w:t>
      </w:r>
      <w:r w:rsidR="009B748A" w:rsidRPr="00F85178">
        <w:t xml:space="preserve"> o </w:t>
      </w:r>
      <w:r w:rsidRPr="00F85178">
        <w:t>činnosti soudů</w:t>
      </w:r>
      <w:r w:rsidR="009B748A" w:rsidRPr="00F85178">
        <w:t xml:space="preserve"> a </w:t>
      </w:r>
      <w:r w:rsidRPr="00F85178">
        <w:t>dalších statistických výstupů</w:t>
      </w:r>
      <w:r w:rsidR="009B748A" w:rsidRPr="00F85178">
        <w:t xml:space="preserve"> a </w:t>
      </w:r>
      <w:r w:rsidRPr="00F85178">
        <w:t>zdrojem pro základní kontrolu výkonu působnosti soudů. Soudy (včetně nejvyšších) vedou celkem přibližně 120 druhů rejstříků.</w:t>
      </w:r>
    </w:p>
    <w:p w14:paraId="661E6BCB" w14:textId="77777777" w:rsidR="004F14A1" w:rsidRPr="00F85178" w:rsidRDefault="004F14A1" w:rsidP="00590CE0">
      <w:pPr>
        <w:pStyle w:val="Odstavecseseznamem"/>
        <w:numPr>
          <w:ilvl w:val="0"/>
          <w:numId w:val="4"/>
        </w:numPr>
      </w:pPr>
      <w:r w:rsidRPr="00F85178">
        <w:rPr>
          <w:b/>
        </w:rPr>
        <w:t xml:space="preserve">Rozkazní řízení </w:t>
      </w:r>
      <w:r w:rsidRPr="00F85178">
        <w:t>– jedná se</w:t>
      </w:r>
      <w:r w:rsidR="009B748A" w:rsidRPr="00F85178">
        <w:t xml:space="preserve"> o </w:t>
      </w:r>
      <w:r w:rsidRPr="00F85178">
        <w:t>civilní řízení ve zkrácené formě, jehož cílem je skončení věcí vydáním platebního rozkazu. V této zprávě označuje jen ta civilní řízení, která jsou zahájena návrhem žalobce na vydání platebního rozkazu. Platební rozkaz se vydává bez slyšení žalované strany</w:t>
      </w:r>
      <w:r w:rsidR="009B748A" w:rsidRPr="00F85178">
        <w:t xml:space="preserve"> a </w:t>
      </w:r>
      <w:r w:rsidRPr="00F85178">
        <w:t>řízení jím může být skončeno jen tehdy, nepodá-li proti němu žalovaná strana odpor. Neskončí-li řízení pravomocným platebním rozkazem, přechází do klasického civilního řízení. Platebním rozkazem se</w:t>
      </w:r>
      <w:r w:rsidR="0093094A" w:rsidRPr="00F85178">
        <w:t xml:space="preserve"> v </w:t>
      </w:r>
      <w:r w:rsidRPr="00F85178">
        <w:t>této zprávě míní nejen běžný platební rozkaz, ale</w:t>
      </w:r>
      <w:r w:rsidR="009B748A" w:rsidRPr="00F85178">
        <w:t xml:space="preserve"> i </w:t>
      </w:r>
      <w:r w:rsidRPr="00F85178">
        <w:t>elektronický platební rozkaz, evropský platební rozkaz</w:t>
      </w:r>
      <w:r w:rsidR="009B748A" w:rsidRPr="00F85178">
        <w:t xml:space="preserve"> a </w:t>
      </w:r>
      <w:r w:rsidRPr="00F85178">
        <w:t>směnečný (šekový) platební rozkaz</w:t>
      </w:r>
      <w:r w:rsidR="001E7804" w:rsidRPr="00F85178">
        <w:t>, není-li uvedeno jinak</w:t>
      </w:r>
      <w:r w:rsidRPr="00F85178">
        <w:t>.</w:t>
      </w:r>
    </w:p>
    <w:p w14:paraId="381A2D6D" w14:textId="77777777" w:rsidR="00F534B4" w:rsidRPr="00F85178" w:rsidRDefault="00F534B4" w:rsidP="00722FE3">
      <w:pPr>
        <w:pStyle w:val="Odstavecseseznamem"/>
        <w:numPr>
          <w:ilvl w:val="0"/>
          <w:numId w:val="4"/>
        </w:numPr>
      </w:pPr>
      <w:r w:rsidRPr="00F85178">
        <w:rPr>
          <w:b/>
        </w:rPr>
        <w:t xml:space="preserve">Skutková podstata </w:t>
      </w:r>
      <w:r w:rsidR="009C2163" w:rsidRPr="00F85178">
        <w:rPr>
          <w:b/>
        </w:rPr>
        <w:t>trestného činu</w:t>
      </w:r>
      <w:r w:rsidR="0027709B" w:rsidRPr="00F85178">
        <w:rPr>
          <w:b/>
        </w:rPr>
        <w:t xml:space="preserve"> </w:t>
      </w:r>
      <w:r w:rsidR="006256EF" w:rsidRPr="00F85178">
        <w:t>– souhrn typových znaků uvedených</w:t>
      </w:r>
      <w:r w:rsidR="0093094A" w:rsidRPr="00F85178">
        <w:t xml:space="preserve"> v </w:t>
      </w:r>
      <w:r w:rsidR="006256EF" w:rsidRPr="00F85178">
        <w:t>trestním zákoníku, podle kterých se rozlišují jednotlivé druhy trestných činů (vražda, loupež, krádež, podvod a</w:t>
      </w:r>
      <w:r w:rsidR="0027709B" w:rsidRPr="00F85178">
        <w:t>td</w:t>
      </w:r>
      <w:r w:rsidR="006256EF" w:rsidRPr="00F85178">
        <w:t>.).</w:t>
      </w:r>
    </w:p>
    <w:p w14:paraId="5F4D90E7" w14:textId="77777777" w:rsidR="004F14A1" w:rsidRPr="00F85178" w:rsidRDefault="004F14A1" w:rsidP="00590CE0">
      <w:pPr>
        <w:pStyle w:val="Odstavecseseznamem"/>
        <w:numPr>
          <w:ilvl w:val="0"/>
          <w:numId w:val="4"/>
        </w:numPr>
        <w:rPr>
          <w:b/>
        </w:rPr>
      </w:pPr>
      <w:r w:rsidRPr="00F85178">
        <w:rPr>
          <w:b/>
        </w:rPr>
        <w:t>Soudní obvod (okresního, krajského</w:t>
      </w:r>
      <w:r w:rsidR="009B748A" w:rsidRPr="00F85178">
        <w:rPr>
          <w:b/>
        </w:rPr>
        <w:t xml:space="preserve"> a </w:t>
      </w:r>
      <w:r w:rsidRPr="00F85178">
        <w:rPr>
          <w:b/>
        </w:rPr>
        <w:t>vrchního soudu)</w:t>
      </w:r>
      <w:r w:rsidRPr="00F85178">
        <w:t xml:space="preserve"> – územní působnost jednotlivých soudů, včetně názvu</w:t>
      </w:r>
      <w:r w:rsidR="009B748A" w:rsidRPr="00F85178">
        <w:t xml:space="preserve"> a </w:t>
      </w:r>
      <w:r w:rsidRPr="00F85178">
        <w:t>umístění sídla, stanovuje zákon</w:t>
      </w:r>
      <w:r w:rsidR="0093094A" w:rsidRPr="00F85178">
        <w:t xml:space="preserve"> č. </w:t>
      </w:r>
      <w:r w:rsidRPr="00F85178">
        <w:t>6/2002</w:t>
      </w:r>
      <w:r w:rsidR="0093094A" w:rsidRPr="00F85178">
        <w:t> Sb.</w:t>
      </w:r>
      <w:r w:rsidRPr="00F85178">
        <w:t>,</w:t>
      </w:r>
      <w:r w:rsidR="009B748A" w:rsidRPr="00F85178">
        <w:t xml:space="preserve"> o </w:t>
      </w:r>
      <w:r w:rsidRPr="00F85178">
        <w:t>soudech, soudcích, přísedících</w:t>
      </w:r>
      <w:r w:rsidR="009B748A" w:rsidRPr="00F85178">
        <w:t xml:space="preserve"> a </w:t>
      </w:r>
      <w:r w:rsidRPr="00F85178">
        <w:t>státní správě soudů</w:t>
      </w:r>
      <w:r w:rsidR="009B748A" w:rsidRPr="00F85178">
        <w:t xml:space="preserve"> a </w:t>
      </w:r>
      <w:r w:rsidRPr="00F85178">
        <w:t>o změně některých dalších zákonů (zákon</w:t>
      </w:r>
      <w:r w:rsidR="009B748A" w:rsidRPr="00F85178">
        <w:t xml:space="preserve"> o </w:t>
      </w:r>
      <w:r w:rsidRPr="00F85178">
        <w:t>soudech</w:t>
      </w:r>
      <w:r w:rsidR="009B748A" w:rsidRPr="00F85178">
        <w:t xml:space="preserve"> a </w:t>
      </w:r>
      <w:r w:rsidRPr="00F85178">
        <w:t>soudcích), ve znění pozdějších předpisů. Obvod okresního soudu (soudní okres) je vymezen územním výčtem obcí, které jej tvoří (u obvodního soudu územím městských částí hlavního města Prahy). Obvod krajského soudu (soudní kraj) se skládá</w:t>
      </w:r>
      <w:r w:rsidR="0093094A" w:rsidRPr="00F85178">
        <w:t xml:space="preserve"> z </w:t>
      </w:r>
      <w:r w:rsidRPr="00F85178">
        <w:t>obvodu okresních soudů, kterým je nadřízeným soudem,</w:t>
      </w:r>
      <w:r w:rsidR="009B748A" w:rsidRPr="00F85178">
        <w:t xml:space="preserve"> a </w:t>
      </w:r>
      <w:r w:rsidRPr="00F85178">
        <w:t>obvod vrchního soudu</w:t>
      </w:r>
      <w:r w:rsidR="0093094A" w:rsidRPr="00F85178">
        <w:t xml:space="preserve"> z </w:t>
      </w:r>
      <w:r w:rsidRPr="00F85178">
        <w:t>obvodů krajských soudů, kterým je nadřízeným soudem.</w:t>
      </w:r>
    </w:p>
    <w:p w14:paraId="3DBCD3BF" w14:textId="77777777" w:rsidR="004F14A1" w:rsidRPr="00F85178" w:rsidRDefault="004F14A1" w:rsidP="00590CE0">
      <w:pPr>
        <w:pStyle w:val="Odstavecseseznamem"/>
        <w:numPr>
          <w:ilvl w:val="0"/>
          <w:numId w:val="4"/>
        </w:numPr>
      </w:pPr>
      <w:r w:rsidRPr="00F85178">
        <w:rPr>
          <w:b/>
        </w:rPr>
        <w:t xml:space="preserve">Správní </w:t>
      </w:r>
      <w:r w:rsidRPr="00F85178">
        <w:t>– (agenda, řízení, úsek) – ve správním soudnictví poskytují soudy ochranu veřejným subjektivním právům fyzických</w:t>
      </w:r>
      <w:r w:rsidR="009B748A" w:rsidRPr="00F85178">
        <w:t xml:space="preserve"> i </w:t>
      </w:r>
      <w:r w:rsidRPr="00F85178">
        <w:t>právnických osob</w:t>
      </w:r>
      <w:r w:rsidR="009B748A" w:rsidRPr="00F85178">
        <w:t xml:space="preserve"> a </w:t>
      </w:r>
      <w:r w:rsidRPr="00F85178">
        <w:t>rozhodují</w:t>
      </w:r>
      <w:r w:rsidR="009B748A" w:rsidRPr="00F85178">
        <w:t xml:space="preserve"> i </w:t>
      </w:r>
      <w:r w:rsidRPr="00F85178">
        <w:t>další věci,</w:t>
      </w:r>
      <w:r w:rsidR="009B748A" w:rsidRPr="00F85178">
        <w:t xml:space="preserve"> o </w:t>
      </w:r>
      <w:r w:rsidRPr="00F85178">
        <w:t>kterých tak stanoví zákon (zejména věci volební, věci místního</w:t>
      </w:r>
      <w:r w:rsidR="009B748A" w:rsidRPr="00F85178">
        <w:t xml:space="preserve"> a </w:t>
      </w:r>
      <w:r w:rsidRPr="00F85178">
        <w:t>krajského referenda</w:t>
      </w:r>
      <w:r w:rsidR="009B748A" w:rsidRPr="00F85178">
        <w:t xml:space="preserve"> a </w:t>
      </w:r>
      <w:r w:rsidRPr="00F85178">
        <w:t>rozhodování</w:t>
      </w:r>
      <w:r w:rsidR="009B748A" w:rsidRPr="00F85178">
        <w:t xml:space="preserve"> o </w:t>
      </w:r>
      <w:r w:rsidRPr="00F85178">
        <w:t>zrušení opatření obecné povahy nebo jeho částí pro rozpor se zákonem).</w:t>
      </w:r>
    </w:p>
    <w:p w14:paraId="10141A76" w14:textId="77777777" w:rsidR="004F14A1" w:rsidRPr="00F85178" w:rsidRDefault="004F14A1" w:rsidP="00590CE0">
      <w:pPr>
        <w:pStyle w:val="Odstavecseseznamem"/>
        <w:numPr>
          <w:ilvl w:val="0"/>
          <w:numId w:val="4"/>
        </w:numPr>
      </w:pPr>
      <w:r w:rsidRPr="00F85178">
        <w:rPr>
          <w:b/>
        </w:rPr>
        <w:t xml:space="preserve">Stížnost pro porušení zákona </w:t>
      </w:r>
      <w:r w:rsidRPr="00F85178">
        <w:t>– mimořádný opravný prostředek, který může podat jen ministr spravedlnosti,</w:t>
      </w:r>
      <w:r w:rsidR="009B748A" w:rsidRPr="00F85178">
        <w:t xml:space="preserve"> a </w:t>
      </w:r>
      <w:r w:rsidRPr="00F85178">
        <w:t>to proti pravomocnému rozhodnutí soudu nebo státního zástupce, jímž byl porušen zákon nebo které bylo učiněno na podkladě vadného postupu řízení. Stížnost pro porušení zákona se podává</w:t>
      </w:r>
      <w:r w:rsidR="0093094A" w:rsidRPr="00F85178">
        <w:t xml:space="preserve"> k </w:t>
      </w:r>
      <w:r w:rsidRPr="00F85178">
        <w:t>Nejvyššímu soudu, který</w:t>
      </w:r>
      <w:r w:rsidR="009B748A" w:rsidRPr="00F85178">
        <w:t xml:space="preserve"> o </w:t>
      </w:r>
      <w:r w:rsidRPr="00F85178">
        <w:t>ní také rozhoduje (viz také ust. § 266</w:t>
      </w:r>
      <w:r w:rsidR="009B748A" w:rsidRPr="00F85178">
        <w:t xml:space="preserve"> a </w:t>
      </w:r>
      <w:r w:rsidRPr="00F85178">
        <w:t xml:space="preserve">násl. tr. </w:t>
      </w:r>
      <w:proofErr w:type="gramStart"/>
      <w:r w:rsidRPr="00F85178">
        <w:t>řádu</w:t>
      </w:r>
      <w:proofErr w:type="gramEnd"/>
      <w:r w:rsidRPr="00F85178">
        <w:t>).</w:t>
      </w:r>
    </w:p>
    <w:p w14:paraId="6E47CCB3" w14:textId="77777777" w:rsidR="004F14A1" w:rsidRPr="00F85178" w:rsidRDefault="004F14A1" w:rsidP="00590CE0">
      <w:pPr>
        <w:pStyle w:val="Odstavecseseznamem"/>
        <w:numPr>
          <w:ilvl w:val="0"/>
          <w:numId w:val="4"/>
        </w:numPr>
      </w:pPr>
      <w:r w:rsidRPr="00F85178">
        <w:rPr>
          <w:b/>
        </w:rPr>
        <w:t>Systemizace</w:t>
      </w:r>
      <w:r w:rsidR="009B748A" w:rsidRPr="00F85178">
        <w:rPr>
          <w:b/>
        </w:rPr>
        <w:t xml:space="preserve"> a </w:t>
      </w:r>
      <w:r w:rsidRPr="00F85178">
        <w:rPr>
          <w:b/>
        </w:rPr>
        <w:t xml:space="preserve">její výpočet </w:t>
      </w:r>
      <w:r w:rsidRPr="00F85178">
        <w:t xml:space="preserve">– </w:t>
      </w:r>
      <w:r w:rsidRPr="00F85178">
        <w:rPr>
          <w:lang w:eastAsia="cs-CZ"/>
        </w:rPr>
        <w:t>výpočet slouží</w:t>
      </w:r>
      <w:r w:rsidR="0093094A" w:rsidRPr="00F85178">
        <w:rPr>
          <w:lang w:eastAsia="cs-CZ"/>
        </w:rPr>
        <w:t xml:space="preserve"> k </w:t>
      </w:r>
      <w:r w:rsidRPr="00F85178">
        <w:rPr>
          <w:lang w:eastAsia="cs-CZ"/>
        </w:rPr>
        <w:t>odhadu potřeby soudců</w:t>
      </w:r>
      <w:r w:rsidR="0093094A" w:rsidRPr="00F85178">
        <w:rPr>
          <w:lang w:eastAsia="cs-CZ"/>
        </w:rPr>
        <w:t xml:space="preserve"> k </w:t>
      </w:r>
      <w:r w:rsidRPr="00F85178">
        <w:rPr>
          <w:lang w:eastAsia="cs-CZ"/>
        </w:rPr>
        <w:t>vyřízení nápadu pro následující rok. Pro každý soud se</w:t>
      </w:r>
      <w:r w:rsidR="0093094A" w:rsidRPr="00F85178">
        <w:rPr>
          <w:lang w:eastAsia="cs-CZ"/>
        </w:rPr>
        <w:t xml:space="preserve"> z </w:t>
      </w:r>
      <w:r w:rsidRPr="00F85178">
        <w:rPr>
          <w:lang w:eastAsia="cs-CZ"/>
        </w:rPr>
        <w:t>dat za předchozí tři roky odhadne nápad ve všech rejstřících pro předmětný rok. Za pomoci měřítek se vypočte teoretický počet soudců potřebných</w:t>
      </w:r>
      <w:r w:rsidR="0093094A" w:rsidRPr="00F85178">
        <w:rPr>
          <w:lang w:eastAsia="cs-CZ"/>
        </w:rPr>
        <w:t xml:space="preserve"> k </w:t>
      </w:r>
      <w:r w:rsidRPr="00F85178">
        <w:rPr>
          <w:lang w:eastAsia="cs-CZ"/>
        </w:rPr>
        <w:t>vyřízení nápadu</w:t>
      </w:r>
      <w:r w:rsidR="0093094A" w:rsidRPr="00F85178">
        <w:rPr>
          <w:lang w:eastAsia="cs-CZ"/>
        </w:rPr>
        <w:t xml:space="preserve"> v </w:t>
      </w:r>
      <w:r w:rsidRPr="00F85178">
        <w:rPr>
          <w:lang w:eastAsia="cs-CZ"/>
        </w:rPr>
        <w:t>daném rejstříku. Potřeba soudců pro jednotlivé rejstříky se sečte</w:t>
      </w:r>
      <w:r w:rsidR="009B748A" w:rsidRPr="00F85178">
        <w:rPr>
          <w:lang w:eastAsia="cs-CZ"/>
        </w:rPr>
        <w:t xml:space="preserve"> a </w:t>
      </w:r>
      <w:r w:rsidRPr="00F85178">
        <w:rPr>
          <w:lang w:eastAsia="cs-CZ"/>
        </w:rPr>
        <w:t>vyjde tak potřeba soudců pro předmětný soud</w:t>
      </w:r>
      <w:r w:rsidR="009B748A" w:rsidRPr="00F85178">
        <w:rPr>
          <w:lang w:eastAsia="cs-CZ"/>
        </w:rPr>
        <w:t xml:space="preserve"> a </w:t>
      </w:r>
      <w:r w:rsidRPr="00F85178">
        <w:rPr>
          <w:lang w:eastAsia="cs-CZ"/>
        </w:rPr>
        <w:t>rok. Vypočtená potřeba je nakonec upravena</w:t>
      </w:r>
      <w:r w:rsidR="0093094A" w:rsidRPr="00F85178">
        <w:rPr>
          <w:lang w:eastAsia="cs-CZ"/>
        </w:rPr>
        <w:t xml:space="preserve"> s </w:t>
      </w:r>
      <w:r w:rsidRPr="00F85178">
        <w:rPr>
          <w:lang w:eastAsia="cs-CZ"/>
        </w:rPr>
        <w:t>přihlédnutím ke státnímu rozpočtu, který</w:t>
      </w:r>
      <w:r w:rsidR="0093094A" w:rsidRPr="00F85178">
        <w:rPr>
          <w:lang w:eastAsia="cs-CZ"/>
        </w:rPr>
        <w:t xml:space="preserve"> v </w:t>
      </w:r>
      <w:r w:rsidRPr="00F85178">
        <w:rPr>
          <w:lang w:eastAsia="cs-CZ"/>
        </w:rPr>
        <w:t>současné době umožňuje zaplatit 3 063 soudců. Samotná systemizace spočívá ve stanovení plánovaného počtu soudců pro jednotlivé kraje na základě výše popsaného výpočtu. Pro vyšší soudy je systemizace určena na základě dohody, nikoliv na základě výpočtu. Z výše uvedeného plyne, že systemizace neslouží</w:t>
      </w:r>
      <w:r w:rsidR="0093094A" w:rsidRPr="00F85178">
        <w:rPr>
          <w:lang w:eastAsia="cs-CZ"/>
        </w:rPr>
        <w:t xml:space="preserve"> k </w:t>
      </w:r>
      <w:r w:rsidRPr="00F85178">
        <w:rPr>
          <w:lang w:eastAsia="cs-CZ"/>
        </w:rPr>
        <w:t>určování celorepublikové potřeby soudců, ale</w:t>
      </w:r>
      <w:r w:rsidR="0093094A" w:rsidRPr="00F85178">
        <w:rPr>
          <w:lang w:eastAsia="cs-CZ"/>
        </w:rPr>
        <w:t xml:space="preserve"> k </w:t>
      </w:r>
      <w:r w:rsidRPr="00F85178">
        <w:rPr>
          <w:lang w:eastAsia="cs-CZ"/>
        </w:rPr>
        <w:t>přerozdělování předem stanoveného počtu soudců mezi soudy</w:t>
      </w:r>
      <w:r w:rsidR="0093094A" w:rsidRPr="00F85178">
        <w:rPr>
          <w:lang w:eastAsia="cs-CZ"/>
        </w:rPr>
        <w:t xml:space="preserve"> s </w:t>
      </w:r>
      <w:r w:rsidRPr="00F85178">
        <w:rPr>
          <w:lang w:eastAsia="cs-CZ"/>
        </w:rPr>
        <w:t>ohledem na relativní změny</w:t>
      </w:r>
      <w:r w:rsidR="0093094A" w:rsidRPr="00F85178">
        <w:rPr>
          <w:lang w:eastAsia="cs-CZ"/>
        </w:rPr>
        <w:t xml:space="preserve"> v </w:t>
      </w:r>
      <w:r w:rsidRPr="00F85178">
        <w:rPr>
          <w:lang w:eastAsia="cs-CZ"/>
        </w:rPr>
        <w:t>nápadu</w:t>
      </w:r>
      <w:r w:rsidRPr="00F85178">
        <w:t>.</w:t>
      </w:r>
    </w:p>
    <w:p w14:paraId="5384D2D5" w14:textId="77777777" w:rsidR="004F14A1" w:rsidRPr="00F85178" w:rsidRDefault="004F14A1" w:rsidP="00590CE0">
      <w:pPr>
        <w:pStyle w:val="Odstavecseseznamem"/>
        <w:numPr>
          <w:ilvl w:val="0"/>
          <w:numId w:val="4"/>
        </w:numPr>
      </w:pPr>
      <w:r w:rsidRPr="00F85178">
        <w:rPr>
          <w:b/>
        </w:rPr>
        <w:t xml:space="preserve">Trestní </w:t>
      </w:r>
      <w:r w:rsidRPr="00F85178">
        <w:t>– (agenda, řízení, úsek). Hlavním těžištěm trestního řízení je náležité zjištění trestných činů</w:t>
      </w:r>
      <w:r w:rsidR="009B748A" w:rsidRPr="00F85178">
        <w:t xml:space="preserve"> a </w:t>
      </w:r>
      <w:r w:rsidRPr="00F85178">
        <w:t>spravedlivé potrestání jejich pachatelů</w:t>
      </w:r>
      <w:r w:rsidR="0093094A" w:rsidRPr="00F85178">
        <w:t xml:space="preserve"> v </w:t>
      </w:r>
      <w:r w:rsidRPr="00F85178">
        <w:t>souladu se zákonem.</w:t>
      </w:r>
    </w:p>
    <w:p w14:paraId="29990D1F" w14:textId="77777777" w:rsidR="004F14A1" w:rsidRPr="00F85178" w:rsidRDefault="004F14A1" w:rsidP="004F14A1">
      <w:pPr>
        <w:pStyle w:val="Odstavecseseznamem"/>
      </w:pPr>
      <w:r w:rsidRPr="00F85178">
        <w:t>Trestní řízení je zákonem upravený postup orgánů činných</w:t>
      </w:r>
      <w:r w:rsidR="0093094A" w:rsidRPr="00F85178">
        <w:t xml:space="preserve"> v </w:t>
      </w:r>
      <w:r w:rsidRPr="00F85178">
        <w:t>trestním řízení (policejní orgány, státní zastupitelství</w:t>
      </w:r>
      <w:r w:rsidR="009B748A" w:rsidRPr="00F85178">
        <w:t xml:space="preserve"> a </w:t>
      </w:r>
      <w:r w:rsidRPr="00F85178">
        <w:t>soudy)</w:t>
      </w:r>
      <w:r w:rsidR="009B748A" w:rsidRPr="00F85178">
        <w:t xml:space="preserve"> a </w:t>
      </w:r>
      <w:r w:rsidRPr="00F85178">
        <w:t>dalších subjektů podílejících se na tomto postupu. Trestní řízení probíhá</w:t>
      </w:r>
      <w:r w:rsidR="0093094A" w:rsidRPr="00F85178">
        <w:t xml:space="preserve"> v </w:t>
      </w:r>
      <w:r w:rsidRPr="00F85178">
        <w:t>několika stádiích. Rozlišujeme přípravné řízení, předběžné projednání obžaloby, hlavní líčení, odvolací řízení</w:t>
      </w:r>
      <w:r w:rsidR="009B748A" w:rsidRPr="00F85178">
        <w:t xml:space="preserve"> a </w:t>
      </w:r>
      <w:r w:rsidRPr="00F85178">
        <w:t>vykonávací řízení (viz zjednodušené schéma níže):</w:t>
      </w:r>
    </w:p>
    <w:p w14:paraId="6F992CA2" w14:textId="77777777" w:rsidR="004F14A1" w:rsidRPr="00F85178" w:rsidRDefault="00890295" w:rsidP="004F14A1">
      <w:pPr>
        <w:pStyle w:val="Odstavecseseznamem"/>
      </w:pPr>
      <w:r>
        <w:rPr>
          <w:noProof/>
          <w:lang w:eastAsia="cs-CZ"/>
        </w:rPr>
        <w:drawing>
          <wp:anchor distT="0" distB="0" distL="114300" distR="114300" simplePos="0" relativeHeight="251649536" behindDoc="0" locked="0" layoutInCell="1" allowOverlap="1" wp14:anchorId="565B620C" wp14:editId="0ACD45D2">
            <wp:simplePos x="0" y="0"/>
            <wp:positionH relativeFrom="column">
              <wp:posOffset>458470</wp:posOffset>
            </wp:positionH>
            <wp:positionV relativeFrom="paragraph">
              <wp:posOffset>1270</wp:posOffset>
            </wp:positionV>
            <wp:extent cx="4964430" cy="1518920"/>
            <wp:effectExtent l="0" t="0" r="0" b="0"/>
            <wp:wrapTopAndBottom/>
            <wp:docPr id="1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5"/>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4964430" cy="15189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F14A1" w:rsidRPr="00F85178">
        <w:t>Trestní věc nemusí projít všemi stádii, zejména může být rozhodnuta již</w:t>
      </w:r>
      <w:r w:rsidR="0093094A" w:rsidRPr="00F85178">
        <w:t xml:space="preserve"> v </w:t>
      </w:r>
      <w:r w:rsidR="004F14A1" w:rsidRPr="00F85178">
        <w:t>přípravném řízení, což znamená, že hlavní líčení se nebude vůbec konat. Obdobně skončí-li věc ve prospěch obžalovaného, není důvodu pro konání vykonávacího řízení, neboť rozsudkem nebyla uložena sankce (trest, ochranné opatření).</w:t>
      </w:r>
    </w:p>
    <w:p w14:paraId="625242E7" w14:textId="1735B851" w:rsidR="004F14A1" w:rsidRPr="00F85178" w:rsidRDefault="004F14A1" w:rsidP="004F14A1">
      <w:pPr>
        <w:pStyle w:val="Odstavecseseznamem"/>
      </w:pPr>
      <w:r w:rsidRPr="00F85178">
        <w:t>Soudů se především týká část trestního řízení od podání obžaloby, tedy předběžné projednání obžaloby, hlavní líčení, odvolací řízení (souhrnně označená jako řízení před soudem)</w:t>
      </w:r>
      <w:r w:rsidR="009B748A" w:rsidRPr="00F85178">
        <w:t xml:space="preserve"> a </w:t>
      </w:r>
      <w:r w:rsidRPr="00F85178">
        <w:t>vykonávací řízení. Samozřejmě soudy na trestním úseku vyřizují</w:t>
      </w:r>
      <w:r w:rsidR="009B748A" w:rsidRPr="00F85178">
        <w:t xml:space="preserve"> i </w:t>
      </w:r>
      <w:r w:rsidRPr="00F85178">
        <w:t>další trestní agendu (např. rozhodování soudce</w:t>
      </w:r>
      <w:r w:rsidR="0093094A" w:rsidRPr="00F85178">
        <w:t xml:space="preserve"> v </w:t>
      </w:r>
      <w:r w:rsidRPr="00F85178">
        <w:t>přípravném řízení). Tato zpráva se ale věnuje trestním věcem spadajícím do řízení před soudem</w:t>
      </w:r>
      <w:r w:rsidR="009B748A" w:rsidRPr="00F85178">
        <w:t xml:space="preserve"> a </w:t>
      </w:r>
      <w:r w:rsidRPr="00F85178">
        <w:t>zapisovaným do rejstříků T</w:t>
      </w:r>
      <w:r w:rsidR="009A3747">
        <w:t xml:space="preserve"> </w:t>
      </w:r>
      <w:r w:rsidR="009B748A" w:rsidRPr="00F85178">
        <w:t>a </w:t>
      </w:r>
      <w:r w:rsidRPr="00F85178">
        <w:t>Tm u prvostupňového soudu</w:t>
      </w:r>
      <w:r w:rsidR="009B748A" w:rsidRPr="00F85178">
        <w:t xml:space="preserve"> a </w:t>
      </w:r>
      <w:r w:rsidRPr="00F85178">
        <w:t>do rejstříků To</w:t>
      </w:r>
      <w:r w:rsidR="009B748A" w:rsidRPr="00F85178">
        <w:t xml:space="preserve"> a </w:t>
      </w:r>
      <w:r w:rsidRPr="00F85178">
        <w:t>Tmo odvolacího soudu.</w:t>
      </w:r>
    </w:p>
    <w:p w14:paraId="08DD8218" w14:textId="4EE60690" w:rsidR="004F14A1" w:rsidRPr="00F85178" w:rsidRDefault="004F14A1" w:rsidP="00590CE0">
      <w:pPr>
        <w:pStyle w:val="Odstavecseseznamem"/>
        <w:numPr>
          <w:ilvl w:val="0"/>
          <w:numId w:val="4"/>
        </w:numPr>
      </w:pPr>
      <w:r w:rsidRPr="00F85178">
        <w:rPr>
          <w:b/>
        </w:rPr>
        <w:t xml:space="preserve">Vrchní soudy (VS) </w:t>
      </w:r>
      <w:r w:rsidRPr="00F85178">
        <w:t>– jsou třetím článkem soudní soustavy tvořený</w:t>
      </w:r>
      <w:r w:rsidR="009A3747">
        <w:t>m</w:t>
      </w:r>
      <w:r w:rsidRPr="00F85178">
        <w:t xml:space="preserve"> dvěma soudy se sídlem</w:t>
      </w:r>
      <w:r w:rsidR="0093094A" w:rsidRPr="00F85178">
        <w:t xml:space="preserve"> v </w:t>
      </w:r>
      <w:r w:rsidRPr="00F85178">
        <w:t>Praze</w:t>
      </w:r>
      <w:r w:rsidR="009B748A" w:rsidRPr="00F85178">
        <w:t xml:space="preserve"> a </w:t>
      </w:r>
      <w:r w:rsidR="0093094A" w:rsidRPr="00F85178">
        <w:t>v </w:t>
      </w:r>
      <w:r w:rsidRPr="00F85178">
        <w:t>Olomouci.</w:t>
      </w:r>
    </w:p>
    <w:p w14:paraId="34D494F5" w14:textId="77777777" w:rsidR="004F14A1" w:rsidRPr="00F85178" w:rsidRDefault="004F14A1" w:rsidP="00590CE0">
      <w:pPr>
        <w:pStyle w:val="Odstavecseseznamem"/>
        <w:numPr>
          <w:ilvl w:val="0"/>
          <w:numId w:val="4"/>
        </w:numPr>
      </w:pPr>
      <w:r w:rsidRPr="00F85178">
        <w:rPr>
          <w:b/>
        </w:rPr>
        <w:t xml:space="preserve">Zaměstnanec ve výkonu </w:t>
      </w:r>
      <w:r w:rsidRPr="00F85178">
        <w:t>– jedná se</w:t>
      </w:r>
      <w:r w:rsidR="009B748A" w:rsidRPr="00F85178">
        <w:t xml:space="preserve"> o </w:t>
      </w:r>
      <w:r w:rsidRPr="00F85178">
        <w:t>zaměstnance soudu, který není soudcem, ale bezprostředně se podílí na vyřizování soudní agendy</w:t>
      </w:r>
      <w:r w:rsidR="009B748A" w:rsidRPr="00F85178">
        <w:t xml:space="preserve"> a </w:t>
      </w:r>
      <w:r w:rsidRPr="00F85178">
        <w:t>výkonu soudnictví. Zaměstnance lze roztřídit do několika kategorií podle druhu práce, kterou vykonávají. Bližší popis je uveden</w:t>
      </w:r>
      <w:r w:rsidR="0093094A" w:rsidRPr="00F85178">
        <w:t xml:space="preserve"> v</w:t>
      </w:r>
      <w:r w:rsidR="00F52209" w:rsidRPr="00F85178">
        <w:t> </w:t>
      </w:r>
      <w:r w:rsidRPr="00F85178">
        <w:t>podkapitole</w:t>
      </w:r>
      <w:r w:rsidR="00F52209" w:rsidRPr="00F85178">
        <w:t xml:space="preserve"> </w:t>
      </w:r>
      <w:r w:rsidR="005C706B" w:rsidRPr="00F85178">
        <w:t>2.1.2</w:t>
      </w:r>
      <w:r w:rsidR="00FA636A" w:rsidRPr="00F85178">
        <w:t>.</w:t>
      </w:r>
    </w:p>
    <w:p w14:paraId="5A63445B" w14:textId="77777777" w:rsidR="00F52209" w:rsidRPr="00F85178" w:rsidRDefault="00F52209" w:rsidP="00590CE0">
      <w:pPr>
        <w:pStyle w:val="Odstavecseseznamem"/>
        <w:numPr>
          <w:ilvl w:val="0"/>
          <w:numId w:val="4"/>
        </w:numPr>
      </w:pPr>
      <w:r w:rsidRPr="00F85178">
        <w:rPr>
          <w:b/>
        </w:rPr>
        <w:t xml:space="preserve">Zaměstnanec ve správě </w:t>
      </w:r>
      <w:r w:rsidRPr="00F85178">
        <w:t>–</w:t>
      </w:r>
      <w:r w:rsidR="00E74CC8" w:rsidRPr="00F85178">
        <w:t xml:space="preserve"> zajišťuj</w:t>
      </w:r>
      <w:r w:rsidR="008E360E" w:rsidRPr="00F85178">
        <w:t>e</w:t>
      </w:r>
      <w:r w:rsidR="00E74CC8" w:rsidRPr="00F85178">
        <w:t xml:space="preserve"> provoz soudu. To zahrnuje velkou škálu funkcí. Celou správu soudu řídí ředitel správy. Dalšími zaměstnanci ve správě jsou například pracovníci sekretariátu, dozorčí úředníci, účetní, ekonomové, informatici nebo řidiči. Celkem je rozlišováno 40 kategorií zaměstnanců ve správě.</w:t>
      </w:r>
    </w:p>
    <w:p w14:paraId="2D425098" w14:textId="77777777" w:rsidR="004F14A1" w:rsidRPr="00F85178" w:rsidRDefault="004F14A1" w:rsidP="00590CE0">
      <w:pPr>
        <w:pStyle w:val="Odstavecseseznamem"/>
        <w:numPr>
          <w:ilvl w:val="0"/>
          <w:numId w:val="4"/>
        </w:numPr>
      </w:pPr>
      <w:r w:rsidRPr="00F85178">
        <w:rPr>
          <w:b/>
        </w:rPr>
        <w:t xml:space="preserve">Zkrácené přípravné řízení </w:t>
      </w:r>
      <w:r w:rsidRPr="00F85178">
        <w:t>– představuje zvláštní formu přípravného řízení, jehož podstatou je umožnit u méně závažných trestných činů jejich rychlejší</w:t>
      </w:r>
      <w:r w:rsidR="009B748A" w:rsidRPr="00F85178">
        <w:t xml:space="preserve"> a </w:t>
      </w:r>
      <w:r w:rsidRPr="00F85178">
        <w:t>jednodušší vyřízení (skončení), tedy objasnění skutku, ve kterém je spatřován trestný čin, zjištění osoby důvodně podezřelé</w:t>
      </w:r>
      <w:r w:rsidR="0093094A" w:rsidRPr="00F85178">
        <w:t xml:space="preserve"> z </w:t>
      </w:r>
      <w:r w:rsidRPr="00F85178">
        <w:t>jeho spáchání</w:t>
      </w:r>
      <w:r w:rsidR="009B748A" w:rsidRPr="00F85178">
        <w:t xml:space="preserve"> a </w:t>
      </w:r>
      <w:r w:rsidRPr="00F85178">
        <w:t>vyhledání důkazů. Zkrácené přípravné řízení lze podle zákona konat jen</w:t>
      </w:r>
      <w:r w:rsidR="009B748A" w:rsidRPr="00F85178">
        <w:t xml:space="preserve"> o </w:t>
      </w:r>
      <w:r w:rsidRPr="00F85178">
        <w:t>trestných činech, které</w:t>
      </w:r>
      <w:r w:rsidR="0093094A" w:rsidRPr="00F85178">
        <w:t xml:space="preserve"> v </w:t>
      </w:r>
      <w:r w:rsidRPr="00F85178">
        <w:t>prvním stupni přísluší projednávat okresnímu soudu</w:t>
      </w:r>
      <w:r w:rsidR="009B748A" w:rsidRPr="00F85178">
        <w:t xml:space="preserve"> a </w:t>
      </w:r>
      <w:r w:rsidRPr="00F85178">
        <w:t>jejichž horní hranice trestní sazby nepřevyšuje pět let, pokud byl podezřelý přistižen při činu nebo bezprostředně po něm nebo pokud</w:t>
      </w:r>
      <w:r w:rsidR="0093094A" w:rsidRPr="00F85178">
        <w:t xml:space="preserve"> v </w:t>
      </w:r>
      <w:r w:rsidRPr="00F85178">
        <w:t>průběhu prověřování byly zjištěny skutečnosti jinak odůvodňující zahájení trestního stíhání</w:t>
      </w:r>
      <w:r w:rsidR="009B748A" w:rsidRPr="00F85178">
        <w:t xml:space="preserve"> a </w:t>
      </w:r>
      <w:r w:rsidRPr="00F85178">
        <w:t>lze očekávat, že podezřelého bude možné ve lhůtě dvou týdnů postavit před soud.</w:t>
      </w:r>
    </w:p>
    <w:p w14:paraId="641AA285" w14:textId="77777777" w:rsidR="002F62CC" w:rsidRPr="00F85178" w:rsidRDefault="002F62CC">
      <w:pPr>
        <w:spacing w:line="240" w:lineRule="auto"/>
        <w:jc w:val="left"/>
      </w:pPr>
      <w:r w:rsidRPr="00F85178">
        <w:br w:type="page"/>
      </w:r>
    </w:p>
    <w:p w14:paraId="6CD9B735" w14:textId="77777777" w:rsidR="004F14A1" w:rsidRPr="00F85178" w:rsidRDefault="004F14A1" w:rsidP="006256EF">
      <w:pPr>
        <w:pStyle w:val="Nadpis2"/>
        <w:numPr>
          <w:ilvl w:val="0"/>
          <w:numId w:val="0"/>
        </w:numPr>
        <w:ind w:left="578" w:hanging="578"/>
      </w:pPr>
      <w:bookmarkStart w:id="776" w:name="_Ref482901972"/>
      <w:bookmarkStart w:id="777" w:name="_Toc487791320"/>
      <w:bookmarkStart w:id="778" w:name="_Toc14076969"/>
      <w:r w:rsidRPr="00F85178">
        <w:t>Příloha B – seznam zkr. soudních okresů</w:t>
      </w:r>
      <w:r w:rsidR="009B748A" w:rsidRPr="00F85178">
        <w:t xml:space="preserve"> a </w:t>
      </w:r>
      <w:r w:rsidRPr="00F85178">
        <w:t>soudních obvodů hl. m. Prahy</w:t>
      </w:r>
      <w:bookmarkEnd w:id="776"/>
      <w:bookmarkEnd w:id="777"/>
      <w:bookmarkEnd w:id="778"/>
    </w:p>
    <w:p w14:paraId="775665DC" w14:textId="77777777" w:rsidR="004F14A1" w:rsidRPr="00F85178" w:rsidRDefault="004F14A1" w:rsidP="004F14A1"/>
    <w:tbl>
      <w:tblPr>
        <w:tblW w:w="6760" w:type="dxa"/>
        <w:jc w:val="center"/>
        <w:tblCellMar>
          <w:left w:w="70" w:type="dxa"/>
          <w:right w:w="70" w:type="dxa"/>
        </w:tblCellMar>
        <w:tblLook w:val="04A0" w:firstRow="1" w:lastRow="0" w:firstColumn="1" w:lastColumn="0" w:noHBand="0" w:noVBand="1"/>
      </w:tblPr>
      <w:tblGrid>
        <w:gridCol w:w="2320"/>
        <w:gridCol w:w="1060"/>
        <w:gridCol w:w="2320"/>
        <w:gridCol w:w="1060"/>
      </w:tblGrid>
      <w:tr w:rsidR="00F85178" w:rsidRPr="00F85178" w14:paraId="63507120" w14:textId="77777777" w:rsidTr="002C3DB4">
        <w:trPr>
          <w:trHeight w:val="345"/>
          <w:jc w:val="center"/>
        </w:trPr>
        <w:tc>
          <w:tcPr>
            <w:tcW w:w="2320" w:type="dxa"/>
            <w:tcBorders>
              <w:top w:val="double" w:sz="6" w:space="0" w:color="auto"/>
              <w:left w:val="nil"/>
              <w:bottom w:val="double" w:sz="6" w:space="0" w:color="auto"/>
              <w:right w:val="nil"/>
            </w:tcBorders>
            <w:shd w:val="clear" w:color="auto" w:fill="auto"/>
            <w:noWrap/>
            <w:vAlign w:val="center"/>
            <w:hideMark/>
          </w:tcPr>
          <w:p w14:paraId="488EA1A2" w14:textId="77777777" w:rsidR="004F14A1" w:rsidRPr="00F85178" w:rsidRDefault="004F14A1" w:rsidP="00145638">
            <w:pPr>
              <w:spacing w:line="240" w:lineRule="auto"/>
              <w:jc w:val="left"/>
              <w:rPr>
                <w:b/>
              </w:rPr>
            </w:pPr>
            <w:r w:rsidRPr="00F85178">
              <w:rPr>
                <w:b/>
              </w:rPr>
              <w:t>Okres (obvod)</w:t>
            </w:r>
          </w:p>
        </w:tc>
        <w:tc>
          <w:tcPr>
            <w:tcW w:w="1060" w:type="dxa"/>
            <w:tcBorders>
              <w:top w:val="double" w:sz="6" w:space="0" w:color="auto"/>
              <w:left w:val="nil"/>
              <w:bottom w:val="double" w:sz="6" w:space="0" w:color="auto"/>
              <w:right w:val="single" w:sz="4" w:space="0" w:color="auto"/>
            </w:tcBorders>
            <w:shd w:val="clear" w:color="auto" w:fill="auto"/>
            <w:noWrap/>
            <w:vAlign w:val="center"/>
            <w:hideMark/>
          </w:tcPr>
          <w:p w14:paraId="22DB8F4E" w14:textId="77777777" w:rsidR="004F14A1" w:rsidRPr="00F85178" w:rsidRDefault="004F14A1" w:rsidP="00145638">
            <w:pPr>
              <w:spacing w:line="240" w:lineRule="auto"/>
              <w:jc w:val="left"/>
              <w:rPr>
                <w:b/>
              </w:rPr>
            </w:pPr>
            <w:r w:rsidRPr="00F85178">
              <w:rPr>
                <w:b/>
              </w:rPr>
              <w:t>Zkratka</w:t>
            </w:r>
          </w:p>
        </w:tc>
        <w:tc>
          <w:tcPr>
            <w:tcW w:w="2320" w:type="dxa"/>
            <w:tcBorders>
              <w:top w:val="double" w:sz="6" w:space="0" w:color="auto"/>
              <w:left w:val="nil"/>
              <w:bottom w:val="double" w:sz="6" w:space="0" w:color="auto"/>
              <w:right w:val="nil"/>
            </w:tcBorders>
            <w:shd w:val="clear" w:color="auto" w:fill="auto"/>
            <w:noWrap/>
            <w:vAlign w:val="center"/>
            <w:hideMark/>
          </w:tcPr>
          <w:p w14:paraId="5C1579CD" w14:textId="77777777" w:rsidR="004F14A1" w:rsidRPr="00F85178" w:rsidRDefault="004F14A1" w:rsidP="000752D9">
            <w:pPr>
              <w:spacing w:line="240" w:lineRule="auto"/>
              <w:jc w:val="left"/>
              <w:rPr>
                <w:b/>
              </w:rPr>
            </w:pPr>
            <w:r w:rsidRPr="00F85178">
              <w:rPr>
                <w:b/>
              </w:rPr>
              <w:t>Okres (obvod)</w:t>
            </w:r>
          </w:p>
        </w:tc>
        <w:tc>
          <w:tcPr>
            <w:tcW w:w="1060" w:type="dxa"/>
            <w:tcBorders>
              <w:top w:val="double" w:sz="6" w:space="0" w:color="auto"/>
              <w:left w:val="nil"/>
              <w:bottom w:val="double" w:sz="6" w:space="0" w:color="auto"/>
              <w:right w:val="nil"/>
            </w:tcBorders>
            <w:shd w:val="clear" w:color="auto" w:fill="auto"/>
            <w:noWrap/>
            <w:vAlign w:val="center"/>
            <w:hideMark/>
          </w:tcPr>
          <w:p w14:paraId="3EEE9ED7" w14:textId="77777777" w:rsidR="004F14A1" w:rsidRPr="00F85178" w:rsidRDefault="004F14A1" w:rsidP="000752D9">
            <w:pPr>
              <w:spacing w:line="240" w:lineRule="auto"/>
              <w:jc w:val="left"/>
              <w:rPr>
                <w:b/>
              </w:rPr>
            </w:pPr>
            <w:r w:rsidRPr="00F85178">
              <w:rPr>
                <w:b/>
              </w:rPr>
              <w:t>Zkratka</w:t>
            </w:r>
          </w:p>
        </w:tc>
      </w:tr>
      <w:tr w:rsidR="00F85178" w:rsidRPr="00F85178" w14:paraId="2312EF8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010BC5B" w14:textId="77777777" w:rsidR="004F14A1" w:rsidRPr="00F85178" w:rsidRDefault="004F14A1" w:rsidP="00323544">
            <w:pPr>
              <w:spacing w:line="240" w:lineRule="auto"/>
              <w:jc w:val="left"/>
            </w:pPr>
            <w:r w:rsidRPr="00F85178">
              <w:t>Benešov</w:t>
            </w:r>
          </w:p>
        </w:tc>
        <w:tc>
          <w:tcPr>
            <w:tcW w:w="1060" w:type="dxa"/>
            <w:tcBorders>
              <w:top w:val="nil"/>
              <w:left w:val="nil"/>
              <w:bottom w:val="single" w:sz="4" w:space="0" w:color="auto"/>
              <w:right w:val="single" w:sz="4" w:space="0" w:color="auto"/>
            </w:tcBorders>
            <w:shd w:val="clear" w:color="auto" w:fill="auto"/>
            <w:noWrap/>
            <w:vAlign w:val="bottom"/>
            <w:hideMark/>
          </w:tcPr>
          <w:p w14:paraId="3D16BFD5" w14:textId="77777777" w:rsidR="004F14A1" w:rsidRPr="00F85178" w:rsidRDefault="00194590" w:rsidP="00323544">
            <w:pPr>
              <w:spacing w:line="240" w:lineRule="auto"/>
              <w:jc w:val="center"/>
            </w:pPr>
            <w:r w:rsidRPr="00F85178">
              <w:t>BN</w:t>
            </w:r>
          </w:p>
        </w:tc>
        <w:tc>
          <w:tcPr>
            <w:tcW w:w="2320" w:type="dxa"/>
            <w:tcBorders>
              <w:top w:val="nil"/>
              <w:left w:val="nil"/>
              <w:bottom w:val="single" w:sz="4" w:space="0" w:color="auto"/>
              <w:right w:val="nil"/>
            </w:tcBorders>
            <w:shd w:val="clear" w:color="auto" w:fill="auto"/>
            <w:noWrap/>
            <w:vAlign w:val="bottom"/>
            <w:hideMark/>
          </w:tcPr>
          <w:p w14:paraId="2CCA20E0" w14:textId="77777777" w:rsidR="004F14A1" w:rsidRPr="00F85178" w:rsidRDefault="004F14A1" w:rsidP="00323544">
            <w:pPr>
              <w:spacing w:line="240" w:lineRule="auto"/>
              <w:jc w:val="left"/>
            </w:pPr>
            <w:r w:rsidRPr="00F85178">
              <w:t>Pardubice</w:t>
            </w:r>
          </w:p>
        </w:tc>
        <w:tc>
          <w:tcPr>
            <w:tcW w:w="1060" w:type="dxa"/>
            <w:tcBorders>
              <w:top w:val="nil"/>
              <w:left w:val="nil"/>
              <w:bottom w:val="single" w:sz="4" w:space="0" w:color="auto"/>
              <w:right w:val="nil"/>
            </w:tcBorders>
            <w:shd w:val="clear" w:color="auto" w:fill="auto"/>
            <w:noWrap/>
            <w:vAlign w:val="bottom"/>
            <w:hideMark/>
          </w:tcPr>
          <w:p w14:paraId="615C0AB0" w14:textId="77777777" w:rsidR="004F14A1" w:rsidRPr="00F85178" w:rsidRDefault="004F14A1" w:rsidP="00323544">
            <w:pPr>
              <w:spacing w:line="240" w:lineRule="auto"/>
              <w:jc w:val="center"/>
            </w:pPr>
            <w:r w:rsidRPr="00F85178">
              <w:t>PA</w:t>
            </w:r>
          </w:p>
        </w:tc>
      </w:tr>
      <w:tr w:rsidR="00F85178" w:rsidRPr="00F85178" w14:paraId="40EE8F8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87D10D3" w14:textId="77777777" w:rsidR="004F14A1" w:rsidRPr="00F85178" w:rsidRDefault="004F14A1" w:rsidP="00323544">
            <w:pPr>
              <w:spacing w:line="240" w:lineRule="auto"/>
              <w:jc w:val="left"/>
            </w:pPr>
            <w:r w:rsidRPr="00F85178">
              <w:t>Beroun</w:t>
            </w:r>
          </w:p>
        </w:tc>
        <w:tc>
          <w:tcPr>
            <w:tcW w:w="1060" w:type="dxa"/>
            <w:tcBorders>
              <w:top w:val="nil"/>
              <w:left w:val="nil"/>
              <w:bottom w:val="single" w:sz="4" w:space="0" w:color="auto"/>
              <w:right w:val="single" w:sz="4" w:space="0" w:color="auto"/>
            </w:tcBorders>
            <w:shd w:val="clear" w:color="auto" w:fill="auto"/>
            <w:noWrap/>
            <w:vAlign w:val="bottom"/>
            <w:hideMark/>
          </w:tcPr>
          <w:p w14:paraId="60FB3A41" w14:textId="77777777" w:rsidR="004F14A1" w:rsidRPr="00F85178" w:rsidRDefault="00194590" w:rsidP="00323544">
            <w:pPr>
              <w:spacing w:line="240" w:lineRule="auto"/>
              <w:jc w:val="center"/>
            </w:pPr>
            <w:r w:rsidRPr="00F85178">
              <w:t>BE</w:t>
            </w:r>
          </w:p>
        </w:tc>
        <w:tc>
          <w:tcPr>
            <w:tcW w:w="2320" w:type="dxa"/>
            <w:tcBorders>
              <w:top w:val="nil"/>
              <w:left w:val="nil"/>
              <w:bottom w:val="single" w:sz="4" w:space="0" w:color="auto"/>
              <w:right w:val="nil"/>
            </w:tcBorders>
            <w:shd w:val="clear" w:color="auto" w:fill="auto"/>
            <w:noWrap/>
            <w:vAlign w:val="bottom"/>
            <w:hideMark/>
          </w:tcPr>
          <w:p w14:paraId="20F6B405" w14:textId="77777777" w:rsidR="004F14A1" w:rsidRPr="00F85178" w:rsidRDefault="004F14A1" w:rsidP="00323544">
            <w:pPr>
              <w:spacing w:line="240" w:lineRule="auto"/>
              <w:jc w:val="left"/>
            </w:pPr>
            <w:r w:rsidRPr="00F85178">
              <w:t>Pelhřimov</w:t>
            </w:r>
          </w:p>
        </w:tc>
        <w:tc>
          <w:tcPr>
            <w:tcW w:w="1060" w:type="dxa"/>
            <w:tcBorders>
              <w:top w:val="nil"/>
              <w:left w:val="nil"/>
              <w:bottom w:val="single" w:sz="4" w:space="0" w:color="auto"/>
              <w:right w:val="nil"/>
            </w:tcBorders>
            <w:shd w:val="clear" w:color="auto" w:fill="auto"/>
            <w:noWrap/>
            <w:vAlign w:val="bottom"/>
            <w:hideMark/>
          </w:tcPr>
          <w:p w14:paraId="3364E694" w14:textId="77777777" w:rsidR="004F14A1" w:rsidRPr="00F85178" w:rsidRDefault="004F14A1" w:rsidP="00323544">
            <w:pPr>
              <w:spacing w:line="240" w:lineRule="auto"/>
              <w:jc w:val="center"/>
            </w:pPr>
            <w:r w:rsidRPr="00F85178">
              <w:t>PE</w:t>
            </w:r>
          </w:p>
        </w:tc>
      </w:tr>
      <w:tr w:rsidR="00F85178" w:rsidRPr="00F85178" w14:paraId="52191E1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B055775" w14:textId="77777777" w:rsidR="004F14A1" w:rsidRPr="00F85178" w:rsidRDefault="004F14A1" w:rsidP="00323544">
            <w:pPr>
              <w:spacing w:line="240" w:lineRule="auto"/>
              <w:jc w:val="left"/>
            </w:pPr>
            <w:r w:rsidRPr="00F85178">
              <w:t>Blansko</w:t>
            </w:r>
          </w:p>
        </w:tc>
        <w:tc>
          <w:tcPr>
            <w:tcW w:w="1060" w:type="dxa"/>
            <w:tcBorders>
              <w:top w:val="nil"/>
              <w:left w:val="nil"/>
              <w:bottom w:val="single" w:sz="4" w:space="0" w:color="auto"/>
              <w:right w:val="single" w:sz="4" w:space="0" w:color="auto"/>
            </w:tcBorders>
            <w:shd w:val="clear" w:color="auto" w:fill="auto"/>
            <w:noWrap/>
            <w:vAlign w:val="bottom"/>
            <w:hideMark/>
          </w:tcPr>
          <w:p w14:paraId="36F8F16E" w14:textId="77777777" w:rsidR="004F14A1" w:rsidRPr="00F85178" w:rsidRDefault="004F14A1" w:rsidP="00323544">
            <w:pPr>
              <w:spacing w:line="240" w:lineRule="auto"/>
              <w:jc w:val="center"/>
            </w:pPr>
            <w:r w:rsidRPr="00F85178">
              <w:t>BK</w:t>
            </w:r>
          </w:p>
        </w:tc>
        <w:tc>
          <w:tcPr>
            <w:tcW w:w="2320" w:type="dxa"/>
            <w:tcBorders>
              <w:top w:val="nil"/>
              <w:left w:val="nil"/>
              <w:bottom w:val="single" w:sz="4" w:space="0" w:color="auto"/>
              <w:right w:val="nil"/>
            </w:tcBorders>
            <w:shd w:val="clear" w:color="auto" w:fill="auto"/>
            <w:noWrap/>
            <w:vAlign w:val="bottom"/>
            <w:hideMark/>
          </w:tcPr>
          <w:p w14:paraId="0752DF35" w14:textId="77777777" w:rsidR="004F14A1" w:rsidRPr="00F85178" w:rsidRDefault="004F14A1" w:rsidP="00323544">
            <w:pPr>
              <w:spacing w:line="240" w:lineRule="auto"/>
              <w:jc w:val="left"/>
            </w:pPr>
            <w:r w:rsidRPr="00F85178">
              <w:t>Písek</w:t>
            </w:r>
          </w:p>
        </w:tc>
        <w:tc>
          <w:tcPr>
            <w:tcW w:w="1060" w:type="dxa"/>
            <w:tcBorders>
              <w:top w:val="nil"/>
              <w:left w:val="nil"/>
              <w:bottom w:val="single" w:sz="4" w:space="0" w:color="auto"/>
              <w:right w:val="nil"/>
            </w:tcBorders>
            <w:shd w:val="clear" w:color="auto" w:fill="auto"/>
            <w:noWrap/>
            <w:vAlign w:val="bottom"/>
            <w:hideMark/>
          </w:tcPr>
          <w:p w14:paraId="1149AA5B" w14:textId="77777777" w:rsidR="004F14A1" w:rsidRPr="00F85178" w:rsidRDefault="004F14A1" w:rsidP="00323544">
            <w:pPr>
              <w:spacing w:line="240" w:lineRule="auto"/>
              <w:jc w:val="center"/>
            </w:pPr>
            <w:r w:rsidRPr="00F85178">
              <w:t>PI</w:t>
            </w:r>
          </w:p>
        </w:tc>
      </w:tr>
      <w:tr w:rsidR="00F85178" w:rsidRPr="00F85178" w14:paraId="30499EE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8A3C7DF" w14:textId="77777777" w:rsidR="004F14A1" w:rsidRPr="00F85178" w:rsidRDefault="004F14A1" w:rsidP="00323544">
            <w:pPr>
              <w:spacing w:line="240" w:lineRule="auto"/>
              <w:jc w:val="left"/>
            </w:pPr>
            <w:r w:rsidRPr="00F85178">
              <w:t>Brno-město</w:t>
            </w:r>
          </w:p>
        </w:tc>
        <w:tc>
          <w:tcPr>
            <w:tcW w:w="1060" w:type="dxa"/>
            <w:tcBorders>
              <w:top w:val="nil"/>
              <w:left w:val="nil"/>
              <w:bottom w:val="single" w:sz="4" w:space="0" w:color="auto"/>
              <w:right w:val="single" w:sz="4" w:space="0" w:color="auto"/>
            </w:tcBorders>
            <w:shd w:val="clear" w:color="auto" w:fill="auto"/>
            <w:noWrap/>
            <w:vAlign w:val="bottom"/>
            <w:hideMark/>
          </w:tcPr>
          <w:p w14:paraId="2E37915A" w14:textId="77777777" w:rsidR="004F14A1" w:rsidRPr="00F85178" w:rsidRDefault="004F14A1" w:rsidP="00323544">
            <w:pPr>
              <w:spacing w:line="240" w:lineRule="auto"/>
              <w:jc w:val="center"/>
            </w:pPr>
            <w:r w:rsidRPr="00F85178">
              <w:t>BM</w:t>
            </w:r>
          </w:p>
        </w:tc>
        <w:tc>
          <w:tcPr>
            <w:tcW w:w="2320" w:type="dxa"/>
            <w:tcBorders>
              <w:top w:val="nil"/>
              <w:left w:val="nil"/>
              <w:bottom w:val="single" w:sz="4" w:space="0" w:color="auto"/>
              <w:right w:val="nil"/>
            </w:tcBorders>
            <w:shd w:val="clear" w:color="auto" w:fill="auto"/>
            <w:noWrap/>
            <w:vAlign w:val="bottom"/>
            <w:hideMark/>
          </w:tcPr>
          <w:p w14:paraId="24CFED48" w14:textId="77777777" w:rsidR="004F14A1" w:rsidRPr="00F85178" w:rsidRDefault="004F14A1" w:rsidP="00323544">
            <w:pPr>
              <w:spacing w:line="240" w:lineRule="auto"/>
              <w:jc w:val="left"/>
            </w:pPr>
            <w:r w:rsidRPr="00F85178">
              <w:t>Plzeň-jih</w:t>
            </w:r>
          </w:p>
        </w:tc>
        <w:tc>
          <w:tcPr>
            <w:tcW w:w="1060" w:type="dxa"/>
            <w:tcBorders>
              <w:top w:val="nil"/>
              <w:left w:val="nil"/>
              <w:bottom w:val="single" w:sz="4" w:space="0" w:color="auto"/>
              <w:right w:val="nil"/>
            </w:tcBorders>
            <w:shd w:val="clear" w:color="auto" w:fill="auto"/>
            <w:noWrap/>
            <w:vAlign w:val="bottom"/>
            <w:hideMark/>
          </w:tcPr>
          <w:p w14:paraId="57CEB6DA" w14:textId="77777777" w:rsidR="004F14A1" w:rsidRPr="00F85178" w:rsidRDefault="004F14A1" w:rsidP="00323544">
            <w:pPr>
              <w:spacing w:line="240" w:lineRule="auto"/>
              <w:jc w:val="center"/>
            </w:pPr>
            <w:r w:rsidRPr="00F85178">
              <w:t>PJ</w:t>
            </w:r>
          </w:p>
        </w:tc>
      </w:tr>
      <w:tr w:rsidR="00F85178" w:rsidRPr="00F85178" w14:paraId="3068207C"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362490F" w14:textId="77777777" w:rsidR="004F14A1" w:rsidRPr="00F85178" w:rsidRDefault="004F14A1" w:rsidP="00323544">
            <w:pPr>
              <w:spacing w:line="240" w:lineRule="auto"/>
              <w:jc w:val="left"/>
            </w:pPr>
            <w:r w:rsidRPr="00F85178">
              <w:t>Brno-venkov</w:t>
            </w:r>
          </w:p>
        </w:tc>
        <w:tc>
          <w:tcPr>
            <w:tcW w:w="1060" w:type="dxa"/>
            <w:tcBorders>
              <w:top w:val="nil"/>
              <w:left w:val="nil"/>
              <w:bottom w:val="single" w:sz="4" w:space="0" w:color="auto"/>
              <w:right w:val="single" w:sz="4" w:space="0" w:color="auto"/>
            </w:tcBorders>
            <w:shd w:val="clear" w:color="auto" w:fill="auto"/>
            <w:noWrap/>
            <w:vAlign w:val="bottom"/>
            <w:hideMark/>
          </w:tcPr>
          <w:p w14:paraId="3C9973F4" w14:textId="77777777" w:rsidR="004F14A1" w:rsidRPr="00F85178" w:rsidRDefault="004F14A1" w:rsidP="00323544">
            <w:pPr>
              <w:spacing w:line="240" w:lineRule="auto"/>
              <w:jc w:val="center"/>
            </w:pPr>
            <w:r w:rsidRPr="00F85178">
              <w:t>BO</w:t>
            </w:r>
          </w:p>
        </w:tc>
        <w:tc>
          <w:tcPr>
            <w:tcW w:w="2320" w:type="dxa"/>
            <w:tcBorders>
              <w:top w:val="nil"/>
              <w:left w:val="nil"/>
              <w:bottom w:val="single" w:sz="4" w:space="0" w:color="auto"/>
              <w:right w:val="nil"/>
            </w:tcBorders>
            <w:shd w:val="clear" w:color="auto" w:fill="auto"/>
            <w:noWrap/>
            <w:vAlign w:val="bottom"/>
            <w:hideMark/>
          </w:tcPr>
          <w:p w14:paraId="6602379F" w14:textId="77777777" w:rsidR="004F14A1" w:rsidRPr="00F85178" w:rsidRDefault="004F14A1" w:rsidP="00323544">
            <w:pPr>
              <w:spacing w:line="240" w:lineRule="auto"/>
              <w:jc w:val="left"/>
            </w:pPr>
            <w:r w:rsidRPr="00F85178">
              <w:t>Plzeň-město</w:t>
            </w:r>
          </w:p>
        </w:tc>
        <w:tc>
          <w:tcPr>
            <w:tcW w:w="1060" w:type="dxa"/>
            <w:tcBorders>
              <w:top w:val="nil"/>
              <w:left w:val="nil"/>
              <w:bottom w:val="single" w:sz="4" w:space="0" w:color="auto"/>
              <w:right w:val="nil"/>
            </w:tcBorders>
            <w:shd w:val="clear" w:color="auto" w:fill="auto"/>
            <w:noWrap/>
            <w:vAlign w:val="bottom"/>
            <w:hideMark/>
          </w:tcPr>
          <w:p w14:paraId="7E1CC2BF" w14:textId="77777777" w:rsidR="004F14A1" w:rsidRPr="00F85178" w:rsidRDefault="004F14A1" w:rsidP="00323544">
            <w:pPr>
              <w:spacing w:line="240" w:lineRule="auto"/>
              <w:jc w:val="center"/>
            </w:pPr>
            <w:r w:rsidRPr="00F85178">
              <w:t>PM</w:t>
            </w:r>
          </w:p>
        </w:tc>
      </w:tr>
      <w:tr w:rsidR="00F85178" w:rsidRPr="00F85178" w14:paraId="67896C8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5B2FBB5" w14:textId="77777777" w:rsidR="004F14A1" w:rsidRPr="00F85178" w:rsidRDefault="004F14A1" w:rsidP="00323544">
            <w:pPr>
              <w:spacing w:line="240" w:lineRule="auto"/>
              <w:jc w:val="left"/>
            </w:pPr>
            <w:r w:rsidRPr="00F85178">
              <w:t>Bruntál</w:t>
            </w:r>
          </w:p>
        </w:tc>
        <w:tc>
          <w:tcPr>
            <w:tcW w:w="1060" w:type="dxa"/>
            <w:tcBorders>
              <w:top w:val="nil"/>
              <w:left w:val="nil"/>
              <w:bottom w:val="single" w:sz="4" w:space="0" w:color="auto"/>
              <w:right w:val="single" w:sz="4" w:space="0" w:color="auto"/>
            </w:tcBorders>
            <w:shd w:val="clear" w:color="auto" w:fill="auto"/>
            <w:noWrap/>
            <w:vAlign w:val="bottom"/>
            <w:hideMark/>
          </w:tcPr>
          <w:p w14:paraId="5E6F0D3E" w14:textId="77777777" w:rsidR="004F14A1" w:rsidRPr="00F85178" w:rsidRDefault="004F14A1" w:rsidP="00323544">
            <w:pPr>
              <w:spacing w:line="240" w:lineRule="auto"/>
              <w:jc w:val="center"/>
            </w:pPr>
            <w:r w:rsidRPr="00F85178">
              <w:t>BR</w:t>
            </w:r>
          </w:p>
        </w:tc>
        <w:tc>
          <w:tcPr>
            <w:tcW w:w="2320" w:type="dxa"/>
            <w:tcBorders>
              <w:top w:val="nil"/>
              <w:left w:val="nil"/>
              <w:bottom w:val="single" w:sz="4" w:space="0" w:color="auto"/>
              <w:right w:val="nil"/>
            </w:tcBorders>
            <w:shd w:val="clear" w:color="auto" w:fill="auto"/>
            <w:noWrap/>
            <w:vAlign w:val="bottom"/>
            <w:hideMark/>
          </w:tcPr>
          <w:p w14:paraId="655BF018" w14:textId="77777777" w:rsidR="004F14A1" w:rsidRPr="00F85178" w:rsidRDefault="004F14A1" w:rsidP="00323544">
            <w:pPr>
              <w:spacing w:line="240" w:lineRule="auto"/>
              <w:jc w:val="left"/>
            </w:pPr>
            <w:r w:rsidRPr="00F85178">
              <w:t>Plzeň-sever</w:t>
            </w:r>
          </w:p>
        </w:tc>
        <w:tc>
          <w:tcPr>
            <w:tcW w:w="1060" w:type="dxa"/>
            <w:tcBorders>
              <w:top w:val="nil"/>
              <w:left w:val="nil"/>
              <w:bottom w:val="single" w:sz="4" w:space="0" w:color="auto"/>
              <w:right w:val="nil"/>
            </w:tcBorders>
            <w:shd w:val="clear" w:color="auto" w:fill="auto"/>
            <w:noWrap/>
            <w:vAlign w:val="bottom"/>
            <w:hideMark/>
          </w:tcPr>
          <w:p w14:paraId="1316AA21" w14:textId="77777777" w:rsidR="004F14A1" w:rsidRPr="00F85178" w:rsidRDefault="004F14A1" w:rsidP="00323544">
            <w:pPr>
              <w:spacing w:line="240" w:lineRule="auto"/>
              <w:jc w:val="center"/>
            </w:pPr>
            <w:r w:rsidRPr="00F85178">
              <w:t>PS</w:t>
            </w:r>
          </w:p>
        </w:tc>
      </w:tr>
      <w:tr w:rsidR="00F85178" w:rsidRPr="00F85178" w14:paraId="6497E7E2"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E16891C" w14:textId="77777777" w:rsidR="004F14A1" w:rsidRPr="00F85178" w:rsidRDefault="004F14A1" w:rsidP="00323544">
            <w:pPr>
              <w:spacing w:line="240" w:lineRule="auto"/>
              <w:jc w:val="left"/>
            </w:pPr>
            <w:r w:rsidRPr="00F85178">
              <w:t>Břeclav</w:t>
            </w:r>
          </w:p>
        </w:tc>
        <w:tc>
          <w:tcPr>
            <w:tcW w:w="1060" w:type="dxa"/>
            <w:tcBorders>
              <w:top w:val="nil"/>
              <w:left w:val="nil"/>
              <w:bottom w:val="single" w:sz="4" w:space="0" w:color="auto"/>
              <w:right w:val="single" w:sz="4" w:space="0" w:color="auto"/>
            </w:tcBorders>
            <w:shd w:val="clear" w:color="auto" w:fill="auto"/>
            <w:noWrap/>
            <w:vAlign w:val="bottom"/>
            <w:hideMark/>
          </w:tcPr>
          <w:p w14:paraId="6196C4DF" w14:textId="77777777" w:rsidR="004F14A1" w:rsidRPr="00F85178" w:rsidRDefault="004F14A1" w:rsidP="00323544">
            <w:pPr>
              <w:spacing w:line="240" w:lineRule="auto"/>
              <w:jc w:val="center"/>
            </w:pPr>
            <w:r w:rsidRPr="00F85178">
              <w:t>BV</w:t>
            </w:r>
          </w:p>
        </w:tc>
        <w:tc>
          <w:tcPr>
            <w:tcW w:w="2320" w:type="dxa"/>
            <w:tcBorders>
              <w:top w:val="nil"/>
              <w:left w:val="nil"/>
              <w:bottom w:val="single" w:sz="4" w:space="0" w:color="auto"/>
              <w:right w:val="nil"/>
            </w:tcBorders>
            <w:shd w:val="clear" w:color="auto" w:fill="auto"/>
            <w:noWrap/>
            <w:vAlign w:val="bottom"/>
            <w:hideMark/>
          </w:tcPr>
          <w:p w14:paraId="700B86B6" w14:textId="77777777" w:rsidR="004F14A1" w:rsidRPr="00F85178" w:rsidRDefault="004F14A1" w:rsidP="00323544">
            <w:pPr>
              <w:spacing w:line="240" w:lineRule="auto"/>
              <w:jc w:val="left"/>
            </w:pPr>
            <w:r w:rsidRPr="00F85178">
              <w:t>Praha 1</w:t>
            </w:r>
          </w:p>
        </w:tc>
        <w:tc>
          <w:tcPr>
            <w:tcW w:w="1060" w:type="dxa"/>
            <w:tcBorders>
              <w:top w:val="nil"/>
              <w:left w:val="nil"/>
              <w:bottom w:val="single" w:sz="4" w:space="0" w:color="auto"/>
              <w:right w:val="nil"/>
            </w:tcBorders>
            <w:shd w:val="clear" w:color="auto" w:fill="auto"/>
            <w:noWrap/>
            <w:vAlign w:val="bottom"/>
            <w:hideMark/>
          </w:tcPr>
          <w:p w14:paraId="053BDCF2" w14:textId="77777777" w:rsidR="004F14A1" w:rsidRPr="00F85178" w:rsidRDefault="004F14A1" w:rsidP="00323544">
            <w:pPr>
              <w:spacing w:line="240" w:lineRule="auto"/>
              <w:jc w:val="center"/>
            </w:pPr>
            <w:r w:rsidRPr="00F85178">
              <w:t>P 1</w:t>
            </w:r>
          </w:p>
        </w:tc>
      </w:tr>
      <w:tr w:rsidR="00F85178" w:rsidRPr="00F85178" w14:paraId="72E696F7"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2A7BD3E" w14:textId="77777777" w:rsidR="004F14A1" w:rsidRPr="00F85178" w:rsidRDefault="004F14A1" w:rsidP="00323544">
            <w:pPr>
              <w:spacing w:line="240" w:lineRule="auto"/>
              <w:jc w:val="left"/>
            </w:pPr>
            <w:r w:rsidRPr="00F85178">
              <w:t>Česká Lípa</w:t>
            </w:r>
          </w:p>
        </w:tc>
        <w:tc>
          <w:tcPr>
            <w:tcW w:w="1060" w:type="dxa"/>
            <w:tcBorders>
              <w:top w:val="nil"/>
              <w:left w:val="nil"/>
              <w:bottom w:val="single" w:sz="4" w:space="0" w:color="auto"/>
              <w:right w:val="single" w:sz="4" w:space="0" w:color="auto"/>
            </w:tcBorders>
            <w:shd w:val="clear" w:color="auto" w:fill="auto"/>
            <w:noWrap/>
            <w:vAlign w:val="bottom"/>
            <w:hideMark/>
          </w:tcPr>
          <w:p w14:paraId="6813BBD4" w14:textId="77777777" w:rsidR="004F14A1" w:rsidRPr="00F85178" w:rsidRDefault="004F14A1" w:rsidP="00323544">
            <w:pPr>
              <w:spacing w:line="240" w:lineRule="auto"/>
              <w:jc w:val="center"/>
            </w:pPr>
            <w:r w:rsidRPr="00F85178">
              <w:t>CL</w:t>
            </w:r>
          </w:p>
        </w:tc>
        <w:tc>
          <w:tcPr>
            <w:tcW w:w="2320" w:type="dxa"/>
            <w:tcBorders>
              <w:top w:val="nil"/>
              <w:left w:val="nil"/>
              <w:bottom w:val="single" w:sz="4" w:space="0" w:color="auto"/>
              <w:right w:val="nil"/>
            </w:tcBorders>
            <w:shd w:val="clear" w:color="auto" w:fill="auto"/>
            <w:noWrap/>
            <w:vAlign w:val="bottom"/>
            <w:hideMark/>
          </w:tcPr>
          <w:p w14:paraId="581998B8"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2</w:t>
            </w:r>
          </w:p>
        </w:tc>
        <w:tc>
          <w:tcPr>
            <w:tcW w:w="1060" w:type="dxa"/>
            <w:tcBorders>
              <w:top w:val="nil"/>
              <w:left w:val="nil"/>
              <w:bottom w:val="single" w:sz="4" w:space="0" w:color="auto"/>
              <w:right w:val="nil"/>
            </w:tcBorders>
            <w:shd w:val="clear" w:color="auto" w:fill="auto"/>
            <w:noWrap/>
            <w:vAlign w:val="bottom"/>
            <w:hideMark/>
          </w:tcPr>
          <w:p w14:paraId="6904A97A"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2</w:t>
            </w:r>
          </w:p>
        </w:tc>
      </w:tr>
      <w:tr w:rsidR="00F85178" w:rsidRPr="00F85178" w14:paraId="7E7CA76C"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33A8648" w14:textId="77777777" w:rsidR="004F14A1" w:rsidRPr="00F85178" w:rsidRDefault="004F14A1" w:rsidP="00323544">
            <w:pPr>
              <w:spacing w:line="240" w:lineRule="auto"/>
              <w:jc w:val="left"/>
            </w:pPr>
            <w:r w:rsidRPr="00F85178">
              <w:t>České Budějovice</w:t>
            </w:r>
          </w:p>
        </w:tc>
        <w:tc>
          <w:tcPr>
            <w:tcW w:w="1060" w:type="dxa"/>
            <w:tcBorders>
              <w:top w:val="nil"/>
              <w:left w:val="nil"/>
              <w:bottom w:val="single" w:sz="4" w:space="0" w:color="auto"/>
              <w:right w:val="single" w:sz="4" w:space="0" w:color="auto"/>
            </w:tcBorders>
            <w:shd w:val="clear" w:color="auto" w:fill="auto"/>
            <w:noWrap/>
            <w:vAlign w:val="bottom"/>
            <w:hideMark/>
          </w:tcPr>
          <w:p w14:paraId="473E3812" w14:textId="77777777" w:rsidR="004F14A1" w:rsidRPr="00F85178" w:rsidRDefault="004F14A1" w:rsidP="00323544">
            <w:pPr>
              <w:spacing w:line="240" w:lineRule="auto"/>
              <w:jc w:val="center"/>
            </w:pPr>
            <w:r w:rsidRPr="00F85178">
              <w:t>CB</w:t>
            </w:r>
          </w:p>
        </w:tc>
        <w:tc>
          <w:tcPr>
            <w:tcW w:w="2320" w:type="dxa"/>
            <w:tcBorders>
              <w:top w:val="nil"/>
              <w:left w:val="nil"/>
              <w:bottom w:val="single" w:sz="4" w:space="0" w:color="auto"/>
              <w:right w:val="nil"/>
            </w:tcBorders>
            <w:shd w:val="clear" w:color="auto" w:fill="auto"/>
            <w:noWrap/>
            <w:vAlign w:val="bottom"/>
            <w:hideMark/>
          </w:tcPr>
          <w:p w14:paraId="38F9E20E"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3</w:t>
            </w:r>
          </w:p>
        </w:tc>
        <w:tc>
          <w:tcPr>
            <w:tcW w:w="1060" w:type="dxa"/>
            <w:tcBorders>
              <w:top w:val="nil"/>
              <w:left w:val="nil"/>
              <w:bottom w:val="single" w:sz="4" w:space="0" w:color="auto"/>
              <w:right w:val="nil"/>
            </w:tcBorders>
            <w:shd w:val="clear" w:color="auto" w:fill="auto"/>
            <w:noWrap/>
            <w:vAlign w:val="bottom"/>
            <w:hideMark/>
          </w:tcPr>
          <w:p w14:paraId="656212EB"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3</w:t>
            </w:r>
          </w:p>
        </w:tc>
      </w:tr>
      <w:tr w:rsidR="00F85178" w:rsidRPr="00F85178" w14:paraId="49D037F3"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F2FC336" w14:textId="77777777" w:rsidR="004F14A1" w:rsidRPr="00F85178" w:rsidRDefault="004F14A1" w:rsidP="00323544">
            <w:pPr>
              <w:spacing w:line="240" w:lineRule="auto"/>
              <w:jc w:val="left"/>
            </w:pPr>
            <w:r w:rsidRPr="00F85178">
              <w:t>Český Krumlov</w:t>
            </w:r>
          </w:p>
        </w:tc>
        <w:tc>
          <w:tcPr>
            <w:tcW w:w="1060" w:type="dxa"/>
            <w:tcBorders>
              <w:top w:val="nil"/>
              <w:left w:val="nil"/>
              <w:bottom w:val="single" w:sz="4" w:space="0" w:color="auto"/>
              <w:right w:val="single" w:sz="4" w:space="0" w:color="auto"/>
            </w:tcBorders>
            <w:shd w:val="clear" w:color="auto" w:fill="auto"/>
            <w:noWrap/>
            <w:vAlign w:val="bottom"/>
            <w:hideMark/>
          </w:tcPr>
          <w:p w14:paraId="3660B487" w14:textId="77777777" w:rsidR="004F14A1" w:rsidRPr="00F85178" w:rsidRDefault="004F14A1" w:rsidP="00323544">
            <w:pPr>
              <w:spacing w:line="240" w:lineRule="auto"/>
              <w:jc w:val="center"/>
            </w:pPr>
            <w:r w:rsidRPr="00F85178">
              <w:t>CK</w:t>
            </w:r>
          </w:p>
        </w:tc>
        <w:tc>
          <w:tcPr>
            <w:tcW w:w="2320" w:type="dxa"/>
            <w:tcBorders>
              <w:top w:val="nil"/>
              <w:left w:val="nil"/>
              <w:bottom w:val="single" w:sz="4" w:space="0" w:color="auto"/>
              <w:right w:val="nil"/>
            </w:tcBorders>
            <w:shd w:val="clear" w:color="auto" w:fill="auto"/>
            <w:noWrap/>
            <w:vAlign w:val="bottom"/>
            <w:hideMark/>
          </w:tcPr>
          <w:p w14:paraId="36FA6494"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4</w:t>
            </w:r>
          </w:p>
        </w:tc>
        <w:tc>
          <w:tcPr>
            <w:tcW w:w="1060" w:type="dxa"/>
            <w:tcBorders>
              <w:top w:val="nil"/>
              <w:left w:val="nil"/>
              <w:bottom w:val="single" w:sz="4" w:space="0" w:color="auto"/>
              <w:right w:val="nil"/>
            </w:tcBorders>
            <w:shd w:val="clear" w:color="auto" w:fill="auto"/>
            <w:noWrap/>
            <w:vAlign w:val="bottom"/>
            <w:hideMark/>
          </w:tcPr>
          <w:p w14:paraId="3EF14AD2"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4</w:t>
            </w:r>
          </w:p>
        </w:tc>
      </w:tr>
      <w:tr w:rsidR="00F85178" w:rsidRPr="00F85178" w14:paraId="5531DEC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3FF4110" w14:textId="77777777" w:rsidR="004F14A1" w:rsidRPr="00F85178" w:rsidRDefault="004F14A1" w:rsidP="00323544">
            <w:pPr>
              <w:spacing w:line="240" w:lineRule="auto"/>
              <w:jc w:val="left"/>
            </w:pPr>
            <w:r w:rsidRPr="00F85178">
              <w:t>Děčín</w:t>
            </w:r>
          </w:p>
        </w:tc>
        <w:tc>
          <w:tcPr>
            <w:tcW w:w="1060" w:type="dxa"/>
            <w:tcBorders>
              <w:top w:val="nil"/>
              <w:left w:val="nil"/>
              <w:bottom w:val="single" w:sz="4" w:space="0" w:color="auto"/>
              <w:right w:val="single" w:sz="4" w:space="0" w:color="auto"/>
            </w:tcBorders>
            <w:shd w:val="clear" w:color="auto" w:fill="auto"/>
            <w:noWrap/>
            <w:vAlign w:val="bottom"/>
            <w:hideMark/>
          </w:tcPr>
          <w:p w14:paraId="026FF036" w14:textId="77777777" w:rsidR="004F14A1" w:rsidRPr="00F85178" w:rsidRDefault="004F14A1" w:rsidP="00323544">
            <w:pPr>
              <w:spacing w:line="240" w:lineRule="auto"/>
              <w:jc w:val="center"/>
            </w:pPr>
            <w:r w:rsidRPr="00F85178">
              <w:t>DC</w:t>
            </w:r>
          </w:p>
        </w:tc>
        <w:tc>
          <w:tcPr>
            <w:tcW w:w="2320" w:type="dxa"/>
            <w:tcBorders>
              <w:top w:val="nil"/>
              <w:left w:val="nil"/>
              <w:bottom w:val="single" w:sz="4" w:space="0" w:color="auto"/>
              <w:right w:val="nil"/>
            </w:tcBorders>
            <w:shd w:val="clear" w:color="auto" w:fill="auto"/>
            <w:noWrap/>
            <w:vAlign w:val="bottom"/>
            <w:hideMark/>
          </w:tcPr>
          <w:p w14:paraId="1B5F0297"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5</w:t>
            </w:r>
          </w:p>
        </w:tc>
        <w:tc>
          <w:tcPr>
            <w:tcW w:w="1060" w:type="dxa"/>
            <w:tcBorders>
              <w:top w:val="nil"/>
              <w:left w:val="nil"/>
              <w:bottom w:val="single" w:sz="4" w:space="0" w:color="auto"/>
              <w:right w:val="nil"/>
            </w:tcBorders>
            <w:shd w:val="clear" w:color="auto" w:fill="auto"/>
            <w:noWrap/>
            <w:vAlign w:val="bottom"/>
            <w:hideMark/>
          </w:tcPr>
          <w:p w14:paraId="26F30C76"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5</w:t>
            </w:r>
          </w:p>
        </w:tc>
      </w:tr>
      <w:tr w:rsidR="00F85178" w:rsidRPr="00F85178" w14:paraId="4D85CAE5"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53CAFA4" w14:textId="77777777" w:rsidR="004F14A1" w:rsidRPr="00F85178" w:rsidRDefault="004F14A1" w:rsidP="00323544">
            <w:pPr>
              <w:spacing w:line="240" w:lineRule="auto"/>
              <w:jc w:val="left"/>
            </w:pPr>
            <w:r w:rsidRPr="00F85178">
              <w:t>Domažlice</w:t>
            </w:r>
          </w:p>
        </w:tc>
        <w:tc>
          <w:tcPr>
            <w:tcW w:w="1060" w:type="dxa"/>
            <w:tcBorders>
              <w:top w:val="nil"/>
              <w:left w:val="nil"/>
              <w:bottom w:val="single" w:sz="4" w:space="0" w:color="auto"/>
              <w:right w:val="single" w:sz="4" w:space="0" w:color="auto"/>
            </w:tcBorders>
            <w:shd w:val="clear" w:color="auto" w:fill="auto"/>
            <w:noWrap/>
            <w:vAlign w:val="bottom"/>
            <w:hideMark/>
          </w:tcPr>
          <w:p w14:paraId="342B12A0" w14:textId="77777777" w:rsidR="004F14A1" w:rsidRPr="00F85178" w:rsidRDefault="004F14A1" w:rsidP="00323544">
            <w:pPr>
              <w:spacing w:line="240" w:lineRule="auto"/>
              <w:jc w:val="center"/>
            </w:pPr>
            <w:proofErr w:type="gramStart"/>
            <w:r w:rsidRPr="00F85178">
              <w:t>DO</w:t>
            </w:r>
            <w:proofErr w:type="gramEnd"/>
          </w:p>
        </w:tc>
        <w:tc>
          <w:tcPr>
            <w:tcW w:w="2320" w:type="dxa"/>
            <w:tcBorders>
              <w:top w:val="nil"/>
              <w:left w:val="nil"/>
              <w:bottom w:val="single" w:sz="4" w:space="0" w:color="auto"/>
              <w:right w:val="nil"/>
            </w:tcBorders>
            <w:shd w:val="clear" w:color="auto" w:fill="auto"/>
            <w:noWrap/>
            <w:vAlign w:val="bottom"/>
            <w:hideMark/>
          </w:tcPr>
          <w:p w14:paraId="73765B44"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6</w:t>
            </w:r>
          </w:p>
        </w:tc>
        <w:tc>
          <w:tcPr>
            <w:tcW w:w="1060" w:type="dxa"/>
            <w:tcBorders>
              <w:top w:val="nil"/>
              <w:left w:val="nil"/>
              <w:bottom w:val="single" w:sz="4" w:space="0" w:color="auto"/>
              <w:right w:val="nil"/>
            </w:tcBorders>
            <w:shd w:val="clear" w:color="auto" w:fill="auto"/>
            <w:noWrap/>
            <w:vAlign w:val="bottom"/>
            <w:hideMark/>
          </w:tcPr>
          <w:p w14:paraId="1E98230F"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6</w:t>
            </w:r>
          </w:p>
        </w:tc>
      </w:tr>
      <w:tr w:rsidR="00F85178" w:rsidRPr="00F85178" w14:paraId="66BD503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0C581DE" w14:textId="77777777" w:rsidR="004F14A1" w:rsidRPr="00F85178" w:rsidRDefault="004F14A1" w:rsidP="00323544">
            <w:pPr>
              <w:spacing w:line="240" w:lineRule="auto"/>
              <w:jc w:val="left"/>
            </w:pPr>
            <w:r w:rsidRPr="00F85178">
              <w:t>Frýdek-Místek</w:t>
            </w:r>
          </w:p>
        </w:tc>
        <w:tc>
          <w:tcPr>
            <w:tcW w:w="1060" w:type="dxa"/>
            <w:tcBorders>
              <w:top w:val="nil"/>
              <w:left w:val="nil"/>
              <w:bottom w:val="single" w:sz="4" w:space="0" w:color="auto"/>
              <w:right w:val="single" w:sz="4" w:space="0" w:color="auto"/>
            </w:tcBorders>
            <w:shd w:val="clear" w:color="auto" w:fill="auto"/>
            <w:noWrap/>
            <w:vAlign w:val="bottom"/>
            <w:hideMark/>
          </w:tcPr>
          <w:p w14:paraId="5413F0D9" w14:textId="77777777" w:rsidR="004F14A1" w:rsidRPr="00F85178" w:rsidRDefault="004F14A1" w:rsidP="00323544">
            <w:pPr>
              <w:spacing w:line="240" w:lineRule="auto"/>
              <w:jc w:val="center"/>
            </w:pPr>
            <w:r w:rsidRPr="00F85178">
              <w:t>FM</w:t>
            </w:r>
          </w:p>
        </w:tc>
        <w:tc>
          <w:tcPr>
            <w:tcW w:w="2320" w:type="dxa"/>
            <w:tcBorders>
              <w:top w:val="nil"/>
              <w:left w:val="nil"/>
              <w:bottom w:val="single" w:sz="4" w:space="0" w:color="auto"/>
              <w:right w:val="nil"/>
            </w:tcBorders>
            <w:shd w:val="clear" w:color="auto" w:fill="auto"/>
            <w:noWrap/>
            <w:vAlign w:val="bottom"/>
            <w:hideMark/>
          </w:tcPr>
          <w:p w14:paraId="1C0B8E73"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7</w:t>
            </w:r>
          </w:p>
        </w:tc>
        <w:tc>
          <w:tcPr>
            <w:tcW w:w="1060" w:type="dxa"/>
            <w:tcBorders>
              <w:top w:val="nil"/>
              <w:left w:val="nil"/>
              <w:bottom w:val="single" w:sz="4" w:space="0" w:color="auto"/>
              <w:right w:val="nil"/>
            </w:tcBorders>
            <w:shd w:val="clear" w:color="auto" w:fill="auto"/>
            <w:noWrap/>
            <w:vAlign w:val="bottom"/>
            <w:hideMark/>
          </w:tcPr>
          <w:p w14:paraId="02648E8C"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7</w:t>
            </w:r>
          </w:p>
        </w:tc>
      </w:tr>
      <w:tr w:rsidR="00F85178" w:rsidRPr="00F85178" w14:paraId="2D3F1CF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7BC745B" w14:textId="77777777" w:rsidR="004F14A1" w:rsidRPr="00F85178" w:rsidRDefault="004F14A1" w:rsidP="00323544">
            <w:pPr>
              <w:spacing w:line="240" w:lineRule="auto"/>
              <w:jc w:val="left"/>
            </w:pPr>
            <w:r w:rsidRPr="00F85178">
              <w:t>Havlíčkův Brod</w:t>
            </w:r>
          </w:p>
        </w:tc>
        <w:tc>
          <w:tcPr>
            <w:tcW w:w="1060" w:type="dxa"/>
            <w:tcBorders>
              <w:top w:val="nil"/>
              <w:left w:val="nil"/>
              <w:bottom w:val="single" w:sz="4" w:space="0" w:color="auto"/>
              <w:right w:val="single" w:sz="4" w:space="0" w:color="auto"/>
            </w:tcBorders>
            <w:shd w:val="clear" w:color="auto" w:fill="auto"/>
            <w:noWrap/>
            <w:vAlign w:val="bottom"/>
            <w:hideMark/>
          </w:tcPr>
          <w:p w14:paraId="63C88E04" w14:textId="77777777" w:rsidR="004F14A1" w:rsidRPr="00F85178" w:rsidRDefault="004F14A1" w:rsidP="00323544">
            <w:pPr>
              <w:spacing w:line="240" w:lineRule="auto"/>
              <w:jc w:val="center"/>
            </w:pPr>
            <w:r w:rsidRPr="00F85178">
              <w:t>HB</w:t>
            </w:r>
          </w:p>
        </w:tc>
        <w:tc>
          <w:tcPr>
            <w:tcW w:w="2320" w:type="dxa"/>
            <w:tcBorders>
              <w:top w:val="nil"/>
              <w:left w:val="nil"/>
              <w:bottom w:val="single" w:sz="4" w:space="0" w:color="auto"/>
              <w:right w:val="nil"/>
            </w:tcBorders>
            <w:shd w:val="clear" w:color="auto" w:fill="auto"/>
            <w:noWrap/>
            <w:vAlign w:val="bottom"/>
            <w:hideMark/>
          </w:tcPr>
          <w:p w14:paraId="1FFD09D2"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8</w:t>
            </w:r>
          </w:p>
        </w:tc>
        <w:tc>
          <w:tcPr>
            <w:tcW w:w="1060" w:type="dxa"/>
            <w:tcBorders>
              <w:top w:val="nil"/>
              <w:left w:val="nil"/>
              <w:bottom w:val="single" w:sz="4" w:space="0" w:color="auto"/>
              <w:right w:val="nil"/>
            </w:tcBorders>
            <w:shd w:val="clear" w:color="auto" w:fill="auto"/>
            <w:noWrap/>
            <w:vAlign w:val="bottom"/>
            <w:hideMark/>
          </w:tcPr>
          <w:p w14:paraId="496E7303"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8</w:t>
            </w:r>
          </w:p>
        </w:tc>
      </w:tr>
      <w:tr w:rsidR="00F85178" w:rsidRPr="00F85178" w14:paraId="457DD005"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948337B" w14:textId="77777777" w:rsidR="004F14A1" w:rsidRPr="00F85178" w:rsidRDefault="004F14A1" w:rsidP="00323544">
            <w:pPr>
              <w:spacing w:line="240" w:lineRule="auto"/>
              <w:jc w:val="left"/>
            </w:pPr>
            <w:r w:rsidRPr="00F85178">
              <w:t>Hodonín</w:t>
            </w:r>
          </w:p>
        </w:tc>
        <w:tc>
          <w:tcPr>
            <w:tcW w:w="1060" w:type="dxa"/>
            <w:tcBorders>
              <w:top w:val="nil"/>
              <w:left w:val="nil"/>
              <w:bottom w:val="single" w:sz="4" w:space="0" w:color="auto"/>
              <w:right w:val="single" w:sz="4" w:space="0" w:color="auto"/>
            </w:tcBorders>
            <w:shd w:val="clear" w:color="auto" w:fill="auto"/>
            <w:noWrap/>
            <w:vAlign w:val="bottom"/>
            <w:hideMark/>
          </w:tcPr>
          <w:p w14:paraId="11EBF584" w14:textId="77777777" w:rsidR="004F14A1" w:rsidRPr="00F85178" w:rsidRDefault="004F14A1" w:rsidP="00323544">
            <w:pPr>
              <w:spacing w:line="240" w:lineRule="auto"/>
              <w:jc w:val="center"/>
            </w:pPr>
            <w:proofErr w:type="gramStart"/>
            <w:r w:rsidRPr="00F85178">
              <w:t>HO</w:t>
            </w:r>
            <w:proofErr w:type="gramEnd"/>
          </w:p>
        </w:tc>
        <w:tc>
          <w:tcPr>
            <w:tcW w:w="2320" w:type="dxa"/>
            <w:tcBorders>
              <w:top w:val="nil"/>
              <w:left w:val="nil"/>
              <w:bottom w:val="single" w:sz="4" w:space="0" w:color="auto"/>
              <w:right w:val="nil"/>
            </w:tcBorders>
            <w:shd w:val="clear" w:color="auto" w:fill="auto"/>
            <w:noWrap/>
            <w:vAlign w:val="bottom"/>
            <w:hideMark/>
          </w:tcPr>
          <w:p w14:paraId="243677C9"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9</w:t>
            </w:r>
          </w:p>
        </w:tc>
        <w:tc>
          <w:tcPr>
            <w:tcW w:w="1060" w:type="dxa"/>
            <w:tcBorders>
              <w:top w:val="nil"/>
              <w:left w:val="nil"/>
              <w:bottom w:val="single" w:sz="4" w:space="0" w:color="auto"/>
              <w:right w:val="nil"/>
            </w:tcBorders>
            <w:shd w:val="clear" w:color="auto" w:fill="auto"/>
            <w:noWrap/>
            <w:vAlign w:val="bottom"/>
            <w:hideMark/>
          </w:tcPr>
          <w:p w14:paraId="589E21A6"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9</w:t>
            </w:r>
          </w:p>
        </w:tc>
      </w:tr>
      <w:tr w:rsidR="00F85178" w:rsidRPr="00F85178" w14:paraId="4A027332"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6A22D2E" w14:textId="77777777" w:rsidR="004F14A1" w:rsidRPr="00F85178" w:rsidRDefault="004F14A1" w:rsidP="00323544">
            <w:pPr>
              <w:spacing w:line="240" w:lineRule="auto"/>
              <w:jc w:val="left"/>
            </w:pPr>
            <w:r w:rsidRPr="00F85178">
              <w:t>Hradec Králové</w:t>
            </w:r>
          </w:p>
        </w:tc>
        <w:tc>
          <w:tcPr>
            <w:tcW w:w="1060" w:type="dxa"/>
            <w:tcBorders>
              <w:top w:val="nil"/>
              <w:left w:val="nil"/>
              <w:bottom w:val="single" w:sz="4" w:space="0" w:color="auto"/>
              <w:right w:val="single" w:sz="4" w:space="0" w:color="auto"/>
            </w:tcBorders>
            <w:shd w:val="clear" w:color="auto" w:fill="auto"/>
            <w:noWrap/>
            <w:vAlign w:val="bottom"/>
            <w:hideMark/>
          </w:tcPr>
          <w:p w14:paraId="16ABFDA1" w14:textId="77777777" w:rsidR="004F14A1" w:rsidRPr="00F85178" w:rsidRDefault="004F14A1" w:rsidP="00323544">
            <w:pPr>
              <w:spacing w:line="240" w:lineRule="auto"/>
              <w:jc w:val="center"/>
            </w:pPr>
            <w:r w:rsidRPr="00F85178">
              <w:t>HK</w:t>
            </w:r>
          </w:p>
        </w:tc>
        <w:tc>
          <w:tcPr>
            <w:tcW w:w="2320" w:type="dxa"/>
            <w:tcBorders>
              <w:top w:val="nil"/>
              <w:left w:val="nil"/>
              <w:bottom w:val="single" w:sz="4" w:space="0" w:color="auto"/>
              <w:right w:val="nil"/>
            </w:tcBorders>
            <w:shd w:val="clear" w:color="auto" w:fill="auto"/>
            <w:noWrap/>
            <w:vAlign w:val="bottom"/>
            <w:hideMark/>
          </w:tcPr>
          <w:p w14:paraId="5F2DBAA4" w14:textId="77777777" w:rsidR="004F14A1" w:rsidRPr="00F85178" w:rsidRDefault="004F14A1" w:rsidP="00323544">
            <w:pPr>
              <w:spacing w:line="240" w:lineRule="auto"/>
              <w:jc w:val="left"/>
            </w:pPr>
            <w:r w:rsidRPr="00F85178">
              <w:t xml:space="preserve">Praha </w:t>
            </w:r>
            <w:r w:rsidRPr="00F85178">
              <w:rPr>
                <w:rFonts w:eastAsia="Times New Roman"/>
                <w:szCs w:val="24"/>
                <w:lang w:eastAsia="cs-CZ"/>
              </w:rPr>
              <w:t>10</w:t>
            </w:r>
          </w:p>
        </w:tc>
        <w:tc>
          <w:tcPr>
            <w:tcW w:w="1060" w:type="dxa"/>
            <w:tcBorders>
              <w:top w:val="nil"/>
              <w:left w:val="nil"/>
              <w:bottom w:val="single" w:sz="4" w:space="0" w:color="auto"/>
              <w:right w:val="nil"/>
            </w:tcBorders>
            <w:shd w:val="clear" w:color="auto" w:fill="auto"/>
            <w:noWrap/>
            <w:vAlign w:val="bottom"/>
            <w:hideMark/>
          </w:tcPr>
          <w:p w14:paraId="785E0569" w14:textId="77777777" w:rsidR="004F14A1" w:rsidRPr="00F85178" w:rsidRDefault="004F14A1" w:rsidP="00323544">
            <w:pPr>
              <w:spacing w:line="240" w:lineRule="auto"/>
              <w:jc w:val="center"/>
            </w:pPr>
            <w:r w:rsidRPr="00F85178">
              <w:t xml:space="preserve">P </w:t>
            </w:r>
            <w:r w:rsidRPr="00F85178">
              <w:rPr>
                <w:rFonts w:eastAsia="Times New Roman"/>
                <w:szCs w:val="24"/>
                <w:lang w:eastAsia="cs-CZ"/>
              </w:rPr>
              <w:t>10</w:t>
            </w:r>
          </w:p>
        </w:tc>
      </w:tr>
      <w:tr w:rsidR="00F85178" w:rsidRPr="00F85178" w14:paraId="46DCA4C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B0A2E4A" w14:textId="77777777" w:rsidR="004F14A1" w:rsidRPr="00F85178" w:rsidRDefault="004F14A1" w:rsidP="00323544">
            <w:pPr>
              <w:spacing w:line="240" w:lineRule="auto"/>
              <w:jc w:val="left"/>
            </w:pPr>
            <w:r w:rsidRPr="00F85178">
              <w:t>Cheb</w:t>
            </w:r>
          </w:p>
        </w:tc>
        <w:tc>
          <w:tcPr>
            <w:tcW w:w="1060" w:type="dxa"/>
            <w:tcBorders>
              <w:top w:val="nil"/>
              <w:left w:val="nil"/>
              <w:bottom w:val="single" w:sz="4" w:space="0" w:color="auto"/>
              <w:right w:val="single" w:sz="4" w:space="0" w:color="auto"/>
            </w:tcBorders>
            <w:shd w:val="clear" w:color="auto" w:fill="auto"/>
            <w:noWrap/>
            <w:vAlign w:val="bottom"/>
            <w:hideMark/>
          </w:tcPr>
          <w:p w14:paraId="309EA0A7" w14:textId="77777777" w:rsidR="004F14A1" w:rsidRPr="00F85178" w:rsidRDefault="004F14A1" w:rsidP="00323544">
            <w:pPr>
              <w:spacing w:line="240" w:lineRule="auto"/>
              <w:jc w:val="center"/>
            </w:pPr>
            <w:r w:rsidRPr="00F85178">
              <w:t>CH</w:t>
            </w:r>
          </w:p>
        </w:tc>
        <w:tc>
          <w:tcPr>
            <w:tcW w:w="2320" w:type="dxa"/>
            <w:tcBorders>
              <w:top w:val="nil"/>
              <w:left w:val="nil"/>
              <w:bottom w:val="single" w:sz="4" w:space="0" w:color="auto"/>
              <w:right w:val="nil"/>
            </w:tcBorders>
            <w:shd w:val="clear" w:color="auto" w:fill="auto"/>
            <w:noWrap/>
            <w:vAlign w:val="bottom"/>
            <w:hideMark/>
          </w:tcPr>
          <w:p w14:paraId="5086035B" w14:textId="77777777" w:rsidR="004F14A1" w:rsidRPr="00F85178" w:rsidRDefault="004F14A1" w:rsidP="00323544">
            <w:pPr>
              <w:spacing w:line="240" w:lineRule="auto"/>
              <w:jc w:val="left"/>
            </w:pPr>
            <w:r w:rsidRPr="00F85178">
              <w:t>Praha-východ</w:t>
            </w:r>
          </w:p>
        </w:tc>
        <w:tc>
          <w:tcPr>
            <w:tcW w:w="1060" w:type="dxa"/>
            <w:tcBorders>
              <w:top w:val="nil"/>
              <w:left w:val="nil"/>
              <w:bottom w:val="single" w:sz="4" w:space="0" w:color="auto"/>
              <w:right w:val="nil"/>
            </w:tcBorders>
            <w:shd w:val="clear" w:color="auto" w:fill="auto"/>
            <w:noWrap/>
            <w:vAlign w:val="bottom"/>
            <w:hideMark/>
          </w:tcPr>
          <w:p w14:paraId="403B87FC" w14:textId="77777777" w:rsidR="004F14A1" w:rsidRPr="00F85178" w:rsidRDefault="004F14A1" w:rsidP="00323544">
            <w:pPr>
              <w:spacing w:line="240" w:lineRule="auto"/>
              <w:jc w:val="center"/>
            </w:pPr>
            <w:r w:rsidRPr="00F85178">
              <w:t>PY</w:t>
            </w:r>
          </w:p>
        </w:tc>
      </w:tr>
      <w:tr w:rsidR="00F85178" w:rsidRPr="00F85178" w14:paraId="066A013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9AAB5D9" w14:textId="77777777" w:rsidR="004F14A1" w:rsidRPr="00F85178" w:rsidRDefault="004F14A1" w:rsidP="00323544">
            <w:pPr>
              <w:spacing w:line="240" w:lineRule="auto"/>
              <w:jc w:val="left"/>
            </w:pPr>
            <w:r w:rsidRPr="00F85178">
              <w:t>Chomutov</w:t>
            </w:r>
          </w:p>
        </w:tc>
        <w:tc>
          <w:tcPr>
            <w:tcW w:w="1060" w:type="dxa"/>
            <w:tcBorders>
              <w:top w:val="nil"/>
              <w:left w:val="nil"/>
              <w:bottom w:val="single" w:sz="4" w:space="0" w:color="auto"/>
              <w:right w:val="single" w:sz="4" w:space="0" w:color="auto"/>
            </w:tcBorders>
            <w:shd w:val="clear" w:color="auto" w:fill="auto"/>
            <w:noWrap/>
            <w:vAlign w:val="bottom"/>
            <w:hideMark/>
          </w:tcPr>
          <w:p w14:paraId="450EFEDA" w14:textId="77777777" w:rsidR="004F14A1" w:rsidRPr="00F85178" w:rsidRDefault="004F14A1" w:rsidP="00323544">
            <w:pPr>
              <w:spacing w:line="240" w:lineRule="auto"/>
              <w:jc w:val="center"/>
            </w:pPr>
            <w:r w:rsidRPr="00F85178">
              <w:t>CV</w:t>
            </w:r>
          </w:p>
        </w:tc>
        <w:tc>
          <w:tcPr>
            <w:tcW w:w="2320" w:type="dxa"/>
            <w:tcBorders>
              <w:top w:val="nil"/>
              <w:left w:val="nil"/>
              <w:bottom w:val="single" w:sz="4" w:space="0" w:color="auto"/>
              <w:right w:val="nil"/>
            </w:tcBorders>
            <w:shd w:val="clear" w:color="auto" w:fill="auto"/>
            <w:noWrap/>
            <w:vAlign w:val="bottom"/>
            <w:hideMark/>
          </w:tcPr>
          <w:p w14:paraId="6B53D3CC" w14:textId="77777777" w:rsidR="004F14A1" w:rsidRPr="00F85178" w:rsidRDefault="004F14A1" w:rsidP="00323544">
            <w:pPr>
              <w:spacing w:line="240" w:lineRule="auto"/>
              <w:jc w:val="left"/>
            </w:pPr>
            <w:r w:rsidRPr="00F85178">
              <w:t>Praha-západ</w:t>
            </w:r>
          </w:p>
        </w:tc>
        <w:tc>
          <w:tcPr>
            <w:tcW w:w="1060" w:type="dxa"/>
            <w:tcBorders>
              <w:top w:val="nil"/>
              <w:left w:val="nil"/>
              <w:bottom w:val="single" w:sz="4" w:space="0" w:color="auto"/>
              <w:right w:val="nil"/>
            </w:tcBorders>
            <w:shd w:val="clear" w:color="auto" w:fill="auto"/>
            <w:noWrap/>
            <w:vAlign w:val="bottom"/>
            <w:hideMark/>
          </w:tcPr>
          <w:p w14:paraId="09F13AD0" w14:textId="77777777" w:rsidR="004F14A1" w:rsidRPr="00F85178" w:rsidRDefault="004F14A1" w:rsidP="00323544">
            <w:pPr>
              <w:spacing w:line="240" w:lineRule="auto"/>
              <w:jc w:val="center"/>
            </w:pPr>
            <w:r w:rsidRPr="00F85178">
              <w:t>PZ</w:t>
            </w:r>
          </w:p>
        </w:tc>
      </w:tr>
      <w:tr w:rsidR="00F85178" w:rsidRPr="00F85178" w14:paraId="0F87E70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BBDC25F" w14:textId="77777777" w:rsidR="004F14A1" w:rsidRPr="00F85178" w:rsidRDefault="004F14A1" w:rsidP="00323544">
            <w:pPr>
              <w:spacing w:line="240" w:lineRule="auto"/>
              <w:jc w:val="left"/>
            </w:pPr>
            <w:r w:rsidRPr="00F85178">
              <w:t>Chrudim</w:t>
            </w:r>
          </w:p>
        </w:tc>
        <w:tc>
          <w:tcPr>
            <w:tcW w:w="1060" w:type="dxa"/>
            <w:tcBorders>
              <w:top w:val="nil"/>
              <w:left w:val="nil"/>
              <w:bottom w:val="single" w:sz="4" w:space="0" w:color="auto"/>
              <w:right w:val="single" w:sz="4" w:space="0" w:color="auto"/>
            </w:tcBorders>
            <w:shd w:val="clear" w:color="auto" w:fill="auto"/>
            <w:noWrap/>
            <w:vAlign w:val="bottom"/>
            <w:hideMark/>
          </w:tcPr>
          <w:p w14:paraId="29D6881C" w14:textId="77777777" w:rsidR="004F14A1" w:rsidRPr="00F85178" w:rsidRDefault="004F14A1" w:rsidP="00323544">
            <w:pPr>
              <w:spacing w:line="240" w:lineRule="auto"/>
              <w:jc w:val="center"/>
            </w:pPr>
            <w:r w:rsidRPr="00F85178">
              <w:t>CR</w:t>
            </w:r>
          </w:p>
        </w:tc>
        <w:tc>
          <w:tcPr>
            <w:tcW w:w="2320" w:type="dxa"/>
            <w:tcBorders>
              <w:top w:val="nil"/>
              <w:left w:val="nil"/>
              <w:bottom w:val="single" w:sz="4" w:space="0" w:color="auto"/>
              <w:right w:val="nil"/>
            </w:tcBorders>
            <w:shd w:val="clear" w:color="auto" w:fill="auto"/>
            <w:noWrap/>
            <w:vAlign w:val="bottom"/>
            <w:hideMark/>
          </w:tcPr>
          <w:p w14:paraId="26306C98" w14:textId="77777777" w:rsidR="004F14A1" w:rsidRPr="00F85178" w:rsidRDefault="004F14A1" w:rsidP="00323544">
            <w:pPr>
              <w:spacing w:line="240" w:lineRule="auto"/>
              <w:jc w:val="left"/>
            </w:pPr>
            <w:r w:rsidRPr="00F85178">
              <w:t>Prachatice</w:t>
            </w:r>
          </w:p>
        </w:tc>
        <w:tc>
          <w:tcPr>
            <w:tcW w:w="1060" w:type="dxa"/>
            <w:tcBorders>
              <w:top w:val="nil"/>
              <w:left w:val="nil"/>
              <w:bottom w:val="single" w:sz="4" w:space="0" w:color="auto"/>
              <w:right w:val="nil"/>
            </w:tcBorders>
            <w:shd w:val="clear" w:color="auto" w:fill="auto"/>
            <w:noWrap/>
            <w:vAlign w:val="bottom"/>
            <w:hideMark/>
          </w:tcPr>
          <w:p w14:paraId="2AC2D591" w14:textId="77777777" w:rsidR="004F14A1" w:rsidRPr="00F85178" w:rsidRDefault="004F14A1" w:rsidP="00323544">
            <w:pPr>
              <w:spacing w:line="240" w:lineRule="auto"/>
              <w:jc w:val="center"/>
            </w:pPr>
            <w:r w:rsidRPr="00F85178">
              <w:t>PT</w:t>
            </w:r>
          </w:p>
        </w:tc>
      </w:tr>
      <w:tr w:rsidR="00F85178" w:rsidRPr="00F85178" w14:paraId="6526BF6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BB7D395" w14:textId="77777777" w:rsidR="004F14A1" w:rsidRPr="00F85178" w:rsidRDefault="004F14A1" w:rsidP="00323544">
            <w:pPr>
              <w:spacing w:line="240" w:lineRule="auto"/>
              <w:jc w:val="left"/>
            </w:pPr>
            <w:r w:rsidRPr="00F85178">
              <w:t>Jablonec nad Nisou</w:t>
            </w:r>
          </w:p>
        </w:tc>
        <w:tc>
          <w:tcPr>
            <w:tcW w:w="1060" w:type="dxa"/>
            <w:tcBorders>
              <w:top w:val="nil"/>
              <w:left w:val="nil"/>
              <w:bottom w:val="single" w:sz="4" w:space="0" w:color="auto"/>
              <w:right w:val="single" w:sz="4" w:space="0" w:color="auto"/>
            </w:tcBorders>
            <w:shd w:val="clear" w:color="auto" w:fill="auto"/>
            <w:noWrap/>
            <w:vAlign w:val="bottom"/>
            <w:hideMark/>
          </w:tcPr>
          <w:p w14:paraId="063CF09F" w14:textId="77777777" w:rsidR="004F14A1" w:rsidRPr="00F85178" w:rsidRDefault="004F14A1" w:rsidP="00323544">
            <w:pPr>
              <w:spacing w:line="240" w:lineRule="auto"/>
              <w:jc w:val="center"/>
            </w:pPr>
            <w:r w:rsidRPr="00F85178">
              <w:t>JN</w:t>
            </w:r>
          </w:p>
        </w:tc>
        <w:tc>
          <w:tcPr>
            <w:tcW w:w="2320" w:type="dxa"/>
            <w:tcBorders>
              <w:top w:val="nil"/>
              <w:left w:val="nil"/>
              <w:bottom w:val="single" w:sz="4" w:space="0" w:color="auto"/>
              <w:right w:val="nil"/>
            </w:tcBorders>
            <w:shd w:val="clear" w:color="auto" w:fill="auto"/>
            <w:noWrap/>
            <w:vAlign w:val="bottom"/>
            <w:hideMark/>
          </w:tcPr>
          <w:p w14:paraId="6AE7B00B" w14:textId="77777777" w:rsidR="004F14A1" w:rsidRPr="00F85178" w:rsidRDefault="004F14A1" w:rsidP="00323544">
            <w:pPr>
              <w:spacing w:line="240" w:lineRule="auto"/>
              <w:jc w:val="left"/>
            </w:pPr>
            <w:r w:rsidRPr="00F85178">
              <w:t>Prostějov</w:t>
            </w:r>
          </w:p>
        </w:tc>
        <w:tc>
          <w:tcPr>
            <w:tcW w:w="1060" w:type="dxa"/>
            <w:tcBorders>
              <w:top w:val="nil"/>
              <w:left w:val="nil"/>
              <w:bottom w:val="single" w:sz="4" w:space="0" w:color="auto"/>
              <w:right w:val="nil"/>
            </w:tcBorders>
            <w:shd w:val="clear" w:color="auto" w:fill="auto"/>
            <w:noWrap/>
            <w:vAlign w:val="bottom"/>
            <w:hideMark/>
          </w:tcPr>
          <w:p w14:paraId="55597D3F" w14:textId="77777777" w:rsidR="004F14A1" w:rsidRPr="00F85178" w:rsidRDefault="004F14A1" w:rsidP="00323544">
            <w:pPr>
              <w:spacing w:line="240" w:lineRule="auto"/>
              <w:jc w:val="center"/>
            </w:pPr>
            <w:r w:rsidRPr="00F85178">
              <w:t>PV</w:t>
            </w:r>
          </w:p>
        </w:tc>
      </w:tr>
      <w:tr w:rsidR="00F85178" w:rsidRPr="00F85178" w14:paraId="6EE9B59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A8A2412" w14:textId="77777777" w:rsidR="004F14A1" w:rsidRPr="00F85178" w:rsidRDefault="004F14A1" w:rsidP="00323544">
            <w:pPr>
              <w:spacing w:line="240" w:lineRule="auto"/>
              <w:jc w:val="left"/>
            </w:pPr>
            <w:r w:rsidRPr="00F85178">
              <w:t>Jeseník</w:t>
            </w:r>
          </w:p>
        </w:tc>
        <w:tc>
          <w:tcPr>
            <w:tcW w:w="1060" w:type="dxa"/>
            <w:tcBorders>
              <w:top w:val="nil"/>
              <w:left w:val="nil"/>
              <w:bottom w:val="single" w:sz="4" w:space="0" w:color="auto"/>
              <w:right w:val="single" w:sz="4" w:space="0" w:color="auto"/>
            </w:tcBorders>
            <w:shd w:val="clear" w:color="auto" w:fill="auto"/>
            <w:noWrap/>
            <w:vAlign w:val="bottom"/>
            <w:hideMark/>
          </w:tcPr>
          <w:p w14:paraId="409682DB" w14:textId="77777777" w:rsidR="004F14A1" w:rsidRPr="00F85178" w:rsidRDefault="004F14A1" w:rsidP="00323544">
            <w:pPr>
              <w:spacing w:line="240" w:lineRule="auto"/>
              <w:jc w:val="center"/>
            </w:pPr>
            <w:r w:rsidRPr="00F85178">
              <w:t>JE</w:t>
            </w:r>
          </w:p>
        </w:tc>
        <w:tc>
          <w:tcPr>
            <w:tcW w:w="2320" w:type="dxa"/>
            <w:tcBorders>
              <w:top w:val="nil"/>
              <w:left w:val="nil"/>
              <w:bottom w:val="single" w:sz="4" w:space="0" w:color="auto"/>
              <w:right w:val="nil"/>
            </w:tcBorders>
            <w:shd w:val="clear" w:color="auto" w:fill="auto"/>
            <w:noWrap/>
            <w:vAlign w:val="bottom"/>
            <w:hideMark/>
          </w:tcPr>
          <w:p w14:paraId="6926EDDD" w14:textId="77777777" w:rsidR="004F14A1" w:rsidRPr="00F85178" w:rsidRDefault="004F14A1" w:rsidP="00323544">
            <w:pPr>
              <w:spacing w:line="240" w:lineRule="auto"/>
              <w:jc w:val="left"/>
            </w:pPr>
            <w:r w:rsidRPr="00F85178">
              <w:t>Přerov</w:t>
            </w:r>
          </w:p>
        </w:tc>
        <w:tc>
          <w:tcPr>
            <w:tcW w:w="1060" w:type="dxa"/>
            <w:tcBorders>
              <w:top w:val="nil"/>
              <w:left w:val="nil"/>
              <w:bottom w:val="single" w:sz="4" w:space="0" w:color="auto"/>
              <w:right w:val="nil"/>
            </w:tcBorders>
            <w:shd w:val="clear" w:color="auto" w:fill="auto"/>
            <w:noWrap/>
            <w:vAlign w:val="bottom"/>
            <w:hideMark/>
          </w:tcPr>
          <w:p w14:paraId="15801D1E" w14:textId="77777777" w:rsidR="004F14A1" w:rsidRPr="00F85178" w:rsidRDefault="004F14A1" w:rsidP="00323544">
            <w:pPr>
              <w:spacing w:line="240" w:lineRule="auto"/>
              <w:jc w:val="center"/>
            </w:pPr>
            <w:r w:rsidRPr="00F85178">
              <w:t>PR</w:t>
            </w:r>
          </w:p>
        </w:tc>
      </w:tr>
      <w:tr w:rsidR="00F85178" w:rsidRPr="00F85178" w14:paraId="29231D4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6E8CD82" w14:textId="77777777" w:rsidR="004F14A1" w:rsidRPr="00F85178" w:rsidRDefault="004F14A1" w:rsidP="00323544">
            <w:pPr>
              <w:spacing w:line="240" w:lineRule="auto"/>
              <w:jc w:val="left"/>
            </w:pPr>
            <w:r w:rsidRPr="00F85178">
              <w:t>Jičín</w:t>
            </w:r>
          </w:p>
        </w:tc>
        <w:tc>
          <w:tcPr>
            <w:tcW w:w="1060" w:type="dxa"/>
            <w:tcBorders>
              <w:top w:val="nil"/>
              <w:left w:val="nil"/>
              <w:bottom w:val="single" w:sz="4" w:space="0" w:color="auto"/>
              <w:right w:val="single" w:sz="4" w:space="0" w:color="auto"/>
            </w:tcBorders>
            <w:shd w:val="clear" w:color="auto" w:fill="auto"/>
            <w:noWrap/>
            <w:vAlign w:val="bottom"/>
            <w:hideMark/>
          </w:tcPr>
          <w:p w14:paraId="7C20B1BD" w14:textId="77777777" w:rsidR="004F14A1" w:rsidRPr="00F85178" w:rsidRDefault="004F14A1" w:rsidP="00323544">
            <w:pPr>
              <w:spacing w:line="240" w:lineRule="auto"/>
              <w:jc w:val="center"/>
            </w:pPr>
            <w:r w:rsidRPr="00F85178">
              <w:t>JC</w:t>
            </w:r>
          </w:p>
        </w:tc>
        <w:tc>
          <w:tcPr>
            <w:tcW w:w="2320" w:type="dxa"/>
            <w:tcBorders>
              <w:top w:val="nil"/>
              <w:left w:val="nil"/>
              <w:bottom w:val="single" w:sz="4" w:space="0" w:color="auto"/>
              <w:right w:val="nil"/>
            </w:tcBorders>
            <w:shd w:val="clear" w:color="auto" w:fill="auto"/>
            <w:noWrap/>
            <w:vAlign w:val="bottom"/>
            <w:hideMark/>
          </w:tcPr>
          <w:p w14:paraId="0D4FA4BC" w14:textId="77777777" w:rsidR="004F14A1" w:rsidRPr="00F85178" w:rsidRDefault="004F14A1" w:rsidP="00323544">
            <w:pPr>
              <w:spacing w:line="240" w:lineRule="auto"/>
              <w:jc w:val="left"/>
            </w:pPr>
            <w:r w:rsidRPr="00F85178">
              <w:t>Příbram</w:t>
            </w:r>
          </w:p>
        </w:tc>
        <w:tc>
          <w:tcPr>
            <w:tcW w:w="1060" w:type="dxa"/>
            <w:tcBorders>
              <w:top w:val="nil"/>
              <w:left w:val="nil"/>
              <w:bottom w:val="single" w:sz="4" w:space="0" w:color="auto"/>
              <w:right w:val="nil"/>
            </w:tcBorders>
            <w:shd w:val="clear" w:color="auto" w:fill="auto"/>
            <w:noWrap/>
            <w:vAlign w:val="bottom"/>
            <w:hideMark/>
          </w:tcPr>
          <w:p w14:paraId="436F8A8D" w14:textId="77777777" w:rsidR="004F14A1" w:rsidRPr="00F85178" w:rsidRDefault="004F14A1" w:rsidP="00323544">
            <w:pPr>
              <w:spacing w:line="240" w:lineRule="auto"/>
              <w:jc w:val="center"/>
            </w:pPr>
            <w:r w:rsidRPr="00F85178">
              <w:t>PB</w:t>
            </w:r>
          </w:p>
        </w:tc>
      </w:tr>
      <w:tr w:rsidR="00F85178" w:rsidRPr="00F85178" w14:paraId="66486589"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3276019" w14:textId="77777777" w:rsidR="004F14A1" w:rsidRPr="00F85178" w:rsidRDefault="004F14A1" w:rsidP="00323544">
            <w:pPr>
              <w:spacing w:line="240" w:lineRule="auto"/>
              <w:jc w:val="left"/>
            </w:pPr>
            <w:r w:rsidRPr="00F85178">
              <w:t>Jihlava</w:t>
            </w:r>
          </w:p>
        </w:tc>
        <w:tc>
          <w:tcPr>
            <w:tcW w:w="1060" w:type="dxa"/>
            <w:tcBorders>
              <w:top w:val="nil"/>
              <w:left w:val="nil"/>
              <w:bottom w:val="single" w:sz="4" w:space="0" w:color="auto"/>
              <w:right w:val="single" w:sz="4" w:space="0" w:color="auto"/>
            </w:tcBorders>
            <w:shd w:val="clear" w:color="auto" w:fill="auto"/>
            <w:noWrap/>
            <w:vAlign w:val="bottom"/>
            <w:hideMark/>
          </w:tcPr>
          <w:p w14:paraId="589E6C1B" w14:textId="77777777" w:rsidR="004F14A1" w:rsidRPr="00F85178" w:rsidRDefault="004F14A1" w:rsidP="00323544">
            <w:pPr>
              <w:spacing w:line="240" w:lineRule="auto"/>
              <w:jc w:val="center"/>
            </w:pPr>
            <w:r w:rsidRPr="00F85178">
              <w:t>JI</w:t>
            </w:r>
          </w:p>
        </w:tc>
        <w:tc>
          <w:tcPr>
            <w:tcW w:w="2320" w:type="dxa"/>
            <w:tcBorders>
              <w:top w:val="nil"/>
              <w:left w:val="nil"/>
              <w:bottom w:val="single" w:sz="4" w:space="0" w:color="auto"/>
              <w:right w:val="nil"/>
            </w:tcBorders>
            <w:shd w:val="clear" w:color="auto" w:fill="auto"/>
            <w:noWrap/>
            <w:vAlign w:val="bottom"/>
            <w:hideMark/>
          </w:tcPr>
          <w:p w14:paraId="50A63D85" w14:textId="77777777" w:rsidR="004F14A1" w:rsidRPr="00F85178" w:rsidRDefault="004F14A1" w:rsidP="00323544">
            <w:pPr>
              <w:spacing w:line="240" w:lineRule="auto"/>
              <w:jc w:val="left"/>
            </w:pPr>
            <w:r w:rsidRPr="00F85178">
              <w:t>Rakovník</w:t>
            </w:r>
          </w:p>
        </w:tc>
        <w:tc>
          <w:tcPr>
            <w:tcW w:w="1060" w:type="dxa"/>
            <w:tcBorders>
              <w:top w:val="nil"/>
              <w:left w:val="nil"/>
              <w:bottom w:val="single" w:sz="4" w:space="0" w:color="auto"/>
              <w:right w:val="nil"/>
            </w:tcBorders>
            <w:shd w:val="clear" w:color="auto" w:fill="auto"/>
            <w:noWrap/>
            <w:vAlign w:val="bottom"/>
            <w:hideMark/>
          </w:tcPr>
          <w:p w14:paraId="1492FEDF" w14:textId="77777777" w:rsidR="004F14A1" w:rsidRPr="00F85178" w:rsidRDefault="004F14A1" w:rsidP="00323544">
            <w:pPr>
              <w:spacing w:line="240" w:lineRule="auto"/>
              <w:jc w:val="center"/>
            </w:pPr>
            <w:r w:rsidRPr="00F85178">
              <w:t>RA</w:t>
            </w:r>
          </w:p>
        </w:tc>
      </w:tr>
      <w:tr w:rsidR="00F85178" w:rsidRPr="00F85178" w14:paraId="3B2C8DB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26C1F47" w14:textId="77777777" w:rsidR="004F14A1" w:rsidRPr="00F85178" w:rsidRDefault="004F14A1" w:rsidP="00323544">
            <w:pPr>
              <w:spacing w:line="240" w:lineRule="auto"/>
              <w:jc w:val="left"/>
            </w:pPr>
            <w:r w:rsidRPr="00F85178">
              <w:t>Jindřichův Hradec</w:t>
            </w:r>
          </w:p>
        </w:tc>
        <w:tc>
          <w:tcPr>
            <w:tcW w:w="1060" w:type="dxa"/>
            <w:tcBorders>
              <w:top w:val="nil"/>
              <w:left w:val="nil"/>
              <w:bottom w:val="single" w:sz="4" w:space="0" w:color="auto"/>
              <w:right w:val="single" w:sz="4" w:space="0" w:color="auto"/>
            </w:tcBorders>
            <w:shd w:val="clear" w:color="auto" w:fill="auto"/>
            <w:noWrap/>
            <w:vAlign w:val="bottom"/>
            <w:hideMark/>
          </w:tcPr>
          <w:p w14:paraId="08F8867E" w14:textId="77777777" w:rsidR="004F14A1" w:rsidRPr="00F85178" w:rsidRDefault="004F14A1" w:rsidP="00323544">
            <w:pPr>
              <w:spacing w:line="240" w:lineRule="auto"/>
              <w:jc w:val="center"/>
            </w:pPr>
            <w:r w:rsidRPr="00F85178">
              <w:t>JH</w:t>
            </w:r>
          </w:p>
        </w:tc>
        <w:tc>
          <w:tcPr>
            <w:tcW w:w="2320" w:type="dxa"/>
            <w:tcBorders>
              <w:top w:val="nil"/>
              <w:left w:val="nil"/>
              <w:bottom w:val="single" w:sz="4" w:space="0" w:color="auto"/>
              <w:right w:val="nil"/>
            </w:tcBorders>
            <w:shd w:val="clear" w:color="auto" w:fill="auto"/>
            <w:noWrap/>
            <w:vAlign w:val="bottom"/>
            <w:hideMark/>
          </w:tcPr>
          <w:p w14:paraId="414C3CE2" w14:textId="77777777" w:rsidR="004F14A1" w:rsidRPr="00F85178" w:rsidRDefault="004F14A1" w:rsidP="00323544">
            <w:pPr>
              <w:spacing w:line="240" w:lineRule="auto"/>
              <w:jc w:val="left"/>
            </w:pPr>
            <w:r w:rsidRPr="00F85178">
              <w:t>Rokycany</w:t>
            </w:r>
          </w:p>
        </w:tc>
        <w:tc>
          <w:tcPr>
            <w:tcW w:w="1060" w:type="dxa"/>
            <w:tcBorders>
              <w:top w:val="nil"/>
              <w:left w:val="nil"/>
              <w:bottom w:val="single" w:sz="4" w:space="0" w:color="auto"/>
              <w:right w:val="nil"/>
            </w:tcBorders>
            <w:shd w:val="clear" w:color="auto" w:fill="auto"/>
            <w:noWrap/>
            <w:vAlign w:val="bottom"/>
            <w:hideMark/>
          </w:tcPr>
          <w:p w14:paraId="24C881E9" w14:textId="77777777" w:rsidR="004F14A1" w:rsidRPr="00F85178" w:rsidRDefault="004F14A1" w:rsidP="00323544">
            <w:pPr>
              <w:spacing w:line="240" w:lineRule="auto"/>
              <w:jc w:val="center"/>
            </w:pPr>
            <w:r w:rsidRPr="00F85178">
              <w:t>RO</w:t>
            </w:r>
          </w:p>
        </w:tc>
      </w:tr>
      <w:tr w:rsidR="00F85178" w:rsidRPr="00F85178" w14:paraId="01178581"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74505DD" w14:textId="77777777" w:rsidR="004F14A1" w:rsidRPr="00F85178" w:rsidRDefault="004F14A1" w:rsidP="00323544">
            <w:pPr>
              <w:spacing w:line="240" w:lineRule="auto"/>
              <w:jc w:val="left"/>
            </w:pPr>
            <w:r w:rsidRPr="00F85178">
              <w:t>Karlovy Vary</w:t>
            </w:r>
          </w:p>
        </w:tc>
        <w:tc>
          <w:tcPr>
            <w:tcW w:w="1060" w:type="dxa"/>
            <w:tcBorders>
              <w:top w:val="nil"/>
              <w:left w:val="nil"/>
              <w:bottom w:val="single" w:sz="4" w:space="0" w:color="auto"/>
              <w:right w:val="single" w:sz="4" w:space="0" w:color="auto"/>
            </w:tcBorders>
            <w:shd w:val="clear" w:color="auto" w:fill="auto"/>
            <w:noWrap/>
            <w:vAlign w:val="bottom"/>
            <w:hideMark/>
          </w:tcPr>
          <w:p w14:paraId="6DFEB018" w14:textId="77777777" w:rsidR="004F14A1" w:rsidRPr="00F85178" w:rsidRDefault="004F14A1" w:rsidP="00323544">
            <w:pPr>
              <w:spacing w:line="240" w:lineRule="auto"/>
              <w:jc w:val="center"/>
            </w:pPr>
            <w:r w:rsidRPr="00F85178">
              <w:t>KV</w:t>
            </w:r>
          </w:p>
        </w:tc>
        <w:tc>
          <w:tcPr>
            <w:tcW w:w="2320" w:type="dxa"/>
            <w:tcBorders>
              <w:top w:val="nil"/>
              <w:left w:val="nil"/>
              <w:bottom w:val="single" w:sz="4" w:space="0" w:color="auto"/>
              <w:right w:val="nil"/>
            </w:tcBorders>
            <w:shd w:val="clear" w:color="auto" w:fill="auto"/>
            <w:noWrap/>
            <w:vAlign w:val="bottom"/>
            <w:hideMark/>
          </w:tcPr>
          <w:p w14:paraId="5EB68D7D" w14:textId="77777777" w:rsidR="004F14A1" w:rsidRPr="00F85178" w:rsidRDefault="004F14A1" w:rsidP="00323544">
            <w:pPr>
              <w:spacing w:line="240" w:lineRule="auto"/>
              <w:jc w:val="left"/>
            </w:pPr>
            <w:r w:rsidRPr="00F85178">
              <w:t>Rychnov nad Kněžnou</w:t>
            </w:r>
          </w:p>
        </w:tc>
        <w:tc>
          <w:tcPr>
            <w:tcW w:w="1060" w:type="dxa"/>
            <w:tcBorders>
              <w:top w:val="nil"/>
              <w:left w:val="nil"/>
              <w:bottom w:val="single" w:sz="4" w:space="0" w:color="auto"/>
              <w:right w:val="nil"/>
            </w:tcBorders>
            <w:shd w:val="clear" w:color="auto" w:fill="auto"/>
            <w:noWrap/>
            <w:vAlign w:val="bottom"/>
            <w:hideMark/>
          </w:tcPr>
          <w:p w14:paraId="1C5EEF85" w14:textId="77777777" w:rsidR="004F14A1" w:rsidRPr="00F85178" w:rsidRDefault="004F14A1" w:rsidP="00323544">
            <w:pPr>
              <w:spacing w:line="240" w:lineRule="auto"/>
              <w:jc w:val="center"/>
            </w:pPr>
            <w:r w:rsidRPr="00F85178">
              <w:t>RK</w:t>
            </w:r>
          </w:p>
        </w:tc>
      </w:tr>
      <w:tr w:rsidR="00F85178" w:rsidRPr="00F85178" w14:paraId="6E42243C"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E696493" w14:textId="77777777" w:rsidR="004F14A1" w:rsidRPr="00F85178" w:rsidRDefault="004F14A1" w:rsidP="00323544">
            <w:pPr>
              <w:spacing w:line="240" w:lineRule="auto"/>
              <w:jc w:val="left"/>
            </w:pPr>
            <w:r w:rsidRPr="00F85178">
              <w:t>Karviná</w:t>
            </w:r>
          </w:p>
        </w:tc>
        <w:tc>
          <w:tcPr>
            <w:tcW w:w="1060" w:type="dxa"/>
            <w:tcBorders>
              <w:top w:val="nil"/>
              <w:left w:val="nil"/>
              <w:bottom w:val="single" w:sz="4" w:space="0" w:color="auto"/>
              <w:right w:val="single" w:sz="4" w:space="0" w:color="auto"/>
            </w:tcBorders>
            <w:shd w:val="clear" w:color="auto" w:fill="auto"/>
            <w:noWrap/>
            <w:vAlign w:val="bottom"/>
            <w:hideMark/>
          </w:tcPr>
          <w:p w14:paraId="2C445CE2" w14:textId="77777777" w:rsidR="004F14A1" w:rsidRPr="00F85178" w:rsidRDefault="004F14A1" w:rsidP="00323544">
            <w:pPr>
              <w:spacing w:line="240" w:lineRule="auto"/>
              <w:jc w:val="center"/>
            </w:pPr>
            <w:r w:rsidRPr="00F85178">
              <w:t>KA</w:t>
            </w:r>
          </w:p>
        </w:tc>
        <w:tc>
          <w:tcPr>
            <w:tcW w:w="2320" w:type="dxa"/>
            <w:tcBorders>
              <w:top w:val="nil"/>
              <w:left w:val="nil"/>
              <w:bottom w:val="single" w:sz="4" w:space="0" w:color="auto"/>
              <w:right w:val="nil"/>
            </w:tcBorders>
            <w:shd w:val="clear" w:color="auto" w:fill="auto"/>
            <w:noWrap/>
            <w:vAlign w:val="bottom"/>
            <w:hideMark/>
          </w:tcPr>
          <w:p w14:paraId="55AC0452" w14:textId="77777777" w:rsidR="004F14A1" w:rsidRPr="00F85178" w:rsidRDefault="004F14A1" w:rsidP="00323544">
            <w:pPr>
              <w:spacing w:line="240" w:lineRule="auto"/>
              <w:jc w:val="left"/>
            </w:pPr>
            <w:r w:rsidRPr="00F85178">
              <w:t>Semily</w:t>
            </w:r>
          </w:p>
        </w:tc>
        <w:tc>
          <w:tcPr>
            <w:tcW w:w="1060" w:type="dxa"/>
            <w:tcBorders>
              <w:top w:val="nil"/>
              <w:left w:val="nil"/>
              <w:bottom w:val="single" w:sz="4" w:space="0" w:color="auto"/>
              <w:right w:val="nil"/>
            </w:tcBorders>
            <w:shd w:val="clear" w:color="auto" w:fill="auto"/>
            <w:noWrap/>
            <w:vAlign w:val="bottom"/>
            <w:hideMark/>
          </w:tcPr>
          <w:p w14:paraId="432E9CCC" w14:textId="77777777" w:rsidR="004F14A1" w:rsidRPr="00F85178" w:rsidRDefault="004F14A1" w:rsidP="00323544">
            <w:pPr>
              <w:spacing w:line="240" w:lineRule="auto"/>
              <w:jc w:val="center"/>
            </w:pPr>
            <w:r w:rsidRPr="00F85178">
              <w:t>SM</w:t>
            </w:r>
          </w:p>
        </w:tc>
      </w:tr>
      <w:tr w:rsidR="00F85178" w:rsidRPr="00F85178" w14:paraId="4AB15BCB"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A7501BD" w14:textId="77777777" w:rsidR="004F14A1" w:rsidRPr="00F85178" w:rsidRDefault="004F14A1" w:rsidP="00323544">
            <w:pPr>
              <w:spacing w:line="240" w:lineRule="auto"/>
              <w:jc w:val="left"/>
            </w:pPr>
            <w:r w:rsidRPr="00F85178">
              <w:t>Kladno</w:t>
            </w:r>
          </w:p>
        </w:tc>
        <w:tc>
          <w:tcPr>
            <w:tcW w:w="1060" w:type="dxa"/>
            <w:tcBorders>
              <w:top w:val="nil"/>
              <w:left w:val="nil"/>
              <w:bottom w:val="single" w:sz="4" w:space="0" w:color="auto"/>
              <w:right w:val="single" w:sz="4" w:space="0" w:color="auto"/>
            </w:tcBorders>
            <w:shd w:val="clear" w:color="auto" w:fill="auto"/>
            <w:noWrap/>
            <w:vAlign w:val="bottom"/>
            <w:hideMark/>
          </w:tcPr>
          <w:p w14:paraId="75D097E2" w14:textId="77777777" w:rsidR="004F14A1" w:rsidRPr="00F85178" w:rsidRDefault="004F14A1" w:rsidP="00323544">
            <w:pPr>
              <w:spacing w:line="240" w:lineRule="auto"/>
              <w:jc w:val="center"/>
            </w:pPr>
            <w:r w:rsidRPr="00F85178">
              <w:t>KL</w:t>
            </w:r>
          </w:p>
        </w:tc>
        <w:tc>
          <w:tcPr>
            <w:tcW w:w="2320" w:type="dxa"/>
            <w:tcBorders>
              <w:top w:val="nil"/>
              <w:left w:val="nil"/>
              <w:bottom w:val="single" w:sz="4" w:space="0" w:color="auto"/>
              <w:right w:val="nil"/>
            </w:tcBorders>
            <w:shd w:val="clear" w:color="auto" w:fill="auto"/>
            <w:noWrap/>
            <w:vAlign w:val="bottom"/>
            <w:hideMark/>
          </w:tcPr>
          <w:p w14:paraId="5E5FAC6A" w14:textId="77777777" w:rsidR="004F14A1" w:rsidRPr="00F85178" w:rsidRDefault="004F14A1" w:rsidP="00323544">
            <w:pPr>
              <w:spacing w:line="240" w:lineRule="auto"/>
              <w:jc w:val="left"/>
            </w:pPr>
            <w:r w:rsidRPr="00F85178">
              <w:t>Sokolov</w:t>
            </w:r>
          </w:p>
        </w:tc>
        <w:tc>
          <w:tcPr>
            <w:tcW w:w="1060" w:type="dxa"/>
            <w:tcBorders>
              <w:top w:val="nil"/>
              <w:left w:val="nil"/>
              <w:bottom w:val="single" w:sz="4" w:space="0" w:color="auto"/>
              <w:right w:val="nil"/>
            </w:tcBorders>
            <w:shd w:val="clear" w:color="auto" w:fill="auto"/>
            <w:noWrap/>
            <w:vAlign w:val="bottom"/>
            <w:hideMark/>
          </w:tcPr>
          <w:p w14:paraId="17664D54" w14:textId="77777777" w:rsidR="004F14A1" w:rsidRPr="00F85178" w:rsidRDefault="004F14A1" w:rsidP="00323544">
            <w:pPr>
              <w:spacing w:line="240" w:lineRule="auto"/>
              <w:jc w:val="center"/>
            </w:pPr>
            <w:r w:rsidRPr="00F85178">
              <w:t>SO</w:t>
            </w:r>
          </w:p>
        </w:tc>
      </w:tr>
      <w:tr w:rsidR="00F85178" w:rsidRPr="00F85178" w14:paraId="5386042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11B5124" w14:textId="77777777" w:rsidR="004F14A1" w:rsidRPr="00F85178" w:rsidRDefault="004F14A1" w:rsidP="00323544">
            <w:pPr>
              <w:spacing w:line="240" w:lineRule="auto"/>
              <w:jc w:val="left"/>
            </w:pPr>
            <w:r w:rsidRPr="00F85178">
              <w:t>Klatovy</w:t>
            </w:r>
          </w:p>
        </w:tc>
        <w:tc>
          <w:tcPr>
            <w:tcW w:w="1060" w:type="dxa"/>
            <w:tcBorders>
              <w:top w:val="nil"/>
              <w:left w:val="nil"/>
              <w:bottom w:val="single" w:sz="4" w:space="0" w:color="auto"/>
              <w:right w:val="single" w:sz="4" w:space="0" w:color="auto"/>
            </w:tcBorders>
            <w:shd w:val="clear" w:color="auto" w:fill="auto"/>
            <w:noWrap/>
            <w:vAlign w:val="bottom"/>
            <w:hideMark/>
          </w:tcPr>
          <w:p w14:paraId="6004961D" w14:textId="77777777" w:rsidR="004F14A1" w:rsidRPr="00F85178" w:rsidRDefault="004F14A1" w:rsidP="00323544">
            <w:pPr>
              <w:spacing w:line="240" w:lineRule="auto"/>
              <w:jc w:val="center"/>
            </w:pPr>
            <w:r w:rsidRPr="00F85178">
              <w:t>KT</w:t>
            </w:r>
          </w:p>
        </w:tc>
        <w:tc>
          <w:tcPr>
            <w:tcW w:w="2320" w:type="dxa"/>
            <w:tcBorders>
              <w:top w:val="nil"/>
              <w:left w:val="nil"/>
              <w:bottom w:val="single" w:sz="4" w:space="0" w:color="auto"/>
              <w:right w:val="nil"/>
            </w:tcBorders>
            <w:shd w:val="clear" w:color="auto" w:fill="auto"/>
            <w:noWrap/>
            <w:vAlign w:val="bottom"/>
            <w:hideMark/>
          </w:tcPr>
          <w:p w14:paraId="2AFFADAE" w14:textId="77777777" w:rsidR="004F14A1" w:rsidRPr="00F85178" w:rsidRDefault="004F14A1" w:rsidP="00323544">
            <w:pPr>
              <w:spacing w:line="240" w:lineRule="auto"/>
              <w:jc w:val="left"/>
            </w:pPr>
            <w:r w:rsidRPr="00F85178">
              <w:t>Strakonice</w:t>
            </w:r>
          </w:p>
        </w:tc>
        <w:tc>
          <w:tcPr>
            <w:tcW w:w="1060" w:type="dxa"/>
            <w:tcBorders>
              <w:top w:val="nil"/>
              <w:left w:val="nil"/>
              <w:bottom w:val="single" w:sz="4" w:space="0" w:color="auto"/>
              <w:right w:val="nil"/>
            </w:tcBorders>
            <w:shd w:val="clear" w:color="auto" w:fill="auto"/>
            <w:noWrap/>
            <w:vAlign w:val="bottom"/>
            <w:hideMark/>
          </w:tcPr>
          <w:p w14:paraId="2DB6A934" w14:textId="77777777" w:rsidR="004F14A1" w:rsidRPr="00F85178" w:rsidRDefault="004F14A1" w:rsidP="00323544">
            <w:pPr>
              <w:spacing w:line="240" w:lineRule="auto"/>
              <w:jc w:val="center"/>
            </w:pPr>
            <w:r w:rsidRPr="00F85178">
              <w:t>ST</w:t>
            </w:r>
          </w:p>
        </w:tc>
      </w:tr>
      <w:tr w:rsidR="00F85178" w:rsidRPr="00F85178" w14:paraId="4A22F40C"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75B662D" w14:textId="77777777" w:rsidR="004F14A1" w:rsidRPr="00F85178" w:rsidRDefault="004F14A1" w:rsidP="00323544">
            <w:pPr>
              <w:spacing w:line="240" w:lineRule="auto"/>
              <w:jc w:val="left"/>
            </w:pPr>
            <w:r w:rsidRPr="00F85178">
              <w:t>Kolín</w:t>
            </w:r>
          </w:p>
        </w:tc>
        <w:tc>
          <w:tcPr>
            <w:tcW w:w="1060" w:type="dxa"/>
            <w:tcBorders>
              <w:top w:val="nil"/>
              <w:left w:val="nil"/>
              <w:bottom w:val="single" w:sz="4" w:space="0" w:color="auto"/>
              <w:right w:val="single" w:sz="4" w:space="0" w:color="auto"/>
            </w:tcBorders>
            <w:shd w:val="clear" w:color="auto" w:fill="auto"/>
            <w:noWrap/>
            <w:vAlign w:val="bottom"/>
            <w:hideMark/>
          </w:tcPr>
          <w:p w14:paraId="686BA3C9" w14:textId="77777777" w:rsidR="004F14A1" w:rsidRPr="00F85178" w:rsidRDefault="004F14A1" w:rsidP="00323544">
            <w:pPr>
              <w:spacing w:line="240" w:lineRule="auto"/>
              <w:jc w:val="center"/>
            </w:pPr>
            <w:r w:rsidRPr="00F85178">
              <w:t>KO</w:t>
            </w:r>
          </w:p>
        </w:tc>
        <w:tc>
          <w:tcPr>
            <w:tcW w:w="2320" w:type="dxa"/>
            <w:tcBorders>
              <w:top w:val="nil"/>
              <w:left w:val="nil"/>
              <w:bottom w:val="single" w:sz="4" w:space="0" w:color="auto"/>
              <w:right w:val="nil"/>
            </w:tcBorders>
            <w:shd w:val="clear" w:color="auto" w:fill="auto"/>
            <w:noWrap/>
            <w:vAlign w:val="bottom"/>
            <w:hideMark/>
          </w:tcPr>
          <w:p w14:paraId="04775540" w14:textId="77777777" w:rsidR="004F14A1" w:rsidRPr="00F85178" w:rsidRDefault="004F14A1" w:rsidP="00323544">
            <w:pPr>
              <w:spacing w:line="240" w:lineRule="auto"/>
              <w:jc w:val="left"/>
            </w:pPr>
            <w:r w:rsidRPr="00F85178">
              <w:t>Svitavy</w:t>
            </w:r>
          </w:p>
        </w:tc>
        <w:tc>
          <w:tcPr>
            <w:tcW w:w="1060" w:type="dxa"/>
            <w:tcBorders>
              <w:top w:val="nil"/>
              <w:left w:val="nil"/>
              <w:bottom w:val="single" w:sz="4" w:space="0" w:color="auto"/>
              <w:right w:val="nil"/>
            </w:tcBorders>
            <w:shd w:val="clear" w:color="auto" w:fill="auto"/>
            <w:noWrap/>
            <w:vAlign w:val="bottom"/>
            <w:hideMark/>
          </w:tcPr>
          <w:p w14:paraId="710E3C0F" w14:textId="77777777" w:rsidR="004F14A1" w:rsidRPr="00F85178" w:rsidRDefault="004F14A1" w:rsidP="00323544">
            <w:pPr>
              <w:spacing w:line="240" w:lineRule="auto"/>
              <w:jc w:val="center"/>
            </w:pPr>
            <w:r w:rsidRPr="00F85178">
              <w:t>SY</w:t>
            </w:r>
          </w:p>
        </w:tc>
      </w:tr>
      <w:tr w:rsidR="00F85178" w:rsidRPr="00F85178" w14:paraId="790A0F1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9F96014" w14:textId="77777777" w:rsidR="004F14A1" w:rsidRPr="00F85178" w:rsidRDefault="004F14A1" w:rsidP="00323544">
            <w:pPr>
              <w:spacing w:line="240" w:lineRule="auto"/>
              <w:jc w:val="left"/>
            </w:pPr>
            <w:r w:rsidRPr="00F85178">
              <w:t>Kroměříž</w:t>
            </w:r>
          </w:p>
        </w:tc>
        <w:tc>
          <w:tcPr>
            <w:tcW w:w="1060" w:type="dxa"/>
            <w:tcBorders>
              <w:top w:val="nil"/>
              <w:left w:val="nil"/>
              <w:bottom w:val="single" w:sz="4" w:space="0" w:color="auto"/>
              <w:right w:val="single" w:sz="4" w:space="0" w:color="auto"/>
            </w:tcBorders>
            <w:shd w:val="clear" w:color="auto" w:fill="auto"/>
            <w:noWrap/>
            <w:vAlign w:val="bottom"/>
            <w:hideMark/>
          </w:tcPr>
          <w:p w14:paraId="2EE7B270" w14:textId="77777777" w:rsidR="004F14A1" w:rsidRPr="00F85178" w:rsidRDefault="004F14A1" w:rsidP="00323544">
            <w:pPr>
              <w:spacing w:line="240" w:lineRule="auto"/>
              <w:jc w:val="center"/>
            </w:pPr>
            <w:r w:rsidRPr="00F85178">
              <w:t>KM</w:t>
            </w:r>
          </w:p>
        </w:tc>
        <w:tc>
          <w:tcPr>
            <w:tcW w:w="2320" w:type="dxa"/>
            <w:tcBorders>
              <w:top w:val="nil"/>
              <w:left w:val="nil"/>
              <w:bottom w:val="single" w:sz="4" w:space="0" w:color="auto"/>
              <w:right w:val="nil"/>
            </w:tcBorders>
            <w:shd w:val="clear" w:color="auto" w:fill="auto"/>
            <w:noWrap/>
            <w:vAlign w:val="bottom"/>
            <w:hideMark/>
          </w:tcPr>
          <w:p w14:paraId="09B53DFE" w14:textId="77777777" w:rsidR="004F14A1" w:rsidRPr="00F85178" w:rsidRDefault="004F14A1" w:rsidP="00323544">
            <w:pPr>
              <w:spacing w:line="240" w:lineRule="auto"/>
              <w:jc w:val="left"/>
            </w:pPr>
            <w:r w:rsidRPr="00F85178">
              <w:t>Šumperk</w:t>
            </w:r>
          </w:p>
        </w:tc>
        <w:tc>
          <w:tcPr>
            <w:tcW w:w="1060" w:type="dxa"/>
            <w:tcBorders>
              <w:top w:val="nil"/>
              <w:left w:val="nil"/>
              <w:bottom w:val="single" w:sz="4" w:space="0" w:color="auto"/>
              <w:right w:val="nil"/>
            </w:tcBorders>
            <w:shd w:val="clear" w:color="auto" w:fill="auto"/>
            <w:noWrap/>
            <w:vAlign w:val="bottom"/>
            <w:hideMark/>
          </w:tcPr>
          <w:p w14:paraId="091801CF" w14:textId="77777777" w:rsidR="004F14A1" w:rsidRPr="00F85178" w:rsidRDefault="004F14A1" w:rsidP="00323544">
            <w:pPr>
              <w:spacing w:line="240" w:lineRule="auto"/>
              <w:jc w:val="center"/>
            </w:pPr>
            <w:r w:rsidRPr="00F85178">
              <w:t>SU</w:t>
            </w:r>
          </w:p>
        </w:tc>
      </w:tr>
      <w:tr w:rsidR="00F85178" w:rsidRPr="00F85178" w14:paraId="1FAA729F"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1F16AE7" w14:textId="77777777" w:rsidR="004F14A1" w:rsidRPr="00F85178" w:rsidRDefault="004F14A1" w:rsidP="00323544">
            <w:pPr>
              <w:spacing w:line="240" w:lineRule="auto"/>
              <w:jc w:val="left"/>
            </w:pPr>
            <w:r w:rsidRPr="00F85178">
              <w:t>Kutná Hora</w:t>
            </w:r>
          </w:p>
        </w:tc>
        <w:tc>
          <w:tcPr>
            <w:tcW w:w="1060" w:type="dxa"/>
            <w:tcBorders>
              <w:top w:val="nil"/>
              <w:left w:val="nil"/>
              <w:bottom w:val="single" w:sz="4" w:space="0" w:color="auto"/>
              <w:right w:val="single" w:sz="4" w:space="0" w:color="auto"/>
            </w:tcBorders>
            <w:shd w:val="clear" w:color="auto" w:fill="auto"/>
            <w:noWrap/>
            <w:vAlign w:val="bottom"/>
            <w:hideMark/>
          </w:tcPr>
          <w:p w14:paraId="759EE479" w14:textId="77777777" w:rsidR="004F14A1" w:rsidRPr="00F85178" w:rsidRDefault="004F14A1" w:rsidP="00323544">
            <w:pPr>
              <w:spacing w:line="240" w:lineRule="auto"/>
              <w:jc w:val="center"/>
            </w:pPr>
            <w:r w:rsidRPr="00F85178">
              <w:t>KH</w:t>
            </w:r>
          </w:p>
        </w:tc>
        <w:tc>
          <w:tcPr>
            <w:tcW w:w="2320" w:type="dxa"/>
            <w:tcBorders>
              <w:top w:val="nil"/>
              <w:left w:val="nil"/>
              <w:bottom w:val="single" w:sz="4" w:space="0" w:color="auto"/>
              <w:right w:val="nil"/>
            </w:tcBorders>
            <w:shd w:val="clear" w:color="auto" w:fill="auto"/>
            <w:noWrap/>
            <w:vAlign w:val="bottom"/>
            <w:hideMark/>
          </w:tcPr>
          <w:p w14:paraId="6BAFFDE0" w14:textId="77777777" w:rsidR="004F14A1" w:rsidRPr="00F85178" w:rsidRDefault="004F14A1" w:rsidP="00323544">
            <w:pPr>
              <w:spacing w:line="240" w:lineRule="auto"/>
              <w:jc w:val="left"/>
            </w:pPr>
            <w:r w:rsidRPr="00F85178">
              <w:t>Tábor</w:t>
            </w:r>
          </w:p>
        </w:tc>
        <w:tc>
          <w:tcPr>
            <w:tcW w:w="1060" w:type="dxa"/>
            <w:tcBorders>
              <w:top w:val="nil"/>
              <w:left w:val="nil"/>
              <w:bottom w:val="single" w:sz="4" w:space="0" w:color="auto"/>
              <w:right w:val="nil"/>
            </w:tcBorders>
            <w:shd w:val="clear" w:color="auto" w:fill="auto"/>
            <w:noWrap/>
            <w:vAlign w:val="bottom"/>
            <w:hideMark/>
          </w:tcPr>
          <w:p w14:paraId="59AB6765" w14:textId="77777777" w:rsidR="004F14A1" w:rsidRPr="00F85178" w:rsidRDefault="004F14A1" w:rsidP="00323544">
            <w:pPr>
              <w:spacing w:line="240" w:lineRule="auto"/>
              <w:jc w:val="center"/>
            </w:pPr>
            <w:r w:rsidRPr="00F85178">
              <w:t>TA</w:t>
            </w:r>
          </w:p>
        </w:tc>
      </w:tr>
      <w:tr w:rsidR="00F85178" w:rsidRPr="00F85178" w14:paraId="13B45C11"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8FC0AF0" w14:textId="77777777" w:rsidR="004F14A1" w:rsidRPr="00F85178" w:rsidRDefault="004F14A1" w:rsidP="00323544">
            <w:pPr>
              <w:spacing w:line="240" w:lineRule="auto"/>
              <w:jc w:val="left"/>
            </w:pPr>
            <w:r w:rsidRPr="00F85178">
              <w:t>Liberec</w:t>
            </w:r>
          </w:p>
        </w:tc>
        <w:tc>
          <w:tcPr>
            <w:tcW w:w="1060" w:type="dxa"/>
            <w:tcBorders>
              <w:top w:val="nil"/>
              <w:left w:val="nil"/>
              <w:bottom w:val="single" w:sz="4" w:space="0" w:color="auto"/>
              <w:right w:val="single" w:sz="4" w:space="0" w:color="auto"/>
            </w:tcBorders>
            <w:shd w:val="clear" w:color="auto" w:fill="auto"/>
            <w:noWrap/>
            <w:vAlign w:val="bottom"/>
            <w:hideMark/>
          </w:tcPr>
          <w:p w14:paraId="283C767A" w14:textId="77777777" w:rsidR="004F14A1" w:rsidRPr="00F85178" w:rsidRDefault="004F14A1" w:rsidP="00323544">
            <w:pPr>
              <w:spacing w:line="240" w:lineRule="auto"/>
              <w:jc w:val="center"/>
            </w:pPr>
            <w:r w:rsidRPr="00F85178">
              <w:t>LB</w:t>
            </w:r>
          </w:p>
        </w:tc>
        <w:tc>
          <w:tcPr>
            <w:tcW w:w="2320" w:type="dxa"/>
            <w:tcBorders>
              <w:top w:val="nil"/>
              <w:left w:val="nil"/>
              <w:bottom w:val="single" w:sz="4" w:space="0" w:color="auto"/>
              <w:right w:val="nil"/>
            </w:tcBorders>
            <w:shd w:val="clear" w:color="auto" w:fill="auto"/>
            <w:noWrap/>
            <w:vAlign w:val="bottom"/>
            <w:hideMark/>
          </w:tcPr>
          <w:p w14:paraId="3299DF44" w14:textId="77777777" w:rsidR="004F14A1" w:rsidRPr="00F85178" w:rsidRDefault="004F14A1" w:rsidP="00323544">
            <w:pPr>
              <w:spacing w:line="240" w:lineRule="auto"/>
              <w:jc w:val="left"/>
            </w:pPr>
            <w:r w:rsidRPr="00F85178">
              <w:t>Tachov</w:t>
            </w:r>
          </w:p>
        </w:tc>
        <w:tc>
          <w:tcPr>
            <w:tcW w:w="1060" w:type="dxa"/>
            <w:tcBorders>
              <w:top w:val="nil"/>
              <w:left w:val="nil"/>
              <w:bottom w:val="single" w:sz="4" w:space="0" w:color="auto"/>
              <w:right w:val="nil"/>
            </w:tcBorders>
            <w:shd w:val="clear" w:color="auto" w:fill="auto"/>
            <w:noWrap/>
            <w:vAlign w:val="bottom"/>
            <w:hideMark/>
          </w:tcPr>
          <w:p w14:paraId="54170F57" w14:textId="77777777" w:rsidR="004F14A1" w:rsidRPr="00F85178" w:rsidRDefault="004F14A1" w:rsidP="00323544">
            <w:pPr>
              <w:spacing w:line="240" w:lineRule="auto"/>
              <w:jc w:val="center"/>
            </w:pPr>
            <w:r w:rsidRPr="00F85178">
              <w:t>TC</w:t>
            </w:r>
          </w:p>
        </w:tc>
      </w:tr>
      <w:tr w:rsidR="00F85178" w:rsidRPr="00F85178" w14:paraId="74402E65"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093CBB64" w14:textId="77777777" w:rsidR="004F14A1" w:rsidRPr="00F85178" w:rsidRDefault="004F14A1" w:rsidP="00323544">
            <w:pPr>
              <w:spacing w:line="240" w:lineRule="auto"/>
              <w:jc w:val="left"/>
            </w:pPr>
            <w:r w:rsidRPr="00F85178">
              <w:t>Litoměřice</w:t>
            </w:r>
          </w:p>
        </w:tc>
        <w:tc>
          <w:tcPr>
            <w:tcW w:w="1060" w:type="dxa"/>
            <w:tcBorders>
              <w:top w:val="nil"/>
              <w:left w:val="nil"/>
              <w:bottom w:val="single" w:sz="4" w:space="0" w:color="auto"/>
              <w:right w:val="single" w:sz="4" w:space="0" w:color="auto"/>
            </w:tcBorders>
            <w:shd w:val="clear" w:color="auto" w:fill="auto"/>
            <w:noWrap/>
            <w:vAlign w:val="bottom"/>
            <w:hideMark/>
          </w:tcPr>
          <w:p w14:paraId="79ED9C2E" w14:textId="77777777" w:rsidR="004F14A1" w:rsidRPr="00F85178" w:rsidRDefault="004F14A1" w:rsidP="00323544">
            <w:pPr>
              <w:spacing w:line="240" w:lineRule="auto"/>
              <w:jc w:val="center"/>
            </w:pPr>
            <w:r w:rsidRPr="00F85178">
              <w:t>LT</w:t>
            </w:r>
          </w:p>
        </w:tc>
        <w:tc>
          <w:tcPr>
            <w:tcW w:w="2320" w:type="dxa"/>
            <w:tcBorders>
              <w:top w:val="nil"/>
              <w:left w:val="nil"/>
              <w:bottom w:val="single" w:sz="4" w:space="0" w:color="auto"/>
              <w:right w:val="nil"/>
            </w:tcBorders>
            <w:shd w:val="clear" w:color="auto" w:fill="auto"/>
            <w:noWrap/>
            <w:vAlign w:val="bottom"/>
            <w:hideMark/>
          </w:tcPr>
          <w:p w14:paraId="2B8D7B09" w14:textId="77777777" w:rsidR="004F14A1" w:rsidRPr="00F85178" w:rsidRDefault="004F14A1" w:rsidP="00323544">
            <w:pPr>
              <w:spacing w:line="240" w:lineRule="auto"/>
              <w:jc w:val="left"/>
            </w:pPr>
            <w:r w:rsidRPr="00F85178">
              <w:t>Teplice</w:t>
            </w:r>
          </w:p>
        </w:tc>
        <w:tc>
          <w:tcPr>
            <w:tcW w:w="1060" w:type="dxa"/>
            <w:tcBorders>
              <w:top w:val="nil"/>
              <w:left w:val="nil"/>
              <w:bottom w:val="single" w:sz="4" w:space="0" w:color="auto"/>
              <w:right w:val="nil"/>
            </w:tcBorders>
            <w:shd w:val="clear" w:color="auto" w:fill="auto"/>
            <w:noWrap/>
            <w:vAlign w:val="bottom"/>
            <w:hideMark/>
          </w:tcPr>
          <w:p w14:paraId="6DB5D884" w14:textId="77777777" w:rsidR="004F14A1" w:rsidRPr="00F85178" w:rsidRDefault="004F14A1" w:rsidP="00323544">
            <w:pPr>
              <w:spacing w:line="240" w:lineRule="auto"/>
              <w:jc w:val="center"/>
            </w:pPr>
            <w:r w:rsidRPr="00F85178">
              <w:t>TP</w:t>
            </w:r>
          </w:p>
        </w:tc>
      </w:tr>
      <w:tr w:rsidR="00F85178" w:rsidRPr="00F85178" w14:paraId="7906C826"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5D40CF00" w14:textId="77777777" w:rsidR="004F14A1" w:rsidRPr="00F85178" w:rsidRDefault="004F14A1" w:rsidP="00323544">
            <w:pPr>
              <w:spacing w:line="240" w:lineRule="auto"/>
              <w:jc w:val="left"/>
            </w:pPr>
            <w:r w:rsidRPr="00F85178">
              <w:t>Louny</w:t>
            </w:r>
          </w:p>
        </w:tc>
        <w:tc>
          <w:tcPr>
            <w:tcW w:w="1060" w:type="dxa"/>
            <w:tcBorders>
              <w:top w:val="nil"/>
              <w:left w:val="nil"/>
              <w:bottom w:val="single" w:sz="4" w:space="0" w:color="auto"/>
              <w:right w:val="single" w:sz="4" w:space="0" w:color="auto"/>
            </w:tcBorders>
            <w:shd w:val="clear" w:color="auto" w:fill="auto"/>
            <w:noWrap/>
            <w:vAlign w:val="bottom"/>
            <w:hideMark/>
          </w:tcPr>
          <w:p w14:paraId="1A522C03" w14:textId="77777777" w:rsidR="004F14A1" w:rsidRPr="00F85178" w:rsidRDefault="004F14A1" w:rsidP="00323544">
            <w:pPr>
              <w:spacing w:line="240" w:lineRule="auto"/>
              <w:jc w:val="center"/>
            </w:pPr>
            <w:r w:rsidRPr="00F85178">
              <w:t>LN</w:t>
            </w:r>
          </w:p>
        </w:tc>
        <w:tc>
          <w:tcPr>
            <w:tcW w:w="2320" w:type="dxa"/>
            <w:tcBorders>
              <w:top w:val="nil"/>
              <w:left w:val="nil"/>
              <w:bottom w:val="single" w:sz="4" w:space="0" w:color="auto"/>
              <w:right w:val="nil"/>
            </w:tcBorders>
            <w:shd w:val="clear" w:color="auto" w:fill="auto"/>
            <w:noWrap/>
            <w:vAlign w:val="bottom"/>
            <w:hideMark/>
          </w:tcPr>
          <w:p w14:paraId="5D6F2FFA" w14:textId="77777777" w:rsidR="004F14A1" w:rsidRPr="00F85178" w:rsidRDefault="004F14A1" w:rsidP="00323544">
            <w:pPr>
              <w:spacing w:line="240" w:lineRule="auto"/>
              <w:jc w:val="left"/>
            </w:pPr>
            <w:r w:rsidRPr="00F85178">
              <w:t>Trutnov</w:t>
            </w:r>
          </w:p>
        </w:tc>
        <w:tc>
          <w:tcPr>
            <w:tcW w:w="1060" w:type="dxa"/>
            <w:tcBorders>
              <w:top w:val="nil"/>
              <w:left w:val="nil"/>
              <w:bottom w:val="single" w:sz="4" w:space="0" w:color="auto"/>
              <w:right w:val="nil"/>
            </w:tcBorders>
            <w:shd w:val="clear" w:color="auto" w:fill="auto"/>
            <w:noWrap/>
            <w:vAlign w:val="bottom"/>
            <w:hideMark/>
          </w:tcPr>
          <w:p w14:paraId="0D906F34" w14:textId="77777777" w:rsidR="004F14A1" w:rsidRPr="00F85178" w:rsidRDefault="004F14A1" w:rsidP="00323544">
            <w:pPr>
              <w:spacing w:line="240" w:lineRule="auto"/>
              <w:jc w:val="center"/>
            </w:pPr>
            <w:r w:rsidRPr="00F85178">
              <w:t>TU</w:t>
            </w:r>
          </w:p>
        </w:tc>
      </w:tr>
      <w:tr w:rsidR="00F85178" w:rsidRPr="00F85178" w14:paraId="5080BB7B"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43944BB" w14:textId="77777777" w:rsidR="004F14A1" w:rsidRPr="00F85178" w:rsidRDefault="004F14A1" w:rsidP="00323544">
            <w:pPr>
              <w:spacing w:line="240" w:lineRule="auto"/>
              <w:jc w:val="left"/>
            </w:pPr>
            <w:r w:rsidRPr="00F85178">
              <w:t>Mělník</w:t>
            </w:r>
          </w:p>
        </w:tc>
        <w:tc>
          <w:tcPr>
            <w:tcW w:w="1060" w:type="dxa"/>
            <w:tcBorders>
              <w:top w:val="nil"/>
              <w:left w:val="nil"/>
              <w:bottom w:val="single" w:sz="4" w:space="0" w:color="auto"/>
              <w:right w:val="single" w:sz="4" w:space="0" w:color="auto"/>
            </w:tcBorders>
            <w:shd w:val="clear" w:color="auto" w:fill="auto"/>
            <w:noWrap/>
            <w:vAlign w:val="bottom"/>
            <w:hideMark/>
          </w:tcPr>
          <w:p w14:paraId="740E7533" w14:textId="77777777" w:rsidR="004F14A1" w:rsidRPr="00F85178" w:rsidRDefault="004F14A1" w:rsidP="00323544">
            <w:pPr>
              <w:spacing w:line="240" w:lineRule="auto"/>
              <w:jc w:val="center"/>
            </w:pPr>
            <w:r w:rsidRPr="00F85178">
              <w:t>ME</w:t>
            </w:r>
          </w:p>
        </w:tc>
        <w:tc>
          <w:tcPr>
            <w:tcW w:w="2320" w:type="dxa"/>
            <w:tcBorders>
              <w:top w:val="nil"/>
              <w:left w:val="nil"/>
              <w:bottom w:val="single" w:sz="4" w:space="0" w:color="auto"/>
              <w:right w:val="nil"/>
            </w:tcBorders>
            <w:shd w:val="clear" w:color="auto" w:fill="auto"/>
            <w:noWrap/>
            <w:vAlign w:val="bottom"/>
            <w:hideMark/>
          </w:tcPr>
          <w:p w14:paraId="69B3195D" w14:textId="77777777" w:rsidR="004F14A1" w:rsidRPr="00F85178" w:rsidRDefault="004F14A1" w:rsidP="00323544">
            <w:pPr>
              <w:spacing w:line="240" w:lineRule="auto"/>
              <w:jc w:val="left"/>
            </w:pPr>
            <w:r w:rsidRPr="00F85178">
              <w:t>Třebíč</w:t>
            </w:r>
          </w:p>
        </w:tc>
        <w:tc>
          <w:tcPr>
            <w:tcW w:w="1060" w:type="dxa"/>
            <w:tcBorders>
              <w:top w:val="nil"/>
              <w:left w:val="nil"/>
              <w:bottom w:val="single" w:sz="4" w:space="0" w:color="auto"/>
              <w:right w:val="nil"/>
            </w:tcBorders>
            <w:shd w:val="clear" w:color="auto" w:fill="auto"/>
            <w:noWrap/>
            <w:vAlign w:val="bottom"/>
            <w:hideMark/>
          </w:tcPr>
          <w:p w14:paraId="16E0FE19" w14:textId="77777777" w:rsidR="004F14A1" w:rsidRPr="00F85178" w:rsidRDefault="004F14A1" w:rsidP="00323544">
            <w:pPr>
              <w:spacing w:line="240" w:lineRule="auto"/>
              <w:jc w:val="center"/>
            </w:pPr>
            <w:r w:rsidRPr="00F85178">
              <w:t>TR</w:t>
            </w:r>
          </w:p>
        </w:tc>
      </w:tr>
      <w:tr w:rsidR="00F85178" w:rsidRPr="00F85178" w14:paraId="33D606B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75A53293" w14:textId="77777777" w:rsidR="004F14A1" w:rsidRPr="00F85178" w:rsidRDefault="004F14A1" w:rsidP="00323544">
            <w:pPr>
              <w:spacing w:line="240" w:lineRule="auto"/>
              <w:jc w:val="left"/>
            </w:pPr>
            <w:r w:rsidRPr="00F85178">
              <w:t>Mladá Boleslav</w:t>
            </w:r>
          </w:p>
        </w:tc>
        <w:tc>
          <w:tcPr>
            <w:tcW w:w="1060" w:type="dxa"/>
            <w:tcBorders>
              <w:top w:val="nil"/>
              <w:left w:val="nil"/>
              <w:bottom w:val="single" w:sz="4" w:space="0" w:color="auto"/>
              <w:right w:val="single" w:sz="4" w:space="0" w:color="auto"/>
            </w:tcBorders>
            <w:shd w:val="clear" w:color="auto" w:fill="auto"/>
            <w:noWrap/>
            <w:vAlign w:val="bottom"/>
            <w:hideMark/>
          </w:tcPr>
          <w:p w14:paraId="5D9229E3" w14:textId="77777777" w:rsidR="004F14A1" w:rsidRPr="00F85178" w:rsidRDefault="004F14A1" w:rsidP="00323544">
            <w:pPr>
              <w:spacing w:line="240" w:lineRule="auto"/>
              <w:jc w:val="center"/>
            </w:pPr>
            <w:r w:rsidRPr="00F85178">
              <w:t>MB</w:t>
            </w:r>
          </w:p>
        </w:tc>
        <w:tc>
          <w:tcPr>
            <w:tcW w:w="2320" w:type="dxa"/>
            <w:tcBorders>
              <w:top w:val="nil"/>
              <w:left w:val="nil"/>
              <w:bottom w:val="single" w:sz="4" w:space="0" w:color="auto"/>
              <w:right w:val="nil"/>
            </w:tcBorders>
            <w:shd w:val="clear" w:color="auto" w:fill="auto"/>
            <w:noWrap/>
            <w:vAlign w:val="bottom"/>
            <w:hideMark/>
          </w:tcPr>
          <w:p w14:paraId="4B5DC64D" w14:textId="77777777" w:rsidR="004F14A1" w:rsidRPr="00F85178" w:rsidRDefault="004F14A1" w:rsidP="00323544">
            <w:pPr>
              <w:spacing w:line="240" w:lineRule="auto"/>
              <w:jc w:val="left"/>
            </w:pPr>
            <w:r w:rsidRPr="00F85178">
              <w:t>Uherské Hradiště</w:t>
            </w:r>
          </w:p>
        </w:tc>
        <w:tc>
          <w:tcPr>
            <w:tcW w:w="1060" w:type="dxa"/>
            <w:tcBorders>
              <w:top w:val="nil"/>
              <w:left w:val="nil"/>
              <w:bottom w:val="single" w:sz="4" w:space="0" w:color="auto"/>
              <w:right w:val="nil"/>
            </w:tcBorders>
            <w:shd w:val="clear" w:color="auto" w:fill="auto"/>
            <w:noWrap/>
            <w:vAlign w:val="bottom"/>
            <w:hideMark/>
          </w:tcPr>
          <w:p w14:paraId="678D53D5" w14:textId="77777777" w:rsidR="004F14A1" w:rsidRPr="00F85178" w:rsidRDefault="004F14A1" w:rsidP="00323544">
            <w:pPr>
              <w:spacing w:line="240" w:lineRule="auto"/>
              <w:jc w:val="center"/>
            </w:pPr>
            <w:r w:rsidRPr="00F85178">
              <w:t>UH</w:t>
            </w:r>
          </w:p>
        </w:tc>
      </w:tr>
      <w:tr w:rsidR="00F85178" w:rsidRPr="00F85178" w14:paraId="575949B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34CD843C" w14:textId="77777777" w:rsidR="004F14A1" w:rsidRPr="00F85178" w:rsidRDefault="004F14A1" w:rsidP="00323544">
            <w:pPr>
              <w:spacing w:line="240" w:lineRule="auto"/>
              <w:jc w:val="left"/>
            </w:pPr>
            <w:r w:rsidRPr="00F85178">
              <w:t>Most</w:t>
            </w:r>
          </w:p>
        </w:tc>
        <w:tc>
          <w:tcPr>
            <w:tcW w:w="1060" w:type="dxa"/>
            <w:tcBorders>
              <w:top w:val="nil"/>
              <w:left w:val="nil"/>
              <w:bottom w:val="single" w:sz="4" w:space="0" w:color="auto"/>
              <w:right w:val="single" w:sz="4" w:space="0" w:color="auto"/>
            </w:tcBorders>
            <w:shd w:val="clear" w:color="auto" w:fill="auto"/>
            <w:noWrap/>
            <w:vAlign w:val="bottom"/>
            <w:hideMark/>
          </w:tcPr>
          <w:p w14:paraId="4B56CA23" w14:textId="77777777" w:rsidR="004F14A1" w:rsidRPr="00F85178" w:rsidRDefault="004F14A1" w:rsidP="00323544">
            <w:pPr>
              <w:spacing w:line="240" w:lineRule="auto"/>
              <w:jc w:val="center"/>
            </w:pPr>
            <w:r w:rsidRPr="00F85178">
              <w:t>MO</w:t>
            </w:r>
          </w:p>
        </w:tc>
        <w:tc>
          <w:tcPr>
            <w:tcW w:w="2320" w:type="dxa"/>
            <w:tcBorders>
              <w:top w:val="nil"/>
              <w:left w:val="nil"/>
              <w:bottom w:val="single" w:sz="4" w:space="0" w:color="auto"/>
              <w:right w:val="nil"/>
            </w:tcBorders>
            <w:shd w:val="clear" w:color="auto" w:fill="auto"/>
            <w:noWrap/>
            <w:vAlign w:val="bottom"/>
            <w:hideMark/>
          </w:tcPr>
          <w:p w14:paraId="5B958079" w14:textId="77777777" w:rsidR="004F14A1" w:rsidRPr="00F85178" w:rsidRDefault="004F14A1" w:rsidP="00323544">
            <w:pPr>
              <w:spacing w:line="240" w:lineRule="auto"/>
              <w:jc w:val="left"/>
            </w:pPr>
            <w:r w:rsidRPr="00F85178">
              <w:t>Ústí nad Labem</w:t>
            </w:r>
          </w:p>
        </w:tc>
        <w:tc>
          <w:tcPr>
            <w:tcW w:w="1060" w:type="dxa"/>
            <w:tcBorders>
              <w:top w:val="nil"/>
              <w:left w:val="nil"/>
              <w:bottom w:val="single" w:sz="4" w:space="0" w:color="auto"/>
              <w:right w:val="nil"/>
            </w:tcBorders>
            <w:shd w:val="clear" w:color="auto" w:fill="auto"/>
            <w:noWrap/>
            <w:vAlign w:val="bottom"/>
            <w:hideMark/>
          </w:tcPr>
          <w:p w14:paraId="116E810B" w14:textId="77777777" w:rsidR="004F14A1" w:rsidRPr="00F85178" w:rsidRDefault="004F14A1" w:rsidP="00323544">
            <w:pPr>
              <w:spacing w:line="240" w:lineRule="auto"/>
              <w:jc w:val="center"/>
            </w:pPr>
            <w:r w:rsidRPr="00F85178">
              <w:t>UL</w:t>
            </w:r>
          </w:p>
        </w:tc>
      </w:tr>
      <w:tr w:rsidR="00F85178" w:rsidRPr="00F85178" w14:paraId="2CDE49DA"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76E5065" w14:textId="77777777" w:rsidR="004F14A1" w:rsidRPr="00F85178" w:rsidRDefault="004F14A1" w:rsidP="00323544">
            <w:pPr>
              <w:spacing w:line="240" w:lineRule="auto"/>
              <w:jc w:val="left"/>
            </w:pPr>
            <w:r w:rsidRPr="00F85178">
              <w:t>Náchod</w:t>
            </w:r>
          </w:p>
        </w:tc>
        <w:tc>
          <w:tcPr>
            <w:tcW w:w="1060" w:type="dxa"/>
            <w:tcBorders>
              <w:top w:val="nil"/>
              <w:left w:val="nil"/>
              <w:bottom w:val="single" w:sz="4" w:space="0" w:color="auto"/>
              <w:right w:val="single" w:sz="4" w:space="0" w:color="auto"/>
            </w:tcBorders>
            <w:shd w:val="clear" w:color="auto" w:fill="auto"/>
            <w:noWrap/>
            <w:vAlign w:val="bottom"/>
            <w:hideMark/>
          </w:tcPr>
          <w:p w14:paraId="7E0EF4C6" w14:textId="77777777" w:rsidR="004F14A1" w:rsidRPr="00F85178" w:rsidRDefault="004F14A1" w:rsidP="00323544">
            <w:pPr>
              <w:spacing w:line="240" w:lineRule="auto"/>
              <w:jc w:val="center"/>
            </w:pPr>
            <w:proofErr w:type="gramStart"/>
            <w:r w:rsidRPr="00F85178">
              <w:t>NA</w:t>
            </w:r>
            <w:proofErr w:type="gramEnd"/>
          </w:p>
        </w:tc>
        <w:tc>
          <w:tcPr>
            <w:tcW w:w="2320" w:type="dxa"/>
            <w:tcBorders>
              <w:top w:val="nil"/>
              <w:left w:val="nil"/>
              <w:bottom w:val="single" w:sz="4" w:space="0" w:color="auto"/>
              <w:right w:val="nil"/>
            </w:tcBorders>
            <w:shd w:val="clear" w:color="auto" w:fill="auto"/>
            <w:noWrap/>
            <w:vAlign w:val="bottom"/>
            <w:hideMark/>
          </w:tcPr>
          <w:p w14:paraId="1ED15814" w14:textId="77777777" w:rsidR="004F14A1" w:rsidRPr="00F85178" w:rsidRDefault="004F14A1" w:rsidP="00323544">
            <w:pPr>
              <w:spacing w:line="240" w:lineRule="auto"/>
              <w:jc w:val="left"/>
            </w:pPr>
            <w:r w:rsidRPr="00F85178">
              <w:t>Ústí nad Orlicí</w:t>
            </w:r>
          </w:p>
        </w:tc>
        <w:tc>
          <w:tcPr>
            <w:tcW w:w="1060" w:type="dxa"/>
            <w:tcBorders>
              <w:top w:val="nil"/>
              <w:left w:val="nil"/>
              <w:bottom w:val="single" w:sz="4" w:space="0" w:color="auto"/>
              <w:right w:val="nil"/>
            </w:tcBorders>
            <w:shd w:val="clear" w:color="auto" w:fill="auto"/>
            <w:noWrap/>
            <w:vAlign w:val="bottom"/>
            <w:hideMark/>
          </w:tcPr>
          <w:p w14:paraId="602CAC63" w14:textId="77777777" w:rsidR="004F14A1" w:rsidRPr="00F85178" w:rsidRDefault="004F14A1" w:rsidP="00323544">
            <w:pPr>
              <w:spacing w:line="240" w:lineRule="auto"/>
              <w:jc w:val="center"/>
            </w:pPr>
            <w:r w:rsidRPr="00F85178">
              <w:t>UO</w:t>
            </w:r>
          </w:p>
        </w:tc>
      </w:tr>
      <w:tr w:rsidR="00F85178" w:rsidRPr="00F85178" w14:paraId="0B689834"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66C3FBA5" w14:textId="77777777" w:rsidR="004F14A1" w:rsidRPr="00F85178" w:rsidRDefault="004F14A1" w:rsidP="00323544">
            <w:pPr>
              <w:spacing w:line="240" w:lineRule="auto"/>
              <w:jc w:val="left"/>
            </w:pPr>
            <w:r w:rsidRPr="00F85178">
              <w:t>Nový Jičín</w:t>
            </w:r>
          </w:p>
        </w:tc>
        <w:tc>
          <w:tcPr>
            <w:tcW w:w="1060" w:type="dxa"/>
            <w:tcBorders>
              <w:top w:val="nil"/>
              <w:left w:val="nil"/>
              <w:bottom w:val="single" w:sz="4" w:space="0" w:color="auto"/>
              <w:right w:val="single" w:sz="4" w:space="0" w:color="auto"/>
            </w:tcBorders>
            <w:shd w:val="clear" w:color="auto" w:fill="auto"/>
            <w:noWrap/>
            <w:vAlign w:val="bottom"/>
            <w:hideMark/>
          </w:tcPr>
          <w:p w14:paraId="0799E5C7" w14:textId="77777777" w:rsidR="004F14A1" w:rsidRPr="00F85178" w:rsidRDefault="004F14A1" w:rsidP="00323544">
            <w:pPr>
              <w:spacing w:line="240" w:lineRule="auto"/>
              <w:jc w:val="center"/>
            </w:pPr>
            <w:r w:rsidRPr="00F85178">
              <w:t>NJ</w:t>
            </w:r>
          </w:p>
        </w:tc>
        <w:tc>
          <w:tcPr>
            <w:tcW w:w="2320" w:type="dxa"/>
            <w:tcBorders>
              <w:top w:val="nil"/>
              <w:left w:val="nil"/>
              <w:bottom w:val="single" w:sz="4" w:space="0" w:color="auto"/>
              <w:right w:val="nil"/>
            </w:tcBorders>
            <w:shd w:val="clear" w:color="auto" w:fill="auto"/>
            <w:noWrap/>
            <w:vAlign w:val="bottom"/>
            <w:hideMark/>
          </w:tcPr>
          <w:p w14:paraId="3610A7EF" w14:textId="77777777" w:rsidR="004F14A1" w:rsidRPr="00F85178" w:rsidRDefault="004F14A1" w:rsidP="00323544">
            <w:pPr>
              <w:spacing w:line="240" w:lineRule="auto"/>
              <w:jc w:val="left"/>
            </w:pPr>
            <w:r w:rsidRPr="00F85178">
              <w:t>Vsetín</w:t>
            </w:r>
          </w:p>
        </w:tc>
        <w:tc>
          <w:tcPr>
            <w:tcW w:w="1060" w:type="dxa"/>
            <w:tcBorders>
              <w:top w:val="nil"/>
              <w:left w:val="nil"/>
              <w:bottom w:val="single" w:sz="4" w:space="0" w:color="auto"/>
              <w:right w:val="nil"/>
            </w:tcBorders>
            <w:shd w:val="clear" w:color="auto" w:fill="auto"/>
            <w:noWrap/>
            <w:vAlign w:val="bottom"/>
            <w:hideMark/>
          </w:tcPr>
          <w:p w14:paraId="38074ED8" w14:textId="77777777" w:rsidR="004F14A1" w:rsidRPr="00F85178" w:rsidRDefault="004F14A1" w:rsidP="00323544">
            <w:pPr>
              <w:spacing w:line="240" w:lineRule="auto"/>
              <w:jc w:val="center"/>
            </w:pPr>
            <w:r w:rsidRPr="00F85178">
              <w:t>VS</w:t>
            </w:r>
          </w:p>
        </w:tc>
      </w:tr>
      <w:tr w:rsidR="00F85178" w:rsidRPr="00F85178" w14:paraId="531637DE"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46A3AD4D" w14:textId="77777777" w:rsidR="004F14A1" w:rsidRPr="00F85178" w:rsidRDefault="004F14A1" w:rsidP="00323544">
            <w:pPr>
              <w:spacing w:line="240" w:lineRule="auto"/>
              <w:jc w:val="left"/>
            </w:pPr>
            <w:r w:rsidRPr="00F85178">
              <w:t>Nymburk</w:t>
            </w:r>
          </w:p>
        </w:tc>
        <w:tc>
          <w:tcPr>
            <w:tcW w:w="1060" w:type="dxa"/>
            <w:tcBorders>
              <w:top w:val="nil"/>
              <w:left w:val="nil"/>
              <w:bottom w:val="single" w:sz="4" w:space="0" w:color="auto"/>
              <w:right w:val="single" w:sz="4" w:space="0" w:color="auto"/>
            </w:tcBorders>
            <w:shd w:val="clear" w:color="auto" w:fill="auto"/>
            <w:noWrap/>
            <w:vAlign w:val="bottom"/>
            <w:hideMark/>
          </w:tcPr>
          <w:p w14:paraId="103C3579" w14:textId="77777777" w:rsidR="004F14A1" w:rsidRPr="00F85178" w:rsidRDefault="004F14A1" w:rsidP="00323544">
            <w:pPr>
              <w:spacing w:line="240" w:lineRule="auto"/>
              <w:jc w:val="center"/>
            </w:pPr>
            <w:r w:rsidRPr="00F85178">
              <w:t>NB</w:t>
            </w:r>
          </w:p>
        </w:tc>
        <w:tc>
          <w:tcPr>
            <w:tcW w:w="2320" w:type="dxa"/>
            <w:tcBorders>
              <w:top w:val="nil"/>
              <w:left w:val="nil"/>
              <w:bottom w:val="single" w:sz="4" w:space="0" w:color="auto"/>
              <w:right w:val="nil"/>
            </w:tcBorders>
            <w:shd w:val="clear" w:color="auto" w:fill="auto"/>
            <w:noWrap/>
            <w:vAlign w:val="bottom"/>
            <w:hideMark/>
          </w:tcPr>
          <w:p w14:paraId="70DC15E8" w14:textId="77777777" w:rsidR="004F14A1" w:rsidRPr="00F85178" w:rsidRDefault="004F14A1" w:rsidP="00323544">
            <w:pPr>
              <w:spacing w:line="240" w:lineRule="auto"/>
              <w:jc w:val="left"/>
            </w:pPr>
            <w:r w:rsidRPr="00F85178">
              <w:t>Vyškov</w:t>
            </w:r>
          </w:p>
        </w:tc>
        <w:tc>
          <w:tcPr>
            <w:tcW w:w="1060" w:type="dxa"/>
            <w:tcBorders>
              <w:top w:val="nil"/>
              <w:left w:val="nil"/>
              <w:bottom w:val="single" w:sz="4" w:space="0" w:color="auto"/>
              <w:right w:val="nil"/>
            </w:tcBorders>
            <w:shd w:val="clear" w:color="auto" w:fill="auto"/>
            <w:noWrap/>
            <w:vAlign w:val="bottom"/>
            <w:hideMark/>
          </w:tcPr>
          <w:p w14:paraId="464152E7" w14:textId="77777777" w:rsidR="004F14A1" w:rsidRPr="00F85178" w:rsidRDefault="004F14A1" w:rsidP="00323544">
            <w:pPr>
              <w:spacing w:line="240" w:lineRule="auto"/>
              <w:jc w:val="center"/>
            </w:pPr>
            <w:r w:rsidRPr="00F85178">
              <w:t>VY</w:t>
            </w:r>
          </w:p>
        </w:tc>
      </w:tr>
      <w:tr w:rsidR="00F85178" w:rsidRPr="00F85178" w14:paraId="4062CE08"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166A1239" w14:textId="77777777" w:rsidR="004F14A1" w:rsidRPr="00F85178" w:rsidRDefault="004F14A1" w:rsidP="00323544">
            <w:pPr>
              <w:spacing w:line="240" w:lineRule="auto"/>
              <w:jc w:val="left"/>
            </w:pPr>
            <w:r w:rsidRPr="00F85178">
              <w:t>Olomouc</w:t>
            </w:r>
          </w:p>
        </w:tc>
        <w:tc>
          <w:tcPr>
            <w:tcW w:w="1060" w:type="dxa"/>
            <w:tcBorders>
              <w:top w:val="nil"/>
              <w:left w:val="nil"/>
              <w:bottom w:val="single" w:sz="4" w:space="0" w:color="auto"/>
              <w:right w:val="single" w:sz="4" w:space="0" w:color="auto"/>
            </w:tcBorders>
            <w:shd w:val="clear" w:color="auto" w:fill="auto"/>
            <w:noWrap/>
            <w:vAlign w:val="bottom"/>
            <w:hideMark/>
          </w:tcPr>
          <w:p w14:paraId="7E49CEA0" w14:textId="77777777" w:rsidR="004F14A1" w:rsidRPr="00F85178" w:rsidRDefault="004F14A1" w:rsidP="00323544">
            <w:pPr>
              <w:spacing w:line="240" w:lineRule="auto"/>
              <w:jc w:val="center"/>
            </w:pPr>
            <w:r w:rsidRPr="00F85178">
              <w:t>OC</w:t>
            </w:r>
          </w:p>
        </w:tc>
        <w:tc>
          <w:tcPr>
            <w:tcW w:w="2320" w:type="dxa"/>
            <w:tcBorders>
              <w:top w:val="nil"/>
              <w:left w:val="nil"/>
              <w:bottom w:val="single" w:sz="4" w:space="0" w:color="auto"/>
              <w:right w:val="nil"/>
            </w:tcBorders>
            <w:shd w:val="clear" w:color="auto" w:fill="auto"/>
            <w:noWrap/>
            <w:vAlign w:val="bottom"/>
            <w:hideMark/>
          </w:tcPr>
          <w:p w14:paraId="7088B99F" w14:textId="77777777" w:rsidR="004F14A1" w:rsidRPr="00F85178" w:rsidRDefault="004F14A1" w:rsidP="00323544">
            <w:pPr>
              <w:spacing w:line="240" w:lineRule="auto"/>
              <w:jc w:val="left"/>
            </w:pPr>
            <w:r w:rsidRPr="00F85178">
              <w:t>Zlín</w:t>
            </w:r>
          </w:p>
        </w:tc>
        <w:tc>
          <w:tcPr>
            <w:tcW w:w="1060" w:type="dxa"/>
            <w:tcBorders>
              <w:top w:val="nil"/>
              <w:left w:val="nil"/>
              <w:bottom w:val="single" w:sz="4" w:space="0" w:color="auto"/>
              <w:right w:val="nil"/>
            </w:tcBorders>
            <w:shd w:val="clear" w:color="auto" w:fill="auto"/>
            <w:noWrap/>
            <w:vAlign w:val="bottom"/>
            <w:hideMark/>
          </w:tcPr>
          <w:p w14:paraId="4845FF5F" w14:textId="77777777" w:rsidR="004F14A1" w:rsidRPr="00F85178" w:rsidRDefault="004F14A1" w:rsidP="00323544">
            <w:pPr>
              <w:spacing w:line="240" w:lineRule="auto"/>
              <w:jc w:val="center"/>
            </w:pPr>
            <w:r w:rsidRPr="00F85178">
              <w:t>ZL</w:t>
            </w:r>
          </w:p>
        </w:tc>
      </w:tr>
      <w:tr w:rsidR="00F85178" w:rsidRPr="00F85178" w14:paraId="5C4BC780" w14:textId="77777777" w:rsidTr="00323544">
        <w:trPr>
          <w:trHeight w:val="285"/>
          <w:jc w:val="center"/>
        </w:trPr>
        <w:tc>
          <w:tcPr>
            <w:tcW w:w="2320" w:type="dxa"/>
            <w:tcBorders>
              <w:top w:val="nil"/>
              <w:left w:val="nil"/>
              <w:bottom w:val="single" w:sz="4" w:space="0" w:color="auto"/>
              <w:right w:val="nil"/>
            </w:tcBorders>
            <w:shd w:val="clear" w:color="auto" w:fill="auto"/>
            <w:noWrap/>
            <w:vAlign w:val="bottom"/>
            <w:hideMark/>
          </w:tcPr>
          <w:p w14:paraId="2986DFAD" w14:textId="77777777" w:rsidR="004F14A1" w:rsidRPr="00F85178" w:rsidRDefault="004F14A1" w:rsidP="00323544">
            <w:pPr>
              <w:spacing w:line="240" w:lineRule="auto"/>
              <w:jc w:val="left"/>
            </w:pPr>
            <w:r w:rsidRPr="00F85178">
              <w:t>Opava</w:t>
            </w:r>
          </w:p>
        </w:tc>
        <w:tc>
          <w:tcPr>
            <w:tcW w:w="1060" w:type="dxa"/>
            <w:tcBorders>
              <w:top w:val="nil"/>
              <w:left w:val="nil"/>
              <w:bottom w:val="single" w:sz="4" w:space="0" w:color="auto"/>
              <w:right w:val="single" w:sz="4" w:space="0" w:color="auto"/>
            </w:tcBorders>
            <w:shd w:val="clear" w:color="auto" w:fill="auto"/>
            <w:noWrap/>
            <w:vAlign w:val="bottom"/>
            <w:hideMark/>
          </w:tcPr>
          <w:p w14:paraId="363FB05D" w14:textId="77777777" w:rsidR="004F14A1" w:rsidRPr="00F85178" w:rsidRDefault="004F14A1" w:rsidP="00323544">
            <w:pPr>
              <w:spacing w:line="240" w:lineRule="auto"/>
              <w:jc w:val="center"/>
            </w:pPr>
            <w:r w:rsidRPr="00F85178">
              <w:t>OP</w:t>
            </w:r>
          </w:p>
        </w:tc>
        <w:tc>
          <w:tcPr>
            <w:tcW w:w="2320" w:type="dxa"/>
            <w:tcBorders>
              <w:top w:val="nil"/>
              <w:left w:val="nil"/>
              <w:bottom w:val="single" w:sz="4" w:space="0" w:color="auto"/>
              <w:right w:val="nil"/>
            </w:tcBorders>
            <w:shd w:val="clear" w:color="auto" w:fill="auto"/>
            <w:noWrap/>
            <w:vAlign w:val="bottom"/>
            <w:hideMark/>
          </w:tcPr>
          <w:p w14:paraId="445DA252" w14:textId="77777777" w:rsidR="004F14A1" w:rsidRPr="00F85178" w:rsidRDefault="004F14A1" w:rsidP="00323544">
            <w:pPr>
              <w:spacing w:line="240" w:lineRule="auto"/>
              <w:jc w:val="left"/>
            </w:pPr>
            <w:r w:rsidRPr="00F85178">
              <w:t>Znojmo</w:t>
            </w:r>
          </w:p>
        </w:tc>
        <w:tc>
          <w:tcPr>
            <w:tcW w:w="1060" w:type="dxa"/>
            <w:tcBorders>
              <w:top w:val="nil"/>
              <w:left w:val="nil"/>
              <w:bottom w:val="single" w:sz="4" w:space="0" w:color="auto"/>
              <w:right w:val="nil"/>
            </w:tcBorders>
            <w:shd w:val="clear" w:color="auto" w:fill="auto"/>
            <w:noWrap/>
            <w:vAlign w:val="bottom"/>
            <w:hideMark/>
          </w:tcPr>
          <w:p w14:paraId="57290904" w14:textId="77777777" w:rsidR="004F14A1" w:rsidRPr="00F85178" w:rsidRDefault="004F14A1" w:rsidP="00323544">
            <w:pPr>
              <w:spacing w:line="240" w:lineRule="auto"/>
              <w:jc w:val="center"/>
            </w:pPr>
            <w:r w:rsidRPr="00F85178">
              <w:t>ZN</w:t>
            </w:r>
          </w:p>
        </w:tc>
      </w:tr>
      <w:tr w:rsidR="00F85178" w:rsidRPr="00F85178" w14:paraId="21DDB473" w14:textId="77777777" w:rsidTr="00323544">
        <w:trPr>
          <w:trHeight w:val="285"/>
          <w:jc w:val="center"/>
        </w:trPr>
        <w:tc>
          <w:tcPr>
            <w:tcW w:w="2320" w:type="dxa"/>
            <w:tcBorders>
              <w:top w:val="nil"/>
              <w:left w:val="nil"/>
              <w:bottom w:val="double" w:sz="6" w:space="0" w:color="auto"/>
              <w:right w:val="nil"/>
            </w:tcBorders>
            <w:shd w:val="clear" w:color="auto" w:fill="auto"/>
            <w:noWrap/>
            <w:vAlign w:val="bottom"/>
            <w:hideMark/>
          </w:tcPr>
          <w:p w14:paraId="62316CAA" w14:textId="77777777" w:rsidR="004F14A1" w:rsidRPr="00F85178" w:rsidRDefault="004F14A1" w:rsidP="00323544">
            <w:pPr>
              <w:spacing w:line="240" w:lineRule="auto"/>
              <w:jc w:val="left"/>
            </w:pPr>
            <w:r w:rsidRPr="00F85178">
              <w:t>Ostrava</w:t>
            </w:r>
          </w:p>
        </w:tc>
        <w:tc>
          <w:tcPr>
            <w:tcW w:w="1060" w:type="dxa"/>
            <w:tcBorders>
              <w:top w:val="nil"/>
              <w:left w:val="nil"/>
              <w:bottom w:val="double" w:sz="6" w:space="0" w:color="auto"/>
              <w:right w:val="single" w:sz="4" w:space="0" w:color="auto"/>
            </w:tcBorders>
            <w:shd w:val="clear" w:color="auto" w:fill="auto"/>
            <w:noWrap/>
            <w:vAlign w:val="bottom"/>
            <w:hideMark/>
          </w:tcPr>
          <w:p w14:paraId="1D229691" w14:textId="77777777" w:rsidR="004F14A1" w:rsidRPr="00F85178" w:rsidRDefault="004F14A1" w:rsidP="00323544">
            <w:pPr>
              <w:spacing w:line="240" w:lineRule="auto"/>
              <w:jc w:val="center"/>
            </w:pPr>
            <w:r w:rsidRPr="00F85178">
              <w:t>OS</w:t>
            </w:r>
          </w:p>
        </w:tc>
        <w:tc>
          <w:tcPr>
            <w:tcW w:w="2320" w:type="dxa"/>
            <w:tcBorders>
              <w:top w:val="nil"/>
              <w:left w:val="nil"/>
              <w:bottom w:val="double" w:sz="6" w:space="0" w:color="auto"/>
              <w:right w:val="nil"/>
            </w:tcBorders>
            <w:shd w:val="clear" w:color="auto" w:fill="auto"/>
            <w:noWrap/>
            <w:vAlign w:val="bottom"/>
            <w:hideMark/>
          </w:tcPr>
          <w:p w14:paraId="52F7063A" w14:textId="77777777" w:rsidR="004F14A1" w:rsidRPr="00F85178" w:rsidRDefault="004F14A1" w:rsidP="00323544">
            <w:pPr>
              <w:spacing w:line="240" w:lineRule="auto"/>
              <w:jc w:val="left"/>
            </w:pPr>
            <w:r w:rsidRPr="00F85178">
              <w:t>Žďár nad Sázavou</w:t>
            </w:r>
          </w:p>
        </w:tc>
        <w:tc>
          <w:tcPr>
            <w:tcW w:w="1060" w:type="dxa"/>
            <w:tcBorders>
              <w:top w:val="nil"/>
              <w:left w:val="nil"/>
              <w:bottom w:val="double" w:sz="6" w:space="0" w:color="auto"/>
              <w:right w:val="nil"/>
            </w:tcBorders>
            <w:shd w:val="clear" w:color="auto" w:fill="auto"/>
            <w:noWrap/>
            <w:vAlign w:val="bottom"/>
            <w:hideMark/>
          </w:tcPr>
          <w:p w14:paraId="69B6B8D5" w14:textId="77777777" w:rsidR="004F14A1" w:rsidRPr="00F85178" w:rsidRDefault="004F14A1" w:rsidP="00323544">
            <w:pPr>
              <w:spacing w:line="240" w:lineRule="auto"/>
              <w:jc w:val="center"/>
            </w:pPr>
            <w:r w:rsidRPr="00F85178">
              <w:t>ZR</w:t>
            </w:r>
          </w:p>
        </w:tc>
      </w:tr>
    </w:tbl>
    <w:p w14:paraId="516056ED" w14:textId="77777777" w:rsidR="004F14A1" w:rsidRPr="00F85178" w:rsidRDefault="004F14A1" w:rsidP="004F14A1">
      <w:pPr>
        <w:pStyle w:val="Nadpis2"/>
        <w:numPr>
          <w:ilvl w:val="0"/>
          <w:numId w:val="0"/>
        </w:numPr>
        <w:ind w:left="578" w:hanging="578"/>
      </w:pPr>
      <w:bookmarkStart w:id="779" w:name="_Toc487791321"/>
      <w:bookmarkStart w:id="780" w:name="_Toc14076970"/>
      <w:r w:rsidRPr="00F85178">
        <w:t>Příloha C – seznam vybraných rejstříků soudů</w:t>
      </w:r>
      <w:bookmarkEnd w:id="779"/>
      <w:bookmarkEnd w:id="780"/>
    </w:p>
    <w:p w14:paraId="77F38FF2" w14:textId="77777777" w:rsidR="004E504C" w:rsidRPr="00F85178" w:rsidRDefault="004E504C" w:rsidP="004E504C"/>
    <w:tbl>
      <w:tblPr>
        <w:tblW w:w="9100" w:type="dxa"/>
        <w:tblInd w:w="55" w:type="dxa"/>
        <w:tblCellMar>
          <w:left w:w="70" w:type="dxa"/>
          <w:right w:w="70" w:type="dxa"/>
        </w:tblCellMar>
        <w:tblLook w:val="04A0" w:firstRow="1" w:lastRow="0" w:firstColumn="1" w:lastColumn="0" w:noHBand="0" w:noVBand="1"/>
      </w:tblPr>
      <w:tblGrid>
        <w:gridCol w:w="960"/>
        <w:gridCol w:w="8140"/>
      </w:tblGrid>
      <w:tr w:rsidR="00F85178" w:rsidRPr="00F85178" w14:paraId="36E66696" w14:textId="77777777" w:rsidTr="004E504C">
        <w:trPr>
          <w:trHeight w:val="346"/>
          <w:tblHeader/>
        </w:trPr>
        <w:tc>
          <w:tcPr>
            <w:tcW w:w="960" w:type="dxa"/>
            <w:tcBorders>
              <w:top w:val="double" w:sz="6" w:space="0" w:color="auto"/>
              <w:left w:val="nil"/>
              <w:bottom w:val="double" w:sz="6" w:space="0" w:color="auto"/>
              <w:right w:val="nil"/>
            </w:tcBorders>
            <w:shd w:val="clear" w:color="auto" w:fill="auto"/>
            <w:noWrap/>
            <w:vAlign w:val="center"/>
            <w:hideMark/>
          </w:tcPr>
          <w:p w14:paraId="55E62C8D" w14:textId="77777777" w:rsidR="007677A6" w:rsidRPr="00F85178" w:rsidRDefault="007677A6" w:rsidP="007677A6">
            <w:pPr>
              <w:spacing w:line="240" w:lineRule="auto"/>
              <w:jc w:val="left"/>
              <w:rPr>
                <w:rFonts w:eastAsia="Times New Roman"/>
                <w:b/>
                <w:bCs/>
                <w:szCs w:val="24"/>
                <w:lang w:eastAsia="cs-CZ"/>
              </w:rPr>
            </w:pPr>
            <w:bookmarkStart w:id="781" w:name="_Toc487791322"/>
            <w:r w:rsidRPr="00F85178">
              <w:rPr>
                <w:rFonts w:eastAsia="Times New Roman"/>
                <w:b/>
                <w:bCs/>
                <w:szCs w:val="24"/>
                <w:lang w:eastAsia="cs-CZ"/>
              </w:rPr>
              <w:t>Rejstřík</w:t>
            </w:r>
          </w:p>
        </w:tc>
        <w:tc>
          <w:tcPr>
            <w:tcW w:w="8140" w:type="dxa"/>
            <w:tcBorders>
              <w:top w:val="double" w:sz="6" w:space="0" w:color="auto"/>
              <w:left w:val="nil"/>
              <w:bottom w:val="double" w:sz="6" w:space="0" w:color="auto"/>
              <w:right w:val="nil"/>
            </w:tcBorders>
            <w:shd w:val="clear" w:color="auto" w:fill="auto"/>
            <w:noWrap/>
            <w:vAlign w:val="center"/>
            <w:hideMark/>
          </w:tcPr>
          <w:p w14:paraId="7A47FDF4" w14:textId="77777777" w:rsidR="007677A6" w:rsidRPr="00F85178" w:rsidRDefault="007677A6" w:rsidP="007677A6">
            <w:pPr>
              <w:spacing w:line="240" w:lineRule="auto"/>
              <w:jc w:val="left"/>
              <w:rPr>
                <w:rFonts w:eastAsia="Times New Roman"/>
                <w:b/>
                <w:bCs/>
                <w:szCs w:val="24"/>
                <w:lang w:eastAsia="cs-CZ"/>
              </w:rPr>
            </w:pPr>
            <w:r w:rsidRPr="00F85178">
              <w:rPr>
                <w:rFonts w:eastAsia="Times New Roman"/>
                <w:b/>
                <w:bCs/>
                <w:szCs w:val="24"/>
                <w:lang w:eastAsia="cs-CZ"/>
              </w:rPr>
              <w:t>Popis</w:t>
            </w:r>
          </w:p>
        </w:tc>
      </w:tr>
      <w:tr w:rsidR="00F85178" w:rsidRPr="00F85178" w14:paraId="11D6AC7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FFA6687"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 (KS)</w:t>
            </w:r>
          </w:p>
        </w:tc>
        <w:tc>
          <w:tcPr>
            <w:tcW w:w="8140" w:type="dxa"/>
            <w:tcBorders>
              <w:top w:val="nil"/>
              <w:left w:val="nil"/>
              <w:bottom w:val="single" w:sz="4" w:space="0" w:color="auto"/>
              <w:right w:val="nil"/>
            </w:tcBorders>
            <w:shd w:val="clear" w:color="auto" w:fill="auto"/>
            <w:vAlign w:val="center"/>
            <w:hideMark/>
          </w:tcPr>
          <w:p w14:paraId="043C215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Ostatní návrhy ve věcech správního soudnictví (od roku 2010)</w:t>
            </w:r>
          </w:p>
        </w:tc>
      </w:tr>
      <w:tr w:rsidR="00F85178" w:rsidRPr="00F85178" w14:paraId="39840C88"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3A41A9D"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 (NSS)</w:t>
            </w:r>
          </w:p>
        </w:tc>
        <w:tc>
          <w:tcPr>
            <w:tcW w:w="8140" w:type="dxa"/>
            <w:tcBorders>
              <w:top w:val="nil"/>
              <w:left w:val="nil"/>
              <w:bottom w:val="single" w:sz="4" w:space="0" w:color="auto"/>
              <w:right w:val="nil"/>
            </w:tcBorders>
            <w:shd w:val="clear" w:color="auto" w:fill="auto"/>
            <w:vAlign w:val="center"/>
            <w:hideMark/>
          </w:tcPr>
          <w:p w14:paraId="799DE5C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Převzatá agenda</w:t>
            </w:r>
            <w:r w:rsidR="0093094A" w:rsidRPr="00F85178">
              <w:rPr>
                <w:rFonts w:eastAsia="Times New Roman"/>
                <w:szCs w:val="24"/>
                <w:lang w:eastAsia="cs-CZ"/>
              </w:rPr>
              <w:t xml:space="preserve"> z </w:t>
            </w:r>
            <w:r w:rsidRPr="00F85178">
              <w:rPr>
                <w:rFonts w:eastAsia="Times New Roman"/>
                <w:szCs w:val="24"/>
                <w:lang w:eastAsia="cs-CZ"/>
              </w:rPr>
              <w:t>vrchních soudů (dříve)</w:t>
            </w:r>
          </w:p>
        </w:tc>
      </w:tr>
      <w:tr w:rsidR="00F85178" w:rsidRPr="00F85178" w14:paraId="2DEC52A8"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9E19B25"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Ad</w:t>
            </w:r>
          </w:p>
        </w:tc>
        <w:tc>
          <w:tcPr>
            <w:tcW w:w="8140" w:type="dxa"/>
            <w:tcBorders>
              <w:top w:val="nil"/>
              <w:left w:val="nil"/>
              <w:bottom w:val="single" w:sz="4" w:space="0" w:color="auto"/>
              <w:right w:val="nil"/>
            </w:tcBorders>
            <w:shd w:val="clear" w:color="auto" w:fill="auto"/>
            <w:vAlign w:val="center"/>
            <w:hideMark/>
          </w:tcPr>
          <w:p w14:paraId="7F0996D5"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Správní žaloby ve věcech sociální</w:t>
            </w:r>
            <w:r w:rsidR="009B748A" w:rsidRPr="00F85178">
              <w:rPr>
                <w:rFonts w:eastAsia="Times New Roman"/>
                <w:szCs w:val="24"/>
                <w:lang w:eastAsia="cs-CZ"/>
              </w:rPr>
              <w:t xml:space="preserve"> a </w:t>
            </w:r>
            <w:r w:rsidRPr="00F85178">
              <w:rPr>
                <w:rFonts w:eastAsia="Times New Roman"/>
                <w:szCs w:val="24"/>
                <w:lang w:eastAsia="cs-CZ"/>
              </w:rPr>
              <w:t>důchodové správy (od roku 2010)</w:t>
            </w:r>
          </w:p>
        </w:tc>
      </w:tr>
      <w:tr w:rsidR="00F85178" w:rsidRPr="00F85178" w14:paraId="6D253F5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E2BB273"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Ads</w:t>
            </w:r>
          </w:p>
        </w:tc>
        <w:tc>
          <w:tcPr>
            <w:tcW w:w="8140" w:type="dxa"/>
            <w:tcBorders>
              <w:top w:val="nil"/>
              <w:left w:val="nil"/>
              <w:bottom w:val="single" w:sz="4" w:space="0" w:color="auto"/>
              <w:right w:val="nil"/>
            </w:tcBorders>
            <w:shd w:val="clear" w:color="auto" w:fill="auto"/>
            <w:vAlign w:val="center"/>
            <w:hideMark/>
          </w:tcPr>
          <w:p w14:paraId="4D69C13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sociální</w:t>
            </w:r>
            <w:r w:rsidR="009B748A" w:rsidRPr="00F85178">
              <w:rPr>
                <w:rFonts w:eastAsia="Times New Roman"/>
                <w:szCs w:val="24"/>
                <w:lang w:eastAsia="cs-CZ"/>
              </w:rPr>
              <w:t xml:space="preserve"> a </w:t>
            </w:r>
            <w:r w:rsidRPr="00F85178">
              <w:rPr>
                <w:rFonts w:eastAsia="Times New Roman"/>
                <w:szCs w:val="24"/>
                <w:lang w:eastAsia="cs-CZ"/>
              </w:rPr>
              <w:t>důchodové správy</w:t>
            </w:r>
          </w:p>
        </w:tc>
      </w:tr>
      <w:tr w:rsidR="00F85178" w:rsidRPr="00F85178" w14:paraId="7DB9BB2D"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8FC55A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Af</w:t>
            </w:r>
          </w:p>
        </w:tc>
        <w:tc>
          <w:tcPr>
            <w:tcW w:w="8140" w:type="dxa"/>
            <w:tcBorders>
              <w:top w:val="nil"/>
              <w:left w:val="nil"/>
              <w:bottom w:val="single" w:sz="4" w:space="0" w:color="auto"/>
              <w:right w:val="nil"/>
            </w:tcBorders>
            <w:shd w:val="clear" w:color="auto" w:fill="auto"/>
            <w:vAlign w:val="center"/>
            <w:hideMark/>
          </w:tcPr>
          <w:p w14:paraId="136DFE19"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Správní žaloby ve věcech finanční správy (od roku 2010)</w:t>
            </w:r>
          </w:p>
        </w:tc>
      </w:tr>
      <w:tr w:rsidR="00F85178" w:rsidRPr="00F85178" w14:paraId="284C655D"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94EB31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Afs</w:t>
            </w:r>
          </w:p>
        </w:tc>
        <w:tc>
          <w:tcPr>
            <w:tcW w:w="8140" w:type="dxa"/>
            <w:tcBorders>
              <w:top w:val="nil"/>
              <w:left w:val="nil"/>
              <w:bottom w:val="single" w:sz="4" w:space="0" w:color="auto"/>
              <w:right w:val="nil"/>
            </w:tcBorders>
            <w:shd w:val="clear" w:color="auto" w:fill="auto"/>
            <w:vAlign w:val="center"/>
            <w:hideMark/>
          </w:tcPr>
          <w:p w14:paraId="3B39826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finanční správy</w:t>
            </w:r>
          </w:p>
        </w:tc>
      </w:tr>
      <w:tr w:rsidR="00F85178" w:rsidRPr="00F85178" w14:paraId="09AC5AFD"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5D9604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Ans</w:t>
            </w:r>
          </w:p>
        </w:tc>
        <w:tc>
          <w:tcPr>
            <w:tcW w:w="8140" w:type="dxa"/>
            <w:tcBorders>
              <w:top w:val="nil"/>
              <w:left w:val="nil"/>
              <w:bottom w:val="single" w:sz="4" w:space="0" w:color="auto"/>
              <w:right w:val="nil"/>
            </w:tcBorders>
            <w:shd w:val="clear" w:color="auto" w:fill="auto"/>
            <w:vAlign w:val="center"/>
            <w:hideMark/>
          </w:tcPr>
          <w:p w14:paraId="4F4E4B5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ochrany proti nečinnosti správního orgánu (dříve)</w:t>
            </w:r>
          </w:p>
        </w:tc>
      </w:tr>
      <w:tr w:rsidR="00F85178" w:rsidRPr="00F85178" w14:paraId="39E3FC1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42B595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Aos</w:t>
            </w:r>
          </w:p>
        </w:tc>
        <w:tc>
          <w:tcPr>
            <w:tcW w:w="8140" w:type="dxa"/>
            <w:tcBorders>
              <w:top w:val="nil"/>
              <w:left w:val="nil"/>
              <w:bottom w:val="single" w:sz="4" w:space="0" w:color="auto"/>
              <w:right w:val="nil"/>
            </w:tcBorders>
            <w:shd w:val="clear" w:color="auto" w:fill="auto"/>
            <w:vAlign w:val="center"/>
            <w:hideMark/>
          </w:tcPr>
          <w:p w14:paraId="7E0FA96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opatření obecné povahy (dříve)</w:t>
            </w:r>
          </w:p>
        </w:tc>
      </w:tr>
      <w:tr w:rsidR="00F85178" w:rsidRPr="00F85178" w14:paraId="09B8BE26"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A49CBA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Aps</w:t>
            </w:r>
          </w:p>
        </w:tc>
        <w:tc>
          <w:tcPr>
            <w:tcW w:w="8140" w:type="dxa"/>
            <w:tcBorders>
              <w:top w:val="nil"/>
              <w:left w:val="nil"/>
              <w:bottom w:val="single" w:sz="4" w:space="0" w:color="auto"/>
              <w:right w:val="nil"/>
            </w:tcBorders>
            <w:shd w:val="clear" w:color="auto" w:fill="auto"/>
            <w:vAlign w:val="center"/>
            <w:hideMark/>
          </w:tcPr>
          <w:p w14:paraId="7C16975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ochrany před nezákonným zásahem, pokynem nebo donucením správního orgánu (dříve)</w:t>
            </w:r>
          </w:p>
        </w:tc>
      </w:tr>
      <w:tr w:rsidR="00F85178" w:rsidRPr="00F85178" w14:paraId="0C9D2CE9"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F636DAE"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Ars</w:t>
            </w:r>
          </w:p>
        </w:tc>
        <w:tc>
          <w:tcPr>
            <w:tcW w:w="8140" w:type="dxa"/>
            <w:tcBorders>
              <w:top w:val="nil"/>
              <w:left w:val="nil"/>
              <w:bottom w:val="single" w:sz="4" w:space="0" w:color="auto"/>
              <w:right w:val="nil"/>
            </w:tcBorders>
            <w:shd w:val="clear" w:color="auto" w:fill="auto"/>
            <w:vAlign w:val="center"/>
            <w:hideMark/>
          </w:tcPr>
          <w:p w14:paraId="747376B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krajského</w:t>
            </w:r>
            <w:r w:rsidR="009B748A" w:rsidRPr="00F85178">
              <w:rPr>
                <w:rFonts w:eastAsia="Times New Roman"/>
                <w:szCs w:val="24"/>
                <w:lang w:eastAsia="cs-CZ"/>
              </w:rPr>
              <w:t xml:space="preserve"> a </w:t>
            </w:r>
            <w:r w:rsidRPr="00F85178">
              <w:rPr>
                <w:rFonts w:eastAsia="Times New Roman"/>
                <w:szCs w:val="24"/>
                <w:lang w:eastAsia="cs-CZ"/>
              </w:rPr>
              <w:t>místního referenda</w:t>
            </w:r>
            <w:r w:rsidR="006D12C5" w:rsidRPr="00F85178">
              <w:rPr>
                <w:rFonts w:eastAsia="Times New Roman"/>
                <w:szCs w:val="24"/>
                <w:lang w:eastAsia="cs-CZ"/>
              </w:rPr>
              <w:t>, ve věcech dohledu nad hospodařením politických stran</w:t>
            </w:r>
            <w:r w:rsidR="009B748A" w:rsidRPr="00F85178">
              <w:rPr>
                <w:rFonts w:eastAsia="Times New Roman"/>
                <w:szCs w:val="24"/>
                <w:lang w:eastAsia="cs-CZ"/>
              </w:rPr>
              <w:t xml:space="preserve"> a </w:t>
            </w:r>
            <w:r w:rsidR="006D12C5" w:rsidRPr="00F85178">
              <w:rPr>
                <w:rFonts w:eastAsia="Times New Roman"/>
                <w:szCs w:val="24"/>
                <w:lang w:eastAsia="cs-CZ"/>
              </w:rPr>
              <w:t>hnutí</w:t>
            </w:r>
            <w:r w:rsidR="009B748A" w:rsidRPr="00F85178">
              <w:rPr>
                <w:rFonts w:eastAsia="Times New Roman"/>
                <w:szCs w:val="24"/>
                <w:lang w:eastAsia="cs-CZ"/>
              </w:rPr>
              <w:t xml:space="preserve"> a </w:t>
            </w:r>
            <w:r w:rsidR="006D12C5" w:rsidRPr="00F85178">
              <w:rPr>
                <w:rFonts w:eastAsia="Times New Roman"/>
                <w:szCs w:val="24"/>
                <w:lang w:eastAsia="cs-CZ"/>
              </w:rPr>
              <w:t>ve věcech dohledu nad financováním volebních kampaní politických stran</w:t>
            </w:r>
            <w:r w:rsidR="009B748A" w:rsidRPr="00F85178">
              <w:rPr>
                <w:rFonts w:eastAsia="Times New Roman"/>
                <w:szCs w:val="24"/>
                <w:lang w:eastAsia="cs-CZ"/>
              </w:rPr>
              <w:t xml:space="preserve"> a </w:t>
            </w:r>
            <w:r w:rsidR="006D12C5" w:rsidRPr="00F85178">
              <w:rPr>
                <w:rFonts w:eastAsia="Times New Roman"/>
                <w:szCs w:val="24"/>
                <w:lang w:eastAsia="cs-CZ"/>
              </w:rPr>
              <w:t>hnutí</w:t>
            </w:r>
          </w:p>
        </w:tc>
      </w:tr>
      <w:tr w:rsidR="00F85178" w:rsidRPr="00F85178" w14:paraId="4D2DED8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4D09A93"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As</w:t>
            </w:r>
          </w:p>
        </w:tc>
        <w:tc>
          <w:tcPr>
            <w:tcW w:w="8140" w:type="dxa"/>
            <w:tcBorders>
              <w:top w:val="nil"/>
              <w:left w:val="nil"/>
              <w:bottom w:val="single" w:sz="4" w:space="0" w:color="auto"/>
              <w:right w:val="nil"/>
            </w:tcBorders>
            <w:shd w:val="clear" w:color="auto" w:fill="auto"/>
            <w:vAlign w:val="center"/>
            <w:hideMark/>
          </w:tcPr>
          <w:p w14:paraId="51C6A82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w:t>
            </w:r>
            <w:r w:rsidR="0093094A" w:rsidRPr="00F85178">
              <w:rPr>
                <w:rFonts w:eastAsia="Times New Roman"/>
                <w:szCs w:val="24"/>
                <w:lang w:eastAsia="cs-CZ"/>
              </w:rPr>
              <w:t xml:space="preserve"> v </w:t>
            </w:r>
            <w:r w:rsidRPr="00F85178">
              <w:rPr>
                <w:rFonts w:eastAsia="Times New Roman"/>
                <w:szCs w:val="24"/>
                <w:lang w:eastAsia="cs-CZ"/>
              </w:rPr>
              <w:t>ostatních věcech</w:t>
            </w:r>
          </w:p>
        </w:tc>
      </w:tr>
      <w:tr w:rsidR="00F85178" w:rsidRPr="00F85178" w14:paraId="5620F937"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5FF576B"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Az</w:t>
            </w:r>
          </w:p>
        </w:tc>
        <w:tc>
          <w:tcPr>
            <w:tcW w:w="8140" w:type="dxa"/>
            <w:tcBorders>
              <w:top w:val="nil"/>
              <w:left w:val="nil"/>
              <w:bottom w:val="single" w:sz="4" w:space="0" w:color="auto"/>
              <w:right w:val="nil"/>
            </w:tcBorders>
            <w:shd w:val="clear" w:color="auto" w:fill="auto"/>
            <w:vAlign w:val="center"/>
            <w:hideMark/>
          </w:tcPr>
          <w:p w14:paraId="5FC9A73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Správní žaloby ve věcech mezinárodní ochrany</w:t>
            </w:r>
          </w:p>
        </w:tc>
      </w:tr>
      <w:tr w:rsidR="00F85178" w:rsidRPr="00F85178" w14:paraId="62868CE9"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A05A61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Azs</w:t>
            </w:r>
          </w:p>
        </w:tc>
        <w:tc>
          <w:tcPr>
            <w:tcW w:w="8140" w:type="dxa"/>
            <w:tcBorders>
              <w:top w:val="nil"/>
              <w:left w:val="nil"/>
              <w:bottom w:val="single" w:sz="4" w:space="0" w:color="auto"/>
              <w:right w:val="nil"/>
            </w:tcBorders>
            <w:shd w:val="clear" w:color="auto" w:fill="auto"/>
            <w:vAlign w:val="center"/>
            <w:hideMark/>
          </w:tcPr>
          <w:p w14:paraId="55C0DA6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w:t>
            </w:r>
            <w:r w:rsidR="009B748A" w:rsidRPr="00F85178">
              <w:rPr>
                <w:rFonts w:eastAsia="Times New Roman"/>
                <w:szCs w:val="24"/>
                <w:lang w:eastAsia="cs-CZ"/>
              </w:rPr>
              <w:t xml:space="preserve"> o </w:t>
            </w:r>
            <w:r w:rsidRPr="00F85178">
              <w:rPr>
                <w:rFonts w:eastAsia="Times New Roman"/>
                <w:szCs w:val="24"/>
                <w:lang w:eastAsia="cs-CZ"/>
              </w:rPr>
              <w:t>kasačních stížnostech ve věcech mezinárodní ochrany</w:t>
            </w:r>
            <w:r w:rsidR="009B748A" w:rsidRPr="00F85178">
              <w:rPr>
                <w:rFonts w:eastAsia="Times New Roman"/>
                <w:szCs w:val="24"/>
                <w:lang w:eastAsia="cs-CZ"/>
              </w:rPr>
              <w:t xml:space="preserve"> a </w:t>
            </w:r>
            <w:r w:rsidRPr="00F85178">
              <w:rPr>
                <w:rFonts w:eastAsia="Times New Roman"/>
                <w:szCs w:val="24"/>
                <w:lang w:eastAsia="cs-CZ"/>
              </w:rPr>
              <w:t>zákona</w:t>
            </w:r>
            <w:r w:rsidR="009B748A" w:rsidRPr="00F85178">
              <w:rPr>
                <w:rFonts w:eastAsia="Times New Roman"/>
                <w:szCs w:val="24"/>
                <w:lang w:eastAsia="cs-CZ"/>
              </w:rPr>
              <w:t xml:space="preserve"> o </w:t>
            </w:r>
            <w:r w:rsidRPr="00F85178">
              <w:rPr>
                <w:rFonts w:eastAsia="Times New Roman"/>
                <w:szCs w:val="24"/>
                <w:lang w:eastAsia="cs-CZ"/>
              </w:rPr>
              <w:t>pobytu cizinců</w:t>
            </w:r>
          </w:p>
        </w:tc>
      </w:tr>
      <w:tr w:rsidR="00F85178" w:rsidRPr="00F85178" w14:paraId="4F439EE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ED8A00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w:t>
            </w:r>
          </w:p>
        </w:tc>
        <w:tc>
          <w:tcPr>
            <w:tcW w:w="8140" w:type="dxa"/>
            <w:tcBorders>
              <w:top w:val="nil"/>
              <w:left w:val="nil"/>
              <w:bottom w:val="single" w:sz="4" w:space="0" w:color="auto"/>
              <w:right w:val="nil"/>
            </w:tcBorders>
            <w:shd w:val="clear" w:color="auto" w:fill="auto"/>
            <w:vAlign w:val="center"/>
            <w:hideMark/>
          </w:tcPr>
          <w:p w14:paraId="3780477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Občanskoprávní věci</w:t>
            </w:r>
          </w:p>
        </w:tc>
      </w:tr>
      <w:tr w:rsidR="00F85178" w:rsidRPr="00F85178" w14:paraId="1FA6067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0335CCE"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Ca</w:t>
            </w:r>
          </w:p>
        </w:tc>
        <w:tc>
          <w:tcPr>
            <w:tcW w:w="8140" w:type="dxa"/>
            <w:tcBorders>
              <w:top w:val="nil"/>
              <w:left w:val="nil"/>
              <w:bottom w:val="single" w:sz="4" w:space="0" w:color="auto"/>
              <w:right w:val="nil"/>
            </w:tcBorders>
            <w:shd w:val="clear" w:color="auto" w:fill="auto"/>
            <w:vAlign w:val="center"/>
            <w:hideMark/>
          </w:tcPr>
          <w:p w14:paraId="7D7C2BB7"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Ostatní návrhy ve věcech správního soudnictví (před rokem 2010)</w:t>
            </w:r>
          </w:p>
        </w:tc>
      </w:tr>
      <w:tr w:rsidR="00F85178" w:rsidRPr="00F85178" w14:paraId="0A31A9B8"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F51D36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Cad</w:t>
            </w:r>
          </w:p>
        </w:tc>
        <w:tc>
          <w:tcPr>
            <w:tcW w:w="8140" w:type="dxa"/>
            <w:tcBorders>
              <w:top w:val="nil"/>
              <w:left w:val="nil"/>
              <w:bottom w:val="single" w:sz="4" w:space="0" w:color="auto"/>
              <w:right w:val="nil"/>
            </w:tcBorders>
            <w:shd w:val="clear" w:color="auto" w:fill="auto"/>
            <w:vAlign w:val="center"/>
            <w:hideMark/>
          </w:tcPr>
          <w:p w14:paraId="4126D7CD"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Správní žaloby ve věcech sociální</w:t>
            </w:r>
            <w:r w:rsidR="009B748A" w:rsidRPr="00F85178">
              <w:rPr>
                <w:rFonts w:eastAsia="Times New Roman"/>
                <w:szCs w:val="24"/>
                <w:lang w:eastAsia="cs-CZ"/>
              </w:rPr>
              <w:t xml:space="preserve"> a </w:t>
            </w:r>
            <w:r w:rsidRPr="00F85178">
              <w:rPr>
                <w:rFonts w:eastAsia="Times New Roman"/>
                <w:szCs w:val="24"/>
                <w:lang w:eastAsia="cs-CZ"/>
              </w:rPr>
              <w:t>důchodové správy (před rokem 2010)</w:t>
            </w:r>
          </w:p>
        </w:tc>
      </w:tr>
      <w:tr w:rsidR="00F85178" w:rsidRPr="00F85178" w14:paraId="532D146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E48ADF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Cdo</w:t>
            </w:r>
          </w:p>
        </w:tc>
        <w:tc>
          <w:tcPr>
            <w:tcW w:w="8140" w:type="dxa"/>
            <w:tcBorders>
              <w:top w:val="nil"/>
              <w:left w:val="nil"/>
              <w:bottom w:val="single" w:sz="4" w:space="0" w:color="auto"/>
              <w:right w:val="nil"/>
            </w:tcBorders>
            <w:shd w:val="clear" w:color="auto" w:fill="auto"/>
            <w:vAlign w:val="center"/>
            <w:hideMark/>
          </w:tcPr>
          <w:p w14:paraId="3545D5E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Dovolání proti rozhodnutím odvolacích soudů ve věcech občanskoprávních</w:t>
            </w:r>
            <w:r w:rsidR="009B748A" w:rsidRPr="00F85178">
              <w:rPr>
                <w:rFonts w:eastAsia="Times New Roman"/>
                <w:szCs w:val="24"/>
                <w:lang w:eastAsia="cs-CZ"/>
              </w:rPr>
              <w:t xml:space="preserve"> a </w:t>
            </w:r>
            <w:r w:rsidRPr="00F85178">
              <w:rPr>
                <w:rFonts w:eastAsia="Times New Roman"/>
                <w:szCs w:val="24"/>
                <w:lang w:eastAsia="cs-CZ"/>
              </w:rPr>
              <w:t>obchodních</w:t>
            </w:r>
          </w:p>
        </w:tc>
      </w:tr>
      <w:tr w:rsidR="00F85178" w:rsidRPr="00F85178" w14:paraId="3E29EDA5"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03759B4D"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Cm</w:t>
            </w:r>
          </w:p>
        </w:tc>
        <w:tc>
          <w:tcPr>
            <w:tcW w:w="8140" w:type="dxa"/>
            <w:tcBorders>
              <w:top w:val="nil"/>
              <w:left w:val="nil"/>
              <w:bottom w:val="single" w:sz="4" w:space="0" w:color="auto"/>
              <w:right w:val="nil"/>
            </w:tcBorders>
            <w:shd w:val="clear" w:color="auto" w:fill="auto"/>
            <w:vAlign w:val="center"/>
            <w:hideMark/>
          </w:tcPr>
          <w:p w14:paraId="51D39C8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Obchodní věci</w:t>
            </w:r>
          </w:p>
        </w:tc>
      </w:tr>
      <w:tr w:rsidR="00F85178" w:rsidRPr="00F85178" w14:paraId="2C811DEC"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98EA8A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Cmo</w:t>
            </w:r>
          </w:p>
        </w:tc>
        <w:tc>
          <w:tcPr>
            <w:tcW w:w="8140" w:type="dxa"/>
            <w:tcBorders>
              <w:top w:val="nil"/>
              <w:left w:val="nil"/>
              <w:bottom w:val="single" w:sz="4" w:space="0" w:color="auto"/>
              <w:right w:val="nil"/>
            </w:tcBorders>
            <w:shd w:val="clear" w:color="auto" w:fill="auto"/>
            <w:vAlign w:val="center"/>
            <w:hideMark/>
          </w:tcPr>
          <w:p w14:paraId="20E92D7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Odvolací civilní agenda</w:t>
            </w:r>
            <w:r w:rsidR="0093094A" w:rsidRPr="00F85178">
              <w:rPr>
                <w:rFonts w:eastAsia="Times New Roman"/>
                <w:szCs w:val="24"/>
                <w:lang w:eastAsia="cs-CZ"/>
              </w:rPr>
              <w:t xml:space="preserve"> v </w:t>
            </w:r>
            <w:r w:rsidRPr="00F85178">
              <w:rPr>
                <w:rFonts w:eastAsia="Times New Roman"/>
                <w:szCs w:val="24"/>
                <w:lang w:eastAsia="cs-CZ"/>
              </w:rPr>
              <w:t>obchodních věcech</w:t>
            </w:r>
          </w:p>
        </w:tc>
      </w:tr>
      <w:tr w:rsidR="00F85178" w:rsidRPr="00F85178" w14:paraId="074C6A4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065A05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Co</w:t>
            </w:r>
          </w:p>
        </w:tc>
        <w:tc>
          <w:tcPr>
            <w:tcW w:w="8140" w:type="dxa"/>
            <w:tcBorders>
              <w:top w:val="nil"/>
              <w:left w:val="nil"/>
              <w:bottom w:val="single" w:sz="4" w:space="0" w:color="auto"/>
              <w:right w:val="nil"/>
            </w:tcBorders>
            <w:shd w:val="clear" w:color="auto" w:fill="auto"/>
            <w:vAlign w:val="center"/>
            <w:hideMark/>
          </w:tcPr>
          <w:p w14:paraId="05C590B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Odvolací civilní agenda</w:t>
            </w:r>
          </w:p>
        </w:tc>
      </w:tr>
      <w:tr w:rsidR="00F85178" w:rsidRPr="00F85178" w14:paraId="4020CF5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9971F49"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EC (KS)</w:t>
            </w:r>
          </w:p>
        </w:tc>
        <w:tc>
          <w:tcPr>
            <w:tcW w:w="8140" w:type="dxa"/>
            <w:tcBorders>
              <w:top w:val="nil"/>
              <w:left w:val="nil"/>
              <w:bottom w:val="single" w:sz="4" w:space="0" w:color="auto"/>
              <w:right w:val="nil"/>
            </w:tcBorders>
            <w:shd w:val="clear" w:color="auto" w:fill="auto"/>
            <w:vAlign w:val="center"/>
            <w:hideMark/>
          </w:tcPr>
          <w:p w14:paraId="5597EB0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Převedené věci</w:t>
            </w:r>
            <w:r w:rsidR="0093094A" w:rsidRPr="00F85178">
              <w:rPr>
                <w:rFonts w:eastAsia="Times New Roman"/>
                <w:szCs w:val="24"/>
                <w:lang w:eastAsia="cs-CZ"/>
              </w:rPr>
              <w:t xml:space="preserve"> z </w:t>
            </w:r>
            <w:r w:rsidRPr="00F85178">
              <w:rPr>
                <w:rFonts w:eastAsia="Times New Roman"/>
                <w:szCs w:val="24"/>
                <w:lang w:eastAsia="cs-CZ"/>
              </w:rPr>
              <w:t>rejstříku EPR – občanskoprávní věci</w:t>
            </w:r>
          </w:p>
        </w:tc>
      </w:tr>
      <w:tr w:rsidR="00F85178" w:rsidRPr="00F85178" w14:paraId="4C95EBC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5BE842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EC (OS)</w:t>
            </w:r>
          </w:p>
        </w:tc>
        <w:tc>
          <w:tcPr>
            <w:tcW w:w="8140" w:type="dxa"/>
            <w:tcBorders>
              <w:top w:val="nil"/>
              <w:left w:val="nil"/>
              <w:bottom w:val="single" w:sz="4" w:space="0" w:color="auto"/>
              <w:right w:val="nil"/>
            </w:tcBorders>
            <w:shd w:val="clear" w:color="auto" w:fill="auto"/>
            <w:vAlign w:val="center"/>
            <w:hideMark/>
          </w:tcPr>
          <w:p w14:paraId="38E1E18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Návrhy na vydání elektronického platebního rozkazu (před rejstříkem EPR)</w:t>
            </w:r>
          </w:p>
        </w:tc>
      </w:tr>
      <w:tr w:rsidR="00F85178" w:rsidRPr="00F85178" w14:paraId="6B7D4B2B"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E843007"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ECm</w:t>
            </w:r>
          </w:p>
        </w:tc>
        <w:tc>
          <w:tcPr>
            <w:tcW w:w="8140" w:type="dxa"/>
            <w:tcBorders>
              <w:top w:val="nil"/>
              <w:left w:val="nil"/>
              <w:bottom w:val="single" w:sz="4" w:space="0" w:color="auto"/>
              <w:right w:val="nil"/>
            </w:tcBorders>
            <w:shd w:val="clear" w:color="auto" w:fill="auto"/>
            <w:vAlign w:val="center"/>
            <w:hideMark/>
          </w:tcPr>
          <w:p w14:paraId="20334F7E"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Převedené věci</w:t>
            </w:r>
            <w:r w:rsidR="0093094A" w:rsidRPr="00F85178">
              <w:rPr>
                <w:rFonts w:eastAsia="Times New Roman"/>
                <w:szCs w:val="24"/>
                <w:lang w:eastAsia="cs-CZ"/>
              </w:rPr>
              <w:t xml:space="preserve"> z </w:t>
            </w:r>
            <w:r w:rsidRPr="00F85178">
              <w:rPr>
                <w:rFonts w:eastAsia="Times New Roman"/>
                <w:szCs w:val="24"/>
                <w:lang w:eastAsia="cs-CZ"/>
              </w:rPr>
              <w:t>rejstříku EPR – obchodní věci</w:t>
            </w:r>
          </w:p>
        </w:tc>
      </w:tr>
      <w:tr w:rsidR="00F85178" w:rsidRPr="00F85178" w14:paraId="5D74BCA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0B9ABE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EPR</w:t>
            </w:r>
          </w:p>
        </w:tc>
        <w:tc>
          <w:tcPr>
            <w:tcW w:w="8140" w:type="dxa"/>
            <w:tcBorders>
              <w:top w:val="nil"/>
              <w:left w:val="nil"/>
              <w:bottom w:val="single" w:sz="4" w:space="0" w:color="auto"/>
              <w:right w:val="nil"/>
            </w:tcBorders>
            <w:shd w:val="clear" w:color="auto" w:fill="auto"/>
            <w:vAlign w:val="center"/>
            <w:hideMark/>
          </w:tcPr>
          <w:p w14:paraId="2E03A8F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Návrhy na vydání elektronického platebního rozkazu</w:t>
            </w:r>
          </w:p>
        </w:tc>
      </w:tr>
      <w:tr w:rsidR="00F85178" w:rsidRPr="00F85178" w14:paraId="45CD33E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275443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EVC</w:t>
            </w:r>
          </w:p>
        </w:tc>
        <w:tc>
          <w:tcPr>
            <w:tcW w:w="8140" w:type="dxa"/>
            <w:tcBorders>
              <w:top w:val="nil"/>
              <w:left w:val="nil"/>
              <w:bottom w:val="single" w:sz="4" w:space="0" w:color="auto"/>
              <w:right w:val="nil"/>
            </w:tcBorders>
            <w:shd w:val="clear" w:color="auto" w:fill="auto"/>
            <w:vAlign w:val="center"/>
            <w:hideMark/>
          </w:tcPr>
          <w:p w14:paraId="47C759C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Návrhy na vydání evropského platebního rozkazu</w:t>
            </w:r>
          </w:p>
        </w:tc>
      </w:tr>
      <w:tr w:rsidR="00F85178" w:rsidRPr="00F85178" w14:paraId="597C6F77"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C4C759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EVCm</w:t>
            </w:r>
          </w:p>
        </w:tc>
        <w:tc>
          <w:tcPr>
            <w:tcW w:w="8140" w:type="dxa"/>
            <w:tcBorders>
              <w:top w:val="nil"/>
              <w:left w:val="nil"/>
              <w:bottom w:val="single" w:sz="4" w:space="0" w:color="auto"/>
              <w:right w:val="nil"/>
            </w:tcBorders>
            <w:shd w:val="clear" w:color="auto" w:fill="auto"/>
            <w:vAlign w:val="center"/>
            <w:hideMark/>
          </w:tcPr>
          <w:p w14:paraId="4C46F6F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Návrhy na vydání evropského platebního rozkazu</w:t>
            </w:r>
            <w:r w:rsidR="0093094A" w:rsidRPr="00F85178">
              <w:rPr>
                <w:rFonts w:eastAsia="Times New Roman"/>
                <w:szCs w:val="24"/>
                <w:lang w:eastAsia="cs-CZ"/>
              </w:rPr>
              <w:t xml:space="preserve"> v </w:t>
            </w:r>
            <w:r w:rsidRPr="00F85178">
              <w:rPr>
                <w:rFonts w:eastAsia="Times New Roman"/>
                <w:szCs w:val="24"/>
                <w:lang w:eastAsia="cs-CZ"/>
              </w:rPr>
              <w:t>obchodních věcech</w:t>
            </w:r>
          </w:p>
        </w:tc>
      </w:tr>
      <w:tr w:rsidR="00F85178" w:rsidRPr="00F85178" w14:paraId="457A0D1E"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5CD01F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ICm</w:t>
            </w:r>
          </w:p>
        </w:tc>
        <w:tc>
          <w:tcPr>
            <w:tcW w:w="8140" w:type="dxa"/>
            <w:tcBorders>
              <w:top w:val="nil"/>
              <w:left w:val="nil"/>
              <w:bottom w:val="single" w:sz="4" w:space="0" w:color="auto"/>
              <w:right w:val="nil"/>
            </w:tcBorders>
            <w:shd w:val="clear" w:color="auto" w:fill="auto"/>
            <w:vAlign w:val="center"/>
            <w:hideMark/>
          </w:tcPr>
          <w:p w14:paraId="74D25E5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Incidenční spory</w:t>
            </w:r>
          </w:p>
        </w:tc>
      </w:tr>
      <w:tr w:rsidR="00F85178" w:rsidRPr="00F85178" w14:paraId="4B81D4E9"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65605B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INS</w:t>
            </w:r>
          </w:p>
        </w:tc>
        <w:tc>
          <w:tcPr>
            <w:tcW w:w="8140" w:type="dxa"/>
            <w:tcBorders>
              <w:top w:val="nil"/>
              <w:left w:val="nil"/>
              <w:bottom w:val="single" w:sz="4" w:space="0" w:color="auto"/>
              <w:right w:val="nil"/>
            </w:tcBorders>
            <w:shd w:val="clear" w:color="auto" w:fill="auto"/>
            <w:vAlign w:val="center"/>
            <w:hideMark/>
          </w:tcPr>
          <w:p w14:paraId="5D27660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Insolvenční řízení</w:t>
            </w:r>
          </w:p>
        </w:tc>
      </w:tr>
      <w:tr w:rsidR="00F85178" w:rsidRPr="00F85178" w14:paraId="7235FC59"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4ED1DB97"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Kss</w:t>
            </w:r>
          </w:p>
        </w:tc>
        <w:tc>
          <w:tcPr>
            <w:tcW w:w="8140" w:type="dxa"/>
            <w:tcBorders>
              <w:top w:val="nil"/>
              <w:left w:val="nil"/>
              <w:bottom w:val="single" w:sz="4" w:space="0" w:color="auto"/>
              <w:right w:val="nil"/>
            </w:tcBorders>
            <w:shd w:val="clear" w:color="auto" w:fill="auto"/>
            <w:vAlign w:val="center"/>
            <w:hideMark/>
          </w:tcPr>
          <w:p w14:paraId="63E20DBD"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Řízení ve věcech soudců</w:t>
            </w:r>
          </w:p>
        </w:tc>
      </w:tr>
      <w:tr w:rsidR="00F85178" w:rsidRPr="00F85178" w14:paraId="42F524D1"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1C1EE9BB"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L</w:t>
            </w:r>
          </w:p>
        </w:tc>
        <w:tc>
          <w:tcPr>
            <w:tcW w:w="8140" w:type="dxa"/>
            <w:tcBorders>
              <w:top w:val="nil"/>
              <w:left w:val="nil"/>
              <w:bottom w:val="single" w:sz="4" w:space="0" w:color="auto"/>
              <w:right w:val="nil"/>
            </w:tcBorders>
            <w:shd w:val="clear" w:color="auto" w:fill="auto"/>
            <w:vAlign w:val="center"/>
            <w:hideMark/>
          </w:tcPr>
          <w:p w14:paraId="68F96719"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Detenční řízení</w:t>
            </w:r>
          </w:p>
        </w:tc>
      </w:tr>
      <w:tr w:rsidR="00F85178" w:rsidRPr="00F85178" w14:paraId="0368383A"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1922DA2" w14:textId="357715A3" w:rsidR="007677A6" w:rsidRPr="00F85178" w:rsidRDefault="000D5A00" w:rsidP="007677A6">
            <w:pPr>
              <w:spacing w:before="14" w:after="14" w:line="240" w:lineRule="auto"/>
              <w:jc w:val="left"/>
              <w:rPr>
                <w:rFonts w:eastAsia="Times New Roman"/>
                <w:szCs w:val="24"/>
                <w:lang w:eastAsia="cs-CZ"/>
              </w:rPr>
            </w:pPr>
            <w:r>
              <w:rPr>
                <w:rFonts w:eastAsia="Times New Roman"/>
                <w:szCs w:val="24"/>
                <w:lang w:eastAsia="cs-CZ"/>
              </w:rPr>
              <w:t>NSČR</w:t>
            </w:r>
          </w:p>
        </w:tc>
        <w:tc>
          <w:tcPr>
            <w:tcW w:w="8140" w:type="dxa"/>
            <w:tcBorders>
              <w:top w:val="nil"/>
              <w:left w:val="nil"/>
              <w:bottom w:val="single" w:sz="4" w:space="0" w:color="auto"/>
              <w:right w:val="nil"/>
            </w:tcBorders>
            <w:shd w:val="clear" w:color="auto" w:fill="auto"/>
            <w:vAlign w:val="center"/>
            <w:hideMark/>
          </w:tcPr>
          <w:p w14:paraId="6FED732B"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Věci předložené Nejvyššímu soudu</w:t>
            </w:r>
            <w:r w:rsidR="0093094A" w:rsidRPr="00F85178">
              <w:rPr>
                <w:rFonts w:eastAsia="Times New Roman"/>
                <w:szCs w:val="24"/>
                <w:lang w:eastAsia="cs-CZ"/>
              </w:rPr>
              <w:t xml:space="preserve"> k </w:t>
            </w:r>
            <w:r w:rsidRPr="00F85178">
              <w:rPr>
                <w:rFonts w:eastAsia="Times New Roman"/>
                <w:szCs w:val="24"/>
                <w:lang w:eastAsia="cs-CZ"/>
              </w:rPr>
              <w:t>rozhodnutí</w:t>
            </w:r>
            <w:r w:rsidR="0093094A" w:rsidRPr="00F85178">
              <w:rPr>
                <w:rFonts w:eastAsia="Times New Roman"/>
                <w:szCs w:val="24"/>
                <w:lang w:eastAsia="cs-CZ"/>
              </w:rPr>
              <w:t xml:space="preserve"> v </w:t>
            </w:r>
            <w:r w:rsidRPr="00F85178">
              <w:rPr>
                <w:rFonts w:eastAsia="Times New Roman"/>
                <w:szCs w:val="24"/>
                <w:lang w:eastAsia="cs-CZ"/>
              </w:rPr>
              <w:t>insolvenčním řízení</w:t>
            </w:r>
          </w:p>
        </w:tc>
      </w:tr>
      <w:tr w:rsidR="00F85178" w:rsidRPr="00F85178" w14:paraId="616817FD"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041C96F"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Odo</w:t>
            </w:r>
          </w:p>
        </w:tc>
        <w:tc>
          <w:tcPr>
            <w:tcW w:w="8140" w:type="dxa"/>
            <w:tcBorders>
              <w:top w:val="nil"/>
              <w:left w:val="nil"/>
              <w:bottom w:val="single" w:sz="4" w:space="0" w:color="auto"/>
              <w:right w:val="nil"/>
            </w:tcBorders>
            <w:shd w:val="clear" w:color="auto" w:fill="auto"/>
            <w:vAlign w:val="center"/>
            <w:hideMark/>
          </w:tcPr>
          <w:p w14:paraId="06D9824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Dovolání proti rozhodnutím odvolacích soudů ve věcech obchodních (dříve)</w:t>
            </w:r>
          </w:p>
        </w:tc>
      </w:tr>
      <w:tr w:rsidR="00F85178" w:rsidRPr="00F85178" w14:paraId="488B4699"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716D2D35"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P</w:t>
            </w:r>
            <w:r w:rsidR="009B748A" w:rsidRPr="00F85178">
              <w:rPr>
                <w:rFonts w:eastAsia="Times New Roman"/>
                <w:szCs w:val="24"/>
                <w:lang w:eastAsia="cs-CZ"/>
              </w:rPr>
              <w:t xml:space="preserve"> a </w:t>
            </w:r>
            <w:r w:rsidRPr="00F85178">
              <w:rPr>
                <w:rFonts w:eastAsia="Times New Roman"/>
                <w:szCs w:val="24"/>
                <w:lang w:eastAsia="cs-CZ"/>
              </w:rPr>
              <w:t>Nc</w:t>
            </w:r>
          </w:p>
        </w:tc>
        <w:tc>
          <w:tcPr>
            <w:tcW w:w="8140" w:type="dxa"/>
            <w:tcBorders>
              <w:top w:val="nil"/>
              <w:left w:val="nil"/>
              <w:bottom w:val="single" w:sz="4" w:space="0" w:color="auto"/>
              <w:right w:val="nil"/>
            </w:tcBorders>
            <w:shd w:val="clear" w:color="auto" w:fill="auto"/>
            <w:vAlign w:val="center"/>
            <w:hideMark/>
          </w:tcPr>
          <w:p w14:paraId="046C4477"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Opatrovnické řízení</w:t>
            </w:r>
          </w:p>
        </w:tc>
      </w:tr>
      <w:tr w:rsidR="00F85178" w:rsidRPr="00F85178" w14:paraId="40DB2DE7"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22202C5B"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w:t>
            </w:r>
          </w:p>
        </w:tc>
        <w:tc>
          <w:tcPr>
            <w:tcW w:w="8140" w:type="dxa"/>
            <w:tcBorders>
              <w:top w:val="nil"/>
              <w:left w:val="nil"/>
              <w:bottom w:val="single" w:sz="4" w:space="0" w:color="auto"/>
              <w:right w:val="nil"/>
            </w:tcBorders>
            <w:shd w:val="clear" w:color="auto" w:fill="auto"/>
            <w:vAlign w:val="center"/>
            <w:hideMark/>
          </w:tcPr>
          <w:p w14:paraId="4752718E"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Trestní věci</w:t>
            </w:r>
          </w:p>
        </w:tc>
      </w:tr>
      <w:tr w:rsidR="00F85178" w:rsidRPr="00F85178" w14:paraId="1F7B1A50"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337CBE2D"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Tdo</w:t>
            </w:r>
          </w:p>
        </w:tc>
        <w:tc>
          <w:tcPr>
            <w:tcW w:w="8140" w:type="dxa"/>
            <w:tcBorders>
              <w:top w:val="nil"/>
              <w:left w:val="nil"/>
              <w:bottom w:val="single" w:sz="4" w:space="0" w:color="auto"/>
              <w:right w:val="nil"/>
            </w:tcBorders>
            <w:shd w:val="clear" w:color="auto" w:fill="auto"/>
            <w:vAlign w:val="center"/>
            <w:hideMark/>
          </w:tcPr>
          <w:p w14:paraId="53989438"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Dovolání proti rozhodnutím soudů druhého stupně ve věcech trestních</w:t>
            </w:r>
          </w:p>
        </w:tc>
      </w:tr>
      <w:tr w:rsidR="00F85178" w:rsidRPr="00F85178" w14:paraId="3402DFCF"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50AD2D1A"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Tm</w:t>
            </w:r>
          </w:p>
        </w:tc>
        <w:tc>
          <w:tcPr>
            <w:tcW w:w="8140" w:type="dxa"/>
            <w:tcBorders>
              <w:top w:val="nil"/>
              <w:left w:val="nil"/>
              <w:bottom w:val="single" w:sz="4" w:space="0" w:color="auto"/>
              <w:right w:val="nil"/>
            </w:tcBorders>
            <w:shd w:val="clear" w:color="auto" w:fill="auto"/>
            <w:vAlign w:val="center"/>
            <w:hideMark/>
          </w:tcPr>
          <w:p w14:paraId="1EA8279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Trestní věci mládeže</w:t>
            </w:r>
          </w:p>
        </w:tc>
      </w:tr>
      <w:tr w:rsidR="00F85178" w:rsidRPr="00F85178" w14:paraId="17212093"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D50E4E2"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Tmo</w:t>
            </w:r>
          </w:p>
        </w:tc>
        <w:tc>
          <w:tcPr>
            <w:tcW w:w="8140" w:type="dxa"/>
            <w:tcBorders>
              <w:top w:val="nil"/>
              <w:left w:val="nil"/>
              <w:bottom w:val="single" w:sz="4" w:space="0" w:color="auto"/>
              <w:right w:val="nil"/>
            </w:tcBorders>
            <w:shd w:val="clear" w:color="auto" w:fill="auto"/>
            <w:vAlign w:val="center"/>
            <w:hideMark/>
          </w:tcPr>
          <w:p w14:paraId="5369A664"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Trestní agenda odvolací – mladiství</w:t>
            </w:r>
          </w:p>
        </w:tc>
      </w:tr>
      <w:tr w:rsidR="00F85178" w:rsidRPr="00F85178" w14:paraId="63367EC8" w14:textId="77777777" w:rsidTr="004E504C">
        <w:trPr>
          <w:trHeight w:val="340"/>
        </w:trPr>
        <w:tc>
          <w:tcPr>
            <w:tcW w:w="960" w:type="dxa"/>
            <w:tcBorders>
              <w:top w:val="nil"/>
              <w:left w:val="nil"/>
              <w:bottom w:val="single" w:sz="4" w:space="0" w:color="auto"/>
              <w:right w:val="nil"/>
            </w:tcBorders>
            <w:shd w:val="clear" w:color="auto" w:fill="auto"/>
            <w:vAlign w:val="center"/>
            <w:hideMark/>
          </w:tcPr>
          <w:p w14:paraId="6CEB5D80"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To</w:t>
            </w:r>
          </w:p>
        </w:tc>
        <w:tc>
          <w:tcPr>
            <w:tcW w:w="8140" w:type="dxa"/>
            <w:tcBorders>
              <w:top w:val="nil"/>
              <w:left w:val="nil"/>
              <w:bottom w:val="single" w:sz="4" w:space="0" w:color="auto"/>
              <w:right w:val="nil"/>
            </w:tcBorders>
            <w:shd w:val="clear" w:color="auto" w:fill="auto"/>
            <w:vAlign w:val="center"/>
            <w:hideMark/>
          </w:tcPr>
          <w:p w14:paraId="1C6ED6E3"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Trestní agenda odvolací</w:t>
            </w:r>
          </w:p>
        </w:tc>
      </w:tr>
      <w:tr w:rsidR="007677A6" w:rsidRPr="00F85178" w14:paraId="5931C93B" w14:textId="77777777" w:rsidTr="004E504C">
        <w:trPr>
          <w:trHeight w:val="340"/>
        </w:trPr>
        <w:tc>
          <w:tcPr>
            <w:tcW w:w="960" w:type="dxa"/>
            <w:tcBorders>
              <w:top w:val="nil"/>
              <w:left w:val="nil"/>
              <w:bottom w:val="double" w:sz="6" w:space="0" w:color="auto"/>
              <w:right w:val="nil"/>
            </w:tcBorders>
            <w:shd w:val="clear" w:color="auto" w:fill="auto"/>
            <w:vAlign w:val="center"/>
            <w:hideMark/>
          </w:tcPr>
          <w:p w14:paraId="3CAAA0F6"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Tz</w:t>
            </w:r>
          </w:p>
        </w:tc>
        <w:tc>
          <w:tcPr>
            <w:tcW w:w="8140" w:type="dxa"/>
            <w:tcBorders>
              <w:top w:val="nil"/>
              <w:left w:val="nil"/>
              <w:bottom w:val="double" w:sz="6" w:space="0" w:color="auto"/>
              <w:right w:val="nil"/>
            </w:tcBorders>
            <w:shd w:val="clear" w:color="auto" w:fill="auto"/>
            <w:vAlign w:val="center"/>
            <w:hideMark/>
          </w:tcPr>
          <w:p w14:paraId="78EDE331" w14:textId="77777777" w:rsidR="007677A6" w:rsidRPr="00F85178" w:rsidRDefault="007677A6" w:rsidP="007677A6">
            <w:pPr>
              <w:spacing w:before="14" w:after="14" w:line="240" w:lineRule="auto"/>
              <w:jc w:val="left"/>
              <w:rPr>
                <w:rFonts w:eastAsia="Times New Roman"/>
                <w:szCs w:val="24"/>
                <w:lang w:eastAsia="cs-CZ"/>
              </w:rPr>
            </w:pPr>
            <w:r w:rsidRPr="00F85178">
              <w:rPr>
                <w:rFonts w:eastAsia="Times New Roman"/>
                <w:szCs w:val="24"/>
                <w:lang w:eastAsia="cs-CZ"/>
              </w:rPr>
              <w:t>Stížnosti pro porušení zákona</w:t>
            </w:r>
          </w:p>
        </w:tc>
      </w:tr>
    </w:tbl>
    <w:p w14:paraId="6601D524" w14:textId="77777777" w:rsidR="004E504C" w:rsidRPr="00F85178" w:rsidRDefault="004E504C" w:rsidP="004E504C"/>
    <w:bookmarkEnd w:id="781"/>
    <w:p w14:paraId="2E9A92E1" w14:textId="77777777" w:rsidR="00E22B78" w:rsidRDefault="00E22B78">
      <w:pPr>
        <w:spacing w:line="240" w:lineRule="auto"/>
        <w:jc w:val="left"/>
        <w:rPr>
          <w:rFonts w:eastAsia="Times New Roman"/>
          <w:b/>
          <w:bCs/>
          <w:iCs/>
          <w:sz w:val="28"/>
          <w:szCs w:val="28"/>
        </w:rPr>
      </w:pPr>
      <w:r>
        <w:br w:type="page"/>
      </w:r>
    </w:p>
    <w:p w14:paraId="430053ED" w14:textId="12306F07" w:rsidR="00E22B78" w:rsidRPr="00F85178" w:rsidRDefault="00E22B78" w:rsidP="00E22B78">
      <w:pPr>
        <w:pStyle w:val="Nadpis2"/>
        <w:numPr>
          <w:ilvl w:val="0"/>
          <w:numId w:val="0"/>
        </w:numPr>
        <w:ind w:left="578" w:hanging="578"/>
      </w:pPr>
      <w:bookmarkStart w:id="782" w:name="_Toc14076971"/>
      <w:r>
        <w:t>Příloha D</w:t>
      </w:r>
      <w:r w:rsidRPr="00F85178">
        <w:t xml:space="preserve"> – </w:t>
      </w:r>
      <w:r>
        <w:t>přehledové listy s daty soudů</w:t>
      </w:r>
      <w:bookmarkEnd w:id="782"/>
    </w:p>
    <w:p w14:paraId="7EA0903F" w14:textId="77777777" w:rsidR="00E22B78" w:rsidRDefault="00E22B78" w:rsidP="00E22B78"/>
    <w:p w14:paraId="41749069" w14:textId="0EB8647D" w:rsidR="00E22B78" w:rsidRPr="00F85178" w:rsidRDefault="00D818C4" w:rsidP="00E22B78">
      <w:r>
        <w:object w:dxaOrig="1531" w:dyaOrig="990" w14:anchorId="04A3D15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76.5pt;height:49.5pt" o:ole="">
            <v:imagedata r:id="rId135" o:title=""/>
          </v:shape>
          <o:OLEObject Type="Embed" ProgID="Excel.Sheet.12" ShapeID="_x0000_i1031" DrawAspect="Icon" ObjectID="_1627706184" r:id="rId136"/>
        </w:object>
      </w:r>
      <w:bookmarkStart w:id="783" w:name="_GoBack"/>
      <w:bookmarkEnd w:id="783"/>
    </w:p>
    <w:p w14:paraId="6F5AB7D1" w14:textId="77777777" w:rsidR="002F7D73" w:rsidRPr="00F85178" w:rsidRDefault="002F7D73" w:rsidP="00D80F5A"/>
    <w:p w14:paraId="064AC2CB" w14:textId="77777777" w:rsidR="00CF29CA" w:rsidRPr="00F85178" w:rsidRDefault="00CF29CA" w:rsidP="009453FF">
      <w:pPr>
        <w:autoSpaceDE w:val="0"/>
        <w:autoSpaceDN w:val="0"/>
        <w:adjustRightInd w:val="0"/>
        <w:spacing w:line="240" w:lineRule="auto"/>
        <w:jc w:val="left"/>
        <w:rPr>
          <w:rFonts w:cs="OfficinaSansItcTOT-Bold"/>
          <w:b/>
          <w:bCs/>
          <w:sz w:val="18"/>
          <w:szCs w:val="19"/>
          <w:lang w:eastAsia="cs-CZ"/>
        </w:rPr>
        <w:sectPr w:rsidR="00CF29CA" w:rsidRPr="00F85178" w:rsidSect="006F5D26">
          <w:footerReference w:type="default" r:id="rId137"/>
          <w:type w:val="oddPage"/>
          <w:pgSz w:w="11906" w:h="16838"/>
          <w:pgMar w:top="1418" w:right="1418" w:bottom="1418" w:left="1418" w:header="709" w:footer="709" w:gutter="0"/>
          <w:cols w:space="708"/>
          <w:titlePg/>
          <w:docGrid w:linePitch="360"/>
        </w:sectPr>
      </w:pPr>
    </w:p>
    <w:p w14:paraId="7D1F8E94" w14:textId="77777777" w:rsidR="00B07FBC" w:rsidRPr="00F85178" w:rsidRDefault="00890295" w:rsidP="009453FF">
      <w:pPr>
        <w:autoSpaceDE w:val="0"/>
        <w:autoSpaceDN w:val="0"/>
        <w:adjustRightInd w:val="0"/>
        <w:spacing w:line="240" w:lineRule="auto"/>
        <w:jc w:val="left"/>
        <w:rPr>
          <w:rFonts w:cs="OfficinaSansItcTOT-Bold"/>
          <w:b/>
          <w:bCs/>
          <w:sz w:val="18"/>
          <w:szCs w:val="19"/>
          <w:lang w:eastAsia="cs-CZ"/>
        </w:rPr>
      </w:pPr>
      <w:r>
        <w:rPr>
          <w:noProof/>
          <w:lang w:eastAsia="cs-CZ"/>
        </w:rPr>
        <w:drawing>
          <wp:inline distT="0" distB="0" distL="0" distR="0" wp14:anchorId="7FFC4C7F" wp14:editId="0D0FA1B8">
            <wp:extent cx="1214755" cy="1057910"/>
            <wp:effectExtent l="0" t="0" r="0" b="0"/>
            <wp:docPr id="107" name="Obrázek 3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3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214755" cy="1057910"/>
                    </a:xfrm>
                    <a:prstGeom prst="rect">
                      <a:avLst/>
                    </a:prstGeom>
                    <a:noFill/>
                    <a:ln>
                      <a:noFill/>
                    </a:ln>
                  </pic:spPr>
                </pic:pic>
              </a:graphicData>
            </a:graphic>
          </wp:inline>
        </w:drawing>
      </w:r>
    </w:p>
    <w:p w14:paraId="3EADC3BE"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2B3B3328"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192644EC"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6C2EDED5"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D278E0F"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181B8E1"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89E6AFF"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07BC1FA"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6CD9213"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2769BF4A"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1EDC524D"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54E1457"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1F6F0235"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0B4725D"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25941BB9"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3DF85C0E"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BF04DE0"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CE88927"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FE283E6"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FEAC327"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6C4D9CA3"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87F0196"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3B6CD8BE"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9C3D799"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932FBF9"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3F94ECE"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E511C63"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18BADCDB"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3B77DB2"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15E0216"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E82D976"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CDD6B0C"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25606368"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DD26186"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AF43C3B"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6B7624C"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442E6A8"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2597AE33"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70294F9"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919E202"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100407F"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1B6EC7B"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619AE1D5"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DD681BB"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93BA9E3"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0F16A32"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4883B60A"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7FEB681C"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0505F49C"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5085B0A7" w14:textId="77777777" w:rsidR="00B07FBC" w:rsidRPr="00F85178" w:rsidRDefault="00B07FBC" w:rsidP="008C2C69">
      <w:pPr>
        <w:autoSpaceDE w:val="0"/>
        <w:autoSpaceDN w:val="0"/>
        <w:adjustRightInd w:val="0"/>
        <w:spacing w:line="240" w:lineRule="auto"/>
        <w:jc w:val="center"/>
        <w:rPr>
          <w:rFonts w:cs="OfficinaSansItcTOT-Bold"/>
          <w:b/>
          <w:bCs/>
          <w:sz w:val="18"/>
          <w:szCs w:val="19"/>
          <w:lang w:eastAsia="cs-CZ"/>
        </w:rPr>
      </w:pPr>
    </w:p>
    <w:p w14:paraId="33D6E869" w14:textId="77777777" w:rsidR="00B07FBC" w:rsidRPr="00F85178" w:rsidRDefault="00B07FBC" w:rsidP="008C2C69">
      <w:pPr>
        <w:autoSpaceDE w:val="0"/>
        <w:autoSpaceDN w:val="0"/>
        <w:adjustRightInd w:val="0"/>
        <w:spacing w:line="240" w:lineRule="auto"/>
        <w:jc w:val="center"/>
        <w:rPr>
          <w:rFonts w:cs="OfficinaSansItcTOT-Bold"/>
          <w:bCs/>
          <w:sz w:val="18"/>
          <w:szCs w:val="19"/>
          <w:lang w:eastAsia="cs-CZ"/>
        </w:rPr>
      </w:pPr>
      <w:r w:rsidRPr="00F85178">
        <w:rPr>
          <w:rFonts w:cs="OfficinaSansItcTOT-Bold"/>
          <w:bCs/>
          <w:sz w:val="18"/>
          <w:szCs w:val="19"/>
          <w:lang w:eastAsia="cs-CZ"/>
        </w:rPr>
        <w:t>Ministerstvo spravedlnosti</w:t>
      </w:r>
    </w:p>
    <w:p w14:paraId="569ED3A4" w14:textId="77777777" w:rsidR="00B07FBC" w:rsidRPr="00F85178" w:rsidRDefault="00771119" w:rsidP="008C2C69">
      <w:pPr>
        <w:autoSpaceDE w:val="0"/>
        <w:autoSpaceDN w:val="0"/>
        <w:adjustRightInd w:val="0"/>
        <w:spacing w:line="240" w:lineRule="auto"/>
        <w:jc w:val="center"/>
        <w:rPr>
          <w:rFonts w:cs="OfficinaSansItcTOT-Book"/>
          <w:sz w:val="18"/>
          <w:szCs w:val="19"/>
          <w:lang w:eastAsia="cs-CZ"/>
        </w:rPr>
      </w:pPr>
      <w:r w:rsidRPr="00F85178">
        <w:rPr>
          <w:rFonts w:cs="OfficinaSansItcTOT-Book"/>
          <w:sz w:val="18"/>
          <w:szCs w:val="19"/>
          <w:lang w:eastAsia="cs-CZ"/>
        </w:rPr>
        <w:t>Vyšehradská</w:t>
      </w:r>
      <w:r w:rsidR="009B74F5" w:rsidRPr="00F85178">
        <w:rPr>
          <w:rFonts w:cs="OfficinaSansItcTOT-Book"/>
          <w:sz w:val="18"/>
          <w:szCs w:val="19"/>
          <w:lang w:eastAsia="cs-CZ"/>
        </w:rPr>
        <w:t> </w:t>
      </w:r>
      <w:r w:rsidRPr="00F85178">
        <w:rPr>
          <w:rFonts w:cs="OfficinaSansItcTOT-Book"/>
          <w:sz w:val="18"/>
          <w:szCs w:val="19"/>
          <w:lang w:eastAsia="cs-CZ"/>
        </w:rPr>
        <w:t>16</w:t>
      </w:r>
      <w:r w:rsidRPr="00F85178">
        <w:rPr>
          <w:rFonts w:cs="OfficinaSansItcTOT-Book"/>
          <w:sz w:val="18"/>
          <w:szCs w:val="19"/>
          <w:lang w:eastAsia="cs-CZ"/>
        </w:rPr>
        <w:br/>
        <w:t>128</w:t>
      </w:r>
      <w:r w:rsidR="009B74F5" w:rsidRPr="00F85178">
        <w:rPr>
          <w:rFonts w:cs="OfficinaSansItcTOT-Book"/>
          <w:sz w:val="18"/>
          <w:szCs w:val="19"/>
          <w:lang w:eastAsia="cs-CZ"/>
        </w:rPr>
        <w:t> </w:t>
      </w:r>
      <w:r w:rsidRPr="00F85178">
        <w:rPr>
          <w:rFonts w:cs="OfficinaSansItcTOT-Book"/>
          <w:sz w:val="18"/>
          <w:szCs w:val="19"/>
          <w:lang w:eastAsia="cs-CZ"/>
        </w:rPr>
        <w:t>10</w:t>
      </w:r>
      <w:r w:rsidR="00E51658" w:rsidRPr="00F85178">
        <w:rPr>
          <w:rFonts w:cs="OfficinaSansItcTOT-Book"/>
          <w:sz w:val="18"/>
          <w:szCs w:val="19"/>
          <w:lang w:eastAsia="cs-CZ"/>
        </w:rPr>
        <w:t>  </w:t>
      </w:r>
      <w:r w:rsidRPr="00F85178">
        <w:rPr>
          <w:rFonts w:cs="OfficinaSansItcTOT-Book"/>
          <w:sz w:val="18"/>
          <w:szCs w:val="19"/>
          <w:lang w:eastAsia="cs-CZ"/>
        </w:rPr>
        <w:t>Praha</w:t>
      </w:r>
      <w:r w:rsidR="009B74F5" w:rsidRPr="00F85178">
        <w:rPr>
          <w:rFonts w:cs="OfficinaSansItcTOT-Book"/>
          <w:sz w:val="18"/>
          <w:szCs w:val="19"/>
          <w:lang w:eastAsia="cs-CZ"/>
        </w:rPr>
        <w:t> </w:t>
      </w:r>
      <w:r w:rsidRPr="00F85178">
        <w:rPr>
          <w:rFonts w:cs="OfficinaSansItcTOT-Book"/>
          <w:sz w:val="18"/>
          <w:szCs w:val="19"/>
          <w:lang w:eastAsia="cs-CZ"/>
        </w:rPr>
        <w:t>2</w:t>
      </w:r>
    </w:p>
    <w:p w14:paraId="262A3011" w14:textId="77777777" w:rsidR="00B07FBC" w:rsidRPr="008C2C69" w:rsidRDefault="00B07FBC" w:rsidP="008C2C69">
      <w:pPr>
        <w:autoSpaceDE w:val="0"/>
        <w:autoSpaceDN w:val="0"/>
        <w:adjustRightInd w:val="0"/>
        <w:spacing w:line="240" w:lineRule="auto"/>
        <w:jc w:val="center"/>
        <w:rPr>
          <w:rFonts w:cs="OfficinaSansItcTOT-Book"/>
          <w:sz w:val="18"/>
          <w:szCs w:val="19"/>
          <w:lang w:eastAsia="cs-CZ"/>
        </w:rPr>
      </w:pPr>
      <w:r w:rsidRPr="008C2C69">
        <w:rPr>
          <w:rFonts w:cs="OfficinaSansItcTOT-Book"/>
          <w:sz w:val="18"/>
          <w:szCs w:val="19"/>
          <w:lang w:eastAsia="cs-CZ"/>
        </w:rPr>
        <w:t xml:space="preserve">e-mail: </w:t>
      </w:r>
      <w:hyperlink r:id="rId138" w:history="1">
        <w:r w:rsidR="008C2C69" w:rsidRPr="003F6277">
          <w:rPr>
            <w:rStyle w:val="Hypertextovodkaz"/>
            <w:rFonts w:cs="OfficinaSansItcTOT-Book"/>
            <w:sz w:val="18"/>
            <w:szCs w:val="19"/>
            <w:lang w:eastAsia="cs-CZ"/>
          </w:rPr>
          <w:t>posta@msp.justice.cz</w:t>
        </w:r>
      </w:hyperlink>
    </w:p>
    <w:p w14:paraId="3B82CED3" w14:textId="77777777" w:rsidR="00D80CD0" w:rsidRPr="006F5D26" w:rsidRDefault="00D818C4" w:rsidP="006F5D26">
      <w:pPr>
        <w:jc w:val="center"/>
        <w:rPr>
          <w:sz w:val="22"/>
        </w:rPr>
      </w:pPr>
      <w:hyperlink r:id="rId139" w:history="1">
        <w:r w:rsidR="008C2C69" w:rsidRPr="003F6277">
          <w:rPr>
            <w:rStyle w:val="Hypertextovodkaz"/>
            <w:rFonts w:cs="OfficinaSansItcTOT-Book"/>
            <w:sz w:val="18"/>
            <w:szCs w:val="19"/>
            <w:lang w:eastAsia="cs-CZ"/>
          </w:rPr>
          <w:t>www.justice.cz</w:t>
        </w:r>
      </w:hyperlink>
    </w:p>
    <w:sectPr w:rsidR="00D80CD0" w:rsidRPr="006F5D26" w:rsidSect="006F5D26">
      <w:type w:val="evenPage"/>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C647FB6" w14:textId="77777777" w:rsidR="00F2340E" w:rsidRDefault="00F2340E" w:rsidP="00582D25">
      <w:pPr>
        <w:spacing w:line="240" w:lineRule="auto"/>
      </w:pPr>
      <w:r>
        <w:separator/>
      </w:r>
    </w:p>
  </w:endnote>
  <w:endnote w:type="continuationSeparator" w:id="0">
    <w:p w14:paraId="494916DA" w14:textId="77777777" w:rsidR="00F2340E" w:rsidRDefault="00F2340E" w:rsidP="00582D25">
      <w:pPr>
        <w:spacing w:line="240" w:lineRule="auto"/>
      </w:pPr>
      <w:r>
        <w:continuationSeparator/>
      </w:r>
    </w:p>
  </w:endnote>
  <w:endnote w:type="continuationNotice" w:id="1">
    <w:p w14:paraId="2485D27F" w14:textId="77777777" w:rsidR="00F2340E" w:rsidRDefault="00F2340E" w:rsidP="00582D2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Garamond">
    <w:panose1 w:val="02020404030301010803"/>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10002FF" w:usb1="4000FCFF" w:usb2="00000009" w:usb3="00000000" w:csb0="0000019F" w:csb1="00000000"/>
  </w:font>
  <w:font w:name="DIN Next LT Pro Condensed">
    <w:altName w:val="Arial Narrow"/>
    <w:charset w:val="EE"/>
    <w:family w:val="swiss"/>
    <w:pitch w:val="variable"/>
    <w:sig w:usb0="00000001" w:usb1="5000205B" w:usb2="00000000" w:usb3="00000000" w:csb0="0000009B" w:csb1="00000000"/>
  </w:font>
  <w:font w:name="Cambria Math">
    <w:panose1 w:val="02040503050406030204"/>
    <w:charset w:val="EE"/>
    <w:family w:val="roman"/>
    <w:pitch w:val="variable"/>
    <w:sig w:usb0="E00002FF" w:usb1="420024FF" w:usb2="00000000" w:usb3="00000000" w:csb0="0000019F" w:csb1="00000000"/>
  </w:font>
  <w:font w:name="OfficinaSansItcTOT-Bold">
    <w:panose1 w:val="00000000000000000000"/>
    <w:charset w:val="EE"/>
    <w:family w:val="swiss"/>
    <w:notTrueType/>
    <w:pitch w:val="default"/>
    <w:sig w:usb0="00000005" w:usb1="00000000" w:usb2="00000000" w:usb3="00000000" w:csb0="00000002" w:csb1="00000000"/>
  </w:font>
  <w:font w:name="OfficinaSansItcTOT-Book">
    <w:panose1 w:val="00000000000000000000"/>
    <w:charset w:val="EE"/>
    <w:family w:val="swiss"/>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E326C4F" w14:textId="1BE2D95D" w:rsidR="00F2340E" w:rsidRDefault="00F2340E" w:rsidP="00C63135">
    <w:pPr>
      <w:pStyle w:val="Zpat"/>
      <w:jc w:val="center"/>
    </w:pPr>
    <w:r>
      <w:fldChar w:fldCharType="begin"/>
    </w:r>
    <w:r>
      <w:instrText>PAGE   \* MERGEFORMAT</w:instrText>
    </w:r>
    <w:r>
      <w:fldChar w:fldCharType="separate"/>
    </w:r>
    <w:r w:rsidR="00D818C4">
      <w:rPr>
        <w:noProof/>
      </w:rPr>
      <w:t>167</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2BFE9DD" w14:textId="77777777" w:rsidR="00F2340E" w:rsidRDefault="00F2340E" w:rsidP="00582D25">
      <w:pPr>
        <w:spacing w:line="240" w:lineRule="auto"/>
      </w:pPr>
      <w:r>
        <w:separator/>
      </w:r>
    </w:p>
  </w:footnote>
  <w:footnote w:type="continuationSeparator" w:id="0">
    <w:p w14:paraId="5F3304AC" w14:textId="77777777" w:rsidR="00F2340E" w:rsidRDefault="00F2340E" w:rsidP="00582D25">
      <w:pPr>
        <w:spacing w:line="240" w:lineRule="auto"/>
      </w:pPr>
      <w:r>
        <w:continuationSeparator/>
      </w:r>
    </w:p>
  </w:footnote>
  <w:footnote w:type="continuationNotice" w:id="1">
    <w:p w14:paraId="193F81B0" w14:textId="77777777" w:rsidR="00F2340E" w:rsidRDefault="00F2340E" w:rsidP="00582D25">
      <w:pPr>
        <w:spacing w:line="240" w:lineRule="auto"/>
      </w:pPr>
    </w:p>
  </w:footnote>
  <w:footnote w:id="2">
    <w:p w14:paraId="365BBED5" w14:textId="77777777" w:rsidR="00F2340E" w:rsidRPr="00F85178" w:rsidRDefault="00F2340E" w:rsidP="00717713">
      <w:pPr>
        <w:pStyle w:val="Textpoznpodarou"/>
      </w:pPr>
      <w:r w:rsidRPr="00F85178">
        <w:rPr>
          <w:rStyle w:val="Znakapoznpodarou"/>
        </w:rPr>
        <w:footnoteRef/>
      </w:r>
      <w:r w:rsidRPr="00F85178">
        <w:t xml:space="preserve"> Justiční statistická ročenka na rozdíl od této zprávy obsahuje pouze kompilaci automaticky generovaných sestav bez dalšího komentáře či grafického znázornění dat.</w:t>
      </w:r>
    </w:p>
  </w:footnote>
  <w:footnote w:id="3">
    <w:p w14:paraId="78B4D51B" w14:textId="77777777" w:rsidR="00F2340E" w:rsidRPr="00F85178" w:rsidRDefault="00F2340E">
      <w:pPr>
        <w:pStyle w:val="Textpoznpodarou"/>
      </w:pPr>
      <w:r w:rsidRPr="00F85178">
        <w:rPr>
          <w:rStyle w:val="Znakapoznpodarou"/>
        </w:rPr>
        <w:footnoteRef/>
      </w:r>
      <w:r w:rsidRPr="00F85178">
        <w:t xml:space="preserve"> https://</w:t>
      </w:r>
      <w:proofErr w:type="gramStart"/>
      <w:r w:rsidRPr="00F85178">
        <w:t>www</w:t>
      </w:r>
      <w:proofErr w:type="gramEnd"/>
      <w:r w:rsidRPr="00F85178">
        <w:t>.</w:t>
      </w:r>
      <w:proofErr w:type="gramStart"/>
      <w:r w:rsidRPr="00F85178">
        <w:t>justice</w:t>
      </w:r>
      <w:proofErr w:type="gramEnd"/>
      <w:r w:rsidRPr="00F85178">
        <w:t>.cz/web/msp/statisticke-udaje-z-oblasti-justice.</w:t>
      </w:r>
    </w:p>
  </w:footnote>
  <w:footnote w:id="4">
    <w:p w14:paraId="4C6063F2" w14:textId="55BFDCCB" w:rsidR="00F2340E" w:rsidRPr="00F85178" w:rsidRDefault="00F2340E" w:rsidP="00871D51">
      <w:pPr>
        <w:pStyle w:val="Textpoznpodarou"/>
      </w:pPr>
      <w:r w:rsidRPr="00F85178">
        <w:rPr>
          <w:rStyle w:val="Znakapoznpodarou"/>
        </w:rPr>
        <w:footnoteRef/>
      </w:r>
      <w:r w:rsidRPr="00F85178">
        <w:t xml:space="preserve"> Pojem jsme ponechali nepřeložený, jeho překlad do češtiny by mohl vést k záměně s délkou řízení. Ve zprávě jsme délky řízení již zkoumali</w:t>
      </w:r>
      <w:r>
        <w:t>.</w:t>
      </w:r>
    </w:p>
  </w:footnote>
  <w:footnote w:id="5">
    <w:p w14:paraId="28E70D90" w14:textId="77777777" w:rsidR="00F2340E" w:rsidRPr="00F85178" w:rsidRDefault="00F2340E" w:rsidP="008E1083">
      <w:pPr>
        <w:pStyle w:val="Textpoznpodarou"/>
      </w:pPr>
      <w:r w:rsidRPr="00F85178">
        <w:rPr>
          <w:rStyle w:val="Znakapoznpodarou"/>
        </w:rPr>
        <w:footnoteRef/>
      </w:r>
      <w:r w:rsidRPr="00F85178">
        <w:t xml:space="preserve"> Komise pro efektivitu justice Rady Evropy.</w:t>
      </w:r>
    </w:p>
  </w:footnote>
  <w:footnote w:id="6">
    <w:p w14:paraId="43000E33" w14:textId="77777777" w:rsidR="00F2340E" w:rsidRPr="00F85178" w:rsidRDefault="00F2340E">
      <w:pPr>
        <w:pStyle w:val="Textpoznpodarou"/>
      </w:pPr>
      <w:r w:rsidRPr="00F85178">
        <w:rPr>
          <w:rStyle w:val="Znakapoznpodarou"/>
        </w:rPr>
        <w:footnoteRef/>
      </w:r>
      <w:r w:rsidRPr="00F85178">
        <w:t xml:space="preserve"> Z anglického empirical cumulative distribution function.</w:t>
      </w:r>
    </w:p>
  </w:footnote>
  <w:footnote w:id="7">
    <w:p w14:paraId="742D9FE7" w14:textId="77777777" w:rsidR="00F2340E" w:rsidRPr="00F85178" w:rsidRDefault="00F2340E" w:rsidP="004D154A">
      <w:pPr>
        <w:pStyle w:val="Textpoznpodarou"/>
      </w:pPr>
      <w:r w:rsidRPr="00F85178">
        <w:rPr>
          <w:rStyle w:val="Znakapoznpodarou"/>
        </w:rPr>
        <w:footnoteRef/>
      </w:r>
      <w:r w:rsidRPr="00F85178">
        <w:t xml:space="preserve"> Toto srovnání lze velmi dobře provést, i když ve statistikách nespadá počet převedených věcí pod počet věcí vyřízených. Princip je zde stejný jako u nápadu a u vyřízených věcí. Tj., nejedná se o skupinu totožných věcí.</w:t>
      </w:r>
    </w:p>
  </w:footnote>
  <w:footnote w:id="8">
    <w:p w14:paraId="155C57E8" w14:textId="77777777" w:rsidR="00F2340E" w:rsidRPr="00F85178" w:rsidRDefault="00F2340E" w:rsidP="00BE6FD7">
      <w:pPr>
        <w:pStyle w:val="Textpoznpodarou"/>
      </w:pPr>
      <w:r w:rsidRPr="00F85178">
        <w:rPr>
          <w:rStyle w:val="Znakapoznpodarou"/>
        </w:rPr>
        <w:footnoteRef/>
      </w:r>
      <w:r w:rsidRPr="00F85178">
        <w:t xml:space="preserve"> Novelou OZ (zákonem č. 460/2016 Sb.) na konci roku 2016 byla tato doba na přezkoumání pro některé případy prodloužena na pět let.</w:t>
      </w:r>
    </w:p>
  </w:footnote>
  <w:footnote w:id="9">
    <w:p w14:paraId="12A523D8" w14:textId="77777777" w:rsidR="00F2340E" w:rsidRPr="00F85178" w:rsidRDefault="00F2340E">
      <w:pPr>
        <w:pStyle w:val="Textpoznpodarou"/>
        <w:rPr>
          <w:sz w:val="16"/>
          <w:szCs w:val="16"/>
        </w:rPr>
      </w:pPr>
      <w:r w:rsidRPr="00F85178">
        <w:rPr>
          <w:rStyle w:val="Znakapoznpodarou"/>
          <w:sz w:val="16"/>
          <w:szCs w:val="16"/>
        </w:rPr>
        <w:footnoteRef/>
      </w:r>
      <w:r w:rsidRPr="00F85178">
        <w:rPr>
          <w:sz w:val="16"/>
          <w:szCs w:val="16"/>
        </w:rPr>
        <w:t xml:space="preserve"> Součet % podílů za Spory </w:t>
      </w:r>
      <w:r w:rsidRPr="00F85178">
        <w:rPr>
          <w:rFonts w:eastAsia="Times New Roman"/>
          <w:sz w:val="16"/>
          <w:szCs w:val="16"/>
          <w:lang w:eastAsia="cs-CZ"/>
        </w:rPr>
        <w:t>z úvěru u nebankovních institucí + Spory ze zápůjčky + Spory z úvěru u bankovních institucí + Úhrady za dodávky elektrické energie, plynu nebo tepla.</w:t>
      </w:r>
    </w:p>
  </w:footnote>
  <w:footnote w:id="10">
    <w:p w14:paraId="645CD0A9" w14:textId="77777777" w:rsidR="00F2340E" w:rsidRPr="00F85178" w:rsidRDefault="00F2340E">
      <w:pPr>
        <w:pStyle w:val="Textpoznpodarou"/>
      </w:pPr>
      <w:r w:rsidRPr="00F85178">
        <w:rPr>
          <w:rStyle w:val="Znakapoznpodarou"/>
        </w:rPr>
        <w:footnoteRef/>
      </w:r>
      <w:r w:rsidRPr="00F85178">
        <w:t xml:space="preserve"> Pouze jedno pozorování.</w:t>
      </w:r>
    </w:p>
  </w:footnote>
  <w:footnote w:id="11">
    <w:p w14:paraId="57BDD044" w14:textId="77777777" w:rsidR="00F2340E" w:rsidRPr="00F85178" w:rsidRDefault="00F2340E" w:rsidP="00C64FEA">
      <w:pPr>
        <w:pStyle w:val="Textpoznpodarou"/>
      </w:pPr>
      <w:r w:rsidRPr="00F85178">
        <w:rPr>
          <w:rStyle w:val="Znakapoznpodarou"/>
        </w:rPr>
        <w:footnoteRef/>
      </w:r>
      <w:r w:rsidRPr="00F85178">
        <w:t xml:space="preserve"> Pouze jedno pozorování.</w:t>
      </w:r>
    </w:p>
  </w:footnote>
  <w:footnote w:id="12">
    <w:p w14:paraId="27EB979F" w14:textId="77777777" w:rsidR="00F2340E" w:rsidRPr="00F85178" w:rsidRDefault="00F2340E" w:rsidP="00A44978">
      <w:pPr>
        <w:pStyle w:val="Textpoznpodarou"/>
      </w:pPr>
      <w:r w:rsidRPr="00F85178">
        <w:rPr>
          <w:rStyle w:val="Znakapoznpodarou"/>
        </w:rPr>
        <w:footnoteRef/>
      </w:r>
      <w:r w:rsidRPr="00F85178">
        <w:t xml:space="preserve"> § 14 zákona č. 6/2002 Sb., o soudech, soudcích, přísedících a státní správě soudů a o změně některých dalších zákonů (zákon o soudech a soudcích), ve znění pozdějších předpisů.</w:t>
      </w:r>
    </w:p>
  </w:footnote>
  <w:footnote w:id="13">
    <w:p w14:paraId="14247D37" w14:textId="77777777" w:rsidR="00F2340E" w:rsidRPr="00F85178" w:rsidRDefault="00F2340E" w:rsidP="00A44978">
      <w:pPr>
        <w:pStyle w:val="Textpoznpodarou"/>
      </w:pPr>
      <w:r w:rsidRPr="00F85178">
        <w:rPr>
          <w:rStyle w:val="Znakapoznpodarou"/>
        </w:rPr>
        <w:footnoteRef/>
      </w:r>
      <w:r w:rsidRPr="00F85178">
        <w:t xml:space="preserve"> Ročenky Nejvyššího soudu jsou k dispozici </w:t>
      </w:r>
      <w:hyperlink r:id="rId1" w:history="1">
        <w:r w:rsidRPr="00957D55">
          <w:rPr>
            <w:rStyle w:val="Hypertextovodkaz"/>
          </w:rPr>
          <w:t>zde</w:t>
        </w:r>
      </w:hyperlink>
      <w:r w:rsidRPr="00F85178">
        <w:t>, navštíveno dne 6. 6. 2019.</w:t>
      </w:r>
    </w:p>
  </w:footnote>
  <w:footnote w:id="14">
    <w:p w14:paraId="56E46146" w14:textId="77777777" w:rsidR="00F2340E" w:rsidRPr="00F85178" w:rsidRDefault="00F2340E" w:rsidP="00A44978">
      <w:pPr>
        <w:pStyle w:val="Textpoznpodarou"/>
        <w:jc w:val="left"/>
      </w:pPr>
      <w:r w:rsidRPr="00F85178">
        <w:rPr>
          <w:rStyle w:val="Znakapoznpodarou"/>
        </w:rPr>
        <w:footnoteRef/>
      </w:r>
      <w:r w:rsidRPr="00F85178">
        <w:t xml:space="preserve"> Soudce občanskoprávního a obchodního kolegia lze najít </w:t>
      </w:r>
      <w:hyperlink r:id="rId2" w:history="1">
        <w:r w:rsidRPr="00957D55">
          <w:rPr>
            <w:rStyle w:val="Hypertextovodkaz"/>
          </w:rPr>
          <w:t>zde</w:t>
        </w:r>
      </w:hyperlink>
      <w:r w:rsidRPr="00F85178">
        <w:t xml:space="preserve"> a soudci trestního kolegia jsou vyjmenování </w:t>
      </w:r>
      <w:hyperlink r:id="rId3" w:history="1">
        <w:r w:rsidRPr="00957D55">
          <w:rPr>
            <w:rStyle w:val="Hypertextovodkaz"/>
          </w:rPr>
          <w:t>zde</w:t>
        </w:r>
      </w:hyperlink>
      <w:r w:rsidRPr="00F85178">
        <w:t>, navštíveno dne 6. 6. 2019.</w:t>
      </w:r>
    </w:p>
  </w:footnote>
  <w:footnote w:id="15">
    <w:p w14:paraId="1274A069" w14:textId="77777777" w:rsidR="00F2340E" w:rsidRPr="00F85178" w:rsidRDefault="00F2340E" w:rsidP="004F14A1">
      <w:pPr>
        <w:pStyle w:val="Textpoznpodarou"/>
      </w:pPr>
      <w:r w:rsidRPr="00F85178">
        <w:rPr>
          <w:rStyle w:val="Znakapoznpodarou"/>
        </w:rPr>
        <w:footnoteRef/>
      </w:r>
      <w:r w:rsidRPr="00F85178">
        <w:t xml:space="preserve"> Komise pro efektivitu justice Rady Evropy.</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B125F0"/>
    <w:multiLevelType w:val="hybridMultilevel"/>
    <w:tmpl w:val="30381C1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nsid w:val="03FE673C"/>
    <w:multiLevelType w:val="hybridMultilevel"/>
    <w:tmpl w:val="803635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5303324"/>
    <w:multiLevelType w:val="hybridMultilevel"/>
    <w:tmpl w:val="310C2784"/>
    <w:lvl w:ilvl="0" w:tplc="5AD653F6">
      <w:start w:val="1"/>
      <w:numFmt w:val="bullet"/>
      <w:lvlText w:val=""/>
      <w:lvlJc w:val="left"/>
      <w:pPr>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nsid w:val="06C97107"/>
    <w:multiLevelType w:val="hybridMultilevel"/>
    <w:tmpl w:val="E5EE5C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nsid w:val="09426CA2"/>
    <w:multiLevelType w:val="hybridMultilevel"/>
    <w:tmpl w:val="96F497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0BEF11AE"/>
    <w:multiLevelType w:val="hybridMultilevel"/>
    <w:tmpl w:val="F152935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156F7965"/>
    <w:multiLevelType w:val="hybridMultilevel"/>
    <w:tmpl w:val="C2D4E2B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161028B3"/>
    <w:multiLevelType w:val="hybridMultilevel"/>
    <w:tmpl w:val="2E04BC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nsid w:val="1D3F2C47"/>
    <w:multiLevelType w:val="hybridMultilevel"/>
    <w:tmpl w:val="B5BEA7BA"/>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9">
    <w:nsid w:val="1E9036F3"/>
    <w:multiLevelType w:val="hybridMultilevel"/>
    <w:tmpl w:val="AC049F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nsid w:val="21A0273B"/>
    <w:multiLevelType w:val="hybridMultilevel"/>
    <w:tmpl w:val="7BC49DB4"/>
    <w:lvl w:ilvl="0" w:tplc="04050001">
      <w:start w:val="1"/>
      <w:numFmt w:val="bullet"/>
      <w:lvlText w:val=""/>
      <w:lvlJc w:val="left"/>
      <w:pPr>
        <w:ind w:left="777" w:hanging="360"/>
      </w:pPr>
      <w:rPr>
        <w:rFonts w:ascii="Symbol" w:hAnsi="Symbol" w:hint="default"/>
      </w:rPr>
    </w:lvl>
    <w:lvl w:ilvl="1" w:tplc="04050003" w:tentative="1">
      <w:start w:val="1"/>
      <w:numFmt w:val="bullet"/>
      <w:lvlText w:val="o"/>
      <w:lvlJc w:val="left"/>
      <w:pPr>
        <w:ind w:left="1497" w:hanging="360"/>
      </w:pPr>
      <w:rPr>
        <w:rFonts w:ascii="Courier New" w:hAnsi="Courier New" w:cs="Courier New" w:hint="default"/>
      </w:rPr>
    </w:lvl>
    <w:lvl w:ilvl="2" w:tplc="04050005" w:tentative="1">
      <w:start w:val="1"/>
      <w:numFmt w:val="bullet"/>
      <w:lvlText w:val=""/>
      <w:lvlJc w:val="left"/>
      <w:pPr>
        <w:ind w:left="2217" w:hanging="360"/>
      </w:pPr>
      <w:rPr>
        <w:rFonts w:ascii="Wingdings" w:hAnsi="Wingdings" w:hint="default"/>
      </w:rPr>
    </w:lvl>
    <w:lvl w:ilvl="3" w:tplc="04050001" w:tentative="1">
      <w:start w:val="1"/>
      <w:numFmt w:val="bullet"/>
      <w:lvlText w:val=""/>
      <w:lvlJc w:val="left"/>
      <w:pPr>
        <w:ind w:left="2937" w:hanging="360"/>
      </w:pPr>
      <w:rPr>
        <w:rFonts w:ascii="Symbol" w:hAnsi="Symbol" w:hint="default"/>
      </w:rPr>
    </w:lvl>
    <w:lvl w:ilvl="4" w:tplc="04050003" w:tentative="1">
      <w:start w:val="1"/>
      <w:numFmt w:val="bullet"/>
      <w:lvlText w:val="o"/>
      <w:lvlJc w:val="left"/>
      <w:pPr>
        <w:ind w:left="3657" w:hanging="360"/>
      </w:pPr>
      <w:rPr>
        <w:rFonts w:ascii="Courier New" w:hAnsi="Courier New" w:cs="Courier New" w:hint="default"/>
      </w:rPr>
    </w:lvl>
    <w:lvl w:ilvl="5" w:tplc="04050005" w:tentative="1">
      <w:start w:val="1"/>
      <w:numFmt w:val="bullet"/>
      <w:lvlText w:val=""/>
      <w:lvlJc w:val="left"/>
      <w:pPr>
        <w:ind w:left="4377" w:hanging="360"/>
      </w:pPr>
      <w:rPr>
        <w:rFonts w:ascii="Wingdings" w:hAnsi="Wingdings" w:hint="default"/>
      </w:rPr>
    </w:lvl>
    <w:lvl w:ilvl="6" w:tplc="04050001" w:tentative="1">
      <w:start w:val="1"/>
      <w:numFmt w:val="bullet"/>
      <w:lvlText w:val=""/>
      <w:lvlJc w:val="left"/>
      <w:pPr>
        <w:ind w:left="5097" w:hanging="360"/>
      </w:pPr>
      <w:rPr>
        <w:rFonts w:ascii="Symbol" w:hAnsi="Symbol" w:hint="default"/>
      </w:rPr>
    </w:lvl>
    <w:lvl w:ilvl="7" w:tplc="04050003" w:tentative="1">
      <w:start w:val="1"/>
      <w:numFmt w:val="bullet"/>
      <w:lvlText w:val="o"/>
      <w:lvlJc w:val="left"/>
      <w:pPr>
        <w:ind w:left="5817" w:hanging="360"/>
      </w:pPr>
      <w:rPr>
        <w:rFonts w:ascii="Courier New" w:hAnsi="Courier New" w:cs="Courier New" w:hint="default"/>
      </w:rPr>
    </w:lvl>
    <w:lvl w:ilvl="8" w:tplc="04050005" w:tentative="1">
      <w:start w:val="1"/>
      <w:numFmt w:val="bullet"/>
      <w:lvlText w:val=""/>
      <w:lvlJc w:val="left"/>
      <w:pPr>
        <w:ind w:left="6537" w:hanging="360"/>
      </w:pPr>
      <w:rPr>
        <w:rFonts w:ascii="Wingdings" w:hAnsi="Wingdings" w:hint="default"/>
      </w:rPr>
    </w:lvl>
  </w:abstractNum>
  <w:abstractNum w:abstractNumId="11">
    <w:nsid w:val="25BC5F5D"/>
    <w:multiLevelType w:val="multilevel"/>
    <w:tmpl w:val="9D646F44"/>
    <w:lvl w:ilvl="0">
      <w:start w:val="1"/>
      <w:numFmt w:val="decimal"/>
      <w:pStyle w:val="Nadpis1"/>
      <w:lvlText w:val="%1"/>
      <w:lvlJc w:val="left"/>
      <w:pPr>
        <w:ind w:left="432" w:hanging="432"/>
      </w:pPr>
    </w:lvl>
    <w:lvl w:ilvl="1">
      <w:start w:val="1"/>
      <w:numFmt w:val="decimal"/>
      <w:pStyle w:val="Nadpis2"/>
      <w:lvlText w:val="%1.%2"/>
      <w:lvlJc w:val="left"/>
      <w:pPr>
        <w:ind w:left="576" w:hanging="576"/>
      </w:pPr>
      <w:rPr>
        <w:sz w:val="28"/>
      </w:rPr>
    </w:lvl>
    <w:lvl w:ilvl="2">
      <w:start w:val="1"/>
      <w:numFmt w:val="decimal"/>
      <w:pStyle w:val="Nadpis3"/>
      <w:lvlText w:val="%1.%2.%3"/>
      <w:lvlJc w:val="left"/>
      <w:pPr>
        <w:ind w:left="862" w:hanging="720"/>
      </w:pPr>
      <w:rPr>
        <w:sz w:val="24"/>
      </w:rPr>
    </w:lvl>
    <w:lvl w:ilvl="3">
      <w:start w:val="1"/>
      <w:numFmt w:val="decimal"/>
      <w:pStyle w:val="Nadpis4"/>
      <w:lvlText w:val="%1.%2.%3.%4"/>
      <w:lvlJc w:val="left"/>
      <w:pPr>
        <w:ind w:left="864" w:hanging="864"/>
      </w:pPr>
      <w:rPr>
        <w:sz w:val="24"/>
        <w:szCs w:val="24"/>
      </w:r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2">
    <w:nsid w:val="27DF5F4B"/>
    <w:multiLevelType w:val="hybridMultilevel"/>
    <w:tmpl w:val="11B6C8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33337865"/>
    <w:multiLevelType w:val="hybridMultilevel"/>
    <w:tmpl w:val="3058100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339A62B1"/>
    <w:multiLevelType w:val="hybridMultilevel"/>
    <w:tmpl w:val="BCDCDF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36117701"/>
    <w:multiLevelType w:val="hybridMultilevel"/>
    <w:tmpl w:val="EF46D2C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nsid w:val="3DA651F1"/>
    <w:multiLevelType w:val="hybridMultilevel"/>
    <w:tmpl w:val="96DE3F5C"/>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17">
    <w:nsid w:val="438C2538"/>
    <w:multiLevelType w:val="hybridMultilevel"/>
    <w:tmpl w:val="36A02B0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B455FEE"/>
    <w:multiLevelType w:val="hybridMultilevel"/>
    <w:tmpl w:val="E92AA95A"/>
    <w:lvl w:ilvl="0" w:tplc="1B7CCB6E">
      <w:start w:val="1"/>
      <w:numFmt w:val="low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F344EE8"/>
    <w:multiLevelType w:val="hybridMultilevel"/>
    <w:tmpl w:val="A60ECF2A"/>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F454DB6"/>
    <w:multiLevelType w:val="hybridMultilevel"/>
    <w:tmpl w:val="01C8C1A2"/>
    <w:lvl w:ilvl="0" w:tplc="04050001">
      <w:start w:val="1"/>
      <w:numFmt w:val="bullet"/>
      <w:lvlText w:val=""/>
      <w:lvlJc w:val="left"/>
      <w:pPr>
        <w:ind w:left="720" w:hanging="360"/>
      </w:pPr>
      <w:rPr>
        <w:rFonts w:ascii="Symbol" w:hAnsi="Symbol"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4226612"/>
    <w:multiLevelType w:val="hybridMultilevel"/>
    <w:tmpl w:val="2E62D29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4B6091E"/>
    <w:multiLevelType w:val="hybridMultilevel"/>
    <w:tmpl w:val="F2B0010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81B54D1"/>
    <w:multiLevelType w:val="hybridMultilevel"/>
    <w:tmpl w:val="83F4B3D4"/>
    <w:lvl w:ilvl="0" w:tplc="67849644">
      <w:start w:val="1"/>
      <w:numFmt w:val="bullet"/>
      <w:lvlText w:val=""/>
      <w:lvlJc w:val="left"/>
      <w:pPr>
        <w:ind w:left="720" w:hanging="360"/>
      </w:pPr>
      <w:rPr>
        <w:rFonts w:ascii="Symbol" w:hAnsi="Symbol"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nsid w:val="5EFE0D0A"/>
    <w:multiLevelType w:val="hybridMultilevel"/>
    <w:tmpl w:val="4DAE5A1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nsid w:val="6074043F"/>
    <w:multiLevelType w:val="hybridMultilevel"/>
    <w:tmpl w:val="EA682516"/>
    <w:lvl w:ilvl="0" w:tplc="07BE5420">
      <w:start w:val="1"/>
      <w:numFmt w:val="bullet"/>
      <w:lvlText w:val=""/>
      <w:lvlJc w:val="left"/>
      <w:pPr>
        <w:ind w:left="720" w:hanging="360"/>
      </w:pPr>
      <w:rPr>
        <w:rFonts w:ascii="Symbol" w:hAnsi="Symbol" w:hint="default"/>
        <w:color w:val="00B05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nsid w:val="64270A79"/>
    <w:multiLevelType w:val="hybridMultilevel"/>
    <w:tmpl w:val="CBB45A5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nsid w:val="69227E48"/>
    <w:multiLevelType w:val="hybridMultilevel"/>
    <w:tmpl w:val="B57262B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nsid w:val="6C262A9C"/>
    <w:multiLevelType w:val="hybridMultilevel"/>
    <w:tmpl w:val="AD2870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nsid w:val="6DC90D4D"/>
    <w:multiLevelType w:val="hybridMultilevel"/>
    <w:tmpl w:val="EF842AB0"/>
    <w:lvl w:ilvl="0" w:tplc="04050001">
      <w:start w:val="1"/>
      <w:numFmt w:val="bullet"/>
      <w:lvlText w:val=""/>
      <w:lvlJc w:val="left"/>
      <w:pPr>
        <w:ind w:left="3600" w:hanging="360"/>
      </w:pPr>
      <w:rPr>
        <w:rFonts w:ascii="Symbol" w:hAnsi="Symbol" w:hint="default"/>
      </w:rPr>
    </w:lvl>
    <w:lvl w:ilvl="1" w:tplc="04050003" w:tentative="1">
      <w:start w:val="1"/>
      <w:numFmt w:val="bullet"/>
      <w:lvlText w:val="o"/>
      <w:lvlJc w:val="left"/>
      <w:pPr>
        <w:ind w:left="4320" w:hanging="360"/>
      </w:pPr>
      <w:rPr>
        <w:rFonts w:ascii="Courier New" w:hAnsi="Courier New" w:cs="Courier New" w:hint="default"/>
      </w:rPr>
    </w:lvl>
    <w:lvl w:ilvl="2" w:tplc="04050005" w:tentative="1">
      <w:start w:val="1"/>
      <w:numFmt w:val="bullet"/>
      <w:lvlText w:val=""/>
      <w:lvlJc w:val="left"/>
      <w:pPr>
        <w:ind w:left="5040" w:hanging="360"/>
      </w:pPr>
      <w:rPr>
        <w:rFonts w:ascii="Wingdings" w:hAnsi="Wingdings" w:hint="default"/>
      </w:rPr>
    </w:lvl>
    <w:lvl w:ilvl="3" w:tplc="04050001" w:tentative="1">
      <w:start w:val="1"/>
      <w:numFmt w:val="bullet"/>
      <w:lvlText w:val=""/>
      <w:lvlJc w:val="left"/>
      <w:pPr>
        <w:ind w:left="5760" w:hanging="360"/>
      </w:pPr>
      <w:rPr>
        <w:rFonts w:ascii="Symbol" w:hAnsi="Symbol" w:hint="default"/>
      </w:rPr>
    </w:lvl>
    <w:lvl w:ilvl="4" w:tplc="04050003" w:tentative="1">
      <w:start w:val="1"/>
      <w:numFmt w:val="bullet"/>
      <w:lvlText w:val="o"/>
      <w:lvlJc w:val="left"/>
      <w:pPr>
        <w:ind w:left="6480" w:hanging="360"/>
      </w:pPr>
      <w:rPr>
        <w:rFonts w:ascii="Courier New" w:hAnsi="Courier New" w:cs="Courier New" w:hint="default"/>
      </w:rPr>
    </w:lvl>
    <w:lvl w:ilvl="5" w:tplc="04050005" w:tentative="1">
      <w:start w:val="1"/>
      <w:numFmt w:val="bullet"/>
      <w:lvlText w:val=""/>
      <w:lvlJc w:val="left"/>
      <w:pPr>
        <w:ind w:left="7200" w:hanging="360"/>
      </w:pPr>
      <w:rPr>
        <w:rFonts w:ascii="Wingdings" w:hAnsi="Wingdings" w:hint="default"/>
      </w:rPr>
    </w:lvl>
    <w:lvl w:ilvl="6" w:tplc="04050001" w:tentative="1">
      <w:start w:val="1"/>
      <w:numFmt w:val="bullet"/>
      <w:lvlText w:val=""/>
      <w:lvlJc w:val="left"/>
      <w:pPr>
        <w:ind w:left="7920" w:hanging="360"/>
      </w:pPr>
      <w:rPr>
        <w:rFonts w:ascii="Symbol" w:hAnsi="Symbol" w:hint="default"/>
      </w:rPr>
    </w:lvl>
    <w:lvl w:ilvl="7" w:tplc="04050003" w:tentative="1">
      <w:start w:val="1"/>
      <w:numFmt w:val="bullet"/>
      <w:lvlText w:val="o"/>
      <w:lvlJc w:val="left"/>
      <w:pPr>
        <w:ind w:left="8640" w:hanging="360"/>
      </w:pPr>
      <w:rPr>
        <w:rFonts w:ascii="Courier New" w:hAnsi="Courier New" w:cs="Courier New" w:hint="default"/>
      </w:rPr>
    </w:lvl>
    <w:lvl w:ilvl="8" w:tplc="04050005" w:tentative="1">
      <w:start w:val="1"/>
      <w:numFmt w:val="bullet"/>
      <w:lvlText w:val=""/>
      <w:lvlJc w:val="left"/>
      <w:pPr>
        <w:ind w:left="9360" w:hanging="360"/>
      </w:pPr>
      <w:rPr>
        <w:rFonts w:ascii="Wingdings" w:hAnsi="Wingdings" w:hint="default"/>
      </w:rPr>
    </w:lvl>
  </w:abstractNum>
  <w:abstractNum w:abstractNumId="30">
    <w:nsid w:val="704D1A23"/>
    <w:multiLevelType w:val="hybridMultilevel"/>
    <w:tmpl w:val="E230C67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nsid w:val="7E137B7F"/>
    <w:multiLevelType w:val="hybridMultilevel"/>
    <w:tmpl w:val="F86283C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1"/>
  </w:num>
  <w:num w:numId="2">
    <w:abstractNumId w:val="19"/>
  </w:num>
  <w:num w:numId="3">
    <w:abstractNumId w:val="0"/>
  </w:num>
  <w:num w:numId="4">
    <w:abstractNumId w:val="4"/>
  </w:num>
  <w:num w:numId="5">
    <w:abstractNumId w:val="24"/>
  </w:num>
  <w:num w:numId="6">
    <w:abstractNumId w:val="27"/>
  </w:num>
  <w:num w:numId="7">
    <w:abstractNumId w:val="31"/>
  </w:num>
  <w:num w:numId="8">
    <w:abstractNumId w:val="28"/>
  </w:num>
  <w:num w:numId="9">
    <w:abstractNumId w:val="6"/>
  </w:num>
  <w:num w:numId="10">
    <w:abstractNumId w:val="9"/>
  </w:num>
  <w:num w:numId="11">
    <w:abstractNumId w:val="13"/>
  </w:num>
  <w:num w:numId="12">
    <w:abstractNumId w:val="22"/>
  </w:num>
  <w:num w:numId="13">
    <w:abstractNumId w:val="15"/>
  </w:num>
  <w:num w:numId="14">
    <w:abstractNumId w:val="26"/>
  </w:num>
  <w:num w:numId="15">
    <w:abstractNumId w:val="2"/>
  </w:num>
  <w:num w:numId="16">
    <w:abstractNumId w:val="20"/>
  </w:num>
  <w:num w:numId="17">
    <w:abstractNumId w:val="10"/>
  </w:num>
  <w:num w:numId="18">
    <w:abstractNumId w:val="14"/>
  </w:num>
  <w:num w:numId="19">
    <w:abstractNumId w:val="1"/>
  </w:num>
  <w:num w:numId="20">
    <w:abstractNumId w:val="21"/>
  </w:num>
  <w:num w:numId="21">
    <w:abstractNumId w:val="5"/>
  </w:num>
  <w:num w:numId="22">
    <w:abstractNumId w:val="25"/>
  </w:num>
  <w:num w:numId="23">
    <w:abstractNumId w:val="23"/>
  </w:num>
  <w:num w:numId="24">
    <w:abstractNumId w:val="30"/>
  </w:num>
  <w:num w:numId="25">
    <w:abstractNumId w:val="7"/>
  </w:num>
  <w:num w:numId="26">
    <w:abstractNumId w:val="3"/>
  </w:num>
  <w:num w:numId="27">
    <w:abstractNumId w:val="18"/>
  </w:num>
  <w:num w:numId="28">
    <w:abstractNumId w:val="17"/>
  </w:num>
  <w:num w:numId="29">
    <w:abstractNumId w:val="16"/>
  </w:num>
  <w:num w:numId="30">
    <w:abstractNumId w:val="8"/>
  </w:num>
  <w:num w:numId="31">
    <w:abstractNumId w:val="29"/>
  </w:num>
  <w:num w:numId="32">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isplayBackgroundShape/>
  <w:proofState w:grammar="clean"/>
  <w:documentProtection w:edit="trackedChanges" w:enforcement="0"/>
  <w:defaultTabStop w:val="708"/>
  <w:hyphenationZone w:val="425"/>
  <w:characterSpacingControl w:val="doNotCompress"/>
  <w:doNotValidateAgainstSchema/>
  <w:hdrShapeDefaults>
    <o:shapedefaults v:ext="edit" spidmax="50177"/>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79B7"/>
    <w:rsid w:val="00000792"/>
    <w:rsid w:val="00000972"/>
    <w:rsid w:val="00000E2E"/>
    <w:rsid w:val="00000FA3"/>
    <w:rsid w:val="0000114F"/>
    <w:rsid w:val="00001665"/>
    <w:rsid w:val="00001E2B"/>
    <w:rsid w:val="0000214E"/>
    <w:rsid w:val="00002B77"/>
    <w:rsid w:val="0000328E"/>
    <w:rsid w:val="0000366E"/>
    <w:rsid w:val="00003CDE"/>
    <w:rsid w:val="00004599"/>
    <w:rsid w:val="0000466A"/>
    <w:rsid w:val="000061FF"/>
    <w:rsid w:val="000068E2"/>
    <w:rsid w:val="00006B0A"/>
    <w:rsid w:val="000076E8"/>
    <w:rsid w:val="00007C0A"/>
    <w:rsid w:val="00007D5B"/>
    <w:rsid w:val="00010078"/>
    <w:rsid w:val="000100FA"/>
    <w:rsid w:val="0001029E"/>
    <w:rsid w:val="00010643"/>
    <w:rsid w:val="00010A83"/>
    <w:rsid w:val="00010C8B"/>
    <w:rsid w:val="000115C9"/>
    <w:rsid w:val="000117C3"/>
    <w:rsid w:val="000118DC"/>
    <w:rsid w:val="0001219A"/>
    <w:rsid w:val="00012415"/>
    <w:rsid w:val="000125F5"/>
    <w:rsid w:val="00012A15"/>
    <w:rsid w:val="00012B1A"/>
    <w:rsid w:val="00012BC2"/>
    <w:rsid w:val="000130FC"/>
    <w:rsid w:val="00013C6A"/>
    <w:rsid w:val="0001470A"/>
    <w:rsid w:val="00016996"/>
    <w:rsid w:val="00016B54"/>
    <w:rsid w:val="00016EB1"/>
    <w:rsid w:val="00017962"/>
    <w:rsid w:val="000203D6"/>
    <w:rsid w:val="000206AA"/>
    <w:rsid w:val="000206AF"/>
    <w:rsid w:val="000208C1"/>
    <w:rsid w:val="00020C6A"/>
    <w:rsid w:val="00021209"/>
    <w:rsid w:val="000221C4"/>
    <w:rsid w:val="0002266E"/>
    <w:rsid w:val="00022BB5"/>
    <w:rsid w:val="000235F3"/>
    <w:rsid w:val="00023963"/>
    <w:rsid w:val="000241F1"/>
    <w:rsid w:val="0002439B"/>
    <w:rsid w:val="000252DC"/>
    <w:rsid w:val="00025474"/>
    <w:rsid w:val="00025657"/>
    <w:rsid w:val="000257CF"/>
    <w:rsid w:val="00025995"/>
    <w:rsid w:val="00025A13"/>
    <w:rsid w:val="00025B20"/>
    <w:rsid w:val="00025EB4"/>
    <w:rsid w:val="00025F8B"/>
    <w:rsid w:val="0002654A"/>
    <w:rsid w:val="000269C9"/>
    <w:rsid w:val="00026A8C"/>
    <w:rsid w:val="00026DB8"/>
    <w:rsid w:val="0002799A"/>
    <w:rsid w:val="00027B17"/>
    <w:rsid w:val="00027DA0"/>
    <w:rsid w:val="00027E30"/>
    <w:rsid w:val="00027E3F"/>
    <w:rsid w:val="00027E81"/>
    <w:rsid w:val="000304D7"/>
    <w:rsid w:val="000304FE"/>
    <w:rsid w:val="000306AF"/>
    <w:rsid w:val="00031B5E"/>
    <w:rsid w:val="00031E30"/>
    <w:rsid w:val="00032388"/>
    <w:rsid w:val="000329BA"/>
    <w:rsid w:val="00033503"/>
    <w:rsid w:val="00033A71"/>
    <w:rsid w:val="00034561"/>
    <w:rsid w:val="00035204"/>
    <w:rsid w:val="0003550D"/>
    <w:rsid w:val="00035872"/>
    <w:rsid w:val="0003627F"/>
    <w:rsid w:val="00036656"/>
    <w:rsid w:val="00036F9A"/>
    <w:rsid w:val="000372A6"/>
    <w:rsid w:val="00037458"/>
    <w:rsid w:val="00037758"/>
    <w:rsid w:val="0003776B"/>
    <w:rsid w:val="00037EE6"/>
    <w:rsid w:val="0004010E"/>
    <w:rsid w:val="000411BD"/>
    <w:rsid w:val="0004186D"/>
    <w:rsid w:val="00041E08"/>
    <w:rsid w:val="00042DE0"/>
    <w:rsid w:val="0004359D"/>
    <w:rsid w:val="00043648"/>
    <w:rsid w:val="0004365F"/>
    <w:rsid w:val="00043683"/>
    <w:rsid w:val="00043FC1"/>
    <w:rsid w:val="00044432"/>
    <w:rsid w:val="00044537"/>
    <w:rsid w:val="00044F82"/>
    <w:rsid w:val="0004555A"/>
    <w:rsid w:val="00045F2E"/>
    <w:rsid w:val="000469D5"/>
    <w:rsid w:val="0004771F"/>
    <w:rsid w:val="000477C4"/>
    <w:rsid w:val="000503F4"/>
    <w:rsid w:val="00050A82"/>
    <w:rsid w:val="00050FBF"/>
    <w:rsid w:val="00052467"/>
    <w:rsid w:val="000524FE"/>
    <w:rsid w:val="0005300B"/>
    <w:rsid w:val="00053AD9"/>
    <w:rsid w:val="00053BC4"/>
    <w:rsid w:val="00054EEF"/>
    <w:rsid w:val="00055449"/>
    <w:rsid w:val="00055AAA"/>
    <w:rsid w:val="00056064"/>
    <w:rsid w:val="000560C2"/>
    <w:rsid w:val="0005622B"/>
    <w:rsid w:val="00056527"/>
    <w:rsid w:val="00056976"/>
    <w:rsid w:val="00056D99"/>
    <w:rsid w:val="000570A8"/>
    <w:rsid w:val="000573C3"/>
    <w:rsid w:val="00057D02"/>
    <w:rsid w:val="00057F67"/>
    <w:rsid w:val="00060E70"/>
    <w:rsid w:val="00061348"/>
    <w:rsid w:val="00061542"/>
    <w:rsid w:val="000621DC"/>
    <w:rsid w:val="00062610"/>
    <w:rsid w:val="00062838"/>
    <w:rsid w:val="00062D6B"/>
    <w:rsid w:val="0006324C"/>
    <w:rsid w:val="00063469"/>
    <w:rsid w:val="000638A9"/>
    <w:rsid w:val="00063A6F"/>
    <w:rsid w:val="00063AAB"/>
    <w:rsid w:val="00064054"/>
    <w:rsid w:val="00064629"/>
    <w:rsid w:val="00064AC9"/>
    <w:rsid w:val="000652C1"/>
    <w:rsid w:val="0006546A"/>
    <w:rsid w:val="00065803"/>
    <w:rsid w:val="0006664C"/>
    <w:rsid w:val="00067524"/>
    <w:rsid w:val="00067610"/>
    <w:rsid w:val="000679B7"/>
    <w:rsid w:val="00070746"/>
    <w:rsid w:val="00070E86"/>
    <w:rsid w:val="000710FE"/>
    <w:rsid w:val="00071478"/>
    <w:rsid w:val="00071AFA"/>
    <w:rsid w:val="00071E55"/>
    <w:rsid w:val="00071ED4"/>
    <w:rsid w:val="0007273B"/>
    <w:rsid w:val="00072C70"/>
    <w:rsid w:val="00073177"/>
    <w:rsid w:val="00073782"/>
    <w:rsid w:val="000738E1"/>
    <w:rsid w:val="00074575"/>
    <w:rsid w:val="000745C3"/>
    <w:rsid w:val="00074BF3"/>
    <w:rsid w:val="00074DC6"/>
    <w:rsid w:val="00074F8E"/>
    <w:rsid w:val="000752D9"/>
    <w:rsid w:val="00075511"/>
    <w:rsid w:val="00075BA1"/>
    <w:rsid w:val="00075DCB"/>
    <w:rsid w:val="00075FB1"/>
    <w:rsid w:val="00076729"/>
    <w:rsid w:val="00077064"/>
    <w:rsid w:val="000770EC"/>
    <w:rsid w:val="000779BE"/>
    <w:rsid w:val="00077A71"/>
    <w:rsid w:val="00077B32"/>
    <w:rsid w:val="0008020C"/>
    <w:rsid w:val="000808D2"/>
    <w:rsid w:val="000821AD"/>
    <w:rsid w:val="000827D3"/>
    <w:rsid w:val="0008303E"/>
    <w:rsid w:val="00083696"/>
    <w:rsid w:val="00083A52"/>
    <w:rsid w:val="00083C5D"/>
    <w:rsid w:val="0008467D"/>
    <w:rsid w:val="00084795"/>
    <w:rsid w:val="000851E2"/>
    <w:rsid w:val="00085CEB"/>
    <w:rsid w:val="00086559"/>
    <w:rsid w:val="00086E9E"/>
    <w:rsid w:val="00087003"/>
    <w:rsid w:val="00087176"/>
    <w:rsid w:val="00087D28"/>
    <w:rsid w:val="00087F6A"/>
    <w:rsid w:val="00090487"/>
    <w:rsid w:val="00090539"/>
    <w:rsid w:val="00090D18"/>
    <w:rsid w:val="00090D52"/>
    <w:rsid w:val="00090FA6"/>
    <w:rsid w:val="000911DD"/>
    <w:rsid w:val="00091F60"/>
    <w:rsid w:val="000924A7"/>
    <w:rsid w:val="000927C7"/>
    <w:rsid w:val="000929E3"/>
    <w:rsid w:val="00092F03"/>
    <w:rsid w:val="0009387E"/>
    <w:rsid w:val="00094204"/>
    <w:rsid w:val="0009485E"/>
    <w:rsid w:val="00094EBC"/>
    <w:rsid w:val="00096015"/>
    <w:rsid w:val="00096EE3"/>
    <w:rsid w:val="00097153"/>
    <w:rsid w:val="000973DF"/>
    <w:rsid w:val="0009760F"/>
    <w:rsid w:val="000979DC"/>
    <w:rsid w:val="00097A9A"/>
    <w:rsid w:val="00097B79"/>
    <w:rsid w:val="000A094B"/>
    <w:rsid w:val="000A104B"/>
    <w:rsid w:val="000A165E"/>
    <w:rsid w:val="000A17A0"/>
    <w:rsid w:val="000A19EF"/>
    <w:rsid w:val="000A1E49"/>
    <w:rsid w:val="000A21E6"/>
    <w:rsid w:val="000A2DBB"/>
    <w:rsid w:val="000A3106"/>
    <w:rsid w:val="000A3620"/>
    <w:rsid w:val="000A3714"/>
    <w:rsid w:val="000A392F"/>
    <w:rsid w:val="000A3C87"/>
    <w:rsid w:val="000A3FB3"/>
    <w:rsid w:val="000A4698"/>
    <w:rsid w:val="000A496F"/>
    <w:rsid w:val="000A4BBC"/>
    <w:rsid w:val="000A5AE6"/>
    <w:rsid w:val="000A64C1"/>
    <w:rsid w:val="000A6716"/>
    <w:rsid w:val="000A67B0"/>
    <w:rsid w:val="000A6A24"/>
    <w:rsid w:val="000A7079"/>
    <w:rsid w:val="000A7350"/>
    <w:rsid w:val="000B0279"/>
    <w:rsid w:val="000B0652"/>
    <w:rsid w:val="000B0C60"/>
    <w:rsid w:val="000B0E39"/>
    <w:rsid w:val="000B144C"/>
    <w:rsid w:val="000B2D09"/>
    <w:rsid w:val="000B2E99"/>
    <w:rsid w:val="000B3655"/>
    <w:rsid w:val="000B37CF"/>
    <w:rsid w:val="000B3A67"/>
    <w:rsid w:val="000B3DD9"/>
    <w:rsid w:val="000B411C"/>
    <w:rsid w:val="000B57B8"/>
    <w:rsid w:val="000B58B3"/>
    <w:rsid w:val="000B5F61"/>
    <w:rsid w:val="000B6224"/>
    <w:rsid w:val="000B6297"/>
    <w:rsid w:val="000B6327"/>
    <w:rsid w:val="000B6460"/>
    <w:rsid w:val="000B6A9F"/>
    <w:rsid w:val="000B6D87"/>
    <w:rsid w:val="000B7145"/>
    <w:rsid w:val="000B714B"/>
    <w:rsid w:val="000B7169"/>
    <w:rsid w:val="000B7235"/>
    <w:rsid w:val="000B7903"/>
    <w:rsid w:val="000B7B70"/>
    <w:rsid w:val="000B7D8A"/>
    <w:rsid w:val="000C045E"/>
    <w:rsid w:val="000C0482"/>
    <w:rsid w:val="000C05BE"/>
    <w:rsid w:val="000C0A0A"/>
    <w:rsid w:val="000C1298"/>
    <w:rsid w:val="000C18A1"/>
    <w:rsid w:val="000C1C47"/>
    <w:rsid w:val="000C1D19"/>
    <w:rsid w:val="000C1D3F"/>
    <w:rsid w:val="000C2AA6"/>
    <w:rsid w:val="000C2ABF"/>
    <w:rsid w:val="000C2F24"/>
    <w:rsid w:val="000C2F3B"/>
    <w:rsid w:val="000C365D"/>
    <w:rsid w:val="000C4325"/>
    <w:rsid w:val="000C4E9A"/>
    <w:rsid w:val="000C6684"/>
    <w:rsid w:val="000C6E25"/>
    <w:rsid w:val="000C6F85"/>
    <w:rsid w:val="000C7E2C"/>
    <w:rsid w:val="000D0425"/>
    <w:rsid w:val="000D0674"/>
    <w:rsid w:val="000D0A1B"/>
    <w:rsid w:val="000D124C"/>
    <w:rsid w:val="000D1A5C"/>
    <w:rsid w:val="000D1CC0"/>
    <w:rsid w:val="000D1E48"/>
    <w:rsid w:val="000D1FC6"/>
    <w:rsid w:val="000D1FDF"/>
    <w:rsid w:val="000D2A72"/>
    <w:rsid w:val="000D2E1D"/>
    <w:rsid w:val="000D39BE"/>
    <w:rsid w:val="000D3C16"/>
    <w:rsid w:val="000D3D65"/>
    <w:rsid w:val="000D464A"/>
    <w:rsid w:val="000D4876"/>
    <w:rsid w:val="000D4CF6"/>
    <w:rsid w:val="000D4D84"/>
    <w:rsid w:val="000D5826"/>
    <w:rsid w:val="000D5A00"/>
    <w:rsid w:val="000D62AF"/>
    <w:rsid w:val="000D663D"/>
    <w:rsid w:val="000D712A"/>
    <w:rsid w:val="000D7185"/>
    <w:rsid w:val="000E03B3"/>
    <w:rsid w:val="000E073D"/>
    <w:rsid w:val="000E0A3A"/>
    <w:rsid w:val="000E0CD6"/>
    <w:rsid w:val="000E252D"/>
    <w:rsid w:val="000E28D3"/>
    <w:rsid w:val="000E2C2C"/>
    <w:rsid w:val="000E3776"/>
    <w:rsid w:val="000E3BB8"/>
    <w:rsid w:val="000E446B"/>
    <w:rsid w:val="000E4B31"/>
    <w:rsid w:val="000E51E1"/>
    <w:rsid w:val="000E592F"/>
    <w:rsid w:val="000E648E"/>
    <w:rsid w:val="000E6515"/>
    <w:rsid w:val="000E6704"/>
    <w:rsid w:val="000E6B42"/>
    <w:rsid w:val="000E6DC8"/>
    <w:rsid w:val="000E7594"/>
    <w:rsid w:val="000E76A8"/>
    <w:rsid w:val="000F0202"/>
    <w:rsid w:val="000F0D63"/>
    <w:rsid w:val="000F1BA7"/>
    <w:rsid w:val="000F2501"/>
    <w:rsid w:val="000F2E1C"/>
    <w:rsid w:val="000F3238"/>
    <w:rsid w:val="000F3458"/>
    <w:rsid w:val="000F3C36"/>
    <w:rsid w:val="000F4C08"/>
    <w:rsid w:val="000F4C79"/>
    <w:rsid w:val="000F4F98"/>
    <w:rsid w:val="000F529D"/>
    <w:rsid w:val="000F5517"/>
    <w:rsid w:val="000F5A9C"/>
    <w:rsid w:val="000F65DB"/>
    <w:rsid w:val="000F6FD4"/>
    <w:rsid w:val="000F76A5"/>
    <w:rsid w:val="000F7844"/>
    <w:rsid w:val="000F7859"/>
    <w:rsid w:val="00100E70"/>
    <w:rsid w:val="00101550"/>
    <w:rsid w:val="00101718"/>
    <w:rsid w:val="00101CD8"/>
    <w:rsid w:val="00102295"/>
    <w:rsid w:val="00102668"/>
    <w:rsid w:val="001033E1"/>
    <w:rsid w:val="00103AE8"/>
    <w:rsid w:val="001045B1"/>
    <w:rsid w:val="00104C8A"/>
    <w:rsid w:val="00105A88"/>
    <w:rsid w:val="00105B73"/>
    <w:rsid w:val="00105B92"/>
    <w:rsid w:val="00107157"/>
    <w:rsid w:val="00107CFD"/>
    <w:rsid w:val="00107FF0"/>
    <w:rsid w:val="0011043D"/>
    <w:rsid w:val="00110B28"/>
    <w:rsid w:val="00110B93"/>
    <w:rsid w:val="00110C99"/>
    <w:rsid w:val="00110F2A"/>
    <w:rsid w:val="00110FB2"/>
    <w:rsid w:val="0011137F"/>
    <w:rsid w:val="001116E4"/>
    <w:rsid w:val="0011197F"/>
    <w:rsid w:val="00111B02"/>
    <w:rsid w:val="001121BD"/>
    <w:rsid w:val="00112882"/>
    <w:rsid w:val="001131F5"/>
    <w:rsid w:val="00113DE7"/>
    <w:rsid w:val="0011428D"/>
    <w:rsid w:val="001143DC"/>
    <w:rsid w:val="00114439"/>
    <w:rsid w:val="0011495C"/>
    <w:rsid w:val="00114C47"/>
    <w:rsid w:val="00114D54"/>
    <w:rsid w:val="00115A08"/>
    <w:rsid w:val="00115BC9"/>
    <w:rsid w:val="00116638"/>
    <w:rsid w:val="00117064"/>
    <w:rsid w:val="00117F08"/>
    <w:rsid w:val="00120082"/>
    <w:rsid w:val="0012024B"/>
    <w:rsid w:val="0012034E"/>
    <w:rsid w:val="00120A46"/>
    <w:rsid w:val="00120ABD"/>
    <w:rsid w:val="00120E3C"/>
    <w:rsid w:val="0012125F"/>
    <w:rsid w:val="00121420"/>
    <w:rsid w:val="0012148C"/>
    <w:rsid w:val="00121750"/>
    <w:rsid w:val="00121CE9"/>
    <w:rsid w:val="00121CFE"/>
    <w:rsid w:val="00121F45"/>
    <w:rsid w:val="0012301D"/>
    <w:rsid w:val="00124579"/>
    <w:rsid w:val="00124DA3"/>
    <w:rsid w:val="00125C43"/>
    <w:rsid w:val="00126150"/>
    <w:rsid w:val="00126166"/>
    <w:rsid w:val="001262B6"/>
    <w:rsid w:val="0012697A"/>
    <w:rsid w:val="00126B5C"/>
    <w:rsid w:val="0012745F"/>
    <w:rsid w:val="00127D5A"/>
    <w:rsid w:val="00127F70"/>
    <w:rsid w:val="001302FF"/>
    <w:rsid w:val="0013106B"/>
    <w:rsid w:val="001310FD"/>
    <w:rsid w:val="001311A0"/>
    <w:rsid w:val="001311F8"/>
    <w:rsid w:val="0013130D"/>
    <w:rsid w:val="00131558"/>
    <w:rsid w:val="0013174D"/>
    <w:rsid w:val="0013179E"/>
    <w:rsid w:val="001317E4"/>
    <w:rsid w:val="00131BBB"/>
    <w:rsid w:val="00133332"/>
    <w:rsid w:val="001338F3"/>
    <w:rsid w:val="00133928"/>
    <w:rsid w:val="001347E2"/>
    <w:rsid w:val="00134F0C"/>
    <w:rsid w:val="0013568D"/>
    <w:rsid w:val="00135DB1"/>
    <w:rsid w:val="0013608E"/>
    <w:rsid w:val="001368A8"/>
    <w:rsid w:val="00136F7D"/>
    <w:rsid w:val="0013798B"/>
    <w:rsid w:val="00137B65"/>
    <w:rsid w:val="00140275"/>
    <w:rsid w:val="0014038E"/>
    <w:rsid w:val="001413B9"/>
    <w:rsid w:val="001421EB"/>
    <w:rsid w:val="00142BAC"/>
    <w:rsid w:val="00142C66"/>
    <w:rsid w:val="00142F92"/>
    <w:rsid w:val="001431C9"/>
    <w:rsid w:val="001434BC"/>
    <w:rsid w:val="00143D57"/>
    <w:rsid w:val="001446C2"/>
    <w:rsid w:val="00144B3C"/>
    <w:rsid w:val="00145272"/>
    <w:rsid w:val="00145435"/>
    <w:rsid w:val="00145638"/>
    <w:rsid w:val="00145840"/>
    <w:rsid w:val="001458FC"/>
    <w:rsid w:val="001459EF"/>
    <w:rsid w:val="001467D6"/>
    <w:rsid w:val="0014784F"/>
    <w:rsid w:val="001478AC"/>
    <w:rsid w:val="00147CED"/>
    <w:rsid w:val="00150F5D"/>
    <w:rsid w:val="0015144F"/>
    <w:rsid w:val="0015160C"/>
    <w:rsid w:val="00151E17"/>
    <w:rsid w:val="00151E1D"/>
    <w:rsid w:val="001521B5"/>
    <w:rsid w:val="00152785"/>
    <w:rsid w:val="00152FFA"/>
    <w:rsid w:val="001530A9"/>
    <w:rsid w:val="00153E48"/>
    <w:rsid w:val="0015485A"/>
    <w:rsid w:val="00154B95"/>
    <w:rsid w:val="00154D62"/>
    <w:rsid w:val="00155BE9"/>
    <w:rsid w:val="0015663E"/>
    <w:rsid w:val="00156693"/>
    <w:rsid w:val="001568C8"/>
    <w:rsid w:val="00156C75"/>
    <w:rsid w:val="00157269"/>
    <w:rsid w:val="0015761F"/>
    <w:rsid w:val="001578B4"/>
    <w:rsid w:val="00157B26"/>
    <w:rsid w:val="00160397"/>
    <w:rsid w:val="00161A11"/>
    <w:rsid w:val="00161C3C"/>
    <w:rsid w:val="00162403"/>
    <w:rsid w:val="00162611"/>
    <w:rsid w:val="001627C5"/>
    <w:rsid w:val="0016309D"/>
    <w:rsid w:val="001631B3"/>
    <w:rsid w:val="0016330C"/>
    <w:rsid w:val="001634C6"/>
    <w:rsid w:val="00163712"/>
    <w:rsid w:val="0016388E"/>
    <w:rsid w:val="00164489"/>
    <w:rsid w:val="001646AA"/>
    <w:rsid w:val="001647B7"/>
    <w:rsid w:val="0016558D"/>
    <w:rsid w:val="0016577D"/>
    <w:rsid w:val="00166242"/>
    <w:rsid w:val="0016692C"/>
    <w:rsid w:val="00167122"/>
    <w:rsid w:val="00167D21"/>
    <w:rsid w:val="00167DAF"/>
    <w:rsid w:val="00170867"/>
    <w:rsid w:val="00171529"/>
    <w:rsid w:val="001720AC"/>
    <w:rsid w:val="00172398"/>
    <w:rsid w:val="00172832"/>
    <w:rsid w:val="00173235"/>
    <w:rsid w:val="001739AF"/>
    <w:rsid w:val="001742F9"/>
    <w:rsid w:val="001745D7"/>
    <w:rsid w:val="00174924"/>
    <w:rsid w:val="00174BD7"/>
    <w:rsid w:val="00174FFF"/>
    <w:rsid w:val="001751A8"/>
    <w:rsid w:val="00175EDF"/>
    <w:rsid w:val="001760D8"/>
    <w:rsid w:val="00176CFC"/>
    <w:rsid w:val="00177807"/>
    <w:rsid w:val="001809AC"/>
    <w:rsid w:val="00181C51"/>
    <w:rsid w:val="00182191"/>
    <w:rsid w:val="001826A1"/>
    <w:rsid w:val="00183021"/>
    <w:rsid w:val="00183328"/>
    <w:rsid w:val="001838F8"/>
    <w:rsid w:val="00183E79"/>
    <w:rsid w:val="00184B26"/>
    <w:rsid w:val="00184C16"/>
    <w:rsid w:val="00185639"/>
    <w:rsid w:val="00185970"/>
    <w:rsid w:val="001859F5"/>
    <w:rsid w:val="00185B42"/>
    <w:rsid w:val="00185C46"/>
    <w:rsid w:val="00185DE9"/>
    <w:rsid w:val="0018736E"/>
    <w:rsid w:val="001874D0"/>
    <w:rsid w:val="00187D83"/>
    <w:rsid w:val="00191F5C"/>
    <w:rsid w:val="00191FA9"/>
    <w:rsid w:val="0019249F"/>
    <w:rsid w:val="00192D4F"/>
    <w:rsid w:val="00192ECC"/>
    <w:rsid w:val="00193D10"/>
    <w:rsid w:val="0019401C"/>
    <w:rsid w:val="00194590"/>
    <w:rsid w:val="00194C94"/>
    <w:rsid w:val="0019515A"/>
    <w:rsid w:val="00195892"/>
    <w:rsid w:val="00195B5B"/>
    <w:rsid w:val="00195DDA"/>
    <w:rsid w:val="001963A9"/>
    <w:rsid w:val="00196D73"/>
    <w:rsid w:val="00197033"/>
    <w:rsid w:val="001976BD"/>
    <w:rsid w:val="001A02CC"/>
    <w:rsid w:val="001A03D3"/>
    <w:rsid w:val="001A043E"/>
    <w:rsid w:val="001A0D5D"/>
    <w:rsid w:val="001A0E6F"/>
    <w:rsid w:val="001A13B3"/>
    <w:rsid w:val="001A169C"/>
    <w:rsid w:val="001A2F42"/>
    <w:rsid w:val="001A331F"/>
    <w:rsid w:val="001A3AE0"/>
    <w:rsid w:val="001A441B"/>
    <w:rsid w:val="001A5117"/>
    <w:rsid w:val="001A5248"/>
    <w:rsid w:val="001A582B"/>
    <w:rsid w:val="001A5B43"/>
    <w:rsid w:val="001A5FA1"/>
    <w:rsid w:val="001A61E0"/>
    <w:rsid w:val="001A64EC"/>
    <w:rsid w:val="001A657E"/>
    <w:rsid w:val="001A6602"/>
    <w:rsid w:val="001A67D6"/>
    <w:rsid w:val="001A70FC"/>
    <w:rsid w:val="001A7286"/>
    <w:rsid w:val="001A79B6"/>
    <w:rsid w:val="001A7EB5"/>
    <w:rsid w:val="001A7EFD"/>
    <w:rsid w:val="001B036A"/>
    <w:rsid w:val="001B1121"/>
    <w:rsid w:val="001B130F"/>
    <w:rsid w:val="001B1BA1"/>
    <w:rsid w:val="001B1EE0"/>
    <w:rsid w:val="001B255A"/>
    <w:rsid w:val="001B29A4"/>
    <w:rsid w:val="001B2D81"/>
    <w:rsid w:val="001B2DD8"/>
    <w:rsid w:val="001B44D3"/>
    <w:rsid w:val="001B4520"/>
    <w:rsid w:val="001B4770"/>
    <w:rsid w:val="001B4A96"/>
    <w:rsid w:val="001B526A"/>
    <w:rsid w:val="001B5BD9"/>
    <w:rsid w:val="001B5E69"/>
    <w:rsid w:val="001B68E7"/>
    <w:rsid w:val="001B69CA"/>
    <w:rsid w:val="001B6F52"/>
    <w:rsid w:val="001C0A9C"/>
    <w:rsid w:val="001C146F"/>
    <w:rsid w:val="001C1AE8"/>
    <w:rsid w:val="001C1BF1"/>
    <w:rsid w:val="001C1C88"/>
    <w:rsid w:val="001C2D12"/>
    <w:rsid w:val="001C2E77"/>
    <w:rsid w:val="001C3144"/>
    <w:rsid w:val="001C3BF6"/>
    <w:rsid w:val="001C3D24"/>
    <w:rsid w:val="001C4600"/>
    <w:rsid w:val="001C4DF0"/>
    <w:rsid w:val="001C5504"/>
    <w:rsid w:val="001C5604"/>
    <w:rsid w:val="001C573F"/>
    <w:rsid w:val="001C5991"/>
    <w:rsid w:val="001C59D5"/>
    <w:rsid w:val="001C69CA"/>
    <w:rsid w:val="001C6C50"/>
    <w:rsid w:val="001C746B"/>
    <w:rsid w:val="001C7B4B"/>
    <w:rsid w:val="001D158D"/>
    <w:rsid w:val="001D199C"/>
    <w:rsid w:val="001D1A4F"/>
    <w:rsid w:val="001D2419"/>
    <w:rsid w:val="001D24CA"/>
    <w:rsid w:val="001D2698"/>
    <w:rsid w:val="001D2C8A"/>
    <w:rsid w:val="001D3A7A"/>
    <w:rsid w:val="001D3C3A"/>
    <w:rsid w:val="001D412E"/>
    <w:rsid w:val="001D438B"/>
    <w:rsid w:val="001D462B"/>
    <w:rsid w:val="001D47B5"/>
    <w:rsid w:val="001D4B89"/>
    <w:rsid w:val="001D5692"/>
    <w:rsid w:val="001D5A2F"/>
    <w:rsid w:val="001D7394"/>
    <w:rsid w:val="001D75B8"/>
    <w:rsid w:val="001D7A92"/>
    <w:rsid w:val="001E0131"/>
    <w:rsid w:val="001E0D0A"/>
    <w:rsid w:val="001E0E45"/>
    <w:rsid w:val="001E13DB"/>
    <w:rsid w:val="001E1405"/>
    <w:rsid w:val="001E1489"/>
    <w:rsid w:val="001E1C54"/>
    <w:rsid w:val="001E1CB8"/>
    <w:rsid w:val="001E1DEB"/>
    <w:rsid w:val="001E258A"/>
    <w:rsid w:val="001E26F7"/>
    <w:rsid w:val="001E2C7A"/>
    <w:rsid w:val="001E3205"/>
    <w:rsid w:val="001E3322"/>
    <w:rsid w:val="001E3964"/>
    <w:rsid w:val="001E3AF7"/>
    <w:rsid w:val="001E47DB"/>
    <w:rsid w:val="001E4C99"/>
    <w:rsid w:val="001E62D4"/>
    <w:rsid w:val="001E6539"/>
    <w:rsid w:val="001E6A41"/>
    <w:rsid w:val="001E6BB7"/>
    <w:rsid w:val="001E6F1B"/>
    <w:rsid w:val="001E76F3"/>
    <w:rsid w:val="001E7804"/>
    <w:rsid w:val="001E7DE2"/>
    <w:rsid w:val="001E7E71"/>
    <w:rsid w:val="001E7FA0"/>
    <w:rsid w:val="001F008C"/>
    <w:rsid w:val="001F049F"/>
    <w:rsid w:val="001F134E"/>
    <w:rsid w:val="001F1379"/>
    <w:rsid w:val="001F18ED"/>
    <w:rsid w:val="001F1AE2"/>
    <w:rsid w:val="001F1BED"/>
    <w:rsid w:val="001F1F79"/>
    <w:rsid w:val="001F2224"/>
    <w:rsid w:val="001F22DB"/>
    <w:rsid w:val="001F2301"/>
    <w:rsid w:val="001F23E1"/>
    <w:rsid w:val="001F2661"/>
    <w:rsid w:val="001F2F98"/>
    <w:rsid w:val="001F3721"/>
    <w:rsid w:val="001F3AEA"/>
    <w:rsid w:val="001F4359"/>
    <w:rsid w:val="001F43E3"/>
    <w:rsid w:val="001F445A"/>
    <w:rsid w:val="001F463F"/>
    <w:rsid w:val="001F48DF"/>
    <w:rsid w:val="001F4A08"/>
    <w:rsid w:val="001F5826"/>
    <w:rsid w:val="001F585C"/>
    <w:rsid w:val="001F5B1F"/>
    <w:rsid w:val="001F5ECC"/>
    <w:rsid w:val="001F6308"/>
    <w:rsid w:val="001F6559"/>
    <w:rsid w:val="001F7128"/>
    <w:rsid w:val="001F71CA"/>
    <w:rsid w:val="001F7BFF"/>
    <w:rsid w:val="0020046C"/>
    <w:rsid w:val="0020179A"/>
    <w:rsid w:val="002019F3"/>
    <w:rsid w:val="002021C5"/>
    <w:rsid w:val="0020286A"/>
    <w:rsid w:val="00202A36"/>
    <w:rsid w:val="00202B42"/>
    <w:rsid w:val="00202CA0"/>
    <w:rsid w:val="00202F07"/>
    <w:rsid w:val="002031EA"/>
    <w:rsid w:val="00203941"/>
    <w:rsid w:val="00203DBF"/>
    <w:rsid w:val="00204398"/>
    <w:rsid w:val="00204C0A"/>
    <w:rsid w:val="002050A8"/>
    <w:rsid w:val="00205CCC"/>
    <w:rsid w:val="00205FD6"/>
    <w:rsid w:val="0020635A"/>
    <w:rsid w:val="002068E9"/>
    <w:rsid w:val="00206E41"/>
    <w:rsid w:val="002071A9"/>
    <w:rsid w:val="0020738A"/>
    <w:rsid w:val="00207643"/>
    <w:rsid w:val="00207699"/>
    <w:rsid w:val="00207AB7"/>
    <w:rsid w:val="00207AFF"/>
    <w:rsid w:val="00210C40"/>
    <w:rsid w:val="00211981"/>
    <w:rsid w:val="00211C2C"/>
    <w:rsid w:val="00211D03"/>
    <w:rsid w:val="00211DDA"/>
    <w:rsid w:val="0021208F"/>
    <w:rsid w:val="00212C79"/>
    <w:rsid w:val="002139D9"/>
    <w:rsid w:val="00213EC6"/>
    <w:rsid w:val="00213FFC"/>
    <w:rsid w:val="00214210"/>
    <w:rsid w:val="00214B9D"/>
    <w:rsid w:val="00214CB3"/>
    <w:rsid w:val="00214CB5"/>
    <w:rsid w:val="00216144"/>
    <w:rsid w:val="0021630A"/>
    <w:rsid w:val="0021640C"/>
    <w:rsid w:val="00217903"/>
    <w:rsid w:val="00217C9F"/>
    <w:rsid w:val="002200FE"/>
    <w:rsid w:val="00220155"/>
    <w:rsid w:val="00220BB7"/>
    <w:rsid w:val="002215BE"/>
    <w:rsid w:val="0022220D"/>
    <w:rsid w:val="00222C45"/>
    <w:rsid w:val="00222E0D"/>
    <w:rsid w:val="00223603"/>
    <w:rsid w:val="002236BE"/>
    <w:rsid w:val="0022480D"/>
    <w:rsid w:val="002258FF"/>
    <w:rsid w:val="00225F78"/>
    <w:rsid w:val="00225FE3"/>
    <w:rsid w:val="0022648F"/>
    <w:rsid w:val="00226F61"/>
    <w:rsid w:val="002273DD"/>
    <w:rsid w:val="002277B3"/>
    <w:rsid w:val="0023033B"/>
    <w:rsid w:val="002304FA"/>
    <w:rsid w:val="002305A3"/>
    <w:rsid w:val="00230624"/>
    <w:rsid w:val="002308A7"/>
    <w:rsid w:val="00231C46"/>
    <w:rsid w:val="00232035"/>
    <w:rsid w:val="0023207E"/>
    <w:rsid w:val="00232DD7"/>
    <w:rsid w:val="00233310"/>
    <w:rsid w:val="00233773"/>
    <w:rsid w:val="00233D8C"/>
    <w:rsid w:val="00233E5B"/>
    <w:rsid w:val="002340E3"/>
    <w:rsid w:val="00234C00"/>
    <w:rsid w:val="00234E81"/>
    <w:rsid w:val="002351E9"/>
    <w:rsid w:val="0023686A"/>
    <w:rsid w:val="00236CA4"/>
    <w:rsid w:val="00236FB1"/>
    <w:rsid w:val="00237028"/>
    <w:rsid w:val="0023726E"/>
    <w:rsid w:val="00237BDB"/>
    <w:rsid w:val="002402BA"/>
    <w:rsid w:val="0024066B"/>
    <w:rsid w:val="00240D80"/>
    <w:rsid w:val="00241670"/>
    <w:rsid w:val="002416C9"/>
    <w:rsid w:val="0024170C"/>
    <w:rsid w:val="00241CBB"/>
    <w:rsid w:val="00241CD6"/>
    <w:rsid w:val="00241CF1"/>
    <w:rsid w:val="00242015"/>
    <w:rsid w:val="00242131"/>
    <w:rsid w:val="002427AD"/>
    <w:rsid w:val="00242813"/>
    <w:rsid w:val="00242F54"/>
    <w:rsid w:val="002435C2"/>
    <w:rsid w:val="002436BE"/>
    <w:rsid w:val="0024443F"/>
    <w:rsid w:val="00244B43"/>
    <w:rsid w:val="00245AAA"/>
    <w:rsid w:val="00245D0C"/>
    <w:rsid w:val="00245EB1"/>
    <w:rsid w:val="00245F2B"/>
    <w:rsid w:val="00250982"/>
    <w:rsid w:val="00250EEF"/>
    <w:rsid w:val="0025145C"/>
    <w:rsid w:val="0025172A"/>
    <w:rsid w:val="00251769"/>
    <w:rsid w:val="00252262"/>
    <w:rsid w:val="002531A0"/>
    <w:rsid w:val="002531EA"/>
    <w:rsid w:val="0025324F"/>
    <w:rsid w:val="00253273"/>
    <w:rsid w:val="00253882"/>
    <w:rsid w:val="00253A57"/>
    <w:rsid w:val="00253F48"/>
    <w:rsid w:val="002557E6"/>
    <w:rsid w:val="00255B34"/>
    <w:rsid w:val="00255B4D"/>
    <w:rsid w:val="0025645F"/>
    <w:rsid w:val="00256492"/>
    <w:rsid w:val="002568A6"/>
    <w:rsid w:val="00256CE7"/>
    <w:rsid w:val="0025704A"/>
    <w:rsid w:val="002573D9"/>
    <w:rsid w:val="002600B6"/>
    <w:rsid w:val="0026018B"/>
    <w:rsid w:val="002608FD"/>
    <w:rsid w:val="00260A1E"/>
    <w:rsid w:val="00260CC8"/>
    <w:rsid w:val="00260E02"/>
    <w:rsid w:val="002612BD"/>
    <w:rsid w:val="00261E10"/>
    <w:rsid w:val="002622FD"/>
    <w:rsid w:val="00262600"/>
    <w:rsid w:val="00262F4C"/>
    <w:rsid w:val="00263034"/>
    <w:rsid w:val="00263C6C"/>
    <w:rsid w:val="00263D50"/>
    <w:rsid w:val="00263E6E"/>
    <w:rsid w:val="00264584"/>
    <w:rsid w:val="00264BDF"/>
    <w:rsid w:val="00265275"/>
    <w:rsid w:val="00265605"/>
    <w:rsid w:val="002657FA"/>
    <w:rsid w:val="00265A0C"/>
    <w:rsid w:val="00265A1B"/>
    <w:rsid w:val="00265BD8"/>
    <w:rsid w:val="00265BE8"/>
    <w:rsid w:val="00265D26"/>
    <w:rsid w:val="00266170"/>
    <w:rsid w:val="00266A5B"/>
    <w:rsid w:val="00266BCF"/>
    <w:rsid w:val="00266E7E"/>
    <w:rsid w:val="002673F2"/>
    <w:rsid w:val="00267958"/>
    <w:rsid w:val="00267A3B"/>
    <w:rsid w:val="002704F6"/>
    <w:rsid w:val="00270618"/>
    <w:rsid w:val="002707DB"/>
    <w:rsid w:val="002709D4"/>
    <w:rsid w:val="00270E14"/>
    <w:rsid w:val="0027113E"/>
    <w:rsid w:val="0027166F"/>
    <w:rsid w:val="00271869"/>
    <w:rsid w:val="00271B2C"/>
    <w:rsid w:val="00271B3C"/>
    <w:rsid w:val="00272F44"/>
    <w:rsid w:val="00273B94"/>
    <w:rsid w:val="00274380"/>
    <w:rsid w:val="00275188"/>
    <w:rsid w:val="0027539E"/>
    <w:rsid w:val="002759FD"/>
    <w:rsid w:val="00275D37"/>
    <w:rsid w:val="00276148"/>
    <w:rsid w:val="0027617D"/>
    <w:rsid w:val="00276250"/>
    <w:rsid w:val="00276421"/>
    <w:rsid w:val="002766F6"/>
    <w:rsid w:val="00276A9D"/>
    <w:rsid w:val="00276F0C"/>
    <w:rsid w:val="0027709B"/>
    <w:rsid w:val="00277937"/>
    <w:rsid w:val="00277BC7"/>
    <w:rsid w:val="002800B1"/>
    <w:rsid w:val="00280312"/>
    <w:rsid w:val="00280928"/>
    <w:rsid w:val="00280E80"/>
    <w:rsid w:val="00280E88"/>
    <w:rsid w:val="00281005"/>
    <w:rsid w:val="002824BC"/>
    <w:rsid w:val="00282657"/>
    <w:rsid w:val="00282BDB"/>
    <w:rsid w:val="0028399A"/>
    <w:rsid w:val="00284A48"/>
    <w:rsid w:val="00284D2D"/>
    <w:rsid w:val="0028528A"/>
    <w:rsid w:val="0028637B"/>
    <w:rsid w:val="00286944"/>
    <w:rsid w:val="002872CA"/>
    <w:rsid w:val="0028733C"/>
    <w:rsid w:val="0028768C"/>
    <w:rsid w:val="002876DE"/>
    <w:rsid w:val="00287EBE"/>
    <w:rsid w:val="00290333"/>
    <w:rsid w:val="0029154C"/>
    <w:rsid w:val="002922AE"/>
    <w:rsid w:val="002922F1"/>
    <w:rsid w:val="00292627"/>
    <w:rsid w:val="00292CDC"/>
    <w:rsid w:val="00292CF5"/>
    <w:rsid w:val="0029446A"/>
    <w:rsid w:val="002949F1"/>
    <w:rsid w:val="002957A2"/>
    <w:rsid w:val="0029585D"/>
    <w:rsid w:val="0029592A"/>
    <w:rsid w:val="00295CC7"/>
    <w:rsid w:val="002961B2"/>
    <w:rsid w:val="00296AFB"/>
    <w:rsid w:val="00296DDE"/>
    <w:rsid w:val="00297248"/>
    <w:rsid w:val="00297AD8"/>
    <w:rsid w:val="00297D78"/>
    <w:rsid w:val="002A0194"/>
    <w:rsid w:val="002A0405"/>
    <w:rsid w:val="002A146D"/>
    <w:rsid w:val="002A1DAA"/>
    <w:rsid w:val="002A1DF1"/>
    <w:rsid w:val="002A35D1"/>
    <w:rsid w:val="002A3ABF"/>
    <w:rsid w:val="002A3C04"/>
    <w:rsid w:val="002A40ED"/>
    <w:rsid w:val="002A4E27"/>
    <w:rsid w:val="002A4FC6"/>
    <w:rsid w:val="002A61B6"/>
    <w:rsid w:val="002A69FB"/>
    <w:rsid w:val="002A6A65"/>
    <w:rsid w:val="002A6C06"/>
    <w:rsid w:val="002A710C"/>
    <w:rsid w:val="002A7172"/>
    <w:rsid w:val="002A76AF"/>
    <w:rsid w:val="002A7C9A"/>
    <w:rsid w:val="002B0512"/>
    <w:rsid w:val="002B0A21"/>
    <w:rsid w:val="002B0FC2"/>
    <w:rsid w:val="002B11DA"/>
    <w:rsid w:val="002B132D"/>
    <w:rsid w:val="002B154B"/>
    <w:rsid w:val="002B285F"/>
    <w:rsid w:val="002B29D0"/>
    <w:rsid w:val="002B2CFA"/>
    <w:rsid w:val="002B34D4"/>
    <w:rsid w:val="002B3980"/>
    <w:rsid w:val="002B3D37"/>
    <w:rsid w:val="002B4519"/>
    <w:rsid w:val="002B49F7"/>
    <w:rsid w:val="002B4BBA"/>
    <w:rsid w:val="002B4FCE"/>
    <w:rsid w:val="002B56D9"/>
    <w:rsid w:val="002B5AE4"/>
    <w:rsid w:val="002B62D4"/>
    <w:rsid w:val="002B6ED7"/>
    <w:rsid w:val="002B6F64"/>
    <w:rsid w:val="002B75CF"/>
    <w:rsid w:val="002B79C6"/>
    <w:rsid w:val="002B7B9D"/>
    <w:rsid w:val="002C109E"/>
    <w:rsid w:val="002C2024"/>
    <w:rsid w:val="002C20DB"/>
    <w:rsid w:val="002C21E3"/>
    <w:rsid w:val="002C27D8"/>
    <w:rsid w:val="002C28C2"/>
    <w:rsid w:val="002C28F2"/>
    <w:rsid w:val="002C2B7E"/>
    <w:rsid w:val="002C2C4E"/>
    <w:rsid w:val="002C30D5"/>
    <w:rsid w:val="002C3DB4"/>
    <w:rsid w:val="002C4E89"/>
    <w:rsid w:val="002C5424"/>
    <w:rsid w:val="002C5D11"/>
    <w:rsid w:val="002C5EA9"/>
    <w:rsid w:val="002C687A"/>
    <w:rsid w:val="002C700D"/>
    <w:rsid w:val="002C781D"/>
    <w:rsid w:val="002D0481"/>
    <w:rsid w:val="002D07DE"/>
    <w:rsid w:val="002D0A9E"/>
    <w:rsid w:val="002D11DC"/>
    <w:rsid w:val="002D21A2"/>
    <w:rsid w:val="002D26B7"/>
    <w:rsid w:val="002D2B1A"/>
    <w:rsid w:val="002D32EC"/>
    <w:rsid w:val="002D33A5"/>
    <w:rsid w:val="002D37C5"/>
    <w:rsid w:val="002D4E91"/>
    <w:rsid w:val="002D54E2"/>
    <w:rsid w:val="002D5B4F"/>
    <w:rsid w:val="002D5D08"/>
    <w:rsid w:val="002D5D5D"/>
    <w:rsid w:val="002D6824"/>
    <w:rsid w:val="002D6A6B"/>
    <w:rsid w:val="002D6AEA"/>
    <w:rsid w:val="002D6ED6"/>
    <w:rsid w:val="002D731A"/>
    <w:rsid w:val="002D73A9"/>
    <w:rsid w:val="002D75E2"/>
    <w:rsid w:val="002D760F"/>
    <w:rsid w:val="002E09BA"/>
    <w:rsid w:val="002E0DCD"/>
    <w:rsid w:val="002E109A"/>
    <w:rsid w:val="002E13FF"/>
    <w:rsid w:val="002E26D5"/>
    <w:rsid w:val="002E29B7"/>
    <w:rsid w:val="002E2E07"/>
    <w:rsid w:val="002E2F5E"/>
    <w:rsid w:val="002E3676"/>
    <w:rsid w:val="002E39F1"/>
    <w:rsid w:val="002E3E86"/>
    <w:rsid w:val="002E433F"/>
    <w:rsid w:val="002E4D0F"/>
    <w:rsid w:val="002E5060"/>
    <w:rsid w:val="002E5A26"/>
    <w:rsid w:val="002E5EEF"/>
    <w:rsid w:val="002E66A0"/>
    <w:rsid w:val="002E6A35"/>
    <w:rsid w:val="002E6B4B"/>
    <w:rsid w:val="002E72BB"/>
    <w:rsid w:val="002E74C9"/>
    <w:rsid w:val="002E759E"/>
    <w:rsid w:val="002E799C"/>
    <w:rsid w:val="002F011E"/>
    <w:rsid w:val="002F032F"/>
    <w:rsid w:val="002F0535"/>
    <w:rsid w:val="002F0C66"/>
    <w:rsid w:val="002F0D63"/>
    <w:rsid w:val="002F0FA2"/>
    <w:rsid w:val="002F1A08"/>
    <w:rsid w:val="002F2302"/>
    <w:rsid w:val="002F263E"/>
    <w:rsid w:val="002F28EF"/>
    <w:rsid w:val="002F3083"/>
    <w:rsid w:val="002F38C9"/>
    <w:rsid w:val="002F3E83"/>
    <w:rsid w:val="002F430C"/>
    <w:rsid w:val="002F44BD"/>
    <w:rsid w:val="002F4CA5"/>
    <w:rsid w:val="002F4E4F"/>
    <w:rsid w:val="002F5936"/>
    <w:rsid w:val="002F62CC"/>
    <w:rsid w:val="002F67D1"/>
    <w:rsid w:val="002F6940"/>
    <w:rsid w:val="002F6CC4"/>
    <w:rsid w:val="002F7D73"/>
    <w:rsid w:val="002F7EDF"/>
    <w:rsid w:val="0030003A"/>
    <w:rsid w:val="003010DF"/>
    <w:rsid w:val="003011E7"/>
    <w:rsid w:val="0030195B"/>
    <w:rsid w:val="00301AEF"/>
    <w:rsid w:val="0030306D"/>
    <w:rsid w:val="00303151"/>
    <w:rsid w:val="00303157"/>
    <w:rsid w:val="003032BC"/>
    <w:rsid w:val="0030483E"/>
    <w:rsid w:val="00304FD0"/>
    <w:rsid w:val="0030520E"/>
    <w:rsid w:val="00305836"/>
    <w:rsid w:val="00305A10"/>
    <w:rsid w:val="0030611F"/>
    <w:rsid w:val="00306382"/>
    <w:rsid w:val="0030650C"/>
    <w:rsid w:val="00306940"/>
    <w:rsid w:val="00306EC7"/>
    <w:rsid w:val="0030712C"/>
    <w:rsid w:val="00310716"/>
    <w:rsid w:val="003109FF"/>
    <w:rsid w:val="00310E7E"/>
    <w:rsid w:val="003113D5"/>
    <w:rsid w:val="003121B0"/>
    <w:rsid w:val="003122B9"/>
    <w:rsid w:val="00312547"/>
    <w:rsid w:val="00312988"/>
    <w:rsid w:val="00313410"/>
    <w:rsid w:val="003134C3"/>
    <w:rsid w:val="00313782"/>
    <w:rsid w:val="00313B43"/>
    <w:rsid w:val="00313D0D"/>
    <w:rsid w:val="00314052"/>
    <w:rsid w:val="00315514"/>
    <w:rsid w:val="00315625"/>
    <w:rsid w:val="00315CC8"/>
    <w:rsid w:val="003161D9"/>
    <w:rsid w:val="00316236"/>
    <w:rsid w:val="00316861"/>
    <w:rsid w:val="00316A7F"/>
    <w:rsid w:val="00316FBA"/>
    <w:rsid w:val="00317A8D"/>
    <w:rsid w:val="003200AA"/>
    <w:rsid w:val="0032015B"/>
    <w:rsid w:val="00320D69"/>
    <w:rsid w:val="00321636"/>
    <w:rsid w:val="00321699"/>
    <w:rsid w:val="00322642"/>
    <w:rsid w:val="00322937"/>
    <w:rsid w:val="00322DDB"/>
    <w:rsid w:val="00322EF4"/>
    <w:rsid w:val="003234C3"/>
    <w:rsid w:val="00323544"/>
    <w:rsid w:val="00323AEB"/>
    <w:rsid w:val="003241FC"/>
    <w:rsid w:val="00324CFC"/>
    <w:rsid w:val="003253A7"/>
    <w:rsid w:val="00325747"/>
    <w:rsid w:val="00325A00"/>
    <w:rsid w:val="0032684A"/>
    <w:rsid w:val="00326A82"/>
    <w:rsid w:val="00326ECD"/>
    <w:rsid w:val="003271DF"/>
    <w:rsid w:val="003272BE"/>
    <w:rsid w:val="003272CC"/>
    <w:rsid w:val="00327A04"/>
    <w:rsid w:val="0033080D"/>
    <w:rsid w:val="00330C1D"/>
    <w:rsid w:val="00330D1A"/>
    <w:rsid w:val="003317B6"/>
    <w:rsid w:val="00332006"/>
    <w:rsid w:val="00332A92"/>
    <w:rsid w:val="00332C11"/>
    <w:rsid w:val="00332D92"/>
    <w:rsid w:val="00333555"/>
    <w:rsid w:val="00334C86"/>
    <w:rsid w:val="003351C7"/>
    <w:rsid w:val="003363F2"/>
    <w:rsid w:val="00336678"/>
    <w:rsid w:val="00336CD5"/>
    <w:rsid w:val="00336FC1"/>
    <w:rsid w:val="003370DF"/>
    <w:rsid w:val="00340026"/>
    <w:rsid w:val="003415ED"/>
    <w:rsid w:val="00341EAB"/>
    <w:rsid w:val="003423CA"/>
    <w:rsid w:val="00343036"/>
    <w:rsid w:val="0034329B"/>
    <w:rsid w:val="0034369D"/>
    <w:rsid w:val="00343869"/>
    <w:rsid w:val="00343F7B"/>
    <w:rsid w:val="0034424E"/>
    <w:rsid w:val="003444DA"/>
    <w:rsid w:val="003449BF"/>
    <w:rsid w:val="00344CBC"/>
    <w:rsid w:val="003451D2"/>
    <w:rsid w:val="003453E0"/>
    <w:rsid w:val="00345689"/>
    <w:rsid w:val="00346068"/>
    <w:rsid w:val="00346CC5"/>
    <w:rsid w:val="0034758D"/>
    <w:rsid w:val="00350051"/>
    <w:rsid w:val="003509E4"/>
    <w:rsid w:val="00350DB2"/>
    <w:rsid w:val="00351418"/>
    <w:rsid w:val="0035169F"/>
    <w:rsid w:val="003518C6"/>
    <w:rsid w:val="00351AEA"/>
    <w:rsid w:val="00352703"/>
    <w:rsid w:val="00352EB3"/>
    <w:rsid w:val="0035342C"/>
    <w:rsid w:val="00353A6F"/>
    <w:rsid w:val="00353B11"/>
    <w:rsid w:val="00353FEC"/>
    <w:rsid w:val="003547EB"/>
    <w:rsid w:val="003549CA"/>
    <w:rsid w:val="0035581A"/>
    <w:rsid w:val="00355858"/>
    <w:rsid w:val="00356420"/>
    <w:rsid w:val="00356E26"/>
    <w:rsid w:val="00356F01"/>
    <w:rsid w:val="00357058"/>
    <w:rsid w:val="003570B6"/>
    <w:rsid w:val="00357322"/>
    <w:rsid w:val="003577A9"/>
    <w:rsid w:val="0036076C"/>
    <w:rsid w:val="003609AD"/>
    <w:rsid w:val="00361150"/>
    <w:rsid w:val="00361A60"/>
    <w:rsid w:val="00362DE7"/>
    <w:rsid w:val="003631DA"/>
    <w:rsid w:val="00363421"/>
    <w:rsid w:val="00363828"/>
    <w:rsid w:val="00363ACA"/>
    <w:rsid w:val="003642BD"/>
    <w:rsid w:val="0036478B"/>
    <w:rsid w:val="003659E5"/>
    <w:rsid w:val="00365D12"/>
    <w:rsid w:val="003660EB"/>
    <w:rsid w:val="00366220"/>
    <w:rsid w:val="003663BE"/>
    <w:rsid w:val="00366557"/>
    <w:rsid w:val="00366D92"/>
    <w:rsid w:val="00367D19"/>
    <w:rsid w:val="00367FDC"/>
    <w:rsid w:val="0037089C"/>
    <w:rsid w:val="00371280"/>
    <w:rsid w:val="0037148A"/>
    <w:rsid w:val="0037261C"/>
    <w:rsid w:val="003732A9"/>
    <w:rsid w:val="00373542"/>
    <w:rsid w:val="00373AD8"/>
    <w:rsid w:val="00373B24"/>
    <w:rsid w:val="0037458D"/>
    <w:rsid w:val="0037461C"/>
    <w:rsid w:val="00375FC4"/>
    <w:rsid w:val="00376157"/>
    <w:rsid w:val="0037626C"/>
    <w:rsid w:val="00376F02"/>
    <w:rsid w:val="00377892"/>
    <w:rsid w:val="00377946"/>
    <w:rsid w:val="00377D26"/>
    <w:rsid w:val="00377E12"/>
    <w:rsid w:val="00377E24"/>
    <w:rsid w:val="00377F4F"/>
    <w:rsid w:val="00380116"/>
    <w:rsid w:val="00380352"/>
    <w:rsid w:val="00380C7A"/>
    <w:rsid w:val="00380EDA"/>
    <w:rsid w:val="00380F9A"/>
    <w:rsid w:val="00381158"/>
    <w:rsid w:val="00381B0D"/>
    <w:rsid w:val="00382787"/>
    <w:rsid w:val="00382A0E"/>
    <w:rsid w:val="00382DE7"/>
    <w:rsid w:val="003844EC"/>
    <w:rsid w:val="00384A66"/>
    <w:rsid w:val="00385379"/>
    <w:rsid w:val="00385A8D"/>
    <w:rsid w:val="00385C74"/>
    <w:rsid w:val="00385D79"/>
    <w:rsid w:val="003863CF"/>
    <w:rsid w:val="00386D29"/>
    <w:rsid w:val="00387848"/>
    <w:rsid w:val="00387C44"/>
    <w:rsid w:val="00390021"/>
    <w:rsid w:val="003906DD"/>
    <w:rsid w:val="003909FC"/>
    <w:rsid w:val="00390C0C"/>
    <w:rsid w:val="003916F9"/>
    <w:rsid w:val="00391C85"/>
    <w:rsid w:val="003927B7"/>
    <w:rsid w:val="00392DB0"/>
    <w:rsid w:val="003933AC"/>
    <w:rsid w:val="0039396E"/>
    <w:rsid w:val="0039398B"/>
    <w:rsid w:val="00393A20"/>
    <w:rsid w:val="00394490"/>
    <w:rsid w:val="0039492F"/>
    <w:rsid w:val="00394D55"/>
    <w:rsid w:val="003956ED"/>
    <w:rsid w:val="00395980"/>
    <w:rsid w:val="00395C3E"/>
    <w:rsid w:val="00396227"/>
    <w:rsid w:val="003964AD"/>
    <w:rsid w:val="00396658"/>
    <w:rsid w:val="00396D30"/>
    <w:rsid w:val="00397442"/>
    <w:rsid w:val="003975B2"/>
    <w:rsid w:val="003978AB"/>
    <w:rsid w:val="003A01E7"/>
    <w:rsid w:val="003A0C32"/>
    <w:rsid w:val="003A0EED"/>
    <w:rsid w:val="003A1538"/>
    <w:rsid w:val="003A18EF"/>
    <w:rsid w:val="003A1E7C"/>
    <w:rsid w:val="003A1F26"/>
    <w:rsid w:val="003A21CE"/>
    <w:rsid w:val="003A260C"/>
    <w:rsid w:val="003A2D58"/>
    <w:rsid w:val="003A3197"/>
    <w:rsid w:val="003A3508"/>
    <w:rsid w:val="003A353E"/>
    <w:rsid w:val="003A3709"/>
    <w:rsid w:val="003A3B45"/>
    <w:rsid w:val="003A3BE7"/>
    <w:rsid w:val="003A45B9"/>
    <w:rsid w:val="003A484F"/>
    <w:rsid w:val="003A4DA1"/>
    <w:rsid w:val="003A4FB2"/>
    <w:rsid w:val="003A5577"/>
    <w:rsid w:val="003A58AE"/>
    <w:rsid w:val="003A5A80"/>
    <w:rsid w:val="003A60FF"/>
    <w:rsid w:val="003A69A5"/>
    <w:rsid w:val="003A6AE4"/>
    <w:rsid w:val="003A7592"/>
    <w:rsid w:val="003A7DA5"/>
    <w:rsid w:val="003B0282"/>
    <w:rsid w:val="003B064B"/>
    <w:rsid w:val="003B07A5"/>
    <w:rsid w:val="003B08AF"/>
    <w:rsid w:val="003B0C9C"/>
    <w:rsid w:val="003B0D83"/>
    <w:rsid w:val="003B14E7"/>
    <w:rsid w:val="003B182B"/>
    <w:rsid w:val="003B1CE9"/>
    <w:rsid w:val="003B23DC"/>
    <w:rsid w:val="003B2F32"/>
    <w:rsid w:val="003B3082"/>
    <w:rsid w:val="003B45C5"/>
    <w:rsid w:val="003B484D"/>
    <w:rsid w:val="003B4F05"/>
    <w:rsid w:val="003B4FB9"/>
    <w:rsid w:val="003B53E1"/>
    <w:rsid w:val="003B5417"/>
    <w:rsid w:val="003B5685"/>
    <w:rsid w:val="003B6086"/>
    <w:rsid w:val="003B680C"/>
    <w:rsid w:val="003B7C09"/>
    <w:rsid w:val="003C0A7A"/>
    <w:rsid w:val="003C0AAE"/>
    <w:rsid w:val="003C0F17"/>
    <w:rsid w:val="003C39B2"/>
    <w:rsid w:val="003C3D4D"/>
    <w:rsid w:val="003C4FAF"/>
    <w:rsid w:val="003C6314"/>
    <w:rsid w:val="003C651A"/>
    <w:rsid w:val="003C679E"/>
    <w:rsid w:val="003C67D0"/>
    <w:rsid w:val="003C6B19"/>
    <w:rsid w:val="003C75F7"/>
    <w:rsid w:val="003D0096"/>
    <w:rsid w:val="003D0878"/>
    <w:rsid w:val="003D0D41"/>
    <w:rsid w:val="003D0E9A"/>
    <w:rsid w:val="003D1AD5"/>
    <w:rsid w:val="003D1E2D"/>
    <w:rsid w:val="003D22D9"/>
    <w:rsid w:val="003D3F10"/>
    <w:rsid w:val="003D4521"/>
    <w:rsid w:val="003D4634"/>
    <w:rsid w:val="003D4912"/>
    <w:rsid w:val="003D5644"/>
    <w:rsid w:val="003D5D42"/>
    <w:rsid w:val="003D65CF"/>
    <w:rsid w:val="003D6C89"/>
    <w:rsid w:val="003E0105"/>
    <w:rsid w:val="003E06F0"/>
    <w:rsid w:val="003E0932"/>
    <w:rsid w:val="003E096E"/>
    <w:rsid w:val="003E1035"/>
    <w:rsid w:val="003E10F8"/>
    <w:rsid w:val="003E1BE0"/>
    <w:rsid w:val="003E1C85"/>
    <w:rsid w:val="003E24F8"/>
    <w:rsid w:val="003E25F1"/>
    <w:rsid w:val="003E3541"/>
    <w:rsid w:val="003E3AB4"/>
    <w:rsid w:val="003E3D89"/>
    <w:rsid w:val="003E4441"/>
    <w:rsid w:val="003E4633"/>
    <w:rsid w:val="003E503B"/>
    <w:rsid w:val="003E664D"/>
    <w:rsid w:val="003E7098"/>
    <w:rsid w:val="003E7407"/>
    <w:rsid w:val="003F01B8"/>
    <w:rsid w:val="003F03B4"/>
    <w:rsid w:val="003F05E5"/>
    <w:rsid w:val="003F1866"/>
    <w:rsid w:val="003F1F5A"/>
    <w:rsid w:val="003F2033"/>
    <w:rsid w:val="003F28EF"/>
    <w:rsid w:val="003F2B8C"/>
    <w:rsid w:val="003F2BB6"/>
    <w:rsid w:val="003F3016"/>
    <w:rsid w:val="003F346B"/>
    <w:rsid w:val="003F34BD"/>
    <w:rsid w:val="003F3AE4"/>
    <w:rsid w:val="003F3EBA"/>
    <w:rsid w:val="003F3F2D"/>
    <w:rsid w:val="003F4523"/>
    <w:rsid w:val="003F4535"/>
    <w:rsid w:val="003F51ED"/>
    <w:rsid w:val="003F5FCB"/>
    <w:rsid w:val="003F651E"/>
    <w:rsid w:val="003F6982"/>
    <w:rsid w:val="003F6FAB"/>
    <w:rsid w:val="003F7047"/>
    <w:rsid w:val="003F7064"/>
    <w:rsid w:val="003F7204"/>
    <w:rsid w:val="003F7205"/>
    <w:rsid w:val="003F792C"/>
    <w:rsid w:val="003F7B8D"/>
    <w:rsid w:val="003F7CEE"/>
    <w:rsid w:val="003F7F6D"/>
    <w:rsid w:val="004006ED"/>
    <w:rsid w:val="00400774"/>
    <w:rsid w:val="0040091F"/>
    <w:rsid w:val="004009D1"/>
    <w:rsid w:val="00400BB4"/>
    <w:rsid w:val="00400BF0"/>
    <w:rsid w:val="00400EC1"/>
    <w:rsid w:val="00401A77"/>
    <w:rsid w:val="00401B1E"/>
    <w:rsid w:val="00402FF9"/>
    <w:rsid w:val="004038B7"/>
    <w:rsid w:val="004041B7"/>
    <w:rsid w:val="00404823"/>
    <w:rsid w:val="004049D8"/>
    <w:rsid w:val="00404B31"/>
    <w:rsid w:val="00404FE9"/>
    <w:rsid w:val="00405556"/>
    <w:rsid w:val="00405BBB"/>
    <w:rsid w:val="00406955"/>
    <w:rsid w:val="004078ED"/>
    <w:rsid w:val="00407D41"/>
    <w:rsid w:val="00411AF5"/>
    <w:rsid w:val="00411FCC"/>
    <w:rsid w:val="00412481"/>
    <w:rsid w:val="00412A20"/>
    <w:rsid w:val="00412CE3"/>
    <w:rsid w:val="004131A5"/>
    <w:rsid w:val="004131DF"/>
    <w:rsid w:val="004137B6"/>
    <w:rsid w:val="00414548"/>
    <w:rsid w:val="0041458A"/>
    <w:rsid w:val="00415D2C"/>
    <w:rsid w:val="00415E18"/>
    <w:rsid w:val="00416129"/>
    <w:rsid w:val="00416269"/>
    <w:rsid w:val="004168E7"/>
    <w:rsid w:val="00416A86"/>
    <w:rsid w:val="00416CCF"/>
    <w:rsid w:val="00420238"/>
    <w:rsid w:val="00420A5F"/>
    <w:rsid w:val="00420CBD"/>
    <w:rsid w:val="00420FE9"/>
    <w:rsid w:val="00421670"/>
    <w:rsid w:val="00421850"/>
    <w:rsid w:val="00421A3A"/>
    <w:rsid w:val="00421D65"/>
    <w:rsid w:val="00421FA6"/>
    <w:rsid w:val="0042293E"/>
    <w:rsid w:val="004229FB"/>
    <w:rsid w:val="00422D04"/>
    <w:rsid w:val="00422ECA"/>
    <w:rsid w:val="00423073"/>
    <w:rsid w:val="0042374F"/>
    <w:rsid w:val="00423AF5"/>
    <w:rsid w:val="00424132"/>
    <w:rsid w:val="00424401"/>
    <w:rsid w:val="0042446A"/>
    <w:rsid w:val="00424730"/>
    <w:rsid w:val="00424A8B"/>
    <w:rsid w:val="00424D3A"/>
    <w:rsid w:val="004252F0"/>
    <w:rsid w:val="00425502"/>
    <w:rsid w:val="00425BA3"/>
    <w:rsid w:val="00425F25"/>
    <w:rsid w:val="004262C3"/>
    <w:rsid w:val="0042648C"/>
    <w:rsid w:val="004268EE"/>
    <w:rsid w:val="0042711F"/>
    <w:rsid w:val="0042718C"/>
    <w:rsid w:val="004278C7"/>
    <w:rsid w:val="00427DCF"/>
    <w:rsid w:val="00427E58"/>
    <w:rsid w:val="004301AB"/>
    <w:rsid w:val="00430D2C"/>
    <w:rsid w:val="0043180E"/>
    <w:rsid w:val="00432892"/>
    <w:rsid w:val="0043293C"/>
    <w:rsid w:val="00432C57"/>
    <w:rsid w:val="00432DA9"/>
    <w:rsid w:val="0043357C"/>
    <w:rsid w:val="00433D07"/>
    <w:rsid w:val="0043445C"/>
    <w:rsid w:val="00434889"/>
    <w:rsid w:val="00434FA1"/>
    <w:rsid w:val="00435D70"/>
    <w:rsid w:val="00436026"/>
    <w:rsid w:val="004364C0"/>
    <w:rsid w:val="00436887"/>
    <w:rsid w:val="00436ACC"/>
    <w:rsid w:val="004373B3"/>
    <w:rsid w:val="00437588"/>
    <w:rsid w:val="00437649"/>
    <w:rsid w:val="00437B4B"/>
    <w:rsid w:val="00437F46"/>
    <w:rsid w:val="00440267"/>
    <w:rsid w:val="00440B41"/>
    <w:rsid w:val="004414B4"/>
    <w:rsid w:val="00442424"/>
    <w:rsid w:val="004427B7"/>
    <w:rsid w:val="004432A1"/>
    <w:rsid w:val="00444052"/>
    <w:rsid w:val="00444BFB"/>
    <w:rsid w:val="0044511D"/>
    <w:rsid w:val="00445ED2"/>
    <w:rsid w:val="00445F81"/>
    <w:rsid w:val="00446A5E"/>
    <w:rsid w:val="00446FFE"/>
    <w:rsid w:val="0044720E"/>
    <w:rsid w:val="00447288"/>
    <w:rsid w:val="00447701"/>
    <w:rsid w:val="004478EC"/>
    <w:rsid w:val="0044792E"/>
    <w:rsid w:val="00447EB6"/>
    <w:rsid w:val="004501D5"/>
    <w:rsid w:val="004505FB"/>
    <w:rsid w:val="00450661"/>
    <w:rsid w:val="0045086B"/>
    <w:rsid w:val="00450C76"/>
    <w:rsid w:val="004514B6"/>
    <w:rsid w:val="00451698"/>
    <w:rsid w:val="00451CCA"/>
    <w:rsid w:val="00452E20"/>
    <w:rsid w:val="004538BF"/>
    <w:rsid w:val="00455A41"/>
    <w:rsid w:val="004562FB"/>
    <w:rsid w:val="004566A8"/>
    <w:rsid w:val="00456861"/>
    <w:rsid w:val="00456E1E"/>
    <w:rsid w:val="00457196"/>
    <w:rsid w:val="00457C73"/>
    <w:rsid w:val="0046061B"/>
    <w:rsid w:val="00460F13"/>
    <w:rsid w:val="00460F45"/>
    <w:rsid w:val="00461A03"/>
    <w:rsid w:val="0046284C"/>
    <w:rsid w:val="00463037"/>
    <w:rsid w:val="00463697"/>
    <w:rsid w:val="004636BD"/>
    <w:rsid w:val="00463DA7"/>
    <w:rsid w:val="004641C7"/>
    <w:rsid w:val="0046460C"/>
    <w:rsid w:val="00464875"/>
    <w:rsid w:val="004650EB"/>
    <w:rsid w:val="00465133"/>
    <w:rsid w:val="00465456"/>
    <w:rsid w:val="00465B7C"/>
    <w:rsid w:val="0046670A"/>
    <w:rsid w:val="004667E6"/>
    <w:rsid w:val="00466D70"/>
    <w:rsid w:val="00467666"/>
    <w:rsid w:val="0046769A"/>
    <w:rsid w:val="004676C5"/>
    <w:rsid w:val="0047023C"/>
    <w:rsid w:val="004707AA"/>
    <w:rsid w:val="00470979"/>
    <w:rsid w:val="00470EB6"/>
    <w:rsid w:val="00471DC0"/>
    <w:rsid w:val="00471F0B"/>
    <w:rsid w:val="0047226C"/>
    <w:rsid w:val="00472800"/>
    <w:rsid w:val="00474680"/>
    <w:rsid w:val="00474CB8"/>
    <w:rsid w:val="00475802"/>
    <w:rsid w:val="00475B7D"/>
    <w:rsid w:val="00475F30"/>
    <w:rsid w:val="00475FE9"/>
    <w:rsid w:val="00476026"/>
    <w:rsid w:val="00477346"/>
    <w:rsid w:val="00477533"/>
    <w:rsid w:val="00477805"/>
    <w:rsid w:val="0047792A"/>
    <w:rsid w:val="00477AA6"/>
    <w:rsid w:val="00477B56"/>
    <w:rsid w:val="00480201"/>
    <w:rsid w:val="004802A7"/>
    <w:rsid w:val="00480D37"/>
    <w:rsid w:val="00481206"/>
    <w:rsid w:val="004813DA"/>
    <w:rsid w:val="00481C8F"/>
    <w:rsid w:val="00481D2E"/>
    <w:rsid w:val="00481FC4"/>
    <w:rsid w:val="0048204C"/>
    <w:rsid w:val="00482CD7"/>
    <w:rsid w:val="004833E2"/>
    <w:rsid w:val="004835EE"/>
    <w:rsid w:val="00483B65"/>
    <w:rsid w:val="00484215"/>
    <w:rsid w:val="00484A57"/>
    <w:rsid w:val="00484BE6"/>
    <w:rsid w:val="004857A0"/>
    <w:rsid w:val="00485B14"/>
    <w:rsid w:val="00486CA7"/>
    <w:rsid w:val="00486D3A"/>
    <w:rsid w:val="00486E5A"/>
    <w:rsid w:val="00487922"/>
    <w:rsid w:val="00487D4B"/>
    <w:rsid w:val="00487DAB"/>
    <w:rsid w:val="00487F9F"/>
    <w:rsid w:val="0049015D"/>
    <w:rsid w:val="00490396"/>
    <w:rsid w:val="0049044C"/>
    <w:rsid w:val="00490706"/>
    <w:rsid w:val="00490909"/>
    <w:rsid w:val="00490C52"/>
    <w:rsid w:val="00490F10"/>
    <w:rsid w:val="00491E5B"/>
    <w:rsid w:val="004923FE"/>
    <w:rsid w:val="00492DDC"/>
    <w:rsid w:val="00492E81"/>
    <w:rsid w:val="00492FA9"/>
    <w:rsid w:val="00493D60"/>
    <w:rsid w:val="004944A8"/>
    <w:rsid w:val="004948FD"/>
    <w:rsid w:val="00495AB5"/>
    <w:rsid w:val="00495C46"/>
    <w:rsid w:val="004961D8"/>
    <w:rsid w:val="004963AB"/>
    <w:rsid w:val="00496A8F"/>
    <w:rsid w:val="00496F76"/>
    <w:rsid w:val="004A0118"/>
    <w:rsid w:val="004A0CE6"/>
    <w:rsid w:val="004A117B"/>
    <w:rsid w:val="004A17CF"/>
    <w:rsid w:val="004A1B30"/>
    <w:rsid w:val="004A1BDD"/>
    <w:rsid w:val="004A1F0A"/>
    <w:rsid w:val="004A2090"/>
    <w:rsid w:val="004A21C1"/>
    <w:rsid w:val="004A2237"/>
    <w:rsid w:val="004A25B5"/>
    <w:rsid w:val="004A3D38"/>
    <w:rsid w:val="004A3F66"/>
    <w:rsid w:val="004A4199"/>
    <w:rsid w:val="004A42B4"/>
    <w:rsid w:val="004A47D9"/>
    <w:rsid w:val="004A4998"/>
    <w:rsid w:val="004A49BA"/>
    <w:rsid w:val="004A4F21"/>
    <w:rsid w:val="004A500D"/>
    <w:rsid w:val="004A5195"/>
    <w:rsid w:val="004A6DE7"/>
    <w:rsid w:val="004A7843"/>
    <w:rsid w:val="004A7A27"/>
    <w:rsid w:val="004A7FAC"/>
    <w:rsid w:val="004B04A8"/>
    <w:rsid w:val="004B09E9"/>
    <w:rsid w:val="004B0C48"/>
    <w:rsid w:val="004B0FA6"/>
    <w:rsid w:val="004B1614"/>
    <w:rsid w:val="004B1657"/>
    <w:rsid w:val="004B2141"/>
    <w:rsid w:val="004B2586"/>
    <w:rsid w:val="004B2B22"/>
    <w:rsid w:val="004B2F7C"/>
    <w:rsid w:val="004B3440"/>
    <w:rsid w:val="004B3C68"/>
    <w:rsid w:val="004B3FF7"/>
    <w:rsid w:val="004B50BB"/>
    <w:rsid w:val="004B5260"/>
    <w:rsid w:val="004B58AA"/>
    <w:rsid w:val="004B5B6E"/>
    <w:rsid w:val="004B6263"/>
    <w:rsid w:val="004B6C58"/>
    <w:rsid w:val="004B6D15"/>
    <w:rsid w:val="004B7DCE"/>
    <w:rsid w:val="004C0002"/>
    <w:rsid w:val="004C02F2"/>
    <w:rsid w:val="004C0BD7"/>
    <w:rsid w:val="004C0E85"/>
    <w:rsid w:val="004C0F4C"/>
    <w:rsid w:val="004C0F77"/>
    <w:rsid w:val="004C0F91"/>
    <w:rsid w:val="004C15FF"/>
    <w:rsid w:val="004C26DF"/>
    <w:rsid w:val="004C2D65"/>
    <w:rsid w:val="004C3883"/>
    <w:rsid w:val="004C4181"/>
    <w:rsid w:val="004C4836"/>
    <w:rsid w:val="004C5813"/>
    <w:rsid w:val="004C5A72"/>
    <w:rsid w:val="004C5C8F"/>
    <w:rsid w:val="004C5D64"/>
    <w:rsid w:val="004C642C"/>
    <w:rsid w:val="004C695F"/>
    <w:rsid w:val="004C6D84"/>
    <w:rsid w:val="004C764B"/>
    <w:rsid w:val="004C770C"/>
    <w:rsid w:val="004C78A3"/>
    <w:rsid w:val="004C7E3D"/>
    <w:rsid w:val="004C7ECE"/>
    <w:rsid w:val="004C7F58"/>
    <w:rsid w:val="004D0595"/>
    <w:rsid w:val="004D1389"/>
    <w:rsid w:val="004D154A"/>
    <w:rsid w:val="004D32F0"/>
    <w:rsid w:val="004D3910"/>
    <w:rsid w:val="004D3915"/>
    <w:rsid w:val="004D3F6C"/>
    <w:rsid w:val="004D4657"/>
    <w:rsid w:val="004D5993"/>
    <w:rsid w:val="004D618E"/>
    <w:rsid w:val="004D6FA1"/>
    <w:rsid w:val="004D721F"/>
    <w:rsid w:val="004D7E26"/>
    <w:rsid w:val="004E000F"/>
    <w:rsid w:val="004E013E"/>
    <w:rsid w:val="004E014A"/>
    <w:rsid w:val="004E11CC"/>
    <w:rsid w:val="004E1A5F"/>
    <w:rsid w:val="004E1D6C"/>
    <w:rsid w:val="004E259E"/>
    <w:rsid w:val="004E2ECE"/>
    <w:rsid w:val="004E2F05"/>
    <w:rsid w:val="004E2FB0"/>
    <w:rsid w:val="004E3B0F"/>
    <w:rsid w:val="004E3D98"/>
    <w:rsid w:val="004E3DE7"/>
    <w:rsid w:val="004E3F73"/>
    <w:rsid w:val="004E3FC6"/>
    <w:rsid w:val="004E4D7D"/>
    <w:rsid w:val="004E4FAF"/>
    <w:rsid w:val="004E504C"/>
    <w:rsid w:val="004E5C40"/>
    <w:rsid w:val="004E63ED"/>
    <w:rsid w:val="004E6D71"/>
    <w:rsid w:val="004E6EF7"/>
    <w:rsid w:val="004E7205"/>
    <w:rsid w:val="004E73A1"/>
    <w:rsid w:val="004E744C"/>
    <w:rsid w:val="004E769F"/>
    <w:rsid w:val="004E79AE"/>
    <w:rsid w:val="004F091A"/>
    <w:rsid w:val="004F1288"/>
    <w:rsid w:val="004F14A1"/>
    <w:rsid w:val="004F1512"/>
    <w:rsid w:val="004F1EBA"/>
    <w:rsid w:val="004F222D"/>
    <w:rsid w:val="004F2E42"/>
    <w:rsid w:val="004F37CA"/>
    <w:rsid w:val="004F406E"/>
    <w:rsid w:val="004F4239"/>
    <w:rsid w:val="004F478F"/>
    <w:rsid w:val="004F47ED"/>
    <w:rsid w:val="004F4836"/>
    <w:rsid w:val="004F4BED"/>
    <w:rsid w:val="004F52A2"/>
    <w:rsid w:val="004F552A"/>
    <w:rsid w:val="004F58E5"/>
    <w:rsid w:val="004F5ACB"/>
    <w:rsid w:val="004F5E78"/>
    <w:rsid w:val="004F6913"/>
    <w:rsid w:val="004F7047"/>
    <w:rsid w:val="004F7493"/>
    <w:rsid w:val="004F798C"/>
    <w:rsid w:val="0050055B"/>
    <w:rsid w:val="005005E0"/>
    <w:rsid w:val="00500C77"/>
    <w:rsid w:val="005010AE"/>
    <w:rsid w:val="005012C1"/>
    <w:rsid w:val="005013B5"/>
    <w:rsid w:val="005018BD"/>
    <w:rsid w:val="005019A2"/>
    <w:rsid w:val="00501A5A"/>
    <w:rsid w:val="005021B5"/>
    <w:rsid w:val="00502D34"/>
    <w:rsid w:val="00502EE3"/>
    <w:rsid w:val="00503297"/>
    <w:rsid w:val="00503D9D"/>
    <w:rsid w:val="00504F0C"/>
    <w:rsid w:val="00505AED"/>
    <w:rsid w:val="00505BD0"/>
    <w:rsid w:val="0050649E"/>
    <w:rsid w:val="0050664B"/>
    <w:rsid w:val="005071D4"/>
    <w:rsid w:val="0050763D"/>
    <w:rsid w:val="0050786F"/>
    <w:rsid w:val="00507C7A"/>
    <w:rsid w:val="00507F17"/>
    <w:rsid w:val="00510D04"/>
    <w:rsid w:val="00510EFC"/>
    <w:rsid w:val="0051106D"/>
    <w:rsid w:val="005112BA"/>
    <w:rsid w:val="005113F1"/>
    <w:rsid w:val="0051241C"/>
    <w:rsid w:val="005129F5"/>
    <w:rsid w:val="0051463A"/>
    <w:rsid w:val="0051601C"/>
    <w:rsid w:val="00516054"/>
    <w:rsid w:val="005165E3"/>
    <w:rsid w:val="00516842"/>
    <w:rsid w:val="005172CF"/>
    <w:rsid w:val="0051768D"/>
    <w:rsid w:val="00517A29"/>
    <w:rsid w:val="00517A31"/>
    <w:rsid w:val="00517BF6"/>
    <w:rsid w:val="00520F33"/>
    <w:rsid w:val="00521662"/>
    <w:rsid w:val="005225C1"/>
    <w:rsid w:val="00522661"/>
    <w:rsid w:val="0052281E"/>
    <w:rsid w:val="005229B5"/>
    <w:rsid w:val="005234C4"/>
    <w:rsid w:val="005238A7"/>
    <w:rsid w:val="005238C7"/>
    <w:rsid w:val="00523EC3"/>
    <w:rsid w:val="005243DF"/>
    <w:rsid w:val="0052553D"/>
    <w:rsid w:val="00525585"/>
    <w:rsid w:val="005256FE"/>
    <w:rsid w:val="0052602C"/>
    <w:rsid w:val="0052612A"/>
    <w:rsid w:val="00526406"/>
    <w:rsid w:val="0052654F"/>
    <w:rsid w:val="005271C7"/>
    <w:rsid w:val="00527816"/>
    <w:rsid w:val="005300D6"/>
    <w:rsid w:val="00530113"/>
    <w:rsid w:val="005303FB"/>
    <w:rsid w:val="0053067E"/>
    <w:rsid w:val="005306CC"/>
    <w:rsid w:val="00530A78"/>
    <w:rsid w:val="00531CA5"/>
    <w:rsid w:val="00531DD0"/>
    <w:rsid w:val="0053248A"/>
    <w:rsid w:val="005326E8"/>
    <w:rsid w:val="00532B09"/>
    <w:rsid w:val="00532B43"/>
    <w:rsid w:val="00532E14"/>
    <w:rsid w:val="0053368B"/>
    <w:rsid w:val="005341DC"/>
    <w:rsid w:val="0053451E"/>
    <w:rsid w:val="00534E03"/>
    <w:rsid w:val="00534F54"/>
    <w:rsid w:val="00536B29"/>
    <w:rsid w:val="00536D62"/>
    <w:rsid w:val="00537B1F"/>
    <w:rsid w:val="00537E7C"/>
    <w:rsid w:val="00540409"/>
    <w:rsid w:val="005407ED"/>
    <w:rsid w:val="00540C5F"/>
    <w:rsid w:val="00540E3D"/>
    <w:rsid w:val="00542AC9"/>
    <w:rsid w:val="0054359E"/>
    <w:rsid w:val="00543783"/>
    <w:rsid w:val="00543F9D"/>
    <w:rsid w:val="00544390"/>
    <w:rsid w:val="005447CB"/>
    <w:rsid w:val="005449B7"/>
    <w:rsid w:val="00544CF2"/>
    <w:rsid w:val="00544DE6"/>
    <w:rsid w:val="00544E3D"/>
    <w:rsid w:val="00545009"/>
    <w:rsid w:val="005451AA"/>
    <w:rsid w:val="00545299"/>
    <w:rsid w:val="00545DE8"/>
    <w:rsid w:val="00545EBC"/>
    <w:rsid w:val="00546015"/>
    <w:rsid w:val="00546079"/>
    <w:rsid w:val="00546679"/>
    <w:rsid w:val="00546D12"/>
    <w:rsid w:val="00546EF2"/>
    <w:rsid w:val="00547808"/>
    <w:rsid w:val="00547824"/>
    <w:rsid w:val="00547C2E"/>
    <w:rsid w:val="005501B6"/>
    <w:rsid w:val="0055020F"/>
    <w:rsid w:val="00550DE6"/>
    <w:rsid w:val="00551521"/>
    <w:rsid w:val="005517F8"/>
    <w:rsid w:val="00552EB3"/>
    <w:rsid w:val="00552F09"/>
    <w:rsid w:val="005536B3"/>
    <w:rsid w:val="00554333"/>
    <w:rsid w:val="00554877"/>
    <w:rsid w:val="00554A8B"/>
    <w:rsid w:val="00554C70"/>
    <w:rsid w:val="00555740"/>
    <w:rsid w:val="00555E51"/>
    <w:rsid w:val="00555F68"/>
    <w:rsid w:val="00556071"/>
    <w:rsid w:val="00556DF2"/>
    <w:rsid w:val="0055781B"/>
    <w:rsid w:val="005600C7"/>
    <w:rsid w:val="00560779"/>
    <w:rsid w:val="005609E1"/>
    <w:rsid w:val="00560B2A"/>
    <w:rsid w:val="00561969"/>
    <w:rsid w:val="00561E91"/>
    <w:rsid w:val="00562070"/>
    <w:rsid w:val="00562C2A"/>
    <w:rsid w:val="005631AB"/>
    <w:rsid w:val="00564036"/>
    <w:rsid w:val="0056442D"/>
    <w:rsid w:val="00564E56"/>
    <w:rsid w:val="0056532D"/>
    <w:rsid w:val="00565841"/>
    <w:rsid w:val="00565D44"/>
    <w:rsid w:val="005660BE"/>
    <w:rsid w:val="00566209"/>
    <w:rsid w:val="005662D6"/>
    <w:rsid w:val="005663E4"/>
    <w:rsid w:val="005666D1"/>
    <w:rsid w:val="00566717"/>
    <w:rsid w:val="0056696E"/>
    <w:rsid w:val="00567044"/>
    <w:rsid w:val="00570422"/>
    <w:rsid w:val="00570DFE"/>
    <w:rsid w:val="00571330"/>
    <w:rsid w:val="005713C9"/>
    <w:rsid w:val="0057153A"/>
    <w:rsid w:val="00571C83"/>
    <w:rsid w:val="00572E32"/>
    <w:rsid w:val="0057342E"/>
    <w:rsid w:val="0057418D"/>
    <w:rsid w:val="0057433B"/>
    <w:rsid w:val="005748EE"/>
    <w:rsid w:val="00575370"/>
    <w:rsid w:val="00575BAD"/>
    <w:rsid w:val="005765CD"/>
    <w:rsid w:val="005770CC"/>
    <w:rsid w:val="00577AF4"/>
    <w:rsid w:val="00580588"/>
    <w:rsid w:val="0058092B"/>
    <w:rsid w:val="0058092E"/>
    <w:rsid w:val="00581DCB"/>
    <w:rsid w:val="00581ED3"/>
    <w:rsid w:val="00582701"/>
    <w:rsid w:val="00582D25"/>
    <w:rsid w:val="00582DD7"/>
    <w:rsid w:val="0058319F"/>
    <w:rsid w:val="00584BA1"/>
    <w:rsid w:val="00584EC0"/>
    <w:rsid w:val="0058503D"/>
    <w:rsid w:val="0058722E"/>
    <w:rsid w:val="0059068B"/>
    <w:rsid w:val="00590A7E"/>
    <w:rsid w:val="00590C28"/>
    <w:rsid w:val="00590CE0"/>
    <w:rsid w:val="00590CEA"/>
    <w:rsid w:val="00590DF6"/>
    <w:rsid w:val="00590E8F"/>
    <w:rsid w:val="0059133E"/>
    <w:rsid w:val="00592D78"/>
    <w:rsid w:val="0059462F"/>
    <w:rsid w:val="00594AC5"/>
    <w:rsid w:val="00594AE1"/>
    <w:rsid w:val="00595507"/>
    <w:rsid w:val="00595A5C"/>
    <w:rsid w:val="00595B37"/>
    <w:rsid w:val="00595E01"/>
    <w:rsid w:val="00596AE0"/>
    <w:rsid w:val="00597851"/>
    <w:rsid w:val="00597A4A"/>
    <w:rsid w:val="00597C00"/>
    <w:rsid w:val="005A0346"/>
    <w:rsid w:val="005A0C1A"/>
    <w:rsid w:val="005A13BB"/>
    <w:rsid w:val="005A1407"/>
    <w:rsid w:val="005A173F"/>
    <w:rsid w:val="005A1FF6"/>
    <w:rsid w:val="005A2003"/>
    <w:rsid w:val="005A2B4B"/>
    <w:rsid w:val="005A33CB"/>
    <w:rsid w:val="005A342F"/>
    <w:rsid w:val="005A3844"/>
    <w:rsid w:val="005A3A61"/>
    <w:rsid w:val="005A40CB"/>
    <w:rsid w:val="005A4FCD"/>
    <w:rsid w:val="005A5699"/>
    <w:rsid w:val="005A56EF"/>
    <w:rsid w:val="005A5889"/>
    <w:rsid w:val="005A5E17"/>
    <w:rsid w:val="005A6400"/>
    <w:rsid w:val="005A67F5"/>
    <w:rsid w:val="005A76EE"/>
    <w:rsid w:val="005A7844"/>
    <w:rsid w:val="005B0A48"/>
    <w:rsid w:val="005B0F70"/>
    <w:rsid w:val="005B1AEC"/>
    <w:rsid w:val="005B275B"/>
    <w:rsid w:val="005B2C00"/>
    <w:rsid w:val="005B2D65"/>
    <w:rsid w:val="005B3715"/>
    <w:rsid w:val="005B4145"/>
    <w:rsid w:val="005B4763"/>
    <w:rsid w:val="005B4CC2"/>
    <w:rsid w:val="005B4E5F"/>
    <w:rsid w:val="005B5896"/>
    <w:rsid w:val="005B5D88"/>
    <w:rsid w:val="005B5D8C"/>
    <w:rsid w:val="005B5F61"/>
    <w:rsid w:val="005B758C"/>
    <w:rsid w:val="005B7A0C"/>
    <w:rsid w:val="005B7D6C"/>
    <w:rsid w:val="005B7DCA"/>
    <w:rsid w:val="005C0175"/>
    <w:rsid w:val="005C04FA"/>
    <w:rsid w:val="005C0871"/>
    <w:rsid w:val="005C12BD"/>
    <w:rsid w:val="005C2106"/>
    <w:rsid w:val="005C21E1"/>
    <w:rsid w:val="005C2295"/>
    <w:rsid w:val="005C2495"/>
    <w:rsid w:val="005C3107"/>
    <w:rsid w:val="005C314A"/>
    <w:rsid w:val="005C3E07"/>
    <w:rsid w:val="005C4008"/>
    <w:rsid w:val="005C40FE"/>
    <w:rsid w:val="005C41E7"/>
    <w:rsid w:val="005C439B"/>
    <w:rsid w:val="005C44E4"/>
    <w:rsid w:val="005C5C8D"/>
    <w:rsid w:val="005C6125"/>
    <w:rsid w:val="005C68AF"/>
    <w:rsid w:val="005C706B"/>
    <w:rsid w:val="005C74B5"/>
    <w:rsid w:val="005C7B25"/>
    <w:rsid w:val="005C7C27"/>
    <w:rsid w:val="005C7DF4"/>
    <w:rsid w:val="005D0752"/>
    <w:rsid w:val="005D0C6A"/>
    <w:rsid w:val="005D1A78"/>
    <w:rsid w:val="005D1B61"/>
    <w:rsid w:val="005D25DC"/>
    <w:rsid w:val="005D3ABF"/>
    <w:rsid w:val="005D3C01"/>
    <w:rsid w:val="005D533A"/>
    <w:rsid w:val="005D5B32"/>
    <w:rsid w:val="005D67B2"/>
    <w:rsid w:val="005D685D"/>
    <w:rsid w:val="005D7142"/>
    <w:rsid w:val="005D720D"/>
    <w:rsid w:val="005D78E4"/>
    <w:rsid w:val="005E00E5"/>
    <w:rsid w:val="005E01B4"/>
    <w:rsid w:val="005E01FA"/>
    <w:rsid w:val="005E0403"/>
    <w:rsid w:val="005E07BF"/>
    <w:rsid w:val="005E0AF7"/>
    <w:rsid w:val="005E1112"/>
    <w:rsid w:val="005E184D"/>
    <w:rsid w:val="005E1B6C"/>
    <w:rsid w:val="005E1C17"/>
    <w:rsid w:val="005E1C5C"/>
    <w:rsid w:val="005E25B2"/>
    <w:rsid w:val="005E306F"/>
    <w:rsid w:val="005E3071"/>
    <w:rsid w:val="005E374E"/>
    <w:rsid w:val="005E3D35"/>
    <w:rsid w:val="005E40E4"/>
    <w:rsid w:val="005E43BC"/>
    <w:rsid w:val="005E4E8C"/>
    <w:rsid w:val="005E5164"/>
    <w:rsid w:val="005E535A"/>
    <w:rsid w:val="005E570A"/>
    <w:rsid w:val="005E583F"/>
    <w:rsid w:val="005E58A2"/>
    <w:rsid w:val="005E59B7"/>
    <w:rsid w:val="005E5A33"/>
    <w:rsid w:val="005E5DAA"/>
    <w:rsid w:val="005E6169"/>
    <w:rsid w:val="005E6382"/>
    <w:rsid w:val="005E6E43"/>
    <w:rsid w:val="005E72E6"/>
    <w:rsid w:val="005E7367"/>
    <w:rsid w:val="005E7BA9"/>
    <w:rsid w:val="005F02B8"/>
    <w:rsid w:val="005F0803"/>
    <w:rsid w:val="005F086F"/>
    <w:rsid w:val="005F0ADD"/>
    <w:rsid w:val="005F0F84"/>
    <w:rsid w:val="005F1312"/>
    <w:rsid w:val="005F1386"/>
    <w:rsid w:val="005F16C2"/>
    <w:rsid w:val="005F1908"/>
    <w:rsid w:val="005F296E"/>
    <w:rsid w:val="005F2A22"/>
    <w:rsid w:val="005F34FD"/>
    <w:rsid w:val="005F4102"/>
    <w:rsid w:val="005F4931"/>
    <w:rsid w:val="005F4BA9"/>
    <w:rsid w:val="005F4ED6"/>
    <w:rsid w:val="005F595B"/>
    <w:rsid w:val="005F600A"/>
    <w:rsid w:val="005F6222"/>
    <w:rsid w:val="005F6986"/>
    <w:rsid w:val="005F69BB"/>
    <w:rsid w:val="005F6C11"/>
    <w:rsid w:val="005F6C60"/>
    <w:rsid w:val="005F6FE9"/>
    <w:rsid w:val="005F71FA"/>
    <w:rsid w:val="005F72B0"/>
    <w:rsid w:val="005F7710"/>
    <w:rsid w:val="005F77B8"/>
    <w:rsid w:val="005F7EEA"/>
    <w:rsid w:val="00600089"/>
    <w:rsid w:val="00600243"/>
    <w:rsid w:val="00600391"/>
    <w:rsid w:val="0060171B"/>
    <w:rsid w:val="00601898"/>
    <w:rsid w:val="00601A76"/>
    <w:rsid w:val="00601B2B"/>
    <w:rsid w:val="00601EA9"/>
    <w:rsid w:val="00602A1D"/>
    <w:rsid w:val="006030FC"/>
    <w:rsid w:val="00603C4B"/>
    <w:rsid w:val="00603EDF"/>
    <w:rsid w:val="0060467A"/>
    <w:rsid w:val="006046D4"/>
    <w:rsid w:val="00604DCB"/>
    <w:rsid w:val="00605C3B"/>
    <w:rsid w:val="00605E2D"/>
    <w:rsid w:val="00606057"/>
    <w:rsid w:val="0060613D"/>
    <w:rsid w:val="00606458"/>
    <w:rsid w:val="00606616"/>
    <w:rsid w:val="00607AD1"/>
    <w:rsid w:val="00607B85"/>
    <w:rsid w:val="00607C49"/>
    <w:rsid w:val="0061006B"/>
    <w:rsid w:val="00611DE1"/>
    <w:rsid w:val="00612667"/>
    <w:rsid w:val="006128C8"/>
    <w:rsid w:val="00612F13"/>
    <w:rsid w:val="00613987"/>
    <w:rsid w:val="00613AC0"/>
    <w:rsid w:val="00613DB2"/>
    <w:rsid w:val="00616104"/>
    <w:rsid w:val="00616848"/>
    <w:rsid w:val="00616D56"/>
    <w:rsid w:val="00617325"/>
    <w:rsid w:val="006177AD"/>
    <w:rsid w:val="00617A26"/>
    <w:rsid w:val="00620679"/>
    <w:rsid w:val="00621AFD"/>
    <w:rsid w:val="00621CB4"/>
    <w:rsid w:val="00622589"/>
    <w:rsid w:val="00622814"/>
    <w:rsid w:val="00622A3D"/>
    <w:rsid w:val="00622D71"/>
    <w:rsid w:val="00623139"/>
    <w:rsid w:val="0062321E"/>
    <w:rsid w:val="00623601"/>
    <w:rsid w:val="006238D3"/>
    <w:rsid w:val="00623AEF"/>
    <w:rsid w:val="00623CD4"/>
    <w:rsid w:val="00624009"/>
    <w:rsid w:val="0062544C"/>
    <w:rsid w:val="006256EF"/>
    <w:rsid w:val="0062587B"/>
    <w:rsid w:val="00625BD1"/>
    <w:rsid w:val="00626782"/>
    <w:rsid w:val="00626EDD"/>
    <w:rsid w:val="00626EE4"/>
    <w:rsid w:val="00627552"/>
    <w:rsid w:val="00630041"/>
    <w:rsid w:val="006316A9"/>
    <w:rsid w:val="00631A12"/>
    <w:rsid w:val="00631DD9"/>
    <w:rsid w:val="00632005"/>
    <w:rsid w:val="0063233E"/>
    <w:rsid w:val="006328CA"/>
    <w:rsid w:val="00632F03"/>
    <w:rsid w:val="00633F66"/>
    <w:rsid w:val="00633F91"/>
    <w:rsid w:val="00634817"/>
    <w:rsid w:val="0063504C"/>
    <w:rsid w:val="006352FF"/>
    <w:rsid w:val="00635C9F"/>
    <w:rsid w:val="00636393"/>
    <w:rsid w:val="0063693B"/>
    <w:rsid w:val="00636BC1"/>
    <w:rsid w:val="00637F62"/>
    <w:rsid w:val="006400CF"/>
    <w:rsid w:val="006401FD"/>
    <w:rsid w:val="00640721"/>
    <w:rsid w:val="00640A84"/>
    <w:rsid w:val="0064149B"/>
    <w:rsid w:val="00641773"/>
    <w:rsid w:val="00642002"/>
    <w:rsid w:val="00642165"/>
    <w:rsid w:val="006422A6"/>
    <w:rsid w:val="006422C8"/>
    <w:rsid w:val="006424C4"/>
    <w:rsid w:val="00642C30"/>
    <w:rsid w:val="00642EC2"/>
    <w:rsid w:val="006431F3"/>
    <w:rsid w:val="00643A9B"/>
    <w:rsid w:val="00643EB6"/>
    <w:rsid w:val="0064401A"/>
    <w:rsid w:val="006441E4"/>
    <w:rsid w:val="00644AAC"/>
    <w:rsid w:val="00645271"/>
    <w:rsid w:val="00645B86"/>
    <w:rsid w:val="00645E9A"/>
    <w:rsid w:val="006468FE"/>
    <w:rsid w:val="00646A54"/>
    <w:rsid w:val="00646DD9"/>
    <w:rsid w:val="00646F29"/>
    <w:rsid w:val="00647AB6"/>
    <w:rsid w:val="00647BFE"/>
    <w:rsid w:val="006501C5"/>
    <w:rsid w:val="0065023A"/>
    <w:rsid w:val="00650B59"/>
    <w:rsid w:val="00650E4C"/>
    <w:rsid w:val="00650EDC"/>
    <w:rsid w:val="006519CC"/>
    <w:rsid w:val="006519CF"/>
    <w:rsid w:val="00651B60"/>
    <w:rsid w:val="006523F4"/>
    <w:rsid w:val="0065387E"/>
    <w:rsid w:val="00653986"/>
    <w:rsid w:val="00653B08"/>
    <w:rsid w:val="006540EE"/>
    <w:rsid w:val="0065417D"/>
    <w:rsid w:val="006541E2"/>
    <w:rsid w:val="00654B30"/>
    <w:rsid w:val="0065520B"/>
    <w:rsid w:val="0065549E"/>
    <w:rsid w:val="00655EA6"/>
    <w:rsid w:val="00655F5C"/>
    <w:rsid w:val="00655F72"/>
    <w:rsid w:val="0065659C"/>
    <w:rsid w:val="006566CC"/>
    <w:rsid w:val="006572C6"/>
    <w:rsid w:val="00657BDE"/>
    <w:rsid w:val="00660108"/>
    <w:rsid w:val="006602B7"/>
    <w:rsid w:val="006605EB"/>
    <w:rsid w:val="0066092A"/>
    <w:rsid w:val="00660DCC"/>
    <w:rsid w:val="00661374"/>
    <w:rsid w:val="00661873"/>
    <w:rsid w:val="006618A0"/>
    <w:rsid w:val="00661B45"/>
    <w:rsid w:val="00661C55"/>
    <w:rsid w:val="00661C95"/>
    <w:rsid w:val="006620E1"/>
    <w:rsid w:val="00662A2F"/>
    <w:rsid w:val="00662A5B"/>
    <w:rsid w:val="00662CEF"/>
    <w:rsid w:val="00662E09"/>
    <w:rsid w:val="006631BC"/>
    <w:rsid w:val="006633CE"/>
    <w:rsid w:val="00663936"/>
    <w:rsid w:val="00663B30"/>
    <w:rsid w:val="00663F71"/>
    <w:rsid w:val="00664181"/>
    <w:rsid w:val="0066444E"/>
    <w:rsid w:val="00665170"/>
    <w:rsid w:val="00665282"/>
    <w:rsid w:val="0066539E"/>
    <w:rsid w:val="00665E0F"/>
    <w:rsid w:val="00666F2B"/>
    <w:rsid w:val="0066701C"/>
    <w:rsid w:val="00667702"/>
    <w:rsid w:val="0066784F"/>
    <w:rsid w:val="00667D06"/>
    <w:rsid w:val="00667F34"/>
    <w:rsid w:val="00670A1A"/>
    <w:rsid w:val="00670A7B"/>
    <w:rsid w:val="00670C9B"/>
    <w:rsid w:val="0067131D"/>
    <w:rsid w:val="006716CF"/>
    <w:rsid w:val="00671835"/>
    <w:rsid w:val="0067217C"/>
    <w:rsid w:val="00672798"/>
    <w:rsid w:val="00672E55"/>
    <w:rsid w:val="0067307A"/>
    <w:rsid w:val="00673CAE"/>
    <w:rsid w:val="006751A5"/>
    <w:rsid w:val="0067560A"/>
    <w:rsid w:val="0067583B"/>
    <w:rsid w:val="00675B83"/>
    <w:rsid w:val="00675F75"/>
    <w:rsid w:val="00676A8A"/>
    <w:rsid w:val="006770B5"/>
    <w:rsid w:val="006771EF"/>
    <w:rsid w:val="00677BB6"/>
    <w:rsid w:val="00677C61"/>
    <w:rsid w:val="00677CF5"/>
    <w:rsid w:val="006804C1"/>
    <w:rsid w:val="006805B7"/>
    <w:rsid w:val="00681BB5"/>
    <w:rsid w:val="00681DAF"/>
    <w:rsid w:val="006821FA"/>
    <w:rsid w:val="00682461"/>
    <w:rsid w:val="006824C5"/>
    <w:rsid w:val="00682535"/>
    <w:rsid w:val="00682771"/>
    <w:rsid w:val="006827A6"/>
    <w:rsid w:val="00682DC4"/>
    <w:rsid w:val="00683C27"/>
    <w:rsid w:val="00684381"/>
    <w:rsid w:val="00684CC1"/>
    <w:rsid w:val="00685097"/>
    <w:rsid w:val="006855AB"/>
    <w:rsid w:val="00685E9A"/>
    <w:rsid w:val="0068619D"/>
    <w:rsid w:val="00686387"/>
    <w:rsid w:val="00686925"/>
    <w:rsid w:val="006872FF"/>
    <w:rsid w:val="00687815"/>
    <w:rsid w:val="006878DC"/>
    <w:rsid w:val="006905C3"/>
    <w:rsid w:val="00690868"/>
    <w:rsid w:val="0069099F"/>
    <w:rsid w:val="00691A96"/>
    <w:rsid w:val="00691C94"/>
    <w:rsid w:val="00691DE4"/>
    <w:rsid w:val="00691E0B"/>
    <w:rsid w:val="0069214B"/>
    <w:rsid w:val="00692B0F"/>
    <w:rsid w:val="00693307"/>
    <w:rsid w:val="0069416E"/>
    <w:rsid w:val="006945B8"/>
    <w:rsid w:val="00694BC2"/>
    <w:rsid w:val="006958B3"/>
    <w:rsid w:val="00695BE9"/>
    <w:rsid w:val="00695DEA"/>
    <w:rsid w:val="00696D74"/>
    <w:rsid w:val="00697342"/>
    <w:rsid w:val="00697464"/>
    <w:rsid w:val="00697575"/>
    <w:rsid w:val="006977DC"/>
    <w:rsid w:val="00697AE3"/>
    <w:rsid w:val="006A0008"/>
    <w:rsid w:val="006A03CF"/>
    <w:rsid w:val="006A0428"/>
    <w:rsid w:val="006A0544"/>
    <w:rsid w:val="006A0943"/>
    <w:rsid w:val="006A0AF3"/>
    <w:rsid w:val="006A0D13"/>
    <w:rsid w:val="006A1348"/>
    <w:rsid w:val="006A1602"/>
    <w:rsid w:val="006A1F00"/>
    <w:rsid w:val="006A2866"/>
    <w:rsid w:val="006A289C"/>
    <w:rsid w:val="006A2B62"/>
    <w:rsid w:val="006A33D7"/>
    <w:rsid w:val="006A494A"/>
    <w:rsid w:val="006A55F6"/>
    <w:rsid w:val="006A6A6E"/>
    <w:rsid w:val="006A6CA7"/>
    <w:rsid w:val="006A6CB9"/>
    <w:rsid w:val="006A6D0E"/>
    <w:rsid w:val="006A78A9"/>
    <w:rsid w:val="006A7D7D"/>
    <w:rsid w:val="006A7FB9"/>
    <w:rsid w:val="006B0480"/>
    <w:rsid w:val="006B05CA"/>
    <w:rsid w:val="006B09DD"/>
    <w:rsid w:val="006B0B29"/>
    <w:rsid w:val="006B0DAD"/>
    <w:rsid w:val="006B0E92"/>
    <w:rsid w:val="006B0F85"/>
    <w:rsid w:val="006B14D1"/>
    <w:rsid w:val="006B28B6"/>
    <w:rsid w:val="006B344B"/>
    <w:rsid w:val="006B4784"/>
    <w:rsid w:val="006B4C23"/>
    <w:rsid w:val="006B50CB"/>
    <w:rsid w:val="006B548B"/>
    <w:rsid w:val="006B57BC"/>
    <w:rsid w:val="006B584F"/>
    <w:rsid w:val="006B5A95"/>
    <w:rsid w:val="006B5E71"/>
    <w:rsid w:val="006B616C"/>
    <w:rsid w:val="006B6583"/>
    <w:rsid w:val="006B6D4B"/>
    <w:rsid w:val="006B75A1"/>
    <w:rsid w:val="006B771A"/>
    <w:rsid w:val="006B79FC"/>
    <w:rsid w:val="006B7A39"/>
    <w:rsid w:val="006B7AC7"/>
    <w:rsid w:val="006B7DF9"/>
    <w:rsid w:val="006C0096"/>
    <w:rsid w:val="006C096B"/>
    <w:rsid w:val="006C12BD"/>
    <w:rsid w:val="006C1316"/>
    <w:rsid w:val="006C1781"/>
    <w:rsid w:val="006C189D"/>
    <w:rsid w:val="006C1B47"/>
    <w:rsid w:val="006C2A76"/>
    <w:rsid w:val="006C2B23"/>
    <w:rsid w:val="006C35DB"/>
    <w:rsid w:val="006C457B"/>
    <w:rsid w:val="006C4802"/>
    <w:rsid w:val="006C503C"/>
    <w:rsid w:val="006C504F"/>
    <w:rsid w:val="006C55BE"/>
    <w:rsid w:val="006C5A9A"/>
    <w:rsid w:val="006C5D41"/>
    <w:rsid w:val="006C6320"/>
    <w:rsid w:val="006C6386"/>
    <w:rsid w:val="006C69DE"/>
    <w:rsid w:val="006C718D"/>
    <w:rsid w:val="006C720B"/>
    <w:rsid w:val="006C757C"/>
    <w:rsid w:val="006C7689"/>
    <w:rsid w:val="006C771F"/>
    <w:rsid w:val="006C79E0"/>
    <w:rsid w:val="006D01A3"/>
    <w:rsid w:val="006D12C5"/>
    <w:rsid w:val="006D12F6"/>
    <w:rsid w:val="006D1301"/>
    <w:rsid w:val="006D1B6C"/>
    <w:rsid w:val="006D2872"/>
    <w:rsid w:val="006D28E6"/>
    <w:rsid w:val="006D2D81"/>
    <w:rsid w:val="006D2EAD"/>
    <w:rsid w:val="006D3E1E"/>
    <w:rsid w:val="006D4365"/>
    <w:rsid w:val="006D4687"/>
    <w:rsid w:val="006D4AF1"/>
    <w:rsid w:val="006D5503"/>
    <w:rsid w:val="006D554C"/>
    <w:rsid w:val="006D56C9"/>
    <w:rsid w:val="006D62F1"/>
    <w:rsid w:val="006D6316"/>
    <w:rsid w:val="006D6462"/>
    <w:rsid w:val="006D6699"/>
    <w:rsid w:val="006D7033"/>
    <w:rsid w:val="006D723A"/>
    <w:rsid w:val="006E0115"/>
    <w:rsid w:val="006E01F9"/>
    <w:rsid w:val="006E02E7"/>
    <w:rsid w:val="006E034F"/>
    <w:rsid w:val="006E0767"/>
    <w:rsid w:val="006E0B80"/>
    <w:rsid w:val="006E0C76"/>
    <w:rsid w:val="006E10AA"/>
    <w:rsid w:val="006E135F"/>
    <w:rsid w:val="006E1529"/>
    <w:rsid w:val="006E1B67"/>
    <w:rsid w:val="006E1CCD"/>
    <w:rsid w:val="006E23A6"/>
    <w:rsid w:val="006E3166"/>
    <w:rsid w:val="006E32C6"/>
    <w:rsid w:val="006E3F1B"/>
    <w:rsid w:val="006E491F"/>
    <w:rsid w:val="006E4C26"/>
    <w:rsid w:val="006E55DC"/>
    <w:rsid w:val="006E6666"/>
    <w:rsid w:val="006E72F8"/>
    <w:rsid w:val="006E7E43"/>
    <w:rsid w:val="006F0262"/>
    <w:rsid w:val="006F0616"/>
    <w:rsid w:val="006F06DF"/>
    <w:rsid w:val="006F06E1"/>
    <w:rsid w:val="006F1014"/>
    <w:rsid w:val="006F1FDE"/>
    <w:rsid w:val="006F21B7"/>
    <w:rsid w:val="006F2C36"/>
    <w:rsid w:val="006F3148"/>
    <w:rsid w:val="006F3204"/>
    <w:rsid w:val="006F32EC"/>
    <w:rsid w:val="006F3B36"/>
    <w:rsid w:val="006F3D6D"/>
    <w:rsid w:val="006F3EA1"/>
    <w:rsid w:val="006F4096"/>
    <w:rsid w:val="006F4264"/>
    <w:rsid w:val="006F4641"/>
    <w:rsid w:val="006F487A"/>
    <w:rsid w:val="006F534A"/>
    <w:rsid w:val="006F5407"/>
    <w:rsid w:val="006F55CE"/>
    <w:rsid w:val="006F56ED"/>
    <w:rsid w:val="006F57DA"/>
    <w:rsid w:val="006F59C5"/>
    <w:rsid w:val="006F59DB"/>
    <w:rsid w:val="006F5C15"/>
    <w:rsid w:val="006F5D26"/>
    <w:rsid w:val="006F5F21"/>
    <w:rsid w:val="006F7FEE"/>
    <w:rsid w:val="0070052A"/>
    <w:rsid w:val="007009E1"/>
    <w:rsid w:val="00700D87"/>
    <w:rsid w:val="00700EE6"/>
    <w:rsid w:val="007012E0"/>
    <w:rsid w:val="007013A6"/>
    <w:rsid w:val="00701402"/>
    <w:rsid w:val="00701465"/>
    <w:rsid w:val="007034A0"/>
    <w:rsid w:val="00703BC5"/>
    <w:rsid w:val="00703C65"/>
    <w:rsid w:val="00704495"/>
    <w:rsid w:val="00704815"/>
    <w:rsid w:val="00704FB7"/>
    <w:rsid w:val="00705843"/>
    <w:rsid w:val="0070631B"/>
    <w:rsid w:val="007065B2"/>
    <w:rsid w:val="00706967"/>
    <w:rsid w:val="00706B01"/>
    <w:rsid w:val="00706D05"/>
    <w:rsid w:val="0070770E"/>
    <w:rsid w:val="00707AF5"/>
    <w:rsid w:val="00710023"/>
    <w:rsid w:val="0071076A"/>
    <w:rsid w:val="00711280"/>
    <w:rsid w:val="00711402"/>
    <w:rsid w:val="00711483"/>
    <w:rsid w:val="007117B9"/>
    <w:rsid w:val="00711D38"/>
    <w:rsid w:val="00712009"/>
    <w:rsid w:val="007123AF"/>
    <w:rsid w:val="00712C21"/>
    <w:rsid w:val="00712C99"/>
    <w:rsid w:val="00713BF0"/>
    <w:rsid w:val="007145C3"/>
    <w:rsid w:val="007155C3"/>
    <w:rsid w:val="00715D19"/>
    <w:rsid w:val="00715F6C"/>
    <w:rsid w:val="00715F95"/>
    <w:rsid w:val="00716017"/>
    <w:rsid w:val="0071692D"/>
    <w:rsid w:val="00716DCC"/>
    <w:rsid w:val="0071711A"/>
    <w:rsid w:val="007172CB"/>
    <w:rsid w:val="00717346"/>
    <w:rsid w:val="0071736F"/>
    <w:rsid w:val="00717713"/>
    <w:rsid w:val="00717F72"/>
    <w:rsid w:val="00720CD3"/>
    <w:rsid w:val="00721022"/>
    <w:rsid w:val="007211BC"/>
    <w:rsid w:val="00721282"/>
    <w:rsid w:val="00721698"/>
    <w:rsid w:val="00721733"/>
    <w:rsid w:val="00721D04"/>
    <w:rsid w:val="007227AC"/>
    <w:rsid w:val="00722936"/>
    <w:rsid w:val="00722D11"/>
    <w:rsid w:val="00722FE3"/>
    <w:rsid w:val="007239E9"/>
    <w:rsid w:val="007240FD"/>
    <w:rsid w:val="00724405"/>
    <w:rsid w:val="0072454E"/>
    <w:rsid w:val="0072467D"/>
    <w:rsid w:val="0072615A"/>
    <w:rsid w:val="0072648F"/>
    <w:rsid w:val="007264C1"/>
    <w:rsid w:val="007265C9"/>
    <w:rsid w:val="007266A0"/>
    <w:rsid w:val="00726819"/>
    <w:rsid w:val="00726A6B"/>
    <w:rsid w:val="00726BCF"/>
    <w:rsid w:val="00726C86"/>
    <w:rsid w:val="00726CEB"/>
    <w:rsid w:val="00727AA8"/>
    <w:rsid w:val="00727C73"/>
    <w:rsid w:val="00727CE3"/>
    <w:rsid w:val="00730204"/>
    <w:rsid w:val="00730D62"/>
    <w:rsid w:val="0073103E"/>
    <w:rsid w:val="0073116F"/>
    <w:rsid w:val="00731DA6"/>
    <w:rsid w:val="00731FF8"/>
    <w:rsid w:val="00732873"/>
    <w:rsid w:val="007339A4"/>
    <w:rsid w:val="00733CE3"/>
    <w:rsid w:val="00733D54"/>
    <w:rsid w:val="007342E1"/>
    <w:rsid w:val="00734D38"/>
    <w:rsid w:val="0073530D"/>
    <w:rsid w:val="00735555"/>
    <w:rsid w:val="00735F1D"/>
    <w:rsid w:val="007365A5"/>
    <w:rsid w:val="007365AF"/>
    <w:rsid w:val="00736856"/>
    <w:rsid w:val="00736A10"/>
    <w:rsid w:val="00736CE8"/>
    <w:rsid w:val="00737048"/>
    <w:rsid w:val="007372B0"/>
    <w:rsid w:val="007373BC"/>
    <w:rsid w:val="00740035"/>
    <w:rsid w:val="00740499"/>
    <w:rsid w:val="007407B8"/>
    <w:rsid w:val="0074169F"/>
    <w:rsid w:val="00741B41"/>
    <w:rsid w:val="00742253"/>
    <w:rsid w:val="00742556"/>
    <w:rsid w:val="007428B2"/>
    <w:rsid w:val="00743881"/>
    <w:rsid w:val="007438FE"/>
    <w:rsid w:val="007443FC"/>
    <w:rsid w:val="00744DC1"/>
    <w:rsid w:val="00745016"/>
    <w:rsid w:val="007454D0"/>
    <w:rsid w:val="0074553E"/>
    <w:rsid w:val="00745562"/>
    <w:rsid w:val="00745875"/>
    <w:rsid w:val="00745DAF"/>
    <w:rsid w:val="00745EAF"/>
    <w:rsid w:val="007467A5"/>
    <w:rsid w:val="007473DE"/>
    <w:rsid w:val="00747B99"/>
    <w:rsid w:val="00747FD4"/>
    <w:rsid w:val="0075026D"/>
    <w:rsid w:val="00750BAC"/>
    <w:rsid w:val="00750BFD"/>
    <w:rsid w:val="0075107E"/>
    <w:rsid w:val="0075114F"/>
    <w:rsid w:val="0075158A"/>
    <w:rsid w:val="0075299D"/>
    <w:rsid w:val="007542DF"/>
    <w:rsid w:val="00755E66"/>
    <w:rsid w:val="00756542"/>
    <w:rsid w:val="007565A5"/>
    <w:rsid w:val="00756F8E"/>
    <w:rsid w:val="00761646"/>
    <w:rsid w:val="00762575"/>
    <w:rsid w:val="00762593"/>
    <w:rsid w:val="00762E85"/>
    <w:rsid w:val="00762F17"/>
    <w:rsid w:val="007635D6"/>
    <w:rsid w:val="00763648"/>
    <w:rsid w:val="0076392F"/>
    <w:rsid w:val="00763B11"/>
    <w:rsid w:val="00763EE0"/>
    <w:rsid w:val="00764253"/>
    <w:rsid w:val="00764AE5"/>
    <w:rsid w:val="00765025"/>
    <w:rsid w:val="00765298"/>
    <w:rsid w:val="00765588"/>
    <w:rsid w:val="00765B03"/>
    <w:rsid w:val="00765ED2"/>
    <w:rsid w:val="00766D7C"/>
    <w:rsid w:val="0076739C"/>
    <w:rsid w:val="00767423"/>
    <w:rsid w:val="007677A6"/>
    <w:rsid w:val="00767F32"/>
    <w:rsid w:val="00770A9F"/>
    <w:rsid w:val="00770D19"/>
    <w:rsid w:val="00770E25"/>
    <w:rsid w:val="00770E8A"/>
    <w:rsid w:val="0077102D"/>
    <w:rsid w:val="00771119"/>
    <w:rsid w:val="007713BD"/>
    <w:rsid w:val="00771441"/>
    <w:rsid w:val="007718A5"/>
    <w:rsid w:val="007720D9"/>
    <w:rsid w:val="00772D0A"/>
    <w:rsid w:val="00772EDA"/>
    <w:rsid w:val="00773117"/>
    <w:rsid w:val="007733B9"/>
    <w:rsid w:val="00773622"/>
    <w:rsid w:val="00773886"/>
    <w:rsid w:val="00773BD4"/>
    <w:rsid w:val="00773CB8"/>
    <w:rsid w:val="00774317"/>
    <w:rsid w:val="0077484C"/>
    <w:rsid w:val="00777363"/>
    <w:rsid w:val="00777896"/>
    <w:rsid w:val="00777E90"/>
    <w:rsid w:val="007801D0"/>
    <w:rsid w:val="00780C7F"/>
    <w:rsid w:val="00781A42"/>
    <w:rsid w:val="00781C70"/>
    <w:rsid w:val="0078210C"/>
    <w:rsid w:val="00782866"/>
    <w:rsid w:val="007838B7"/>
    <w:rsid w:val="00783BCF"/>
    <w:rsid w:val="00784000"/>
    <w:rsid w:val="007846B9"/>
    <w:rsid w:val="00785E16"/>
    <w:rsid w:val="00785ED4"/>
    <w:rsid w:val="00786138"/>
    <w:rsid w:val="0078622D"/>
    <w:rsid w:val="00786981"/>
    <w:rsid w:val="007870B3"/>
    <w:rsid w:val="007871AA"/>
    <w:rsid w:val="007873EA"/>
    <w:rsid w:val="00787857"/>
    <w:rsid w:val="00787A0B"/>
    <w:rsid w:val="00790180"/>
    <w:rsid w:val="007902B1"/>
    <w:rsid w:val="007903D4"/>
    <w:rsid w:val="007905EB"/>
    <w:rsid w:val="00791239"/>
    <w:rsid w:val="0079136D"/>
    <w:rsid w:val="00791AFA"/>
    <w:rsid w:val="00791BB8"/>
    <w:rsid w:val="00791D4D"/>
    <w:rsid w:val="00791F8E"/>
    <w:rsid w:val="00792403"/>
    <w:rsid w:val="00793343"/>
    <w:rsid w:val="007936C5"/>
    <w:rsid w:val="007938B0"/>
    <w:rsid w:val="007941D3"/>
    <w:rsid w:val="0079464B"/>
    <w:rsid w:val="00794B37"/>
    <w:rsid w:val="00794EE7"/>
    <w:rsid w:val="00794EF0"/>
    <w:rsid w:val="00794FE9"/>
    <w:rsid w:val="00795384"/>
    <w:rsid w:val="00795473"/>
    <w:rsid w:val="0079586C"/>
    <w:rsid w:val="00795870"/>
    <w:rsid w:val="007958E1"/>
    <w:rsid w:val="00795AEA"/>
    <w:rsid w:val="00795BE5"/>
    <w:rsid w:val="00796717"/>
    <w:rsid w:val="00797271"/>
    <w:rsid w:val="00797F6C"/>
    <w:rsid w:val="007A0307"/>
    <w:rsid w:val="007A09B3"/>
    <w:rsid w:val="007A1250"/>
    <w:rsid w:val="007A14CC"/>
    <w:rsid w:val="007A17CA"/>
    <w:rsid w:val="007A27F1"/>
    <w:rsid w:val="007A2AD2"/>
    <w:rsid w:val="007A3B02"/>
    <w:rsid w:val="007A3B31"/>
    <w:rsid w:val="007A3C4E"/>
    <w:rsid w:val="007A4621"/>
    <w:rsid w:val="007A4B81"/>
    <w:rsid w:val="007A4F54"/>
    <w:rsid w:val="007A532A"/>
    <w:rsid w:val="007A5577"/>
    <w:rsid w:val="007A59AD"/>
    <w:rsid w:val="007A5C31"/>
    <w:rsid w:val="007A5DB7"/>
    <w:rsid w:val="007A5FB9"/>
    <w:rsid w:val="007A632D"/>
    <w:rsid w:val="007A655E"/>
    <w:rsid w:val="007A65D5"/>
    <w:rsid w:val="007A6DAB"/>
    <w:rsid w:val="007A6DFA"/>
    <w:rsid w:val="007A788F"/>
    <w:rsid w:val="007B0336"/>
    <w:rsid w:val="007B0364"/>
    <w:rsid w:val="007B040C"/>
    <w:rsid w:val="007B09E5"/>
    <w:rsid w:val="007B1B87"/>
    <w:rsid w:val="007B2947"/>
    <w:rsid w:val="007B2B96"/>
    <w:rsid w:val="007B2D05"/>
    <w:rsid w:val="007B308B"/>
    <w:rsid w:val="007B329D"/>
    <w:rsid w:val="007B3B1E"/>
    <w:rsid w:val="007B4495"/>
    <w:rsid w:val="007B46E9"/>
    <w:rsid w:val="007B58E8"/>
    <w:rsid w:val="007B5B81"/>
    <w:rsid w:val="007B5DEC"/>
    <w:rsid w:val="007B5F75"/>
    <w:rsid w:val="007B67F4"/>
    <w:rsid w:val="007B6B76"/>
    <w:rsid w:val="007B6E48"/>
    <w:rsid w:val="007B6EF7"/>
    <w:rsid w:val="007B6F1A"/>
    <w:rsid w:val="007B7313"/>
    <w:rsid w:val="007B7ADC"/>
    <w:rsid w:val="007C00FB"/>
    <w:rsid w:val="007C04E5"/>
    <w:rsid w:val="007C0700"/>
    <w:rsid w:val="007C07A1"/>
    <w:rsid w:val="007C0E21"/>
    <w:rsid w:val="007C114A"/>
    <w:rsid w:val="007C1BD8"/>
    <w:rsid w:val="007C1BF5"/>
    <w:rsid w:val="007C1D5B"/>
    <w:rsid w:val="007C2066"/>
    <w:rsid w:val="007C21CB"/>
    <w:rsid w:val="007C23C6"/>
    <w:rsid w:val="007C2863"/>
    <w:rsid w:val="007C29BD"/>
    <w:rsid w:val="007C2FD9"/>
    <w:rsid w:val="007C308A"/>
    <w:rsid w:val="007C4590"/>
    <w:rsid w:val="007C48C1"/>
    <w:rsid w:val="007C48F0"/>
    <w:rsid w:val="007C4A5A"/>
    <w:rsid w:val="007C5C34"/>
    <w:rsid w:val="007C5D7A"/>
    <w:rsid w:val="007C5F24"/>
    <w:rsid w:val="007C654A"/>
    <w:rsid w:val="007C7B4C"/>
    <w:rsid w:val="007D01B6"/>
    <w:rsid w:val="007D03A9"/>
    <w:rsid w:val="007D19D5"/>
    <w:rsid w:val="007D1F11"/>
    <w:rsid w:val="007D2178"/>
    <w:rsid w:val="007D333C"/>
    <w:rsid w:val="007D3649"/>
    <w:rsid w:val="007D3F8C"/>
    <w:rsid w:val="007D4000"/>
    <w:rsid w:val="007D4C30"/>
    <w:rsid w:val="007D4D0A"/>
    <w:rsid w:val="007D51B8"/>
    <w:rsid w:val="007D51E5"/>
    <w:rsid w:val="007D61C2"/>
    <w:rsid w:val="007D6335"/>
    <w:rsid w:val="007D6490"/>
    <w:rsid w:val="007D73FD"/>
    <w:rsid w:val="007D7B6D"/>
    <w:rsid w:val="007E14BA"/>
    <w:rsid w:val="007E1C82"/>
    <w:rsid w:val="007E2709"/>
    <w:rsid w:val="007E2A0F"/>
    <w:rsid w:val="007E3030"/>
    <w:rsid w:val="007E313E"/>
    <w:rsid w:val="007E35F8"/>
    <w:rsid w:val="007E37E0"/>
    <w:rsid w:val="007E3812"/>
    <w:rsid w:val="007E3B7B"/>
    <w:rsid w:val="007E41A5"/>
    <w:rsid w:val="007E4949"/>
    <w:rsid w:val="007E4971"/>
    <w:rsid w:val="007E4B83"/>
    <w:rsid w:val="007E5013"/>
    <w:rsid w:val="007E5176"/>
    <w:rsid w:val="007E665D"/>
    <w:rsid w:val="007E66E7"/>
    <w:rsid w:val="007E6778"/>
    <w:rsid w:val="007E6BBA"/>
    <w:rsid w:val="007E76AC"/>
    <w:rsid w:val="007E7F0B"/>
    <w:rsid w:val="007F0685"/>
    <w:rsid w:val="007F0A7D"/>
    <w:rsid w:val="007F106D"/>
    <w:rsid w:val="007F14A1"/>
    <w:rsid w:val="007F14A2"/>
    <w:rsid w:val="007F1876"/>
    <w:rsid w:val="007F2A45"/>
    <w:rsid w:val="007F2E56"/>
    <w:rsid w:val="007F360C"/>
    <w:rsid w:val="007F3694"/>
    <w:rsid w:val="007F3AAC"/>
    <w:rsid w:val="007F40AC"/>
    <w:rsid w:val="007F44A8"/>
    <w:rsid w:val="007F46EE"/>
    <w:rsid w:val="007F4911"/>
    <w:rsid w:val="007F4BE5"/>
    <w:rsid w:val="007F4D39"/>
    <w:rsid w:val="007F4FB7"/>
    <w:rsid w:val="007F593C"/>
    <w:rsid w:val="007F5ACF"/>
    <w:rsid w:val="007F6340"/>
    <w:rsid w:val="007F63E2"/>
    <w:rsid w:val="007F6DA1"/>
    <w:rsid w:val="007F736F"/>
    <w:rsid w:val="007F77C8"/>
    <w:rsid w:val="0080004E"/>
    <w:rsid w:val="00800098"/>
    <w:rsid w:val="008006A0"/>
    <w:rsid w:val="00800DD0"/>
    <w:rsid w:val="008014C2"/>
    <w:rsid w:val="0080159D"/>
    <w:rsid w:val="0080160F"/>
    <w:rsid w:val="00801B29"/>
    <w:rsid w:val="00801BEB"/>
    <w:rsid w:val="008023D9"/>
    <w:rsid w:val="00802439"/>
    <w:rsid w:val="008026D4"/>
    <w:rsid w:val="00805827"/>
    <w:rsid w:val="00806046"/>
    <w:rsid w:val="00806918"/>
    <w:rsid w:val="00806C60"/>
    <w:rsid w:val="00806C76"/>
    <w:rsid w:val="00807BC1"/>
    <w:rsid w:val="0081003B"/>
    <w:rsid w:val="00810413"/>
    <w:rsid w:val="0081129E"/>
    <w:rsid w:val="0081137C"/>
    <w:rsid w:val="0081153D"/>
    <w:rsid w:val="00811BBA"/>
    <w:rsid w:val="00811D4D"/>
    <w:rsid w:val="0081244E"/>
    <w:rsid w:val="008134F2"/>
    <w:rsid w:val="00813833"/>
    <w:rsid w:val="00813FA3"/>
    <w:rsid w:val="00814660"/>
    <w:rsid w:val="00814A27"/>
    <w:rsid w:val="00814CBC"/>
    <w:rsid w:val="00815567"/>
    <w:rsid w:val="0081565D"/>
    <w:rsid w:val="0081574F"/>
    <w:rsid w:val="008164EB"/>
    <w:rsid w:val="0081667D"/>
    <w:rsid w:val="00816F49"/>
    <w:rsid w:val="00817839"/>
    <w:rsid w:val="00817888"/>
    <w:rsid w:val="00820A6F"/>
    <w:rsid w:val="00820F7C"/>
    <w:rsid w:val="008218B3"/>
    <w:rsid w:val="00821DF1"/>
    <w:rsid w:val="0082252E"/>
    <w:rsid w:val="00822B88"/>
    <w:rsid w:val="00823866"/>
    <w:rsid w:val="008240C3"/>
    <w:rsid w:val="0082423D"/>
    <w:rsid w:val="00824367"/>
    <w:rsid w:val="00824918"/>
    <w:rsid w:val="00825382"/>
    <w:rsid w:val="0082580F"/>
    <w:rsid w:val="00825B97"/>
    <w:rsid w:val="00826641"/>
    <w:rsid w:val="00826B3B"/>
    <w:rsid w:val="00826C7E"/>
    <w:rsid w:val="008272DA"/>
    <w:rsid w:val="00827ECA"/>
    <w:rsid w:val="008301DC"/>
    <w:rsid w:val="0083034A"/>
    <w:rsid w:val="00830A07"/>
    <w:rsid w:val="00830EE5"/>
    <w:rsid w:val="0083199D"/>
    <w:rsid w:val="00831DC9"/>
    <w:rsid w:val="00831FCB"/>
    <w:rsid w:val="00833790"/>
    <w:rsid w:val="008338E8"/>
    <w:rsid w:val="0083395A"/>
    <w:rsid w:val="00834644"/>
    <w:rsid w:val="00834925"/>
    <w:rsid w:val="008358A3"/>
    <w:rsid w:val="00835F4F"/>
    <w:rsid w:val="00836D7E"/>
    <w:rsid w:val="00836F4E"/>
    <w:rsid w:val="00837806"/>
    <w:rsid w:val="008402D5"/>
    <w:rsid w:val="00840B0F"/>
    <w:rsid w:val="00840F38"/>
    <w:rsid w:val="008413BE"/>
    <w:rsid w:val="00841823"/>
    <w:rsid w:val="0084226B"/>
    <w:rsid w:val="00842505"/>
    <w:rsid w:val="00843502"/>
    <w:rsid w:val="0084405B"/>
    <w:rsid w:val="008450CF"/>
    <w:rsid w:val="00845A2F"/>
    <w:rsid w:val="00845E03"/>
    <w:rsid w:val="008467B8"/>
    <w:rsid w:val="00846D37"/>
    <w:rsid w:val="0084746E"/>
    <w:rsid w:val="00847C91"/>
    <w:rsid w:val="0085023B"/>
    <w:rsid w:val="00850EC2"/>
    <w:rsid w:val="008512C5"/>
    <w:rsid w:val="00851877"/>
    <w:rsid w:val="0085193B"/>
    <w:rsid w:val="00851991"/>
    <w:rsid w:val="00851F98"/>
    <w:rsid w:val="008520D0"/>
    <w:rsid w:val="00852198"/>
    <w:rsid w:val="0085276B"/>
    <w:rsid w:val="00852AE4"/>
    <w:rsid w:val="00852D6C"/>
    <w:rsid w:val="0085342A"/>
    <w:rsid w:val="0085355E"/>
    <w:rsid w:val="00853669"/>
    <w:rsid w:val="0085390C"/>
    <w:rsid w:val="00853B3C"/>
    <w:rsid w:val="00853DEE"/>
    <w:rsid w:val="00853FA6"/>
    <w:rsid w:val="008541E6"/>
    <w:rsid w:val="00854223"/>
    <w:rsid w:val="00854322"/>
    <w:rsid w:val="00854943"/>
    <w:rsid w:val="00855DBB"/>
    <w:rsid w:val="008560C2"/>
    <w:rsid w:val="00856435"/>
    <w:rsid w:val="00856786"/>
    <w:rsid w:val="008568D9"/>
    <w:rsid w:val="00856A96"/>
    <w:rsid w:val="00856C52"/>
    <w:rsid w:val="00856CA5"/>
    <w:rsid w:val="0085729D"/>
    <w:rsid w:val="008579B7"/>
    <w:rsid w:val="008579F0"/>
    <w:rsid w:val="00857FBA"/>
    <w:rsid w:val="00861313"/>
    <w:rsid w:val="008614A4"/>
    <w:rsid w:val="00861EB0"/>
    <w:rsid w:val="00862232"/>
    <w:rsid w:val="0086321D"/>
    <w:rsid w:val="00863566"/>
    <w:rsid w:val="008638F9"/>
    <w:rsid w:val="00863C20"/>
    <w:rsid w:val="0086433C"/>
    <w:rsid w:val="0086537B"/>
    <w:rsid w:val="0086551D"/>
    <w:rsid w:val="00865645"/>
    <w:rsid w:val="00865791"/>
    <w:rsid w:val="00866555"/>
    <w:rsid w:val="00866A10"/>
    <w:rsid w:val="008670A0"/>
    <w:rsid w:val="0086766F"/>
    <w:rsid w:val="00867C0C"/>
    <w:rsid w:val="00867F3A"/>
    <w:rsid w:val="00870608"/>
    <w:rsid w:val="00870673"/>
    <w:rsid w:val="00870CB9"/>
    <w:rsid w:val="00870E6E"/>
    <w:rsid w:val="00870F9D"/>
    <w:rsid w:val="00871B2C"/>
    <w:rsid w:val="00871B8A"/>
    <w:rsid w:val="00871D51"/>
    <w:rsid w:val="008721BB"/>
    <w:rsid w:val="0087250A"/>
    <w:rsid w:val="00872B7F"/>
    <w:rsid w:val="00872D97"/>
    <w:rsid w:val="008737F6"/>
    <w:rsid w:val="00873867"/>
    <w:rsid w:val="00874392"/>
    <w:rsid w:val="00874C2C"/>
    <w:rsid w:val="00874C95"/>
    <w:rsid w:val="0087598F"/>
    <w:rsid w:val="00876768"/>
    <w:rsid w:val="00876B8B"/>
    <w:rsid w:val="00877253"/>
    <w:rsid w:val="0087755A"/>
    <w:rsid w:val="00880777"/>
    <w:rsid w:val="008809DB"/>
    <w:rsid w:val="008820F7"/>
    <w:rsid w:val="00882695"/>
    <w:rsid w:val="008833DC"/>
    <w:rsid w:val="00883E2D"/>
    <w:rsid w:val="00883E8E"/>
    <w:rsid w:val="0088517B"/>
    <w:rsid w:val="008851B1"/>
    <w:rsid w:val="008855FB"/>
    <w:rsid w:val="00885C41"/>
    <w:rsid w:val="0088640D"/>
    <w:rsid w:val="008866F5"/>
    <w:rsid w:val="00886E26"/>
    <w:rsid w:val="00887531"/>
    <w:rsid w:val="0088779C"/>
    <w:rsid w:val="00887F32"/>
    <w:rsid w:val="00887F73"/>
    <w:rsid w:val="008901BB"/>
    <w:rsid w:val="00890295"/>
    <w:rsid w:val="00892108"/>
    <w:rsid w:val="00892539"/>
    <w:rsid w:val="008925A1"/>
    <w:rsid w:val="00892C62"/>
    <w:rsid w:val="00892D63"/>
    <w:rsid w:val="00892DC6"/>
    <w:rsid w:val="0089302A"/>
    <w:rsid w:val="00894623"/>
    <w:rsid w:val="00894AB8"/>
    <w:rsid w:val="00895FF4"/>
    <w:rsid w:val="00896252"/>
    <w:rsid w:val="008972E8"/>
    <w:rsid w:val="00897A5C"/>
    <w:rsid w:val="008A0C93"/>
    <w:rsid w:val="008A1132"/>
    <w:rsid w:val="008A1536"/>
    <w:rsid w:val="008A17BE"/>
    <w:rsid w:val="008A244D"/>
    <w:rsid w:val="008A2D1F"/>
    <w:rsid w:val="008A309A"/>
    <w:rsid w:val="008A3239"/>
    <w:rsid w:val="008A35A9"/>
    <w:rsid w:val="008A3D9E"/>
    <w:rsid w:val="008A47DF"/>
    <w:rsid w:val="008A4AFF"/>
    <w:rsid w:val="008A53C9"/>
    <w:rsid w:val="008A566A"/>
    <w:rsid w:val="008A6805"/>
    <w:rsid w:val="008A79BE"/>
    <w:rsid w:val="008A7D99"/>
    <w:rsid w:val="008B009F"/>
    <w:rsid w:val="008B04C8"/>
    <w:rsid w:val="008B0883"/>
    <w:rsid w:val="008B0A97"/>
    <w:rsid w:val="008B0C9B"/>
    <w:rsid w:val="008B1399"/>
    <w:rsid w:val="008B16F6"/>
    <w:rsid w:val="008B1E14"/>
    <w:rsid w:val="008B23CC"/>
    <w:rsid w:val="008B2B18"/>
    <w:rsid w:val="008B36ED"/>
    <w:rsid w:val="008B434B"/>
    <w:rsid w:val="008B43A6"/>
    <w:rsid w:val="008B44C3"/>
    <w:rsid w:val="008B46FE"/>
    <w:rsid w:val="008B498D"/>
    <w:rsid w:val="008B5484"/>
    <w:rsid w:val="008B58C5"/>
    <w:rsid w:val="008B61D6"/>
    <w:rsid w:val="008B6649"/>
    <w:rsid w:val="008B6ADC"/>
    <w:rsid w:val="008B6BB2"/>
    <w:rsid w:val="008B6C11"/>
    <w:rsid w:val="008B6FD1"/>
    <w:rsid w:val="008B73E9"/>
    <w:rsid w:val="008B7D7D"/>
    <w:rsid w:val="008B7EDD"/>
    <w:rsid w:val="008C04CE"/>
    <w:rsid w:val="008C0A7D"/>
    <w:rsid w:val="008C1F90"/>
    <w:rsid w:val="008C294E"/>
    <w:rsid w:val="008C29F6"/>
    <w:rsid w:val="008C2C69"/>
    <w:rsid w:val="008C2E43"/>
    <w:rsid w:val="008C3250"/>
    <w:rsid w:val="008C3412"/>
    <w:rsid w:val="008C52AB"/>
    <w:rsid w:val="008C5670"/>
    <w:rsid w:val="008C5A6B"/>
    <w:rsid w:val="008C63FA"/>
    <w:rsid w:val="008C7297"/>
    <w:rsid w:val="008C7491"/>
    <w:rsid w:val="008C7561"/>
    <w:rsid w:val="008C7CDB"/>
    <w:rsid w:val="008D0548"/>
    <w:rsid w:val="008D1894"/>
    <w:rsid w:val="008D19BA"/>
    <w:rsid w:val="008D1B98"/>
    <w:rsid w:val="008D1C65"/>
    <w:rsid w:val="008D1C6D"/>
    <w:rsid w:val="008D21ED"/>
    <w:rsid w:val="008D22A5"/>
    <w:rsid w:val="008D26BD"/>
    <w:rsid w:val="008D2A8F"/>
    <w:rsid w:val="008D3CAF"/>
    <w:rsid w:val="008D3DC1"/>
    <w:rsid w:val="008D4DDA"/>
    <w:rsid w:val="008D60F8"/>
    <w:rsid w:val="008D62DC"/>
    <w:rsid w:val="008D6349"/>
    <w:rsid w:val="008D692F"/>
    <w:rsid w:val="008D6A9F"/>
    <w:rsid w:val="008D7223"/>
    <w:rsid w:val="008D72FF"/>
    <w:rsid w:val="008D7714"/>
    <w:rsid w:val="008D7BC7"/>
    <w:rsid w:val="008E006C"/>
    <w:rsid w:val="008E0968"/>
    <w:rsid w:val="008E0A15"/>
    <w:rsid w:val="008E0B70"/>
    <w:rsid w:val="008E1083"/>
    <w:rsid w:val="008E16BF"/>
    <w:rsid w:val="008E1F08"/>
    <w:rsid w:val="008E236B"/>
    <w:rsid w:val="008E24D3"/>
    <w:rsid w:val="008E2839"/>
    <w:rsid w:val="008E292F"/>
    <w:rsid w:val="008E2D33"/>
    <w:rsid w:val="008E3070"/>
    <w:rsid w:val="008E360E"/>
    <w:rsid w:val="008E3882"/>
    <w:rsid w:val="008E3A1E"/>
    <w:rsid w:val="008E3AE0"/>
    <w:rsid w:val="008E3DA0"/>
    <w:rsid w:val="008E4136"/>
    <w:rsid w:val="008E4180"/>
    <w:rsid w:val="008E491F"/>
    <w:rsid w:val="008E5138"/>
    <w:rsid w:val="008E5852"/>
    <w:rsid w:val="008E592E"/>
    <w:rsid w:val="008E6525"/>
    <w:rsid w:val="008E6F47"/>
    <w:rsid w:val="008E70FF"/>
    <w:rsid w:val="008E72B0"/>
    <w:rsid w:val="008E7404"/>
    <w:rsid w:val="008E7481"/>
    <w:rsid w:val="008E75F7"/>
    <w:rsid w:val="008E7DA0"/>
    <w:rsid w:val="008F01CE"/>
    <w:rsid w:val="008F04C6"/>
    <w:rsid w:val="008F0F71"/>
    <w:rsid w:val="008F12A5"/>
    <w:rsid w:val="008F14EA"/>
    <w:rsid w:val="008F1910"/>
    <w:rsid w:val="008F1E63"/>
    <w:rsid w:val="008F28F2"/>
    <w:rsid w:val="008F296C"/>
    <w:rsid w:val="008F3C8F"/>
    <w:rsid w:val="008F4702"/>
    <w:rsid w:val="008F4D52"/>
    <w:rsid w:val="008F4FAA"/>
    <w:rsid w:val="008F5701"/>
    <w:rsid w:val="008F574E"/>
    <w:rsid w:val="008F57B8"/>
    <w:rsid w:val="008F63CB"/>
    <w:rsid w:val="008F6440"/>
    <w:rsid w:val="008F693E"/>
    <w:rsid w:val="008F7177"/>
    <w:rsid w:val="008F7D74"/>
    <w:rsid w:val="009003DA"/>
    <w:rsid w:val="00900801"/>
    <w:rsid w:val="009018F7"/>
    <w:rsid w:val="00901DBF"/>
    <w:rsid w:val="00901E8B"/>
    <w:rsid w:val="00902C2A"/>
    <w:rsid w:val="00903CB5"/>
    <w:rsid w:val="00903F09"/>
    <w:rsid w:val="009041AD"/>
    <w:rsid w:val="009051FE"/>
    <w:rsid w:val="00905A28"/>
    <w:rsid w:val="00906391"/>
    <w:rsid w:val="00906DC7"/>
    <w:rsid w:val="00907FCB"/>
    <w:rsid w:val="00910398"/>
    <w:rsid w:val="00910523"/>
    <w:rsid w:val="0091098B"/>
    <w:rsid w:val="00910CDF"/>
    <w:rsid w:val="009112CB"/>
    <w:rsid w:val="009119ED"/>
    <w:rsid w:val="00911C10"/>
    <w:rsid w:val="00911D8D"/>
    <w:rsid w:val="00913571"/>
    <w:rsid w:val="00913617"/>
    <w:rsid w:val="009137CB"/>
    <w:rsid w:val="00913917"/>
    <w:rsid w:val="00914293"/>
    <w:rsid w:val="00914873"/>
    <w:rsid w:val="009157F9"/>
    <w:rsid w:val="00915CEF"/>
    <w:rsid w:val="0091648D"/>
    <w:rsid w:val="009166E9"/>
    <w:rsid w:val="00916A6F"/>
    <w:rsid w:val="00916BAA"/>
    <w:rsid w:val="00916EAF"/>
    <w:rsid w:val="00917F12"/>
    <w:rsid w:val="009217AA"/>
    <w:rsid w:val="00922A9D"/>
    <w:rsid w:val="00922E16"/>
    <w:rsid w:val="00922FBA"/>
    <w:rsid w:val="00923062"/>
    <w:rsid w:val="00924197"/>
    <w:rsid w:val="00924627"/>
    <w:rsid w:val="00924729"/>
    <w:rsid w:val="00924AEF"/>
    <w:rsid w:val="00924BD5"/>
    <w:rsid w:val="00925316"/>
    <w:rsid w:val="00926087"/>
    <w:rsid w:val="009263C6"/>
    <w:rsid w:val="00926415"/>
    <w:rsid w:val="009265A1"/>
    <w:rsid w:val="00926D0F"/>
    <w:rsid w:val="009301BE"/>
    <w:rsid w:val="009308D7"/>
    <w:rsid w:val="0093094A"/>
    <w:rsid w:val="009309B8"/>
    <w:rsid w:val="00931771"/>
    <w:rsid w:val="0093180D"/>
    <w:rsid w:val="00932096"/>
    <w:rsid w:val="0093220B"/>
    <w:rsid w:val="00932858"/>
    <w:rsid w:val="0093290A"/>
    <w:rsid w:val="009329D9"/>
    <w:rsid w:val="00932DA3"/>
    <w:rsid w:val="00933719"/>
    <w:rsid w:val="0093396D"/>
    <w:rsid w:val="00933E3C"/>
    <w:rsid w:val="0093422D"/>
    <w:rsid w:val="00934410"/>
    <w:rsid w:val="0093458B"/>
    <w:rsid w:val="0093491B"/>
    <w:rsid w:val="00934D45"/>
    <w:rsid w:val="00934DE7"/>
    <w:rsid w:val="00935418"/>
    <w:rsid w:val="00935694"/>
    <w:rsid w:val="009359D7"/>
    <w:rsid w:val="00935D66"/>
    <w:rsid w:val="00935E31"/>
    <w:rsid w:val="00935F73"/>
    <w:rsid w:val="00936747"/>
    <w:rsid w:val="009377A9"/>
    <w:rsid w:val="00937F5A"/>
    <w:rsid w:val="009401D4"/>
    <w:rsid w:val="00940390"/>
    <w:rsid w:val="0094057B"/>
    <w:rsid w:val="009406AE"/>
    <w:rsid w:val="00940738"/>
    <w:rsid w:val="00940DC9"/>
    <w:rsid w:val="0094178E"/>
    <w:rsid w:val="009418EA"/>
    <w:rsid w:val="00941AB8"/>
    <w:rsid w:val="00941B35"/>
    <w:rsid w:val="00941D0B"/>
    <w:rsid w:val="009420C7"/>
    <w:rsid w:val="0094267B"/>
    <w:rsid w:val="00942926"/>
    <w:rsid w:val="00943896"/>
    <w:rsid w:val="0094389C"/>
    <w:rsid w:val="0094423B"/>
    <w:rsid w:val="00944280"/>
    <w:rsid w:val="0094439A"/>
    <w:rsid w:val="0094486A"/>
    <w:rsid w:val="00944A40"/>
    <w:rsid w:val="009451AA"/>
    <w:rsid w:val="00945212"/>
    <w:rsid w:val="009453FF"/>
    <w:rsid w:val="00945593"/>
    <w:rsid w:val="009455C1"/>
    <w:rsid w:val="00945942"/>
    <w:rsid w:val="0094603D"/>
    <w:rsid w:val="0094663E"/>
    <w:rsid w:val="009466B2"/>
    <w:rsid w:val="00946D01"/>
    <w:rsid w:val="009478B0"/>
    <w:rsid w:val="009518C9"/>
    <w:rsid w:val="0095249F"/>
    <w:rsid w:val="00953B4F"/>
    <w:rsid w:val="00953E75"/>
    <w:rsid w:val="00954014"/>
    <w:rsid w:val="00954828"/>
    <w:rsid w:val="009548B5"/>
    <w:rsid w:val="009548CE"/>
    <w:rsid w:val="00954E5C"/>
    <w:rsid w:val="009551C1"/>
    <w:rsid w:val="00955231"/>
    <w:rsid w:val="009554EA"/>
    <w:rsid w:val="00955CD4"/>
    <w:rsid w:val="00957D55"/>
    <w:rsid w:val="00960CD7"/>
    <w:rsid w:val="00960EC7"/>
    <w:rsid w:val="0096111E"/>
    <w:rsid w:val="00961327"/>
    <w:rsid w:val="00961AFD"/>
    <w:rsid w:val="00961E5A"/>
    <w:rsid w:val="0096278B"/>
    <w:rsid w:val="00962F5D"/>
    <w:rsid w:val="009636B1"/>
    <w:rsid w:val="00963BF9"/>
    <w:rsid w:val="00963C02"/>
    <w:rsid w:val="009640C3"/>
    <w:rsid w:val="00964E10"/>
    <w:rsid w:val="00965BE0"/>
    <w:rsid w:val="00967748"/>
    <w:rsid w:val="00967954"/>
    <w:rsid w:val="00967A69"/>
    <w:rsid w:val="00967B29"/>
    <w:rsid w:val="00967CAD"/>
    <w:rsid w:val="00970188"/>
    <w:rsid w:val="0097021D"/>
    <w:rsid w:val="00970C63"/>
    <w:rsid w:val="00970FED"/>
    <w:rsid w:val="00971B79"/>
    <w:rsid w:val="00972167"/>
    <w:rsid w:val="00972392"/>
    <w:rsid w:val="00972D25"/>
    <w:rsid w:val="00972E77"/>
    <w:rsid w:val="009735A4"/>
    <w:rsid w:val="0097385D"/>
    <w:rsid w:val="00973D8E"/>
    <w:rsid w:val="00973DEA"/>
    <w:rsid w:val="00974AF8"/>
    <w:rsid w:val="009752D6"/>
    <w:rsid w:val="00975C2E"/>
    <w:rsid w:val="00975D0F"/>
    <w:rsid w:val="009760C9"/>
    <w:rsid w:val="00976295"/>
    <w:rsid w:val="009763BF"/>
    <w:rsid w:val="00976678"/>
    <w:rsid w:val="00976681"/>
    <w:rsid w:val="00977070"/>
    <w:rsid w:val="009776B0"/>
    <w:rsid w:val="009779FD"/>
    <w:rsid w:val="0098028A"/>
    <w:rsid w:val="009806E8"/>
    <w:rsid w:val="009810C8"/>
    <w:rsid w:val="009814E0"/>
    <w:rsid w:val="00981735"/>
    <w:rsid w:val="00981853"/>
    <w:rsid w:val="00981B95"/>
    <w:rsid w:val="00982120"/>
    <w:rsid w:val="00982C69"/>
    <w:rsid w:val="00982D46"/>
    <w:rsid w:val="009831A2"/>
    <w:rsid w:val="00984810"/>
    <w:rsid w:val="00984815"/>
    <w:rsid w:val="00985084"/>
    <w:rsid w:val="00985605"/>
    <w:rsid w:val="009859A2"/>
    <w:rsid w:val="00985DA6"/>
    <w:rsid w:val="00986603"/>
    <w:rsid w:val="009867AC"/>
    <w:rsid w:val="00986A3E"/>
    <w:rsid w:val="0098730D"/>
    <w:rsid w:val="009876FF"/>
    <w:rsid w:val="00987A6A"/>
    <w:rsid w:val="00987DDD"/>
    <w:rsid w:val="00987F82"/>
    <w:rsid w:val="00987FEB"/>
    <w:rsid w:val="00990D62"/>
    <w:rsid w:val="0099216B"/>
    <w:rsid w:val="0099286D"/>
    <w:rsid w:val="0099291D"/>
    <w:rsid w:val="009929A8"/>
    <w:rsid w:val="00993DCE"/>
    <w:rsid w:val="009943FF"/>
    <w:rsid w:val="009946B8"/>
    <w:rsid w:val="00994E7F"/>
    <w:rsid w:val="009957BE"/>
    <w:rsid w:val="00995CC2"/>
    <w:rsid w:val="009960AE"/>
    <w:rsid w:val="009960BD"/>
    <w:rsid w:val="00996C04"/>
    <w:rsid w:val="009970FC"/>
    <w:rsid w:val="00997374"/>
    <w:rsid w:val="00997CF3"/>
    <w:rsid w:val="00997E32"/>
    <w:rsid w:val="009A037B"/>
    <w:rsid w:val="009A07E4"/>
    <w:rsid w:val="009A0A3C"/>
    <w:rsid w:val="009A131A"/>
    <w:rsid w:val="009A1401"/>
    <w:rsid w:val="009A1BB8"/>
    <w:rsid w:val="009A1C77"/>
    <w:rsid w:val="009A1D2A"/>
    <w:rsid w:val="009A2268"/>
    <w:rsid w:val="009A22A9"/>
    <w:rsid w:val="009A2D48"/>
    <w:rsid w:val="009A2F07"/>
    <w:rsid w:val="009A3747"/>
    <w:rsid w:val="009A3962"/>
    <w:rsid w:val="009A3A32"/>
    <w:rsid w:val="009A43E8"/>
    <w:rsid w:val="009A45F2"/>
    <w:rsid w:val="009A4915"/>
    <w:rsid w:val="009A4A05"/>
    <w:rsid w:val="009A517B"/>
    <w:rsid w:val="009A5E37"/>
    <w:rsid w:val="009A6D53"/>
    <w:rsid w:val="009A6F96"/>
    <w:rsid w:val="009A74A5"/>
    <w:rsid w:val="009A7793"/>
    <w:rsid w:val="009A7ACF"/>
    <w:rsid w:val="009A7D1B"/>
    <w:rsid w:val="009B0B99"/>
    <w:rsid w:val="009B10FD"/>
    <w:rsid w:val="009B1829"/>
    <w:rsid w:val="009B1980"/>
    <w:rsid w:val="009B216C"/>
    <w:rsid w:val="009B244E"/>
    <w:rsid w:val="009B319F"/>
    <w:rsid w:val="009B41D8"/>
    <w:rsid w:val="009B465D"/>
    <w:rsid w:val="009B5915"/>
    <w:rsid w:val="009B6696"/>
    <w:rsid w:val="009B72E7"/>
    <w:rsid w:val="009B73C7"/>
    <w:rsid w:val="009B748A"/>
    <w:rsid w:val="009B74F5"/>
    <w:rsid w:val="009B755B"/>
    <w:rsid w:val="009B758E"/>
    <w:rsid w:val="009B7755"/>
    <w:rsid w:val="009B7D0E"/>
    <w:rsid w:val="009C0331"/>
    <w:rsid w:val="009C05B1"/>
    <w:rsid w:val="009C066F"/>
    <w:rsid w:val="009C089B"/>
    <w:rsid w:val="009C159D"/>
    <w:rsid w:val="009C2163"/>
    <w:rsid w:val="009C2631"/>
    <w:rsid w:val="009C2A9E"/>
    <w:rsid w:val="009C2AB1"/>
    <w:rsid w:val="009C3130"/>
    <w:rsid w:val="009C365F"/>
    <w:rsid w:val="009C4158"/>
    <w:rsid w:val="009C42F4"/>
    <w:rsid w:val="009C59F9"/>
    <w:rsid w:val="009C5F16"/>
    <w:rsid w:val="009C6A3A"/>
    <w:rsid w:val="009C6C1F"/>
    <w:rsid w:val="009C6FBC"/>
    <w:rsid w:val="009C70D6"/>
    <w:rsid w:val="009C72AD"/>
    <w:rsid w:val="009C73A2"/>
    <w:rsid w:val="009C7E46"/>
    <w:rsid w:val="009C7E76"/>
    <w:rsid w:val="009D2624"/>
    <w:rsid w:val="009D2744"/>
    <w:rsid w:val="009D4523"/>
    <w:rsid w:val="009D4F6D"/>
    <w:rsid w:val="009D5074"/>
    <w:rsid w:val="009D5766"/>
    <w:rsid w:val="009D5B5A"/>
    <w:rsid w:val="009D5FED"/>
    <w:rsid w:val="009D60AB"/>
    <w:rsid w:val="009D6ABD"/>
    <w:rsid w:val="009D6F2A"/>
    <w:rsid w:val="009D736E"/>
    <w:rsid w:val="009D76D2"/>
    <w:rsid w:val="009E0170"/>
    <w:rsid w:val="009E02E5"/>
    <w:rsid w:val="009E030B"/>
    <w:rsid w:val="009E0B83"/>
    <w:rsid w:val="009E0D3E"/>
    <w:rsid w:val="009E0DF0"/>
    <w:rsid w:val="009E1285"/>
    <w:rsid w:val="009E1568"/>
    <w:rsid w:val="009E16E9"/>
    <w:rsid w:val="009E1FEF"/>
    <w:rsid w:val="009E296D"/>
    <w:rsid w:val="009E2B0B"/>
    <w:rsid w:val="009E35C2"/>
    <w:rsid w:val="009E39F3"/>
    <w:rsid w:val="009E3D85"/>
    <w:rsid w:val="009E470C"/>
    <w:rsid w:val="009E4817"/>
    <w:rsid w:val="009E48ED"/>
    <w:rsid w:val="009E4AC7"/>
    <w:rsid w:val="009E4CDB"/>
    <w:rsid w:val="009E56F3"/>
    <w:rsid w:val="009E598D"/>
    <w:rsid w:val="009E5F2B"/>
    <w:rsid w:val="009E6B18"/>
    <w:rsid w:val="009E74CF"/>
    <w:rsid w:val="009E7DDD"/>
    <w:rsid w:val="009E7F16"/>
    <w:rsid w:val="009F039E"/>
    <w:rsid w:val="009F043A"/>
    <w:rsid w:val="009F0A0E"/>
    <w:rsid w:val="009F1745"/>
    <w:rsid w:val="009F1882"/>
    <w:rsid w:val="009F2675"/>
    <w:rsid w:val="009F2926"/>
    <w:rsid w:val="009F34D6"/>
    <w:rsid w:val="009F35F7"/>
    <w:rsid w:val="009F3F94"/>
    <w:rsid w:val="009F4C91"/>
    <w:rsid w:val="009F5563"/>
    <w:rsid w:val="009F586B"/>
    <w:rsid w:val="009F5B31"/>
    <w:rsid w:val="009F5C5E"/>
    <w:rsid w:val="009F5EA3"/>
    <w:rsid w:val="009F602A"/>
    <w:rsid w:val="009F6158"/>
    <w:rsid w:val="009F62E5"/>
    <w:rsid w:val="009F66BA"/>
    <w:rsid w:val="009F6ACF"/>
    <w:rsid w:val="009F6CCC"/>
    <w:rsid w:val="009F72AE"/>
    <w:rsid w:val="009F762E"/>
    <w:rsid w:val="00A00028"/>
    <w:rsid w:val="00A00873"/>
    <w:rsid w:val="00A00C24"/>
    <w:rsid w:val="00A0104E"/>
    <w:rsid w:val="00A01684"/>
    <w:rsid w:val="00A01836"/>
    <w:rsid w:val="00A01EFC"/>
    <w:rsid w:val="00A029A1"/>
    <w:rsid w:val="00A039A8"/>
    <w:rsid w:val="00A044B9"/>
    <w:rsid w:val="00A04702"/>
    <w:rsid w:val="00A049B9"/>
    <w:rsid w:val="00A04FA6"/>
    <w:rsid w:val="00A05ED0"/>
    <w:rsid w:val="00A0634B"/>
    <w:rsid w:val="00A067D3"/>
    <w:rsid w:val="00A06DDF"/>
    <w:rsid w:val="00A06F61"/>
    <w:rsid w:val="00A07007"/>
    <w:rsid w:val="00A0749A"/>
    <w:rsid w:val="00A07F9A"/>
    <w:rsid w:val="00A10756"/>
    <w:rsid w:val="00A11909"/>
    <w:rsid w:val="00A11ADB"/>
    <w:rsid w:val="00A11E15"/>
    <w:rsid w:val="00A11EC4"/>
    <w:rsid w:val="00A1224B"/>
    <w:rsid w:val="00A122B2"/>
    <w:rsid w:val="00A12403"/>
    <w:rsid w:val="00A12C72"/>
    <w:rsid w:val="00A12E6A"/>
    <w:rsid w:val="00A1359B"/>
    <w:rsid w:val="00A13AB2"/>
    <w:rsid w:val="00A13C99"/>
    <w:rsid w:val="00A1420F"/>
    <w:rsid w:val="00A14260"/>
    <w:rsid w:val="00A152C2"/>
    <w:rsid w:val="00A157F0"/>
    <w:rsid w:val="00A1597C"/>
    <w:rsid w:val="00A1641C"/>
    <w:rsid w:val="00A16ECE"/>
    <w:rsid w:val="00A16FA9"/>
    <w:rsid w:val="00A177E5"/>
    <w:rsid w:val="00A17903"/>
    <w:rsid w:val="00A201CC"/>
    <w:rsid w:val="00A21A33"/>
    <w:rsid w:val="00A22AFD"/>
    <w:rsid w:val="00A24DD9"/>
    <w:rsid w:val="00A2501A"/>
    <w:rsid w:val="00A25192"/>
    <w:rsid w:val="00A253A8"/>
    <w:rsid w:val="00A254EF"/>
    <w:rsid w:val="00A264A3"/>
    <w:rsid w:val="00A266E4"/>
    <w:rsid w:val="00A2685A"/>
    <w:rsid w:val="00A268BE"/>
    <w:rsid w:val="00A26FEF"/>
    <w:rsid w:val="00A270C0"/>
    <w:rsid w:val="00A27861"/>
    <w:rsid w:val="00A27B4C"/>
    <w:rsid w:val="00A27D44"/>
    <w:rsid w:val="00A30781"/>
    <w:rsid w:val="00A30BFC"/>
    <w:rsid w:val="00A30C2F"/>
    <w:rsid w:val="00A30CC4"/>
    <w:rsid w:val="00A3126B"/>
    <w:rsid w:val="00A31918"/>
    <w:rsid w:val="00A3193F"/>
    <w:rsid w:val="00A3226D"/>
    <w:rsid w:val="00A32553"/>
    <w:rsid w:val="00A326EE"/>
    <w:rsid w:val="00A32F74"/>
    <w:rsid w:val="00A330A2"/>
    <w:rsid w:val="00A3352D"/>
    <w:rsid w:val="00A338CD"/>
    <w:rsid w:val="00A340AF"/>
    <w:rsid w:val="00A345C0"/>
    <w:rsid w:val="00A345E8"/>
    <w:rsid w:val="00A346C3"/>
    <w:rsid w:val="00A34B51"/>
    <w:rsid w:val="00A357B4"/>
    <w:rsid w:val="00A35C43"/>
    <w:rsid w:val="00A35C99"/>
    <w:rsid w:val="00A37238"/>
    <w:rsid w:val="00A37270"/>
    <w:rsid w:val="00A37BE9"/>
    <w:rsid w:val="00A40302"/>
    <w:rsid w:val="00A403C8"/>
    <w:rsid w:val="00A416AF"/>
    <w:rsid w:val="00A422F4"/>
    <w:rsid w:val="00A4260A"/>
    <w:rsid w:val="00A42AF6"/>
    <w:rsid w:val="00A42D8F"/>
    <w:rsid w:val="00A42FC9"/>
    <w:rsid w:val="00A4311B"/>
    <w:rsid w:val="00A44018"/>
    <w:rsid w:val="00A44161"/>
    <w:rsid w:val="00A443C5"/>
    <w:rsid w:val="00A447BC"/>
    <w:rsid w:val="00A44978"/>
    <w:rsid w:val="00A44CD8"/>
    <w:rsid w:val="00A450F4"/>
    <w:rsid w:val="00A4558F"/>
    <w:rsid w:val="00A45991"/>
    <w:rsid w:val="00A459CD"/>
    <w:rsid w:val="00A45AE3"/>
    <w:rsid w:val="00A45D47"/>
    <w:rsid w:val="00A46006"/>
    <w:rsid w:val="00A463BA"/>
    <w:rsid w:val="00A46681"/>
    <w:rsid w:val="00A469F4"/>
    <w:rsid w:val="00A46A48"/>
    <w:rsid w:val="00A471CF"/>
    <w:rsid w:val="00A471ED"/>
    <w:rsid w:val="00A474A9"/>
    <w:rsid w:val="00A47F6F"/>
    <w:rsid w:val="00A5048D"/>
    <w:rsid w:val="00A50B41"/>
    <w:rsid w:val="00A50EC9"/>
    <w:rsid w:val="00A510A2"/>
    <w:rsid w:val="00A51808"/>
    <w:rsid w:val="00A51A52"/>
    <w:rsid w:val="00A5250B"/>
    <w:rsid w:val="00A5299E"/>
    <w:rsid w:val="00A53EB8"/>
    <w:rsid w:val="00A5430E"/>
    <w:rsid w:val="00A5526D"/>
    <w:rsid w:val="00A55715"/>
    <w:rsid w:val="00A5596D"/>
    <w:rsid w:val="00A55AE7"/>
    <w:rsid w:val="00A56422"/>
    <w:rsid w:val="00A5703F"/>
    <w:rsid w:val="00A57764"/>
    <w:rsid w:val="00A57A41"/>
    <w:rsid w:val="00A57F4D"/>
    <w:rsid w:val="00A60145"/>
    <w:rsid w:val="00A603E5"/>
    <w:rsid w:val="00A6044D"/>
    <w:rsid w:val="00A6049D"/>
    <w:rsid w:val="00A61117"/>
    <w:rsid w:val="00A62DF8"/>
    <w:rsid w:val="00A63199"/>
    <w:rsid w:val="00A6327D"/>
    <w:rsid w:val="00A638F7"/>
    <w:rsid w:val="00A63F35"/>
    <w:rsid w:val="00A6450B"/>
    <w:rsid w:val="00A64630"/>
    <w:rsid w:val="00A64A80"/>
    <w:rsid w:val="00A64ACE"/>
    <w:rsid w:val="00A6563A"/>
    <w:rsid w:val="00A65B0C"/>
    <w:rsid w:val="00A65F8D"/>
    <w:rsid w:val="00A66287"/>
    <w:rsid w:val="00A665CC"/>
    <w:rsid w:val="00A66C5F"/>
    <w:rsid w:val="00A67714"/>
    <w:rsid w:val="00A678F1"/>
    <w:rsid w:val="00A70360"/>
    <w:rsid w:val="00A70AB4"/>
    <w:rsid w:val="00A71093"/>
    <w:rsid w:val="00A716AB"/>
    <w:rsid w:val="00A71812"/>
    <w:rsid w:val="00A71843"/>
    <w:rsid w:val="00A71B82"/>
    <w:rsid w:val="00A723F8"/>
    <w:rsid w:val="00A72C48"/>
    <w:rsid w:val="00A72E86"/>
    <w:rsid w:val="00A733CE"/>
    <w:rsid w:val="00A7387E"/>
    <w:rsid w:val="00A743BC"/>
    <w:rsid w:val="00A7446A"/>
    <w:rsid w:val="00A745D0"/>
    <w:rsid w:val="00A7477C"/>
    <w:rsid w:val="00A7520C"/>
    <w:rsid w:val="00A756C9"/>
    <w:rsid w:val="00A75EA1"/>
    <w:rsid w:val="00A763ED"/>
    <w:rsid w:val="00A764CE"/>
    <w:rsid w:val="00A7673E"/>
    <w:rsid w:val="00A767A3"/>
    <w:rsid w:val="00A77590"/>
    <w:rsid w:val="00A77ADC"/>
    <w:rsid w:val="00A77F7E"/>
    <w:rsid w:val="00A801D4"/>
    <w:rsid w:val="00A8027A"/>
    <w:rsid w:val="00A805CB"/>
    <w:rsid w:val="00A8065B"/>
    <w:rsid w:val="00A808A7"/>
    <w:rsid w:val="00A80E7B"/>
    <w:rsid w:val="00A8123F"/>
    <w:rsid w:val="00A8180B"/>
    <w:rsid w:val="00A81A7A"/>
    <w:rsid w:val="00A82410"/>
    <w:rsid w:val="00A82426"/>
    <w:rsid w:val="00A82762"/>
    <w:rsid w:val="00A82785"/>
    <w:rsid w:val="00A832ED"/>
    <w:rsid w:val="00A83420"/>
    <w:rsid w:val="00A834F1"/>
    <w:rsid w:val="00A8402C"/>
    <w:rsid w:val="00A845FA"/>
    <w:rsid w:val="00A8466A"/>
    <w:rsid w:val="00A846E9"/>
    <w:rsid w:val="00A852F3"/>
    <w:rsid w:val="00A857E6"/>
    <w:rsid w:val="00A8612E"/>
    <w:rsid w:val="00A8713F"/>
    <w:rsid w:val="00A874C4"/>
    <w:rsid w:val="00A8763A"/>
    <w:rsid w:val="00A87849"/>
    <w:rsid w:val="00A87B51"/>
    <w:rsid w:val="00A9029B"/>
    <w:rsid w:val="00A9038D"/>
    <w:rsid w:val="00A904B0"/>
    <w:rsid w:val="00A90E0D"/>
    <w:rsid w:val="00A9111C"/>
    <w:rsid w:val="00A913E9"/>
    <w:rsid w:val="00A91D4C"/>
    <w:rsid w:val="00A925B0"/>
    <w:rsid w:val="00A92885"/>
    <w:rsid w:val="00A928A1"/>
    <w:rsid w:val="00A92FFE"/>
    <w:rsid w:val="00A940F7"/>
    <w:rsid w:val="00A9482C"/>
    <w:rsid w:val="00A94B80"/>
    <w:rsid w:val="00A94E78"/>
    <w:rsid w:val="00A95087"/>
    <w:rsid w:val="00A95560"/>
    <w:rsid w:val="00A962AA"/>
    <w:rsid w:val="00A962DC"/>
    <w:rsid w:val="00A9667C"/>
    <w:rsid w:val="00A974D3"/>
    <w:rsid w:val="00A974F7"/>
    <w:rsid w:val="00A97A50"/>
    <w:rsid w:val="00A97B20"/>
    <w:rsid w:val="00AA0E74"/>
    <w:rsid w:val="00AA113C"/>
    <w:rsid w:val="00AA13F2"/>
    <w:rsid w:val="00AA1408"/>
    <w:rsid w:val="00AA16AB"/>
    <w:rsid w:val="00AA186C"/>
    <w:rsid w:val="00AA208C"/>
    <w:rsid w:val="00AA2213"/>
    <w:rsid w:val="00AA29F8"/>
    <w:rsid w:val="00AA2A33"/>
    <w:rsid w:val="00AA30FC"/>
    <w:rsid w:val="00AA3AB0"/>
    <w:rsid w:val="00AA3F9A"/>
    <w:rsid w:val="00AA5767"/>
    <w:rsid w:val="00AA589F"/>
    <w:rsid w:val="00AA59EB"/>
    <w:rsid w:val="00AA5E65"/>
    <w:rsid w:val="00AA5F73"/>
    <w:rsid w:val="00AA6FB9"/>
    <w:rsid w:val="00AA7094"/>
    <w:rsid w:val="00AA71B9"/>
    <w:rsid w:val="00AA7512"/>
    <w:rsid w:val="00AA7698"/>
    <w:rsid w:val="00AA796E"/>
    <w:rsid w:val="00AA79D5"/>
    <w:rsid w:val="00AA7A1C"/>
    <w:rsid w:val="00AA7BB3"/>
    <w:rsid w:val="00AB037A"/>
    <w:rsid w:val="00AB046E"/>
    <w:rsid w:val="00AB05C8"/>
    <w:rsid w:val="00AB08A7"/>
    <w:rsid w:val="00AB0A86"/>
    <w:rsid w:val="00AB0BFC"/>
    <w:rsid w:val="00AB1526"/>
    <w:rsid w:val="00AB1BF9"/>
    <w:rsid w:val="00AB1E5A"/>
    <w:rsid w:val="00AB271A"/>
    <w:rsid w:val="00AB32F7"/>
    <w:rsid w:val="00AB347F"/>
    <w:rsid w:val="00AB35DB"/>
    <w:rsid w:val="00AB36D5"/>
    <w:rsid w:val="00AB461F"/>
    <w:rsid w:val="00AB48C8"/>
    <w:rsid w:val="00AB48CE"/>
    <w:rsid w:val="00AB5201"/>
    <w:rsid w:val="00AB6A24"/>
    <w:rsid w:val="00AB6E84"/>
    <w:rsid w:val="00AB74BD"/>
    <w:rsid w:val="00AB764A"/>
    <w:rsid w:val="00AB7D61"/>
    <w:rsid w:val="00AC0AF9"/>
    <w:rsid w:val="00AC13B5"/>
    <w:rsid w:val="00AC186D"/>
    <w:rsid w:val="00AC2466"/>
    <w:rsid w:val="00AC2C35"/>
    <w:rsid w:val="00AC2DA9"/>
    <w:rsid w:val="00AC2FE2"/>
    <w:rsid w:val="00AC3479"/>
    <w:rsid w:val="00AC34C0"/>
    <w:rsid w:val="00AC355D"/>
    <w:rsid w:val="00AC3874"/>
    <w:rsid w:val="00AC4693"/>
    <w:rsid w:val="00AC524D"/>
    <w:rsid w:val="00AC591F"/>
    <w:rsid w:val="00AC5D65"/>
    <w:rsid w:val="00AC6A26"/>
    <w:rsid w:val="00AC756B"/>
    <w:rsid w:val="00AC788E"/>
    <w:rsid w:val="00AD08FB"/>
    <w:rsid w:val="00AD11E5"/>
    <w:rsid w:val="00AD19F9"/>
    <w:rsid w:val="00AD1C1C"/>
    <w:rsid w:val="00AD23CA"/>
    <w:rsid w:val="00AD2EC8"/>
    <w:rsid w:val="00AD317A"/>
    <w:rsid w:val="00AD327A"/>
    <w:rsid w:val="00AD4276"/>
    <w:rsid w:val="00AD4875"/>
    <w:rsid w:val="00AD49D9"/>
    <w:rsid w:val="00AD6080"/>
    <w:rsid w:val="00AD6199"/>
    <w:rsid w:val="00AD6359"/>
    <w:rsid w:val="00AD63EA"/>
    <w:rsid w:val="00AD66A8"/>
    <w:rsid w:val="00AD6768"/>
    <w:rsid w:val="00AD6927"/>
    <w:rsid w:val="00AD6CFB"/>
    <w:rsid w:val="00AD6D7E"/>
    <w:rsid w:val="00AD732F"/>
    <w:rsid w:val="00AD74B8"/>
    <w:rsid w:val="00AE0452"/>
    <w:rsid w:val="00AE0541"/>
    <w:rsid w:val="00AE0E46"/>
    <w:rsid w:val="00AE10D8"/>
    <w:rsid w:val="00AE1281"/>
    <w:rsid w:val="00AE1F0A"/>
    <w:rsid w:val="00AE2B58"/>
    <w:rsid w:val="00AE3587"/>
    <w:rsid w:val="00AE3DFC"/>
    <w:rsid w:val="00AE3EE8"/>
    <w:rsid w:val="00AE413A"/>
    <w:rsid w:val="00AE46B2"/>
    <w:rsid w:val="00AE49CB"/>
    <w:rsid w:val="00AE4A07"/>
    <w:rsid w:val="00AE5718"/>
    <w:rsid w:val="00AE5BA8"/>
    <w:rsid w:val="00AE6C2C"/>
    <w:rsid w:val="00AE78E3"/>
    <w:rsid w:val="00AE79D5"/>
    <w:rsid w:val="00AF0962"/>
    <w:rsid w:val="00AF188C"/>
    <w:rsid w:val="00AF1DE8"/>
    <w:rsid w:val="00AF28A7"/>
    <w:rsid w:val="00AF312F"/>
    <w:rsid w:val="00AF3222"/>
    <w:rsid w:val="00AF391E"/>
    <w:rsid w:val="00AF3BE4"/>
    <w:rsid w:val="00AF3EC9"/>
    <w:rsid w:val="00AF3EDE"/>
    <w:rsid w:val="00AF4030"/>
    <w:rsid w:val="00AF4148"/>
    <w:rsid w:val="00AF44B8"/>
    <w:rsid w:val="00AF4F9C"/>
    <w:rsid w:val="00AF5604"/>
    <w:rsid w:val="00AF57BC"/>
    <w:rsid w:val="00AF5BE7"/>
    <w:rsid w:val="00AF5E5E"/>
    <w:rsid w:val="00AF5F18"/>
    <w:rsid w:val="00AF6161"/>
    <w:rsid w:val="00AF6425"/>
    <w:rsid w:val="00AF6AA7"/>
    <w:rsid w:val="00AF6D59"/>
    <w:rsid w:val="00AF76AE"/>
    <w:rsid w:val="00AF7985"/>
    <w:rsid w:val="00AF7FD4"/>
    <w:rsid w:val="00B00004"/>
    <w:rsid w:val="00B00789"/>
    <w:rsid w:val="00B01D90"/>
    <w:rsid w:val="00B01F22"/>
    <w:rsid w:val="00B020F8"/>
    <w:rsid w:val="00B032A3"/>
    <w:rsid w:val="00B03BEF"/>
    <w:rsid w:val="00B04156"/>
    <w:rsid w:val="00B04BEF"/>
    <w:rsid w:val="00B05C66"/>
    <w:rsid w:val="00B05CCE"/>
    <w:rsid w:val="00B06753"/>
    <w:rsid w:val="00B067CD"/>
    <w:rsid w:val="00B06AFE"/>
    <w:rsid w:val="00B06F8B"/>
    <w:rsid w:val="00B07258"/>
    <w:rsid w:val="00B076BD"/>
    <w:rsid w:val="00B07FBC"/>
    <w:rsid w:val="00B1020C"/>
    <w:rsid w:val="00B10616"/>
    <w:rsid w:val="00B1067D"/>
    <w:rsid w:val="00B106D0"/>
    <w:rsid w:val="00B11246"/>
    <w:rsid w:val="00B11D20"/>
    <w:rsid w:val="00B12BBA"/>
    <w:rsid w:val="00B1300B"/>
    <w:rsid w:val="00B134D5"/>
    <w:rsid w:val="00B13865"/>
    <w:rsid w:val="00B13933"/>
    <w:rsid w:val="00B13C72"/>
    <w:rsid w:val="00B142DC"/>
    <w:rsid w:val="00B14B12"/>
    <w:rsid w:val="00B15029"/>
    <w:rsid w:val="00B15031"/>
    <w:rsid w:val="00B1529D"/>
    <w:rsid w:val="00B156FB"/>
    <w:rsid w:val="00B159B2"/>
    <w:rsid w:val="00B16034"/>
    <w:rsid w:val="00B160EE"/>
    <w:rsid w:val="00B160F4"/>
    <w:rsid w:val="00B1611C"/>
    <w:rsid w:val="00B168ED"/>
    <w:rsid w:val="00B16BCA"/>
    <w:rsid w:val="00B16F29"/>
    <w:rsid w:val="00B1792A"/>
    <w:rsid w:val="00B203C8"/>
    <w:rsid w:val="00B20778"/>
    <w:rsid w:val="00B207C1"/>
    <w:rsid w:val="00B209E0"/>
    <w:rsid w:val="00B20C18"/>
    <w:rsid w:val="00B20C8C"/>
    <w:rsid w:val="00B20EEE"/>
    <w:rsid w:val="00B216E2"/>
    <w:rsid w:val="00B216E8"/>
    <w:rsid w:val="00B22746"/>
    <w:rsid w:val="00B22781"/>
    <w:rsid w:val="00B22932"/>
    <w:rsid w:val="00B22A3E"/>
    <w:rsid w:val="00B22BC8"/>
    <w:rsid w:val="00B2300D"/>
    <w:rsid w:val="00B232CD"/>
    <w:rsid w:val="00B23C55"/>
    <w:rsid w:val="00B23E59"/>
    <w:rsid w:val="00B24403"/>
    <w:rsid w:val="00B24540"/>
    <w:rsid w:val="00B2527D"/>
    <w:rsid w:val="00B256BA"/>
    <w:rsid w:val="00B257B3"/>
    <w:rsid w:val="00B259CA"/>
    <w:rsid w:val="00B267BB"/>
    <w:rsid w:val="00B26BCF"/>
    <w:rsid w:val="00B27050"/>
    <w:rsid w:val="00B27513"/>
    <w:rsid w:val="00B27EA4"/>
    <w:rsid w:val="00B30C75"/>
    <w:rsid w:val="00B310BF"/>
    <w:rsid w:val="00B31B0C"/>
    <w:rsid w:val="00B322CD"/>
    <w:rsid w:val="00B32A93"/>
    <w:rsid w:val="00B3311B"/>
    <w:rsid w:val="00B3336F"/>
    <w:rsid w:val="00B33F23"/>
    <w:rsid w:val="00B344EE"/>
    <w:rsid w:val="00B34552"/>
    <w:rsid w:val="00B34892"/>
    <w:rsid w:val="00B34AEC"/>
    <w:rsid w:val="00B34DB5"/>
    <w:rsid w:val="00B34FF3"/>
    <w:rsid w:val="00B35920"/>
    <w:rsid w:val="00B35987"/>
    <w:rsid w:val="00B36049"/>
    <w:rsid w:val="00B36529"/>
    <w:rsid w:val="00B367E7"/>
    <w:rsid w:val="00B37B9F"/>
    <w:rsid w:val="00B40E05"/>
    <w:rsid w:val="00B41042"/>
    <w:rsid w:val="00B41498"/>
    <w:rsid w:val="00B41B59"/>
    <w:rsid w:val="00B427CD"/>
    <w:rsid w:val="00B4281F"/>
    <w:rsid w:val="00B432B0"/>
    <w:rsid w:val="00B43BB4"/>
    <w:rsid w:val="00B43BFD"/>
    <w:rsid w:val="00B4425B"/>
    <w:rsid w:val="00B447D8"/>
    <w:rsid w:val="00B44A6E"/>
    <w:rsid w:val="00B459D8"/>
    <w:rsid w:val="00B45A86"/>
    <w:rsid w:val="00B45AF2"/>
    <w:rsid w:val="00B45EA3"/>
    <w:rsid w:val="00B45FB4"/>
    <w:rsid w:val="00B46F32"/>
    <w:rsid w:val="00B47346"/>
    <w:rsid w:val="00B474F8"/>
    <w:rsid w:val="00B50B56"/>
    <w:rsid w:val="00B50C83"/>
    <w:rsid w:val="00B51ECE"/>
    <w:rsid w:val="00B521A7"/>
    <w:rsid w:val="00B52E96"/>
    <w:rsid w:val="00B53149"/>
    <w:rsid w:val="00B53352"/>
    <w:rsid w:val="00B535D6"/>
    <w:rsid w:val="00B537AF"/>
    <w:rsid w:val="00B539AC"/>
    <w:rsid w:val="00B5513D"/>
    <w:rsid w:val="00B554B9"/>
    <w:rsid w:val="00B55675"/>
    <w:rsid w:val="00B55BD2"/>
    <w:rsid w:val="00B5613F"/>
    <w:rsid w:val="00B567A6"/>
    <w:rsid w:val="00B5695B"/>
    <w:rsid w:val="00B5761C"/>
    <w:rsid w:val="00B57669"/>
    <w:rsid w:val="00B57C37"/>
    <w:rsid w:val="00B6019B"/>
    <w:rsid w:val="00B604A2"/>
    <w:rsid w:val="00B60615"/>
    <w:rsid w:val="00B60B21"/>
    <w:rsid w:val="00B618AB"/>
    <w:rsid w:val="00B62479"/>
    <w:rsid w:val="00B64F75"/>
    <w:rsid w:val="00B657E7"/>
    <w:rsid w:val="00B65F98"/>
    <w:rsid w:val="00B66C88"/>
    <w:rsid w:val="00B67163"/>
    <w:rsid w:val="00B70745"/>
    <w:rsid w:val="00B715E5"/>
    <w:rsid w:val="00B71629"/>
    <w:rsid w:val="00B71D87"/>
    <w:rsid w:val="00B71E4A"/>
    <w:rsid w:val="00B73464"/>
    <w:rsid w:val="00B739B5"/>
    <w:rsid w:val="00B7424F"/>
    <w:rsid w:val="00B74992"/>
    <w:rsid w:val="00B7677E"/>
    <w:rsid w:val="00B7682C"/>
    <w:rsid w:val="00B7689C"/>
    <w:rsid w:val="00B76CF4"/>
    <w:rsid w:val="00B76F99"/>
    <w:rsid w:val="00B773B8"/>
    <w:rsid w:val="00B77523"/>
    <w:rsid w:val="00B7764E"/>
    <w:rsid w:val="00B77703"/>
    <w:rsid w:val="00B777E0"/>
    <w:rsid w:val="00B803D3"/>
    <w:rsid w:val="00B805B3"/>
    <w:rsid w:val="00B80AB1"/>
    <w:rsid w:val="00B80F4A"/>
    <w:rsid w:val="00B80F4C"/>
    <w:rsid w:val="00B8154E"/>
    <w:rsid w:val="00B81C09"/>
    <w:rsid w:val="00B8208E"/>
    <w:rsid w:val="00B839ED"/>
    <w:rsid w:val="00B83A36"/>
    <w:rsid w:val="00B83BD2"/>
    <w:rsid w:val="00B83D26"/>
    <w:rsid w:val="00B84150"/>
    <w:rsid w:val="00B84573"/>
    <w:rsid w:val="00B846E0"/>
    <w:rsid w:val="00B84A72"/>
    <w:rsid w:val="00B84E68"/>
    <w:rsid w:val="00B85269"/>
    <w:rsid w:val="00B860BD"/>
    <w:rsid w:val="00B864A7"/>
    <w:rsid w:val="00B86A69"/>
    <w:rsid w:val="00B87645"/>
    <w:rsid w:val="00B902A5"/>
    <w:rsid w:val="00B904BF"/>
    <w:rsid w:val="00B90F5B"/>
    <w:rsid w:val="00B91266"/>
    <w:rsid w:val="00B91271"/>
    <w:rsid w:val="00B912A1"/>
    <w:rsid w:val="00B91640"/>
    <w:rsid w:val="00B91983"/>
    <w:rsid w:val="00B91F19"/>
    <w:rsid w:val="00B92C9E"/>
    <w:rsid w:val="00B92DB8"/>
    <w:rsid w:val="00B93BE9"/>
    <w:rsid w:val="00B93C2D"/>
    <w:rsid w:val="00B9588E"/>
    <w:rsid w:val="00B95C0A"/>
    <w:rsid w:val="00B95D8A"/>
    <w:rsid w:val="00B95F9E"/>
    <w:rsid w:val="00B967B7"/>
    <w:rsid w:val="00B97452"/>
    <w:rsid w:val="00B97799"/>
    <w:rsid w:val="00B97D06"/>
    <w:rsid w:val="00B97D62"/>
    <w:rsid w:val="00BA08F9"/>
    <w:rsid w:val="00BA0E6C"/>
    <w:rsid w:val="00BA0EF5"/>
    <w:rsid w:val="00BA1434"/>
    <w:rsid w:val="00BA1AAA"/>
    <w:rsid w:val="00BA22ED"/>
    <w:rsid w:val="00BA2312"/>
    <w:rsid w:val="00BA275E"/>
    <w:rsid w:val="00BA2B93"/>
    <w:rsid w:val="00BA403B"/>
    <w:rsid w:val="00BA41F8"/>
    <w:rsid w:val="00BA44DC"/>
    <w:rsid w:val="00BA4696"/>
    <w:rsid w:val="00BA5E0C"/>
    <w:rsid w:val="00BA6308"/>
    <w:rsid w:val="00BA6560"/>
    <w:rsid w:val="00BA65C1"/>
    <w:rsid w:val="00BA6B41"/>
    <w:rsid w:val="00BA6B98"/>
    <w:rsid w:val="00BA6D41"/>
    <w:rsid w:val="00BA6F2E"/>
    <w:rsid w:val="00BA7566"/>
    <w:rsid w:val="00BA7A36"/>
    <w:rsid w:val="00BA7EF8"/>
    <w:rsid w:val="00BB0914"/>
    <w:rsid w:val="00BB0EAE"/>
    <w:rsid w:val="00BB1A02"/>
    <w:rsid w:val="00BB1AF5"/>
    <w:rsid w:val="00BB1FDF"/>
    <w:rsid w:val="00BB2267"/>
    <w:rsid w:val="00BB29EB"/>
    <w:rsid w:val="00BB2D0F"/>
    <w:rsid w:val="00BB2F68"/>
    <w:rsid w:val="00BB301A"/>
    <w:rsid w:val="00BB3069"/>
    <w:rsid w:val="00BB348C"/>
    <w:rsid w:val="00BB39DC"/>
    <w:rsid w:val="00BB423D"/>
    <w:rsid w:val="00BB4543"/>
    <w:rsid w:val="00BB45BF"/>
    <w:rsid w:val="00BB5424"/>
    <w:rsid w:val="00BB56DB"/>
    <w:rsid w:val="00BB5E61"/>
    <w:rsid w:val="00BB5E8E"/>
    <w:rsid w:val="00BB62FE"/>
    <w:rsid w:val="00BB66EA"/>
    <w:rsid w:val="00BB6CD6"/>
    <w:rsid w:val="00BB6E3B"/>
    <w:rsid w:val="00BB7639"/>
    <w:rsid w:val="00BB76F6"/>
    <w:rsid w:val="00BB7876"/>
    <w:rsid w:val="00BB7D5E"/>
    <w:rsid w:val="00BC00F2"/>
    <w:rsid w:val="00BC10D4"/>
    <w:rsid w:val="00BC14EB"/>
    <w:rsid w:val="00BC1551"/>
    <w:rsid w:val="00BC1BE7"/>
    <w:rsid w:val="00BC1E31"/>
    <w:rsid w:val="00BC2020"/>
    <w:rsid w:val="00BC2241"/>
    <w:rsid w:val="00BC27FC"/>
    <w:rsid w:val="00BC2D21"/>
    <w:rsid w:val="00BC2FD8"/>
    <w:rsid w:val="00BC322F"/>
    <w:rsid w:val="00BC3A23"/>
    <w:rsid w:val="00BC3A76"/>
    <w:rsid w:val="00BC3D5F"/>
    <w:rsid w:val="00BC4357"/>
    <w:rsid w:val="00BC4812"/>
    <w:rsid w:val="00BC4F8D"/>
    <w:rsid w:val="00BC5CD8"/>
    <w:rsid w:val="00BC672D"/>
    <w:rsid w:val="00BC67D1"/>
    <w:rsid w:val="00BC7685"/>
    <w:rsid w:val="00BC7F00"/>
    <w:rsid w:val="00BD095B"/>
    <w:rsid w:val="00BD1152"/>
    <w:rsid w:val="00BD177B"/>
    <w:rsid w:val="00BD187A"/>
    <w:rsid w:val="00BD25E2"/>
    <w:rsid w:val="00BD2721"/>
    <w:rsid w:val="00BD27EC"/>
    <w:rsid w:val="00BD2A9B"/>
    <w:rsid w:val="00BD2CDF"/>
    <w:rsid w:val="00BD2FB0"/>
    <w:rsid w:val="00BD3A1E"/>
    <w:rsid w:val="00BD3AE4"/>
    <w:rsid w:val="00BD3CF2"/>
    <w:rsid w:val="00BD3CFD"/>
    <w:rsid w:val="00BD3D5F"/>
    <w:rsid w:val="00BD45F8"/>
    <w:rsid w:val="00BD562A"/>
    <w:rsid w:val="00BD5BDB"/>
    <w:rsid w:val="00BD67C2"/>
    <w:rsid w:val="00BD6E53"/>
    <w:rsid w:val="00BD71BD"/>
    <w:rsid w:val="00BD7330"/>
    <w:rsid w:val="00BD75EB"/>
    <w:rsid w:val="00BD7801"/>
    <w:rsid w:val="00BE0CB9"/>
    <w:rsid w:val="00BE10F8"/>
    <w:rsid w:val="00BE1698"/>
    <w:rsid w:val="00BE19D4"/>
    <w:rsid w:val="00BE2269"/>
    <w:rsid w:val="00BE27BD"/>
    <w:rsid w:val="00BE2AB5"/>
    <w:rsid w:val="00BE2F0C"/>
    <w:rsid w:val="00BE312C"/>
    <w:rsid w:val="00BE35DA"/>
    <w:rsid w:val="00BE44C0"/>
    <w:rsid w:val="00BE5E48"/>
    <w:rsid w:val="00BE633D"/>
    <w:rsid w:val="00BE6626"/>
    <w:rsid w:val="00BE69CE"/>
    <w:rsid w:val="00BE6B27"/>
    <w:rsid w:val="00BE6C95"/>
    <w:rsid w:val="00BE6FD7"/>
    <w:rsid w:val="00BE702F"/>
    <w:rsid w:val="00BE770B"/>
    <w:rsid w:val="00BE794B"/>
    <w:rsid w:val="00BE7ACF"/>
    <w:rsid w:val="00BE7AFC"/>
    <w:rsid w:val="00BE7B20"/>
    <w:rsid w:val="00BF00B6"/>
    <w:rsid w:val="00BF0346"/>
    <w:rsid w:val="00BF0442"/>
    <w:rsid w:val="00BF05F9"/>
    <w:rsid w:val="00BF0BA5"/>
    <w:rsid w:val="00BF0EEB"/>
    <w:rsid w:val="00BF15FD"/>
    <w:rsid w:val="00BF1926"/>
    <w:rsid w:val="00BF1F99"/>
    <w:rsid w:val="00BF2437"/>
    <w:rsid w:val="00BF24F5"/>
    <w:rsid w:val="00BF2596"/>
    <w:rsid w:val="00BF377A"/>
    <w:rsid w:val="00BF3AAB"/>
    <w:rsid w:val="00BF3BC3"/>
    <w:rsid w:val="00BF40AD"/>
    <w:rsid w:val="00BF4241"/>
    <w:rsid w:val="00BF434E"/>
    <w:rsid w:val="00BF479F"/>
    <w:rsid w:val="00BF4A5D"/>
    <w:rsid w:val="00BF4CFF"/>
    <w:rsid w:val="00BF50A4"/>
    <w:rsid w:val="00BF56F2"/>
    <w:rsid w:val="00BF5BFF"/>
    <w:rsid w:val="00BF69EE"/>
    <w:rsid w:val="00BF6A7C"/>
    <w:rsid w:val="00BF73B4"/>
    <w:rsid w:val="00BF75E9"/>
    <w:rsid w:val="00C001E1"/>
    <w:rsid w:val="00C00206"/>
    <w:rsid w:val="00C0030D"/>
    <w:rsid w:val="00C00CC2"/>
    <w:rsid w:val="00C01D67"/>
    <w:rsid w:val="00C01E2A"/>
    <w:rsid w:val="00C020DE"/>
    <w:rsid w:val="00C027FC"/>
    <w:rsid w:val="00C02A8E"/>
    <w:rsid w:val="00C036C5"/>
    <w:rsid w:val="00C036D6"/>
    <w:rsid w:val="00C037E7"/>
    <w:rsid w:val="00C03A8E"/>
    <w:rsid w:val="00C03DD7"/>
    <w:rsid w:val="00C03E0C"/>
    <w:rsid w:val="00C03E6C"/>
    <w:rsid w:val="00C04146"/>
    <w:rsid w:val="00C04181"/>
    <w:rsid w:val="00C0438C"/>
    <w:rsid w:val="00C043B2"/>
    <w:rsid w:val="00C05334"/>
    <w:rsid w:val="00C05AC6"/>
    <w:rsid w:val="00C05BE2"/>
    <w:rsid w:val="00C07C71"/>
    <w:rsid w:val="00C07CCE"/>
    <w:rsid w:val="00C101BB"/>
    <w:rsid w:val="00C1031D"/>
    <w:rsid w:val="00C10525"/>
    <w:rsid w:val="00C10B53"/>
    <w:rsid w:val="00C10F24"/>
    <w:rsid w:val="00C10F59"/>
    <w:rsid w:val="00C11077"/>
    <w:rsid w:val="00C111C7"/>
    <w:rsid w:val="00C11D23"/>
    <w:rsid w:val="00C11FB3"/>
    <w:rsid w:val="00C1238F"/>
    <w:rsid w:val="00C1268A"/>
    <w:rsid w:val="00C1388B"/>
    <w:rsid w:val="00C13DB2"/>
    <w:rsid w:val="00C13F3C"/>
    <w:rsid w:val="00C144EF"/>
    <w:rsid w:val="00C1478D"/>
    <w:rsid w:val="00C1494D"/>
    <w:rsid w:val="00C14F20"/>
    <w:rsid w:val="00C15424"/>
    <w:rsid w:val="00C1553E"/>
    <w:rsid w:val="00C15663"/>
    <w:rsid w:val="00C15D51"/>
    <w:rsid w:val="00C16819"/>
    <w:rsid w:val="00C1732E"/>
    <w:rsid w:val="00C17B8A"/>
    <w:rsid w:val="00C17BB4"/>
    <w:rsid w:val="00C200A1"/>
    <w:rsid w:val="00C2016B"/>
    <w:rsid w:val="00C20DA0"/>
    <w:rsid w:val="00C220E9"/>
    <w:rsid w:val="00C2230A"/>
    <w:rsid w:val="00C22AA1"/>
    <w:rsid w:val="00C22CA6"/>
    <w:rsid w:val="00C22EB8"/>
    <w:rsid w:val="00C2357F"/>
    <w:rsid w:val="00C23773"/>
    <w:rsid w:val="00C23813"/>
    <w:rsid w:val="00C23DE7"/>
    <w:rsid w:val="00C24188"/>
    <w:rsid w:val="00C24255"/>
    <w:rsid w:val="00C2448C"/>
    <w:rsid w:val="00C245B5"/>
    <w:rsid w:val="00C2502C"/>
    <w:rsid w:val="00C26AB6"/>
    <w:rsid w:val="00C26E99"/>
    <w:rsid w:val="00C2701C"/>
    <w:rsid w:val="00C272F1"/>
    <w:rsid w:val="00C2741C"/>
    <w:rsid w:val="00C2789C"/>
    <w:rsid w:val="00C27A81"/>
    <w:rsid w:val="00C305BA"/>
    <w:rsid w:val="00C30D7C"/>
    <w:rsid w:val="00C30FF1"/>
    <w:rsid w:val="00C31F5D"/>
    <w:rsid w:val="00C324FA"/>
    <w:rsid w:val="00C32614"/>
    <w:rsid w:val="00C327F6"/>
    <w:rsid w:val="00C32AA5"/>
    <w:rsid w:val="00C33613"/>
    <w:rsid w:val="00C33E28"/>
    <w:rsid w:val="00C33FEA"/>
    <w:rsid w:val="00C3405E"/>
    <w:rsid w:val="00C341BF"/>
    <w:rsid w:val="00C34203"/>
    <w:rsid w:val="00C34F96"/>
    <w:rsid w:val="00C35632"/>
    <w:rsid w:val="00C358D9"/>
    <w:rsid w:val="00C3748D"/>
    <w:rsid w:val="00C37765"/>
    <w:rsid w:val="00C37BAF"/>
    <w:rsid w:val="00C37BE4"/>
    <w:rsid w:val="00C37E9B"/>
    <w:rsid w:val="00C40408"/>
    <w:rsid w:val="00C404B8"/>
    <w:rsid w:val="00C405A4"/>
    <w:rsid w:val="00C4096D"/>
    <w:rsid w:val="00C40BEA"/>
    <w:rsid w:val="00C40F09"/>
    <w:rsid w:val="00C41213"/>
    <w:rsid w:val="00C418FD"/>
    <w:rsid w:val="00C42293"/>
    <w:rsid w:val="00C42404"/>
    <w:rsid w:val="00C43485"/>
    <w:rsid w:val="00C43CBB"/>
    <w:rsid w:val="00C442A7"/>
    <w:rsid w:val="00C44965"/>
    <w:rsid w:val="00C44CD2"/>
    <w:rsid w:val="00C4553C"/>
    <w:rsid w:val="00C456AE"/>
    <w:rsid w:val="00C471E3"/>
    <w:rsid w:val="00C476C9"/>
    <w:rsid w:val="00C47BCE"/>
    <w:rsid w:val="00C50556"/>
    <w:rsid w:val="00C50653"/>
    <w:rsid w:val="00C50841"/>
    <w:rsid w:val="00C50A49"/>
    <w:rsid w:val="00C50DE4"/>
    <w:rsid w:val="00C512A8"/>
    <w:rsid w:val="00C514C1"/>
    <w:rsid w:val="00C51EBE"/>
    <w:rsid w:val="00C51FCC"/>
    <w:rsid w:val="00C5250F"/>
    <w:rsid w:val="00C52679"/>
    <w:rsid w:val="00C53972"/>
    <w:rsid w:val="00C55423"/>
    <w:rsid w:val="00C555CB"/>
    <w:rsid w:val="00C56014"/>
    <w:rsid w:val="00C566AF"/>
    <w:rsid w:val="00C570AB"/>
    <w:rsid w:val="00C57A29"/>
    <w:rsid w:val="00C57D5E"/>
    <w:rsid w:val="00C6037F"/>
    <w:rsid w:val="00C60636"/>
    <w:rsid w:val="00C61A76"/>
    <w:rsid w:val="00C61D87"/>
    <w:rsid w:val="00C61F0A"/>
    <w:rsid w:val="00C62712"/>
    <w:rsid w:val="00C62802"/>
    <w:rsid w:val="00C62923"/>
    <w:rsid w:val="00C62BF8"/>
    <w:rsid w:val="00C62CC7"/>
    <w:rsid w:val="00C62E46"/>
    <w:rsid w:val="00C63135"/>
    <w:rsid w:val="00C638FA"/>
    <w:rsid w:val="00C639BC"/>
    <w:rsid w:val="00C63D20"/>
    <w:rsid w:val="00C63DD0"/>
    <w:rsid w:val="00C64290"/>
    <w:rsid w:val="00C649CE"/>
    <w:rsid w:val="00C64FEA"/>
    <w:rsid w:val="00C65ECE"/>
    <w:rsid w:val="00C6649E"/>
    <w:rsid w:val="00C66618"/>
    <w:rsid w:val="00C66937"/>
    <w:rsid w:val="00C66BB8"/>
    <w:rsid w:val="00C67434"/>
    <w:rsid w:val="00C67B9A"/>
    <w:rsid w:val="00C70448"/>
    <w:rsid w:val="00C70909"/>
    <w:rsid w:val="00C70FE0"/>
    <w:rsid w:val="00C712B1"/>
    <w:rsid w:val="00C7134F"/>
    <w:rsid w:val="00C7169B"/>
    <w:rsid w:val="00C71FC6"/>
    <w:rsid w:val="00C7282C"/>
    <w:rsid w:val="00C72E8C"/>
    <w:rsid w:val="00C736F6"/>
    <w:rsid w:val="00C73C57"/>
    <w:rsid w:val="00C73C9F"/>
    <w:rsid w:val="00C741F6"/>
    <w:rsid w:val="00C7448A"/>
    <w:rsid w:val="00C74CA2"/>
    <w:rsid w:val="00C75163"/>
    <w:rsid w:val="00C75291"/>
    <w:rsid w:val="00C75B82"/>
    <w:rsid w:val="00C75C18"/>
    <w:rsid w:val="00C766D7"/>
    <w:rsid w:val="00C76869"/>
    <w:rsid w:val="00C7788E"/>
    <w:rsid w:val="00C80AA6"/>
    <w:rsid w:val="00C80D01"/>
    <w:rsid w:val="00C81F51"/>
    <w:rsid w:val="00C8288A"/>
    <w:rsid w:val="00C82AD3"/>
    <w:rsid w:val="00C83425"/>
    <w:rsid w:val="00C83722"/>
    <w:rsid w:val="00C8375A"/>
    <w:rsid w:val="00C843D4"/>
    <w:rsid w:val="00C8454C"/>
    <w:rsid w:val="00C84A28"/>
    <w:rsid w:val="00C86152"/>
    <w:rsid w:val="00C86448"/>
    <w:rsid w:val="00C8709B"/>
    <w:rsid w:val="00C87D50"/>
    <w:rsid w:val="00C87E90"/>
    <w:rsid w:val="00C906E8"/>
    <w:rsid w:val="00C90C4D"/>
    <w:rsid w:val="00C90CBB"/>
    <w:rsid w:val="00C90FAB"/>
    <w:rsid w:val="00C914E1"/>
    <w:rsid w:val="00C921D1"/>
    <w:rsid w:val="00C92219"/>
    <w:rsid w:val="00C9312D"/>
    <w:rsid w:val="00C932C0"/>
    <w:rsid w:val="00C93A73"/>
    <w:rsid w:val="00C93C12"/>
    <w:rsid w:val="00C954E3"/>
    <w:rsid w:val="00C95A92"/>
    <w:rsid w:val="00C95C4E"/>
    <w:rsid w:val="00C95F73"/>
    <w:rsid w:val="00C961F0"/>
    <w:rsid w:val="00C9626A"/>
    <w:rsid w:val="00C96631"/>
    <w:rsid w:val="00C97016"/>
    <w:rsid w:val="00C97972"/>
    <w:rsid w:val="00C97D15"/>
    <w:rsid w:val="00C97F6D"/>
    <w:rsid w:val="00CA0161"/>
    <w:rsid w:val="00CA1E8F"/>
    <w:rsid w:val="00CA1F7F"/>
    <w:rsid w:val="00CA2471"/>
    <w:rsid w:val="00CA2F42"/>
    <w:rsid w:val="00CA35AE"/>
    <w:rsid w:val="00CA3840"/>
    <w:rsid w:val="00CA389B"/>
    <w:rsid w:val="00CA3C79"/>
    <w:rsid w:val="00CA3F29"/>
    <w:rsid w:val="00CA5855"/>
    <w:rsid w:val="00CA599C"/>
    <w:rsid w:val="00CA5A92"/>
    <w:rsid w:val="00CA610B"/>
    <w:rsid w:val="00CA6200"/>
    <w:rsid w:val="00CA6348"/>
    <w:rsid w:val="00CA6415"/>
    <w:rsid w:val="00CA6423"/>
    <w:rsid w:val="00CA67B1"/>
    <w:rsid w:val="00CA68F8"/>
    <w:rsid w:val="00CA6F3F"/>
    <w:rsid w:val="00CB039D"/>
    <w:rsid w:val="00CB1CE9"/>
    <w:rsid w:val="00CB217D"/>
    <w:rsid w:val="00CB25B6"/>
    <w:rsid w:val="00CB2841"/>
    <w:rsid w:val="00CB2935"/>
    <w:rsid w:val="00CB314E"/>
    <w:rsid w:val="00CB3239"/>
    <w:rsid w:val="00CB3290"/>
    <w:rsid w:val="00CB3555"/>
    <w:rsid w:val="00CB4AE4"/>
    <w:rsid w:val="00CB4DD6"/>
    <w:rsid w:val="00CB560F"/>
    <w:rsid w:val="00CB5C1B"/>
    <w:rsid w:val="00CB637B"/>
    <w:rsid w:val="00CB68BC"/>
    <w:rsid w:val="00CB6C7D"/>
    <w:rsid w:val="00CB72B4"/>
    <w:rsid w:val="00CB7AEA"/>
    <w:rsid w:val="00CB7AF1"/>
    <w:rsid w:val="00CC026E"/>
    <w:rsid w:val="00CC0787"/>
    <w:rsid w:val="00CC0E6B"/>
    <w:rsid w:val="00CC1357"/>
    <w:rsid w:val="00CC18A4"/>
    <w:rsid w:val="00CC18CD"/>
    <w:rsid w:val="00CC1B3E"/>
    <w:rsid w:val="00CC2525"/>
    <w:rsid w:val="00CC2D12"/>
    <w:rsid w:val="00CC3954"/>
    <w:rsid w:val="00CC3B30"/>
    <w:rsid w:val="00CC3E26"/>
    <w:rsid w:val="00CC3F71"/>
    <w:rsid w:val="00CC4052"/>
    <w:rsid w:val="00CC4248"/>
    <w:rsid w:val="00CC44F9"/>
    <w:rsid w:val="00CC569F"/>
    <w:rsid w:val="00CC56E1"/>
    <w:rsid w:val="00CC58E1"/>
    <w:rsid w:val="00CC6731"/>
    <w:rsid w:val="00CC6FA5"/>
    <w:rsid w:val="00CC737D"/>
    <w:rsid w:val="00CC7ADA"/>
    <w:rsid w:val="00CD01B9"/>
    <w:rsid w:val="00CD0368"/>
    <w:rsid w:val="00CD26C2"/>
    <w:rsid w:val="00CD2A64"/>
    <w:rsid w:val="00CD2A82"/>
    <w:rsid w:val="00CD2CA4"/>
    <w:rsid w:val="00CD2CD3"/>
    <w:rsid w:val="00CD34D6"/>
    <w:rsid w:val="00CD3CF5"/>
    <w:rsid w:val="00CD3DC3"/>
    <w:rsid w:val="00CD4699"/>
    <w:rsid w:val="00CD4F42"/>
    <w:rsid w:val="00CD5EA6"/>
    <w:rsid w:val="00CD6766"/>
    <w:rsid w:val="00CD6C24"/>
    <w:rsid w:val="00CD6C45"/>
    <w:rsid w:val="00CD6F73"/>
    <w:rsid w:val="00CD71C9"/>
    <w:rsid w:val="00CD781A"/>
    <w:rsid w:val="00CE095A"/>
    <w:rsid w:val="00CE097C"/>
    <w:rsid w:val="00CE0C5D"/>
    <w:rsid w:val="00CE0FA3"/>
    <w:rsid w:val="00CE0FA7"/>
    <w:rsid w:val="00CE1B9F"/>
    <w:rsid w:val="00CE1CE3"/>
    <w:rsid w:val="00CE1DC7"/>
    <w:rsid w:val="00CE1E3E"/>
    <w:rsid w:val="00CE23E0"/>
    <w:rsid w:val="00CE278A"/>
    <w:rsid w:val="00CE2BB1"/>
    <w:rsid w:val="00CE2F05"/>
    <w:rsid w:val="00CE356D"/>
    <w:rsid w:val="00CE38F5"/>
    <w:rsid w:val="00CE3AAE"/>
    <w:rsid w:val="00CE457C"/>
    <w:rsid w:val="00CE4C6F"/>
    <w:rsid w:val="00CE5008"/>
    <w:rsid w:val="00CE5020"/>
    <w:rsid w:val="00CE533B"/>
    <w:rsid w:val="00CE5589"/>
    <w:rsid w:val="00CE5651"/>
    <w:rsid w:val="00CE65D5"/>
    <w:rsid w:val="00CF0E32"/>
    <w:rsid w:val="00CF29CA"/>
    <w:rsid w:val="00CF30BB"/>
    <w:rsid w:val="00CF37AE"/>
    <w:rsid w:val="00CF43BC"/>
    <w:rsid w:val="00CF4629"/>
    <w:rsid w:val="00CF48C8"/>
    <w:rsid w:val="00CF4C8C"/>
    <w:rsid w:val="00CF51E8"/>
    <w:rsid w:val="00CF64B8"/>
    <w:rsid w:val="00CF733C"/>
    <w:rsid w:val="00CF745E"/>
    <w:rsid w:val="00CF74BA"/>
    <w:rsid w:val="00D00BE3"/>
    <w:rsid w:val="00D00C05"/>
    <w:rsid w:val="00D01811"/>
    <w:rsid w:val="00D01B89"/>
    <w:rsid w:val="00D01C6A"/>
    <w:rsid w:val="00D02400"/>
    <w:rsid w:val="00D0248A"/>
    <w:rsid w:val="00D024B3"/>
    <w:rsid w:val="00D0253D"/>
    <w:rsid w:val="00D02C5F"/>
    <w:rsid w:val="00D02D3D"/>
    <w:rsid w:val="00D031DF"/>
    <w:rsid w:val="00D03DA9"/>
    <w:rsid w:val="00D040BE"/>
    <w:rsid w:val="00D04C61"/>
    <w:rsid w:val="00D04FC7"/>
    <w:rsid w:val="00D05391"/>
    <w:rsid w:val="00D06ACA"/>
    <w:rsid w:val="00D06B8F"/>
    <w:rsid w:val="00D071B1"/>
    <w:rsid w:val="00D077C7"/>
    <w:rsid w:val="00D07837"/>
    <w:rsid w:val="00D104B9"/>
    <w:rsid w:val="00D109BF"/>
    <w:rsid w:val="00D11BF0"/>
    <w:rsid w:val="00D12A35"/>
    <w:rsid w:val="00D12CA4"/>
    <w:rsid w:val="00D12D34"/>
    <w:rsid w:val="00D12EC7"/>
    <w:rsid w:val="00D131BA"/>
    <w:rsid w:val="00D13468"/>
    <w:rsid w:val="00D134B6"/>
    <w:rsid w:val="00D137DB"/>
    <w:rsid w:val="00D13A5A"/>
    <w:rsid w:val="00D13CD2"/>
    <w:rsid w:val="00D1451F"/>
    <w:rsid w:val="00D14B2E"/>
    <w:rsid w:val="00D15A90"/>
    <w:rsid w:val="00D15C4B"/>
    <w:rsid w:val="00D15CBE"/>
    <w:rsid w:val="00D15E06"/>
    <w:rsid w:val="00D16128"/>
    <w:rsid w:val="00D16B8B"/>
    <w:rsid w:val="00D172C7"/>
    <w:rsid w:val="00D17BF5"/>
    <w:rsid w:val="00D17CDF"/>
    <w:rsid w:val="00D20521"/>
    <w:rsid w:val="00D206C6"/>
    <w:rsid w:val="00D20827"/>
    <w:rsid w:val="00D2107B"/>
    <w:rsid w:val="00D21D3A"/>
    <w:rsid w:val="00D21DA4"/>
    <w:rsid w:val="00D22123"/>
    <w:rsid w:val="00D2239E"/>
    <w:rsid w:val="00D2266A"/>
    <w:rsid w:val="00D22771"/>
    <w:rsid w:val="00D22A1F"/>
    <w:rsid w:val="00D22BC2"/>
    <w:rsid w:val="00D23788"/>
    <w:rsid w:val="00D23A0B"/>
    <w:rsid w:val="00D23BB8"/>
    <w:rsid w:val="00D23E07"/>
    <w:rsid w:val="00D23F71"/>
    <w:rsid w:val="00D245BA"/>
    <w:rsid w:val="00D24F72"/>
    <w:rsid w:val="00D24FA2"/>
    <w:rsid w:val="00D251EE"/>
    <w:rsid w:val="00D25BC3"/>
    <w:rsid w:val="00D25CE4"/>
    <w:rsid w:val="00D26249"/>
    <w:rsid w:val="00D266BC"/>
    <w:rsid w:val="00D27215"/>
    <w:rsid w:val="00D272AE"/>
    <w:rsid w:val="00D27370"/>
    <w:rsid w:val="00D27F2B"/>
    <w:rsid w:val="00D3033F"/>
    <w:rsid w:val="00D305F8"/>
    <w:rsid w:val="00D30DDB"/>
    <w:rsid w:val="00D310FA"/>
    <w:rsid w:val="00D3116F"/>
    <w:rsid w:val="00D31A8E"/>
    <w:rsid w:val="00D325AF"/>
    <w:rsid w:val="00D32E19"/>
    <w:rsid w:val="00D334FD"/>
    <w:rsid w:val="00D33E5D"/>
    <w:rsid w:val="00D34072"/>
    <w:rsid w:val="00D34A40"/>
    <w:rsid w:val="00D35003"/>
    <w:rsid w:val="00D3540E"/>
    <w:rsid w:val="00D3569C"/>
    <w:rsid w:val="00D358FE"/>
    <w:rsid w:val="00D36758"/>
    <w:rsid w:val="00D36845"/>
    <w:rsid w:val="00D36982"/>
    <w:rsid w:val="00D36EDA"/>
    <w:rsid w:val="00D37257"/>
    <w:rsid w:val="00D376B4"/>
    <w:rsid w:val="00D4037C"/>
    <w:rsid w:val="00D404E6"/>
    <w:rsid w:val="00D40856"/>
    <w:rsid w:val="00D41897"/>
    <w:rsid w:val="00D422AA"/>
    <w:rsid w:val="00D42378"/>
    <w:rsid w:val="00D42872"/>
    <w:rsid w:val="00D42A43"/>
    <w:rsid w:val="00D42A5D"/>
    <w:rsid w:val="00D42F6A"/>
    <w:rsid w:val="00D439DD"/>
    <w:rsid w:val="00D441FE"/>
    <w:rsid w:val="00D44C08"/>
    <w:rsid w:val="00D4512A"/>
    <w:rsid w:val="00D45E9B"/>
    <w:rsid w:val="00D4652B"/>
    <w:rsid w:val="00D46D0A"/>
    <w:rsid w:val="00D478F3"/>
    <w:rsid w:val="00D505E5"/>
    <w:rsid w:val="00D50672"/>
    <w:rsid w:val="00D51478"/>
    <w:rsid w:val="00D52767"/>
    <w:rsid w:val="00D532F5"/>
    <w:rsid w:val="00D53428"/>
    <w:rsid w:val="00D5376A"/>
    <w:rsid w:val="00D54396"/>
    <w:rsid w:val="00D54486"/>
    <w:rsid w:val="00D544C8"/>
    <w:rsid w:val="00D545DA"/>
    <w:rsid w:val="00D5505D"/>
    <w:rsid w:val="00D559D9"/>
    <w:rsid w:val="00D55B4D"/>
    <w:rsid w:val="00D56328"/>
    <w:rsid w:val="00D563BC"/>
    <w:rsid w:val="00D56409"/>
    <w:rsid w:val="00D56882"/>
    <w:rsid w:val="00D57285"/>
    <w:rsid w:val="00D57CEB"/>
    <w:rsid w:val="00D57F49"/>
    <w:rsid w:val="00D60312"/>
    <w:rsid w:val="00D60519"/>
    <w:rsid w:val="00D60C89"/>
    <w:rsid w:val="00D60C8E"/>
    <w:rsid w:val="00D61000"/>
    <w:rsid w:val="00D612BE"/>
    <w:rsid w:val="00D6169B"/>
    <w:rsid w:val="00D618AE"/>
    <w:rsid w:val="00D630D7"/>
    <w:rsid w:val="00D63C34"/>
    <w:rsid w:val="00D6421E"/>
    <w:rsid w:val="00D64416"/>
    <w:rsid w:val="00D648D9"/>
    <w:rsid w:val="00D64BDA"/>
    <w:rsid w:val="00D64D3A"/>
    <w:rsid w:val="00D65C13"/>
    <w:rsid w:val="00D65C1B"/>
    <w:rsid w:val="00D65DA1"/>
    <w:rsid w:val="00D65F63"/>
    <w:rsid w:val="00D65FE6"/>
    <w:rsid w:val="00D66728"/>
    <w:rsid w:val="00D66C66"/>
    <w:rsid w:val="00D66C75"/>
    <w:rsid w:val="00D66F93"/>
    <w:rsid w:val="00D66FC3"/>
    <w:rsid w:val="00D67362"/>
    <w:rsid w:val="00D6763E"/>
    <w:rsid w:val="00D676CD"/>
    <w:rsid w:val="00D67990"/>
    <w:rsid w:val="00D67DEA"/>
    <w:rsid w:val="00D70301"/>
    <w:rsid w:val="00D70748"/>
    <w:rsid w:val="00D7093A"/>
    <w:rsid w:val="00D70A37"/>
    <w:rsid w:val="00D7142E"/>
    <w:rsid w:val="00D72238"/>
    <w:rsid w:val="00D72521"/>
    <w:rsid w:val="00D729DB"/>
    <w:rsid w:val="00D72E0B"/>
    <w:rsid w:val="00D73049"/>
    <w:rsid w:val="00D73151"/>
    <w:rsid w:val="00D7336D"/>
    <w:rsid w:val="00D7388F"/>
    <w:rsid w:val="00D74370"/>
    <w:rsid w:val="00D7557B"/>
    <w:rsid w:val="00D75990"/>
    <w:rsid w:val="00D75C7C"/>
    <w:rsid w:val="00D76572"/>
    <w:rsid w:val="00D76603"/>
    <w:rsid w:val="00D76A83"/>
    <w:rsid w:val="00D76FF7"/>
    <w:rsid w:val="00D773DE"/>
    <w:rsid w:val="00D7753A"/>
    <w:rsid w:val="00D8037F"/>
    <w:rsid w:val="00D80B23"/>
    <w:rsid w:val="00D80B35"/>
    <w:rsid w:val="00D80CD0"/>
    <w:rsid w:val="00D80F5A"/>
    <w:rsid w:val="00D81755"/>
    <w:rsid w:val="00D818C4"/>
    <w:rsid w:val="00D83BD6"/>
    <w:rsid w:val="00D842DE"/>
    <w:rsid w:val="00D843BD"/>
    <w:rsid w:val="00D84D5D"/>
    <w:rsid w:val="00D85591"/>
    <w:rsid w:val="00D85962"/>
    <w:rsid w:val="00D85C84"/>
    <w:rsid w:val="00D86FD6"/>
    <w:rsid w:val="00D87381"/>
    <w:rsid w:val="00D87554"/>
    <w:rsid w:val="00D87834"/>
    <w:rsid w:val="00D87977"/>
    <w:rsid w:val="00D87F98"/>
    <w:rsid w:val="00D90AD3"/>
    <w:rsid w:val="00D90ADF"/>
    <w:rsid w:val="00D90E96"/>
    <w:rsid w:val="00D91FAA"/>
    <w:rsid w:val="00D9213B"/>
    <w:rsid w:val="00D92B6A"/>
    <w:rsid w:val="00D92EEF"/>
    <w:rsid w:val="00D93034"/>
    <w:rsid w:val="00D94059"/>
    <w:rsid w:val="00D94C15"/>
    <w:rsid w:val="00D94E7D"/>
    <w:rsid w:val="00D956E4"/>
    <w:rsid w:val="00D95BCF"/>
    <w:rsid w:val="00D96452"/>
    <w:rsid w:val="00D9663A"/>
    <w:rsid w:val="00D96C9D"/>
    <w:rsid w:val="00D97043"/>
    <w:rsid w:val="00D9718D"/>
    <w:rsid w:val="00DA0060"/>
    <w:rsid w:val="00DA0075"/>
    <w:rsid w:val="00DA03FD"/>
    <w:rsid w:val="00DA049B"/>
    <w:rsid w:val="00DA0B31"/>
    <w:rsid w:val="00DA0F8D"/>
    <w:rsid w:val="00DA1031"/>
    <w:rsid w:val="00DA44AE"/>
    <w:rsid w:val="00DA50B2"/>
    <w:rsid w:val="00DA52AF"/>
    <w:rsid w:val="00DA546A"/>
    <w:rsid w:val="00DA5822"/>
    <w:rsid w:val="00DA5D59"/>
    <w:rsid w:val="00DA5E71"/>
    <w:rsid w:val="00DA6022"/>
    <w:rsid w:val="00DA6091"/>
    <w:rsid w:val="00DA618F"/>
    <w:rsid w:val="00DA6842"/>
    <w:rsid w:val="00DA6F03"/>
    <w:rsid w:val="00DA6FA6"/>
    <w:rsid w:val="00DA7023"/>
    <w:rsid w:val="00DA7467"/>
    <w:rsid w:val="00DA77FC"/>
    <w:rsid w:val="00DA7FA1"/>
    <w:rsid w:val="00DB03CF"/>
    <w:rsid w:val="00DB0428"/>
    <w:rsid w:val="00DB091A"/>
    <w:rsid w:val="00DB0F2C"/>
    <w:rsid w:val="00DB1E5C"/>
    <w:rsid w:val="00DB1F1B"/>
    <w:rsid w:val="00DB250B"/>
    <w:rsid w:val="00DB28AC"/>
    <w:rsid w:val="00DB2A65"/>
    <w:rsid w:val="00DB3B2E"/>
    <w:rsid w:val="00DB4111"/>
    <w:rsid w:val="00DB431F"/>
    <w:rsid w:val="00DB493C"/>
    <w:rsid w:val="00DB52B0"/>
    <w:rsid w:val="00DB5938"/>
    <w:rsid w:val="00DB5C23"/>
    <w:rsid w:val="00DB6237"/>
    <w:rsid w:val="00DB6B1D"/>
    <w:rsid w:val="00DB6F70"/>
    <w:rsid w:val="00DB794D"/>
    <w:rsid w:val="00DC0069"/>
    <w:rsid w:val="00DC017E"/>
    <w:rsid w:val="00DC06CA"/>
    <w:rsid w:val="00DC093C"/>
    <w:rsid w:val="00DC0A2D"/>
    <w:rsid w:val="00DC1821"/>
    <w:rsid w:val="00DC1E93"/>
    <w:rsid w:val="00DC1F0C"/>
    <w:rsid w:val="00DC2412"/>
    <w:rsid w:val="00DC2DB3"/>
    <w:rsid w:val="00DC381D"/>
    <w:rsid w:val="00DC4155"/>
    <w:rsid w:val="00DC4E2E"/>
    <w:rsid w:val="00DC54C7"/>
    <w:rsid w:val="00DC556D"/>
    <w:rsid w:val="00DC5825"/>
    <w:rsid w:val="00DC588D"/>
    <w:rsid w:val="00DC5D7E"/>
    <w:rsid w:val="00DC6241"/>
    <w:rsid w:val="00DC63B2"/>
    <w:rsid w:val="00DC646C"/>
    <w:rsid w:val="00DC6CC4"/>
    <w:rsid w:val="00DC70FB"/>
    <w:rsid w:val="00DC76C7"/>
    <w:rsid w:val="00DD07DE"/>
    <w:rsid w:val="00DD0BD9"/>
    <w:rsid w:val="00DD11AE"/>
    <w:rsid w:val="00DD15E3"/>
    <w:rsid w:val="00DD2254"/>
    <w:rsid w:val="00DD28F3"/>
    <w:rsid w:val="00DD2927"/>
    <w:rsid w:val="00DD358F"/>
    <w:rsid w:val="00DD3AD2"/>
    <w:rsid w:val="00DD4F74"/>
    <w:rsid w:val="00DD50C9"/>
    <w:rsid w:val="00DD5841"/>
    <w:rsid w:val="00DD6FBF"/>
    <w:rsid w:val="00DD7CE2"/>
    <w:rsid w:val="00DE0A4A"/>
    <w:rsid w:val="00DE0AC8"/>
    <w:rsid w:val="00DE0BC5"/>
    <w:rsid w:val="00DE0D38"/>
    <w:rsid w:val="00DE160C"/>
    <w:rsid w:val="00DE2124"/>
    <w:rsid w:val="00DE2712"/>
    <w:rsid w:val="00DE2792"/>
    <w:rsid w:val="00DE3694"/>
    <w:rsid w:val="00DE38B6"/>
    <w:rsid w:val="00DE4307"/>
    <w:rsid w:val="00DE4478"/>
    <w:rsid w:val="00DE4761"/>
    <w:rsid w:val="00DE499C"/>
    <w:rsid w:val="00DE4CB3"/>
    <w:rsid w:val="00DE5CE5"/>
    <w:rsid w:val="00DE5F0D"/>
    <w:rsid w:val="00DE5F78"/>
    <w:rsid w:val="00DE61FB"/>
    <w:rsid w:val="00DE79C3"/>
    <w:rsid w:val="00DF0B5D"/>
    <w:rsid w:val="00DF154A"/>
    <w:rsid w:val="00DF1592"/>
    <w:rsid w:val="00DF1735"/>
    <w:rsid w:val="00DF1CF9"/>
    <w:rsid w:val="00DF23AE"/>
    <w:rsid w:val="00DF26E5"/>
    <w:rsid w:val="00DF2DB4"/>
    <w:rsid w:val="00DF3305"/>
    <w:rsid w:val="00DF5394"/>
    <w:rsid w:val="00DF5718"/>
    <w:rsid w:val="00DF695E"/>
    <w:rsid w:val="00DF6CA1"/>
    <w:rsid w:val="00DF7090"/>
    <w:rsid w:val="00DF712B"/>
    <w:rsid w:val="00DF7539"/>
    <w:rsid w:val="00DF78CB"/>
    <w:rsid w:val="00DF7948"/>
    <w:rsid w:val="00E00C22"/>
    <w:rsid w:val="00E00E84"/>
    <w:rsid w:val="00E00F05"/>
    <w:rsid w:val="00E01276"/>
    <w:rsid w:val="00E0168D"/>
    <w:rsid w:val="00E017F1"/>
    <w:rsid w:val="00E01D3E"/>
    <w:rsid w:val="00E01D82"/>
    <w:rsid w:val="00E0277C"/>
    <w:rsid w:val="00E02960"/>
    <w:rsid w:val="00E02EF0"/>
    <w:rsid w:val="00E02F92"/>
    <w:rsid w:val="00E02FBF"/>
    <w:rsid w:val="00E03F46"/>
    <w:rsid w:val="00E04485"/>
    <w:rsid w:val="00E044AF"/>
    <w:rsid w:val="00E04691"/>
    <w:rsid w:val="00E05192"/>
    <w:rsid w:val="00E05216"/>
    <w:rsid w:val="00E0530D"/>
    <w:rsid w:val="00E058DD"/>
    <w:rsid w:val="00E05AEB"/>
    <w:rsid w:val="00E05BB5"/>
    <w:rsid w:val="00E0681D"/>
    <w:rsid w:val="00E06E0A"/>
    <w:rsid w:val="00E07531"/>
    <w:rsid w:val="00E10171"/>
    <w:rsid w:val="00E10859"/>
    <w:rsid w:val="00E10BB8"/>
    <w:rsid w:val="00E10C93"/>
    <w:rsid w:val="00E10D4A"/>
    <w:rsid w:val="00E1141F"/>
    <w:rsid w:val="00E126F4"/>
    <w:rsid w:val="00E12774"/>
    <w:rsid w:val="00E13ACC"/>
    <w:rsid w:val="00E13D69"/>
    <w:rsid w:val="00E144EA"/>
    <w:rsid w:val="00E1458F"/>
    <w:rsid w:val="00E15481"/>
    <w:rsid w:val="00E15B67"/>
    <w:rsid w:val="00E15F3E"/>
    <w:rsid w:val="00E166A9"/>
    <w:rsid w:val="00E16954"/>
    <w:rsid w:val="00E169A4"/>
    <w:rsid w:val="00E16CFF"/>
    <w:rsid w:val="00E17097"/>
    <w:rsid w:val="00E17984"/>
    <w:rsid w:val="00E20398"/>
    <w:rsid w:val="00E203EB"/>
    <w:rsid w:val="00E2086F"/>
    <w:rsid w:val="00E20A22"/>
    <w:rsid w:val="00E2137F"/>
    <w:rsid w:val="00E21535"/>
    <w:rsid w:val="00E21677"/>
    <w:rsid w:val="00E216F3"/>
    <w:rsid w:val="00E221EF"/>
    <w:rsid w:val="00E22535"/>
    <w:rsid w:val="00E226EA"/>
    <w:rsid w:val="00E22858"/>
    <w:rsid w:val="00E22B78"/>
    <w:rsid w:val="00E22BD0"/>
    <w:rsid w:val="00E22BF3"/>
    <w:rsid w:val="00E2380D"/>
    <w:rsid w:val="00E23CD4"/>
    <w:rsid w:val="00E23D91"/>
    <w:rsid w:val="00E2436A"/>
    <w:rsid w:val="00E24DAE"/>
    <w:rsid w:val="00E2511C"/>
    <w:rsid w:val="00E26D53"/>
    <w:rsid w:val="00E2776B"/>
    <w:rsid w:val="00E27797"/>
    <w:rsid w:val="00E27FE6"/>
    <w:rsid w:val="00E30355"/>
    <w:rsid w:val="00E303F2"/>
    <w:rsid w:val="00E30C2C"/>
    <w:rsid w:val="00E31192"/>
    <w:rsid w:val="00E31ABE"/>
    <w:rsid w:val="00E32114"/>
    <w:rsid w:val="00E32767"/>
    <w:rsid w:val="00E328D5"/>
    <w:rsid w:val="00E32DA9"/>
    <w:rsid w:val="00E32DDD"/>
    <w:rsid w:val="00E3307C"/>
    <w:rsid w:val="00E33AC3"/>
    <w:rsid w:val="00E33DEE"/>
    <w:rsid w:val="00E33E36"/>
    <w:rsid w:val="00E35B83"/>
    <w:rsid w:val="00E35EA6"/>
    <w:rsid w:val="00E365A1"/>
    <w:rsid w:val="00E366D7"/>
    <w:rsid w:val="00E3671D"/>
    <w:rsid w:val="00E36FF1"/>
    <w:rsid w:val="00E37475"/>
    <w:rsid w:val="00E3751C"/>
    <w:rsid w:val="00E375C1"/>
    <w:rsid w:val="00E37839"/>
    <w:rsid w:val="00E3794B"/>
    <w:rsid w:val="00E37A60"/>
    <w:rsid w:val="00E37ED3"/>
    <w:rsid w:val="00E37F2E"/>
    <w:rsid w:val="00E401B6"/>
    <w:rsid w:val="00E4080C"/>
    <w:rsid w:val="00E40BAA"/>
    <w:rsid w:val="00E40F40"/>
    <w:rsid w:val="00E415F7"/>
    <w:rsid w:val="00E416BE"/>
    <w:rsid w:val="00E416F8"/>
    <w:rsid w:val="00E418E8"/>
    <w:rsid w:val="00E41AE3"/>
    <w:rsid w:val="00E41D5E"/>
    <w:rsid w:val="00E42565"/>
    <w:rsid w:val="00E425CB"/>
    <w:rsid w:val="00E4288C"/>
    <w:rsid w:val="00E42A6A"/>
    <w:rsid w:val="00E42BD0"/>
    <w:rsid w:val="00E4328D"/>
    <w:rsid w:val="00E43AB7"/>
    <w:rsid w:val="00E43D46"/>
    <w:rsid w:val="00E43E86"/>
    <w:rsid w:val="00E4444B"/>
    <w:rsid w:val="00E44480"/>
    <w:rsid w:val="00E44858"/>
    <w:rsid w:val="00E469E5"/>
    <w:rsid w:val="00E47098"/>
    <w:rsid w:val="00E47F75"/>
    <w:rsid w:val="00E50379"/>
    <w:rsid w:val="00E503DE"/>
    <w:rsid w:val="00E50877"/>
    <w:rsid w:val="00E50CD4"/>
    <w:rsid w:val="00E50D45"/>
    <w:rsid w:val="00E50DC9"/>
    <w:rsid w:val="00E50E7C"/>
    <w:rsid w:val="00E513D4"/>
    <w:rsid w:val="00E51658"/>
    <w:rsid w:val="00E51E3C"/>
    <w:rsid w:val="00E526ED"/>
    <w:rsid w:val="00E52924"/>
    <w:rsid w:val="00E52C8A"/>
    <w:rsid w:val="00E52D9B"/>
    <w:rsid w:val="00E535DC"/>
    <w:rsid w:val="00E53676"/>
    <w:rsid w:val="00E53F01"/>
    <w:rsid w:val="00E54011"/>
    <w:rsid w:val="00E54AC3"/>
    <w:rsid w:val="00E552A5"/>
    <w:rsid w:val="00E555CB"/>
    <w:rsid w:val="00E55A30"/>
    <w:rsid w:val="00E55CE9"/>
    <w:rsid w:val="00E561C1"/>
    <w:rsid w:val="00E56D63"/>
    <w:rsid w:val="00E5711F"/>
    <w:rsid w:val="00E57AD2"/>
    <w:rsid w:val="00E61724"/>
    <w:rsid w:val="00E61789"/>
    <w:rsid w:val="00E61A04"/>
    <w:rsid w:val="00E6261E"/>
    <w:rsid w:val="00E62678"/>
    <w:rsid w:val="00E6302E"/>
    <w:rsid w:val="00E63A66"/>
    <w:rsid w:val="00E63C58"/>
    <w:rsid w:val="00E64058"/>
    <w:rsid w:val="00E640E1"/>
    <w:rsid w:val="00E64B97"/>
    <w:rsid w:val="00E64C37"/>
    <w:rsid w:val="00E64D73"/>
    <w:rsid w:val="00E64E41"/>
    <w:rsid w:val="00E65389"/>
    <w:rsid w:val="00E65403"/>
    <w:rsid w:val="00E6559E"/>
    <w:rsid w:val="00E656E4"/>
    <w:rsid w:val="00E662CE"/>
    <w:rsid w:val="00E66617"/>
    <w:rsid w:val="00E66D0E"/>
    <w:rsid w:val="00E6771A"/>
    <w:rsid w:val="00E6779B"/>
    <w:rsid w:val="00E679DE"/>
    <w:rsid w:val="00E67B05"/>
    <w:rsid w:val="00E67D36"/>
    <w:rsid w:val="00E67F2D"/>
    <w:rsid w:val="00E70896"/>
    <w:rsid w:val="00E70E8E"/>
    <w:rsid w:val="00E7115F"/>
    <w:rsid w:val="00E7129E"/>
    <w:rsid w:val="00E71940"/>
    <w:rsid w:val="00E71C6B"/>
    <w:rsid w:val="00E71E39"/>
    <w:rsid w:val="00E7294B"/>
    <w:rsid w:val="00E729D7"/>
    <w:rsid w:val="00E73D15"/>
    <w:rsid w:val="00E7423E"/>
    <w:rsid w:val="00E7474B"/>
    <w:rsid w:val="00E74CC8"/>
    <w:rsid w:val="00E74DB7"/>
    <w:rsid w:val="00E74F6E"/>
    <w:rsid w:val="00E7509A"/>
    <w:rsid w:val="00E75190"/>
    <w:rsid w:val="00E753F6"/>
    <w:rsid w:val="00E75D24"/>
    <w:rsid w:val="00E76BED"/>
    <w:rsid w:val="00E76DB5"/>
    <w:rsid w:val="00E76FF6"/>
    <w:rsid w:val="00E77409"/>
    <w:rsid w:val="00E77EFE"/>
    <w:rsid w:val="00E803B2"/>
    <w:rsid w:val="00E803FE"/>
    <w:rsid w:val="00E80493"/>
    <w:rsid w:val="00E80824"/>
    <w:rsid w:val="00E8085F"/>
    <w:rsid w:val="00E80ED6"/>
    <w:rsid w:val="00E81033"/>
    <w:rsid w:val="00E81421"/>
    <w:rsid w:val="00E81F26"/>
    <w:rsid w:val="00E82157"/>
    <w:rsid w:val="00E821ED"/>
    <w:rsid w:val="00E822DE"/>
    <w:rsid w:val="00E82669"/>
    <w:rsid w:val="00E832DC"/>
    <w:rsid w:val="00E836E0"/>
    <w:rsid w:val="00E846AA"/>
    <w:rsid w:val="00E84AA9"/>
    <w:rsid w:val="00E852ED"/>
    <w:rsid w:val="00E85869"/>
    <w:rsid w:val="00E85E08"/>
    <w:rsid w:val="00E86B56"/>
    <w:rsid w:val="00E87923"/>
    <w:rsid w:val="00E9045C"/>
    <w:rsid w:val="00E907CA"/>
    <w:rsid w:val="00E90855"/>
    <w:rsid w:val="00E90C5F"/>
    <w:rsid w:val="00E9176C"/>
    <w:rsid w:val="00E917D0"/>
    <w:rsid w:val="00E91963"/>
    <w:rsid w:val="00E91A64"/>
    <w:rsid w:val="00E9244C"/>
    <w:rsid w:val="00E92EBA"/>
    <w:rsid w:val="00E935E4"/>
    <w:rsid w:val="00E93623"/>
    <w:rsid w:val="00E938C1"/>
    <w:rsid w:val="00E93965"/>
    <w:rsid w:val="00E93D9F"/>
    <w:rsid w:val="00E9416A"/>
    <w:rsid w:val="00E94227"/>
    <w:rsid w:val="00E957EE"/>
    <w:rsid w:val="00E958B7"/>
    <w:rsid w:val="00E95EDB"/>
    <w:rsid w:val="00E9664E"/>
    <w:rsid w:val="00E96750"/>
    <w:rsid w:val="00E976E7"/>
    <w:rsid w:val="00EA0403"/>
    <w:rsid w:val="00EA0965"/>
    <w:rsid w:val="00EA0E91"/>
    <w:rsid w:val="00EA13D7"/>
    <w:rsid w:val="00EA1996"/>
    <w:rsid w:val="00EA2AC1"/>
    <w:rsid w:val="00EA2B6D"/>
    <w:rsid w:val="00EA2EE7"/>
    <w:rsid w:val="00EA304D"/>
    <w:rsid w:val="00EA3275"/>
    <w:rsid w:val="00EA389F"/>
    <w:rsid w:val="00EA3D2B"/>
    <w:rsid w:val="00EA4041"/>
    <w:rsid w:val="00EA457B"/>
    <w:rsid w:val="00EA4673"/>
    <w:rsid w:val="00EA501F"/>
    <w:rsid w:val="00EA53EF"/>
    <w:rsid w:val="00EA5828"/>
    <w:rsid w:val="00EA65E0"/>
    <w:rsid w:val="00EA6BDB"/>
    <w:rsid w:val="00EA6C17"/>
    <w:rsid w:val="00EA72BB"/>
    <w:rsid w:val="00EA7BBC"/>
    <w:rsid w:val="00EA7C2A"/>
    <w:rsid w:val="00EB1A07"/>
    <w:rsid w:val="00EB1DD0"/>
    <w:rsid w:val="00EB1E53"/>
    <w:rsid w:val="00EB2009"/>
    <w:rsid w:val="00EB2113"/>
    <w:rsid w:val="00EB2519"/>
    <w:rsid w:val="00EB286D"/>
    <w:rsid w:val="00EB3C53"/>
    <w:rsid w:val="00EB3D24"/>
    <w:rsid w:val="00EB3DAC"/>
    <w:rsid w:val="00EB42DF"/>
    <w:rsid w:val="00EB468D"/>
    <w:rsid w:val="00EB58FE"/>
    <w:rsid w:val="00EB5A57"/>
    <w:rsid w:val="00EB5C12"/>
    <w:rsid w:val="00EB62C2"/>
    <w:rsid w:val="00EB67F4"/>
    <w:rsid w:val="00EB6C50"/>
    <w:rsid w:val="00EB6D71"/>
    <w:rsid w:val="00EB6F03"/>
    <w:rsid w:val="00EB74F5"/>
    <w:rsid w:val="00EB7887"/>
    <w:rsid w:val="00EC0286"/>
    <w:rsid w:val="00EC030C"/>
    <w:rsid w:val="00EC0584"/>
    <w:rsid w:val="00EC05CB"/>
    <w:rsid w:val="00EC12AE"/>
    <w:rsid w:val="00EC2D4F"/>
    <w:rsid w:val="00EC30E2"/>
    <w:rsid w:val="00EC3701"/>
    <w:rsid w:val="00EC3A56"/>
    <w:rsid w:val="00EC3C8F"/>
    <w:rsid w:val="00EC405A"/>
    <w:rsid w:val="00EC46A3"/>
    <w:rsid w:val="00EC4CFA"/>
    <w:rsid w:val="00EC4DAF"/>
    <w:rsid w:val="00EC4E18"/>
    <w:rsid w:val="00EC5677"/>
    <w:rsid w:val="00EC56B9"/>
    <w:rsid w:val="00EC5799"/>
    <w:rsid w:val="00EC5FB8"/>
    <w:rsid w:val="00EC603F"/>
    <w:rsid w:val="00EC6F80"/>
    <w:rsid w:val="00EC7500"/>
    <w:rsid w:val="00EC7737"/>
    <w:rsid w:val="00EC7A13"/>
    <w:rsid w:val="00EC7A58"/>
    <w:rsid w:val="00ED03C2"/>
    <w:rsid w:val="00ED0C63"/>
    <w:rsid w:val="00ED1456"/>
    <w:rsid w:val="00ED1480"/>
    <w:rsid w:val="00ED1FA0"/>
    <w:rsid w:val="00ED22C1"/>
    <w:rsid w:val="00ED2573"/>
    <w:rsid w:val="00ED2DFD"/>
    <w:rsid w:val="00ED309A"/>
    <w:rsid w:val="00ED374B"/>
    <w:rsid w:val="00ED37EF"/>
    <w:rsid w:val="00ED475F"/>
    <w:rsid w:val="00ED47C7"/>
    <w:rsid w:val="00ED5365"/>
    <w:rsid w:val="00ED53A1"/>
    <w:rsid w:val="00ED5DE1"/>
    <w:rsid w:val="00ED6CE0"/>
    <w:rsid w:val="00ED6D8D"/>
    <w:rsid w:val="00ED70EB"/>
    <w:rsid w:val="00EE0A4D"/>
    <w:rsid w:val="00EE0C8A"/>
    <w:rsid w:val="00EE0F68"/>
    <w:rsid w:val="00EE1D27"/>
    <w:rsid w:val="00EE1E1D"/>
    <w:rsid w:val="00EE1FB4"/>
    <w:rsid w:val="00EE2843"/>
    <w:rsid w:val="00EE2A47"/>
    <w:rsid w:val="00EE2DF5"/>
    <w:rsid w:val="00EE2E21"/>
    <w:rsid w:val="00EE34FC"/>
    <w:rsid w:val="00EE3555"/>
    <w:rsid w:val="00EE37E6"/>
    <w:rsid w:val="00EE3E1A"/>
    <w:rsid w:val="00EE3E6B"/>
    <w:rsid w:val="00EE3F65"/>
    <w:rsid w:val="00EE42E8"/>
    <w:rsid w:val="00EE4349"/>
    <w:rsid w:val="00EE45EC"/>
    <w:rsid w:val="00EE4E23"/>
    <w:rsid w:val="00EE681E"/>
    <w:rsid w:val="00EE6FE6"/>
    <w:rsid w:val="00EE7453"/>
    <w:rsid w:val="00EE78C7"/>
    <w:rsid w:val="00EE7E55"/>
    <w:rsid w:val="00EF00F0"/>
    <w:rsid w:val="00EF05E0"/>
    <w:rsid w:val="00EF07EB"/>
    <w:rsid w:val="00EF0B79"/>
    <w:rsid w:val="00EF1344"/>
    <w:rsid w:val="00EF16A9"/>
    <w:rsid w:val="00EF2649"/>
    <w:rsid w:val="00EF282C"/>
    <w:rsid w:val="00EF4104"/>
    <w:rsid w:val="00EF48D8"/>
    <w:rsid w:val="00EF4F93"/>
    <w:rsid w:val="00EF5437"/>
    <w:rsid w:val="00EF579E"/>
    <w:rsid w:val="00EF701F"/>
    <w:rsid w:val="00EF7229"/>
    <w:rsid w:val="00EF7E82"/>
    <w:rsid w:val="00EF7ED2"/>
    <w:rsid w:val="00F0017C"/>
    <w:rsid w:val="00F0040D"/>
    <w:rsid w:val="00F00425"/>
    <w:rsid w:val="00F00440"/>
    <w:rsid w:val="00F00491"/>
    <w:rsid w:val="00F00608"/>
    <w:rsid w:val="00F0139E"/>
    <w:rsid w:val="00F02FD5"/>
    <w:rsid w:val="00F0335B"/>
    <w:rsid w:val="00F037C7"/>
    <w:rsid w:val="00F03847"/>
    <w:rsid w:val="00F04275"/>
    <w:rsid w:val="00F04814"/>
    <w:rsid w:val="00F04D6B"/>
    <w:rsid w:val="00F052E2"/>
    <w:rsid w:val="00F05367"/>
    <w:rsid w:val="00F056D3"/>
    <w:rsid w:val="00F05703"/>
    <w:rsid w:val="00F06240"/>
    <w:rsid w:val="00F0629A"/>
    <w:rsid w:val="00F0686B"/>
    <w:rsid w:val="00F07AD0"/>
    <w:rsid w:val="00F10011"/>
    <w:rsid w:val="00F10333"/>
    <w:rsid w:val="00F103AE"/>
    <w:rsid w:val="00F10841"/>
    <w:rsid w:val="00F10ACE"/>
    <w:rsid w:val="00F115E0"/>
    <w:rsid w:val="00F11B0D"/>
    <w:rsid w:val="00F11C3C"/>
    <w:rsid w:val="00F123BF"/>
    <w:rsid w:val="00F13133"/>
    <w:rsid w:val="00F1331F"/>
    <w:rsid w:val="00F13338"/>
    <w:rsid w:val="00F13459"/>
    <w:rsid w:val="00F13A90"/>
    <w:rsid w:val="00F14760"/>
    <w:rsid w:val="00F147B4"/>
    <w:rsid w:val="00F1492E"/>
    <w:rsid w:val="00F149B3"/>
    <w:rsid w:val="00F14AA0"/>
    <w:rsid w:val="00F14B6C"/>
    <w:rsid w:val="00F15670"/>
    <w:rsid w:val="00F15BCC"/>
    <w:rsid w:val="00F162EA"/>
    <w:rsid w:val="00F165A3"/>
    <w:rsid w:val="00F1660E"/>
    <w:rsid w:val="00F172BD"/>
    <w:rsid w:val="00F1783C"/>
    <w:rsid w:val="00F178CF"/>
    <w:rsid w:val="00F20270"/>
    <w:rsid w:val="00F20EE2"/>
    <w:rsid w:val="00F2120F"/>
    <w:rsid w:val="00F21940"/>
    <w:rsid w:val="00F22180"/>
    <w:rsid w:val="00F222B1"/>
    <w:rsid w:val="00F227A0"/>
    <w:rsid w:val="00F227CC"/>
    <w:rsid w:val="00F2280F"/>
    <w:rsid w:val="00F232ED"/>
    <w:rsid w:val="00F2340E"/>
    <w:rsid w:val="00F23995"/>
    <w:rsid w:val="00F2447E"/>
    <w:rsid w:val="00F244CD"/>
    <w:rsid w:val="00F24A76"/>
    <w:rsid w:val="00F24F2A"/>
    <w:rsid w:val="00F25A4A"/>
    <w:rsid w:val="00F25C95"/>
    <w:rsid w:val="00F25E75"/>
    <w:rsid w:val="00F30A0F"/>
    <w:rsid w:val="00F30FCB"/>
    <w:rsid w:val="00F31AD5"/>
    <w:rsid w:val="00F325EE"/>
    <w:rsid w:val="00F32680"/>
    <w:rsid w:val="00F32736"/>
    <w:rsid w:val="00F329CB"/>
    <w:rsid w:val="00F330A2"/>
    <w:rsid w:val="00F33244"/>
    <w:rsid w:val="00F33691"/>
    <w:rsid w:val="00F33799"/>
    <w:rsid w:val="00F33B94"/>
    <w:rsid w:val="00F34075"/>
    <w:rsid w:val="00F34170"/>
    <w:rsid w:val="00F344EF"/>
    <w:rsid w:val="00F346A5"/>
    <w:rsid w:val="00F360DD"/>
    <w:rsid w:val="00F36426"/>
    <w:rsid w:val="00F36646"/>
    <w:rsid w:val="00F36A7E"/>
    <w:rsid w:val="00F36D9B"/>
    <w:rsid w:val="00F36E4B"/>
    <w:rsid w:val="00F37E46"/>
    <w:rsid w:val="00F400C7"/>
    <w:rsid w:val="00F40C57"/>
    <w:rsid w:val="00F4100C"/>
    <w:rsid w:val="00F42115"/>
    <w:rsid w:val="00F42A71"/>
    <w:rsid w:val="00F42B25"/>
    <w:rsid w:val="00F42BDC"/>
    <w:rsid w:val="00F43123"/>
    <w:rsid w:val="00F436C7"/>
    <w:rsid w:val="00F437F0"/>
    <w:rsid w:val="00F43B5F"/>
    <w:rsid w:val="00F43F31"/>
    <w:rsid w:val="00F440F9"/>
    <w:rsid w:val="00F44B16"/>
    <w:rsid w:val="00F44C18"/>
    <w:rsid w:val="00F45250"/>
    <w:rsid w:val="00F45763"/>
    <w:rsid w:val="00F45B2C"/>
    <w:rsid w:val="00F462DA"/>
    <w:rsid w:val="00F46440"/>
    <w:rsid w:val="00F46896"/>
    <w:rsid w:val="00F46B79"/>
    <w:rsid w:val="00F473C5"/>
    <w:rsid w:val="00F474B0"/>
    <w:rsid w:val="00F4760F"/>
    <w:rsid w:val="00F477F5"/>
    <w:rsid w:val="00F47A5E"/>
    <w:rsid w:val="00F47C3C"/>
    <w:rsid w:val="00F47E0A"/>
    <w:rsid w:val="00F502E7"/>
    <w:rsid w:val="00F507BB"/>
    <w:rsid w:val="00F50F1B"/>
    <w:rsid w:val="00F50FE2"/>
    <w:rsid w:val="00F51047"/>
    <w:rsid w:val="00F51316"/>
    <w:rsid w:val="00F514D9"/>
    <w:rsid w:val="00F517F6"/>
    <w:rsid w:val="00F51C7C"/>
    <w:rsid w:val="00F51EC8"/>
    <w:rsid w:val="00F52209"/>
    <w:rsid w:val="00F52968"/>
    <w:rsid w:val="00F529DA"/>
    <w:rsid w:val="00F52F92"/>
    <w:rsid w:val="00F534B4"/>
    <w:rsid w:val="00F53AAE"/>
    <w:rsid w:val="00F53C29"/>
    <w:rsid w:val="00F53F81"/>
    <w:rsid w:val="00F54405"/>
    <w:rsid w:val="00F54630"/>
    <w:rsid w:val="00F54970"/>
    <w:rsid w:val="00F54A37"/>
    <w:rsid w:val="00F5518D"/>
    <w:rsid w:val="00F55581"/>
    <w:rsid w:val="00F55CBD"/>
    <w:rsid w:val="00F5668C"/>
    <w:rsid w:val="00F566D2"/>
    <w:rsid w:val="00F56775"/>
    <w:rsid w:val="00F569CB"/>
    <w:rsid w:val="00F56B6A"/>
    <w:rsid w:val="00F56F37"/>
    <w:rsid w:val="00F5703C"/>
    <w:rsid w:val="00F57416"/>
    <w:rsid w:val="00F576C4"/>
    <w:rsid w:val="00F5775E"/>
    <w:rsid w:val="00F577DD"/>
    <w:rsid w:val="00F600F7"/>
    <w:rsid w:val="00F60911"/>
    <w:rsid w:val="00F60983"/>
    <w:rsid w:val="00F60EC4"/>
    <w:rsid w:val="00F60EF5"/>
    <w:rsid w:val="00F60EFD"/>
    <w:rsid w:val="00F6124C"/>
    <w:rsid w:val="00F6171C"/>
    <w:rsid w:val="00F61CE2"/>
    <w:rsid w:val="00F61FD5"/>
    <w:rsid w:val="00F62119"/>
    <w:rsid w:val="00F62411"/>
    <w:rsid w:val="00F62521"/>
    <w:rsid w:val="00F625CC"/>
    <w:rsid w:val="00F629B1"/>
    <w:rsid w:val="00F635DF"/>
    <w:rsid w:val="00F637DA"/>
    <w:rsid w:val="00F63927"/>
    <w:rsid w:val="00F63976"/>
    <w:rsid w:val="00F63A74"/>
    <w:rsid w:val="00F63AF5"/>
    <w:rsid w:val="00F63C12"/>
    <w:rsid w:val="00F63DDD"/>
    <w:rsid w:val="00F63E93"/>
    <w:rsid w:val="00F642EF"/>
    <w:rsid w:val="00F644A5"/>
    <w:rsid w:val="00F647E0"/>
    <w:rsid w:val="00F64A39"/>
    <w:rsid w:val="00F64EC0"/>
    <w:rsid w:val="00F653D1"/>
    <w:rsid w:val="00F655EF"/>
    <w:rsid w:val="00F65ECC"/>
    <w:rsid w:val="00F66201"/>
    <w:rsid w:val="00F67516"/>
    <w:rsid w:val="00F67B61"/>
    <w:rsid w:val="00F7009F"/>
    <w:rsid w:val="00F70377"/>
    <w:rsid w:val="00F703E2"/>
    <w:rsid w:val="00F707EB"/>
    <w:rsid w:val="00F7155A"/>
    <w:rsid w:val="00F71871"/>
    <w:rsid w:val="00F71E35"/>
    <w:rsid w:val="00F72095"/>
    <w:rsid w:val="00F7255A"/>
    <w:rsid w:val="00F73F65"/>
    <w:rsid w:val="00F745B7"/>
    <w:rsid w:val="00F74A60"/>
    <w:rsid w:val="00F754BC"/>
    <w:rsid w:val="00F76958"/>
    <w:rsid w:val="00F76F6F"/>
    <w:rsid w:val="00F77DE3"/>
    <w:rsid w:val="00F80705"/>
    <w:rsid w:val="00F80D92"/>
    <w:rsid w:val="00F81039"/>
    <w:rsid w:val="00F8127A"/>
    <w:rsid w:val="00F8176C"/>
    <w:rsid w:val="00F81965"/>
    <w:rsid w:val="00F81B42"/>
    <w:rsid w:val="00F823F8"/>
    <w:rsid w:val="00F8283A"/>
    <w:rsid w:val="00F82A4E"/>
    <w:rsid w:val="00F82AF7"/>
    <w:rsid w:val="00F82BE1"/>
    <w:rsid w:val="00F83353"/>
    <w:rsid w:val="00F8346D"/>
    <w:rsid w:val="00F836AD"/>
    <w:rsid w:val="00F83884"/>
    <w:rsid w:val="00F83D2B"/>
    <w:rsid w:val="00F83E6D"/>
    <w:rsid w:val="00F84467"/>
    <w:rsid w:val="00F847D0"/>
    <w:rsid w:val="00F84DB9"/>
    <w:rsid w:val="00F850B5"/>
    <w:rsid w:val="00F85178"/>
    <w:rsid w:val="00F85394"/>
    <w:rsid w:val="00F855BE"/>
    <w:rsid w:val="00F85C6B"/>
    <w:rsid w:val="00F86612"/>
    <w:rsid w:val="00F867BF"/>
    <w:rsid w:val="00F8687B"/>
    <w:rsid w:val="00F86943"/>
    <w:rsid w:val="00F8720D"/>
    <w:rsid w:val="00F87A5E"/>
    <w:rsid w:val="00F902FF"/>
    <w:rsid w:val="00F904B3"/>
    <w:rsid w:val="00F9060E"/>
    <w:rsid w:val="00F90DB4"/>
    <w:rsid w:val="00F93950"/>
    <w:rsid w:val="00F940C2"/>
    <w:rsid w:val="00F943F1"/>
    <w:rsid w:val="00F94417"/>
    <w:rsid w:val="00F94541"/>
    <w:rsid w:val="00F947E0"/>
    <w:rsid w:val="00F94922"/>
    <w:rsid w:val="00F95090"/>
    <w:rsid w:val="00F9514F"/>
    <w:rsid w:val="00F95E3E"/>
    <w:rsid w:val="00F95E79"/>
    <w:rsid w:val="00F96006"/>
    <w:rsid w:val="00F964AB"/>
    <w:rsid w:val="00F9666F"/>
    <w:rsid w:val="00F96E64"/>
    <w:rsid w:val="00F974AA"/>
    <w:rsid w:val="00FA01EE"/>
    <w:rsid w:val="00FA0407"/>
    <w:rsid w:val="00FA10D6"/>
    <w:rsid w:val="00FA165F"/>
    <w:rsid w:val="00FA1679"/>
    <w:rsid w:val="00FA2484"/>
    <w:rsid w:val="00FA2896"/>
    <w:rsid w:val="00FA31BC"/>
    <w:rsid w:val="00FA3AA3"/>
    <w:rsid w:val="00FA412A"/>
    <w:rsid w:val="00FA4186"/>
    <w:rsid w:val="00FA4490"/>
    <w:rsid w:val="00FA4BBF"/>
    <w:rsid w:val="00FA547C"/>
    <w:rsid w:val="00FA5C04"/>
    <w:rsid w:val="00FA603B"/>
    <w:rsid w:val="00FA636A"/>
    <w:rsid w:val="00FA63D7"/>
    <w:rsid w:val="00FA6B12"/>
    <w:rsid w:val="00FA6C2B"/>
    <w:rsid w:val="00FA6C70"/>
    <w:rsid w:val="00FA6ED8"/>
    <w:rsid w:val="00FA6F25"/>
    <w:rsid w:val="00FA72D9"/>
    <w:rsid w:val="00FA78A0"/>
    <w:rsid w:val="00FA7A73"/>
    <w:rsid w:val="00FA7DC3"/>
    <w:rsid w:val="00FA7FF8"/>
    <w:rsid w:val="00FB0326"/>
    <w:rsid w:val="00FB03F6"/>
    <w:rsid w:val="00FB0583"/>
    <w:rsid w:val="00FB1272"/>
    <w:rsid w:val="00FB1DDF"/>
    <w:rsid w:val="00FB1E37"/>
    <w:rsid w:val="00FB2BC4"/>
    <w:rsid w:val="00FB3071"/>
    <w:rsid w:val="00FB30B4"/>
    <w:rsid w:val="00FB5D7D"/>
    <w:rsid w:val="00FB644A"/>
    <w:rsid w:val="00FB6513"/>
    <w:rsid w:val="00FB68BE"/>
    <w:rsid w:val="00FB71F2"/>
    <w:rsid w:val="00FB7A12"/>
    <w:rsid w:val="00FC000D"/>
    <w:rsid w:val="00FC0322"/>
    <w:rsid w:val="00FC0F3A"/>
    <w:rsid w:val="00FC1198"/>
    <w:rsid w:val="00FC121C"/>
    <w:rsid w:val="00FC1455"/>
    <w:rsid w:val="00FC1825"/>
    <w:rsid w:val="00FC1C1D"/>
    <w:rsid w:val="00FC1C1F"/>
    <w:rsid w:val="00FC2822"/>
    <w:rsid w:val="00FC2884"/>
    <w:rsid w:val="00FC2C7A"/>
    <w:rsid w:val="00FC326A"/>
    <w:rsid w:val="00FC3452"/>
    <w:rsid w:val="00FC3518"/>
    <w:rsid w:val="00FC440E"/>
    <w:rsid w:val="00FC4A3B"/>
    <w:rsid w:val="00FC4B1F"/>
    <w:rsid w:val="00FC500E"/>
    <w:rsid w:val="00FC612D"/>
    <w:rsid w:val="00FC663F"/>
    <w:rsid w:val="00FC6D43"/>
    <w:rsid w:val="00FC7752"/>
    <w:rsid w:val="00FC7787"/>
    <w:rsid w:val="00FC7EC5"/>
    <w:rsid w:val="00FD0C4A"/>
    <w:rsid w:val="00FD1592"/>
    <w:rsid w:val="00FD204B"/>
    <w:rsid w:val="00FD2684"/>
    <w:rsid w:val="00FD2B0F"/>
    <w:rsid w:val="00FD2BC1"/>
    <w:rsid w:val="00FD2CB7"/>
    <w:rsid w:val="00FD3142"/>
    <w:rsid w:val="00FD3705"/>
    <w:rsid w:val="00FD3E3A"/>
    <w:rsid w:val="00FD4491"/>
    <w:rsid w:val="00FD5175"/>
    <w:rsid w:val="00FD5431"/>
    <w:rsid w:val="00FD68C4"/>
    <w:rsid w:val="00FD724D"/>
    <w:rsid w:val="00FD7ED1"/>
    <w:rsid w:val="00FE03BF"/>
    <w:rsid w:val="00FE11A1"/>
    <w:rsid w:val="00FE2660"/>
    <w:rsid w:val="00FE27C0"/>
    <w:rsid w:val="00FE3A6D"/>
    <w:rsid w:val="00FE3D3E"/>
    <w:rsid w:val="00FE407D"/>
    <w:rsid w:val="00FE4855"/>
    <w:rsid w:val="00FE49DD"/>
    <w:rsid w:val="00FE4B1C"/>
    <w:rsid w:val="00FE51AD"/>
    <w:rsid w:val="00FE57BB"/>
    <w:rsid w:val="00FE59BC"/>
    <w:rsid w:val="00FE5AF7"/>
    <w:rsid w:val="00FE60DE"/>
    <w:rsid w:val="00FE6BFF"/>
    <w:rsid w:val="00FE6C9D"/>
    <w:rsid w:val="00FE73C6"/>
    <w:rsid w:val="00FE7531"/>
    <w:rsid w:val="00FE7703"/>
    <w:rsid w:val="00FE77D9"/>
    <w:rsid w:val="00FE7910"/>
    <w:rsid w:val="00FE7A13"/>
    <w:rsid w:val="00FF017A"/>
    <w:rsid w:val="00FF0460"/>
    <w:rsid w:val="00FF04C5"/>
    <w:rsid w:val="00FF0536"/>
    <w:rsid w:val="00FF0DF2"/>
    <w:rsid w:val="00FF1386"/>
    <w:rsid w:val="00FF146A"/>
    <w:rsid w:val="00FF25D8"/>
    <w:rsid w:val="00FF2749"/>
    <w:rsid w:val="00FF2925"/>
    <w:rsid w:val="00FF2E7A"/>
    <w:rsid w:val="00FF3533"/>
    <w:rsid w:val="00FF367A"/>
    <w:rsid w:val="00FF3B3E"/>
    <w:rsid w:val="00FF3C89"/>
    <w:rsid w:val="00FF3CF2"/>
    <w:rsid w:val="00FF3F4A"/>
    <w:rsid w:val="00FF408C"/>
    <w:rsid w:val="00FF4182"/>
    <w:rsid w:val="00FF41F6"/>
    <w:rsid w:val="00FF45A7"/>
    <w:rsid w:val="00FF46B9"/>
    <w:rsid w:val="00FF49C5"/>
    <w:rsid w:val="00FF4A0E"/>
    <w:rsid w:val="00FF5B82"/>
    <w:rsid w:val="00FF608A"/>
    <w:rsid w:val="00FF657D"/>
    <w:rsid w:val="00FF724E"/>
    <w:rsid w:val="00FF7940"/>
    <w:rsid w:val="00FF7EA8"/>
    <w:rsid w:val="00FF7EB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14:docId w14:val="5BC9DE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imes New Roman"/>
      <w:b/>
      <w:bCs/>
      <w:color w:val="000000"/>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imes New Roman"/>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link w:val="Nadpis3"/>
    <w:uiPriority w:val="9"/>
    <w:rsid w:val="002B34D4"/>
    <w:rPr>
      <w:rFonts w:ascii="Garamond" w:eastAsia="Times New Roman" w:hAnsi="Garamond" w:cs="Times New Roman"/>
      <w:b/>
      <w:bCs/>
      <w:color w:val="000000"/>
      <w:sz w:val="24"/>
      <w:szCs w:val="22"/>
      <w:lang w:eastAsia="en-US"/>
    </w:rPr>
  </w:style>
  <w:style w:type="character" w:customStyle="1" w:styleId="Nadpis4Char">
    <w:name w:val="Nadpis 4 Char"/>
    <w:link w:val="Nadpis4"/>
    <w:uiPriority w:val="9"/>
    <w:rsid w:val="00815567"/>
    <w:rPr>
      <w:rFonts w:ascii="Garamond" w:eastAsia="Times New Roman" w:hAnsi="Garamond" w:cs="Times New Roman"/>
      <w:b/>
      <w:bCs/>
      <w:iCs/>
      <w:sz w:val="24"/>
      <w:szCs w:val="22"/>
      <w:lang w:eastAsia="en-US"/>
    </w:rPr>
  </w:style>
  <w:style w:type="character" w:customStyle="1" w:styleId="Nadpis5Char">
    <w:name w:val="Nadpis 5 Char"/>
    <w:link w:val="Nadpis5"/>
    <w:uiPriority w:val="9"/>
    <w:semiHidden/>
    <w:rsid w:val="00E044AF"/>
    <w:rPr>
      <w:rFonts w:ascii="Cambria" w:eastAsia="Times New Roman" w:hAnsi="Cambria" w:cs="Times New Roman"/>
      <w:color w:val="243F60"/>
      <w:sz w:val="24"/>
      <w:szCs w:val="22"/>
      <w:lang w:eastAsia="en-US"/>
    </w:rPr>
  </w:style>
  <w:style w:type="character" w:customStyle="1" w:styleId="Nadpis6Char">
    <w:name w:val="Nadpis 6 Char"/>
    <w:link w:val="Nadpis6"/>
    <w:uiPriority w:val="9"/>
    <w:semiHidden/>
    <w:rsid w:val="00E044AF"/>
    <w:rPr>
      <w:rFonts w:ascii="Cambria" w:eastAsia="Times New Roman" w:hAnsi="Cambria" w:cs="Times New Roman"/>
      <w:i/>
      <w:iCs/>
      <w:color w:val="243F60"/>
      <w:sz w:val="24"/>
      <w:szCs w:val="22"/>
      <w:lang w:eastAsia="en-US"/>
    </w:rPr>
  </w:style>
  <w:style w:type="character" w:customStyle="1" w:styleId="Nadpis7Char">
    <w:name w:val="Nadpis 7 Char"/>
    <w:link w:val="Nadpis7"/>
    <w:uiPriority w:val="9"/>
    <w:semiHidden/>
    <w:rsid w:val="00E044AF"/>
    <w:rPr>
      <w:rFonts w:ascii="Cambria" w:eastAsia="Times New Roman" w:hAnsi="Cambria" w:cs="Times New Roman"/>
      <w:i/>
      <w:iCs/>
      <w:color w:val="404040"/>
      <w:sz w:val="24"/>
      <w:szCs w:val="22"/>
      <w:lang w:eastAsia="en-US"/>
    </w:rPr>
  </w:style>
  <w:style w:type="character" w:customStyle="1" w:styleId="Nadpis8Char">
    <w:name w:val="Nadpis 8 Char"/>
    <w:link w:val="Nadpis8"/>
    <w:uiPriority w:val="9"/>
    <w:semiHidden/>
    <w:rsid w:val="00E044AF"/>
    <w:rPr>
      <w:rFonts w:ascii="Cambria" w:eastAsia="Times New Roman" w:hAnsi="Cambria" w:cs="Times New Roman"/>
      <w:color w:val="404040"/>
      <w:lang w:eastAsia="en-US"/>
    </w:rPr>
  </w:style>
  <w:style w:type="character" w:customStyle="1" w:styleId="Nadpis9Char">
    <w:name w:val="Nadpis 9 Char"/>
    <w:link w:val="Nadpis9"/>
    <w:uiPriority w:val="9"/>
    <w:semiHidden/>
    <w:rsid w:val="00E044AF"/>
    <w:rPr>
      <w:rFonts w:ascii="Cambria" w:eastAsia="Times New Roman" w:hAnsi="Cambria" w:cs="Times New Roman"/>
      <w:i/>
      <w:iCs/>
      <w:color w:val="404040"/>
      <w:lang w:eastAsia="en-US"/>
    </w:rPr>
  </w:style>
  <w:style w:type="paragraph" w:styleId="Obsah2">
    <w:name w:val="toc 2"/>
    <w:basedOn w:val="Normln"/>
    <w:next w:val="Normln"/>
    <w:autoRedefine/>
    <w:uiPriority w:val="39"/>
    <w:unhideWhenUsed/>
    <w:rsid w:val="005C706B"/>
    <w:pPr>
      <w:tabs>
        <w:tab w:val="left" w:pos="880"/>
        <w:tab w:val="right" w:leader="dot" w:pos="9062"/>
      </w:tabs>
      <w:ind w:left="238"/>
    </w:pPr>
    <w:rPr>
      <w:noProof/>
    </w:r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imes New Roman"/>
      <w:b/>
      <w:iCs/>
      <w:color w:val="000000"/>
      <w:spacing w:val="15"/>
      <w:szCs w:val="24"/>
    </w:rPr>
  </w:style>
  <w:style w:type="character" w:customStyle="1" w:styleId="PodtitulChar">
    <w:name w:val="Podtitul Char"/>
    <w:aliases w:val="Grafy a tabulky Char"/>
    <w:link w:val="Podtitul"/>
    <w:uiPriority w:val="11"/>
    <w:rsid w:val="00546079"/>
    <w:rPr>
      <w:rFonts w:ascii="Garamond" w:eastAsia="Times New Roman" w:hAnsi="Garamond" w:cs="Times New Roman"/>
      <w:b/>
      <w:iCs/>
      <w:color w:val="000000"/>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link w:val="Textpoznpodarou"/>
    <w:uiPriority w:val="99"/>
    <w:semiHidden/>
    <w:rsid w:val="005D25DC"/>
    <w:rPr>
      <w:rFonts w:ascii="Times New Roman" w:hAnsi="Times New Roman"/>
      <w:lang w:eastAsia="en-US"/>
    </w:rPr>
  </w:style>
  <w:style w:type="character" w:styleId="Znakapoznpodarou">
    <w:name w:val="footnote referen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link w:val="Nzev"/>
    <w:uiPriority w:val="10"/>
    <w:rsid w:val="007D6490"/>
    <w:rPr>
      <w:rFonts w:ascii="Cambria" w:eastAsia="Times New Roman" w:hAnsi="Cambria" w:cs="Times New Roman"/>
      <w:color w:val="17365D"/>
      <w:spacing w:val="5"/>
      <w:kern w:val="28"/>
      <w:sz w:val="52"/>
      <w:szCs w:val="52"/>
      <w:lang w:eastAsia="en-US"/>
    </w:rPr>
  </w:style>
  <w:style w:type="character" w:styleId="Odkaznakoment">
    <w:name w:val="annotation referen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582D25"/>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582D25"/>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582D25"/>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582D25"/>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582D25"/>
    <w:pPr>
      <w:spacing w:after="100"/>
      <w:ind w:left="1760"/>
      <w:jc w:val="left"/>
    </w:pPr>
    <w:rPr>
      <w:rFonts w:ascii="Calibri" w:eastAsia="Times New Roman" w:hAnsi="Calibr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uiPriority w:val="99"/>
    <w:semiHidden/>
    <w:unhideWhenUsed/>
    <w:rsid w:val="00582D25"/>
    <w:rPr>
      <w:color w:val="800080"/>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link w:val="Rozloendokumentu"/>
    <w:uiPriority w:val="99"/>
    <w:semiHidden/>
    <w:rsid w:val="00B64F75"/>
    <w:rPr>
      <w:rFonts w:ascii="Tahoma" w:hAnsi="Tahoma" w:cs="Tahoma"/>
      <w:sz w:val="16"/>
      <w:szCs w:val="16"/>
      <w:lang w:eastAsia="en-US"/>
    </w:rPr>
  </w:style>
  <w:style w:type="paragraph" w:styleId="Prosttext">
    <w:name w:val="Plain Text"/>
    <w:basedOn w:val="Normln"/>
    <w:link w:val="ProsttextChar"/>
    <w:uiPriority w:val="99"/>
    <w:semiHidden/>
    <w:unhideWhenUsed/>
    <w:rsid w:val="00464875"/>
    <w:pPr>
      <w:spacing w:line="240" w:lineRule="auto"/>
      <w:jc w:val="left"/>
    </w:pPr>
    <w:rPr>
      <w:rFonts w:ascii="Calibri" w:hAnsi="Calibri" w:cs="Consolas"/>
      <w:sz w:val="22"/>
      <w:szCs w:val="21"/>
    </w:rPr>
  </w:style>
  <w:style w:type="character" w:customStyle="1" w:styleId="ProsttextChar">
    <w:name w:val="Prostý text Char"/>
    <w:link w:val="Prosttext"/>
    <w:uiPriority w:val="99"/>
    <w:semiHidden/>
    <w:rsid w:val="00464875"/>
    <w:rPr>
      <w:rFonts w:eastAsia="Calibri" w:cs="Consolas"/>
      <w:sz w:val="22"/>
      <w:szCs w:val="21"/>
      <w:lang w:eastAsia="en-US"/>
    </w:rPr>
  </w:style>
  <w:style w:type="paragraph" w:styleId="Textvysvtlivek">
    <w:name w:val="endnote text"/>
    <w:basedOn w:val="Normln"/>
    <w:link w:val="TextvysvtlivekChar"/>
    <w:uiPriority w:val="99"/>
    <w:semiHidden/>
    <w:unhideWhenUsed/>
    <w:rsid w:val="00D0253D"/>
    <w:pPr>
      <w:spacing w:line="240" w:lineRule="auto"/>
    </w:pPr>
    <w:rPr>
      <w:sz w:val="20"/>
      <w:szCs w:val="20"/>
    </w:rPr>
  </w:style>
  <w:style w:type="character" w:customStyle="1" w:styleId="TextvysvtlivekChar">
    <w:name w:val="Text vysvětlivek Char"/>
    <w:link w:val="Textvysvtlivek"/>
    <w:uiPriority w:val="99"/>
    <w:semiHidden/>
    <w:rsid w:val="00D0253D"/>
    <w:rPr>
      <w:rFonts w:ascii="Garamond" w:hAnsi="Garamond"/>
      <w:lang w:eastAsia="en-US"/>
    </w:rPr>
  </w:style>
  <w:style w:type="character" w:styleId="Odkaznavysvtlivky">
    <w:name w:val="endnote reference"/>
    <w:uiPriority w:val="99"/>
    <w:semiHidden/>
    <w:unhideWhenUsed/>
    <w:rsid w:val="00D0253D"/>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582D25"/>
    <w:pPr>
      <w:spacing w:line="276" w:lineRule="auto"/>
      <w:jc w:val="both"/>
    </w:pPr>
    <w:rPr>
      <w:rFonts w:ascii="Garamond" w:hAnsi="Garamond"/>
      <w:sz w:val="24"/>
      <w:szCs w:val="22"/>
      <w:lang w:eastAsia="en-US"/>
    </w:rPr>
  </w:style>
  <w:style w:type="paragraph" w:styleId="Nadpis1">
    <w:name w:val="heading 1"/>
    <w:basedOn w:val="Normln"/>
    <w:next w:val="Normln"/>
    <w:link w:val="Nadpis1Char"/>
    <w:uiPriority w:val="9"/>
    <w:qFormat/>
    <w:rsid w:val="008A3239"/>
    <w:pPr>
      <w:keepNext/>
      <w:keepLines/>
      <w:pageBreakBefore/>
      <w:numPr>
        <w:numId w:val="1"/>
      </w:numPr>
      <w:spacing w:before="240" w:after="120"/>
      <w:outlineLvl w:val="0"/>
    </w:pPr>
    <w:rPr>
      <w:rFonts w:eastAsia="Times New Roman"/>
      <w:b/>
      <w:bCs/>
      <w:sz w:val="32"/>
      <w:szCs w:val="28"/>
    </w:rPr>
  </w:style>
  <w:style w:type="paragraph" w:styleId="Nadpis2">
    <w:name w:val="heading 2"/>
    <w:basedOn w:val="Normln"/>
    <w:next w:val="Normln"/>
    <w:link w:val="Nadpis2Char"/>
    <w:uiPriority w:val="9"/>
    <w:unhideWhenUsed/>
    <w:qFormat/>
    <w:rsid w:val="004C0E85"/>
    <w:pPr>
      <w:keepNext/>
      <w:keepLines/>
      <w:numPr>
        <w:ilvl w:val="1"/>
        <w:numId w:val="1"/>
      </w:numPr>
      <w:spacing w:before="120"/>
      <w:ind w:left="578" w:hanging="578"/>
      <w:outlineLvl w:val="1"/>
    </w:pPr>
    <w:rPr>
      <w:rFonts w:eastAsia="Times New Roman"/>
      <w:b/>
      <w:bCs/>
      <w:iCs/>
      <w:sz w:val="28"/>
      <w:szCs w:val="28"/>
    </w:rPr>
  </w:style>
  <w:style w:type="paragraph" w:styleId="Nadpis3">
    <w:name w:val="heading 3"/>
    <w:basedOn w:val="Normln"/>
    <w:next w:val="Normln"/>
    <w:link w:val="Nadpis3Char"/>
    <w:uiPriority w:val="9"/>
    <w:unhideWhenUsed/>
    <w:qFormat/>
    <w:rsid w:val="002B34D4"/>
    <w:pPr>
      <w:keepNext/>
      <w:keepLines/>
      <w:numPr>
        <w:ilvl w:val="2"/>
        <w:numId w:val="1"/>
      </w:numPr>
      <w:spacing w:before="200"/>
      <w:ind w:left="720"/>
      <w:outlineLvl w:val="2"/>
    </w:pPr>
    <w:rPr>
      <w:rFonts w:eastAsia="Times New Roman"/>
      <w:b/>
      <w:bCs/>
      <w:color w:val="000000"/>
    </w:rPr>
  </w:style>
  <w:style w:type="paragraph" w:styleId="Nadpis4">
    <w:name w:val="heading 4"/>
    <w:basedOn w:val="Normln"/>
    <w:next w:val="Normln"/>
    <w:link w:val="Nadpis4Char"/>
    <w:uiPriority w:val="9"/>
    <w:unhideWhenUsed/>
    <w:qFormat/>
    <w:rsid w:val="00815567"/>
    <w:pPr>
      <w:keepNext/>
      <w:keepLines/>
      <w:numPr>
        <w:ilvl w:val="3"/>
        <w:numId w:val="1"/>
      </w:numPr>
      <w:spacing w:before="200"/>
      <w:outlineLvl w:val="3"/>
    </w:pPr>
    <w:rPr>
      <w:rFonts w:eastAsia="Times New Roman"/>
      <w:b/>
      <w:bCs/>
      <w:iCs/>
    </w:rPr>
  </w:style>
  <w:style w:type="paragraph" w:styleId="Nadpis5">
    <w:name w:val="heading 5"/>
    <w:basedOn w:val="Normln"/>
    <w:next w:val="Normln"/>
    <w:link w:val="Nadpis5Char"/>
    <w:uiPriority w:val="9"/>
    <w:semiHidden/>
    <w:unhideWhenUsed/>
    <w:qFormat/>
    <w:rsid w:val="00582D25"/>
    <w:pPr>
      <w:keepNext/>
      <w:keepLines/>
      <w:numPr>
        <w:ilvl w:val="4"/>
        <w:numId w:val="1"/>
      </w:numPr>
      <w:spacing w:before="200"/>
      <w:outlineLvl w:val="4"/>
    </w:pPr>
    <w:rPr>
      <w:rFonts w:ascii="Cambria" w:eastAsia="Times New Roman" w:hAnsi="Cambria"/>
      <w:color w:val="243F60"/>
    </w:rPr>
  </w:style>
  <w:style w:type="paragraph" w:styleId="Nadpis6">
    <w:name w:val="heading 6"/>
    <w:basedOn w:val="Normln"/>
    <w:next w:val="Normln"/>
    <w:link w:val="Nadpis6Char"/>
    <w:uiPriority w:val="9"/>
    <w:semiHidden/>
    <w:unhideWhenUsed/>
    <w:qFormat/>
    <w:rsid w:val="00582D25"/>
    <w:pPr>
      <w:keepNext/>
      <w:keepLines/>
      <w:numPr>
        <w:ilvl w:val="5"/>
        <w:numId w:val="1"/>
      </w:numPr>
      <w:spacing w:before="200"/>
      <w:outlineLvl w:val="5"/>
    </w:pPr>
    <w:rPr>
      <w:rFonts w:ascii="Cambria" w:eastAsia="Times New Roman" w:hAnsi="Cambria"/>
      <w:i/>
      <w:iCs/>
      <w:color w:val="243F60"/>
    </w:rPr>
  </w:style>
  <w:style w:type="paragraph" w:styleId="Nadpis7">
    <w:name w:val="heading 7"/>
    <w:basedOn w:val="Normln"/>
    <w:next w:val="Normln"/>
    <w:link w:val="Nadpis7Char"/>
    <w:uiPriority w:val="9"/>
    <w:semiHidden/>
    <w:unhideWhenUsed/>
    <w:qFormat/>
    <w:rsid w:val="00582D25"/>
    <w:pPr>
      <w:keepNext/>
      <w:keepLines/>
      <w:numPr>
        <w:ilvl w:val="6"/>
        <w:numId w:val="1"/>
      </w:numPr>
      <w:spacing w:before="200"/>
      <w:outlineLvl w:val="6"/>
    </w:pPr>
    <w:rPr>
      <w:rFonts w:ascii="Cambria" w:eastAsia="Times New Roman" w:hAnsi="Cambria"/>
      <w:i/>
      <w:iCs/>
      <w:color w:val="404040"/>
    </w:rPr>
  </w:style>
  <w:style w:type="paragraph" w:styleId="Nadpis8">
    <w:name w:val="heading 8"/>
    <w:basedOn w:val="Normln"/>
    <w:next w:val="Normln"/>
    <w:link w:val="Nadpis8Char"/>
    <w:uiPriority w:val="9"/>
    <w:semiHidden/>
    <w:unhideWhenUsed/>
    <w:qFormat/>
    <w:rsid w:val="00582D25"/>
    <w:pPr>
      <w:keepNext/>
      <w:keepLines/>
      <w:numPr>
        <w:ilvl w:val="7"/>
        <w:numId w:val="1"/>
      </w:numPr>
      <w:spacing w:before="200"/>
      <w:outlineLvl w:val="7"/>
    </w:pPr>
    <w:rPr>
      <w:rFonts w:ascii="Cambria" w:eastAsia="Times New Roman" w:hAnsi="Cambria"/>
      <w:color w:val="404040"/>
      <w:sz w:val="20"/>
      <w:szCs w:val="20"/>
    </w:rPr>
  </w:style>
  <w:style w:type="paragraph" w:styleId="Nadpis9">
    <w:name w:val="heading 9"/>
    <w:basedOn w:val="Normln"/>
    <w:next w:val="Normln"/>
    <w:link w:val="Nadpis9Char"/>
    <w:uiPriority w:val="9"/>
    <w:semiHidden/>
    <w:unhideWhenUsed/>
    <w:qFormat/>
    <w:rsid w:val="00582D25"/>
    <w:pPr>
      <w:keepNext/>
      <w:keepLines/>
      <w:numPr>
        <w:ilvl w:val="8"/>
        <w:numId w:val="1"/>
      </w:numPr>
      <w:spacing w:before="200"/>
      <w:outlineLvl w:val="8"/>
    </w:pPr>
    <w:rPr>
      <w:rFonts w:ascii="Cambria" w:eastAsia="Times New Roman" w:hAnsi="Cambria"/>
      <w:i/>
      <w:iCs/>
      <w:color w:val="404040"/>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uiPriority w:val="9"/>
    <w:rsid w:val="008A3239"/>
    <w:rPr>
      <w:rFonts w:ascii="Garamond" w:eastAsia="Times New Roman" w:hAnsi="Garamond"/>
      <w:b/>
      <w:bCs/>
      <w:sz w:val="32"/>
      <w:szCs w:val="28"/>
      <w:lang w:eastAsia="en-US"/>
    </w:rPr>
  </w:style>
  <w:style w:type="character" w:customStyle="1" w:styleId="Nadpis2Char">
    <w:name w:val="Nadpis 2 Char"/>
    <w:link w:val="Nadpis2"/>
    <w:uiPriority w:val="9"/>
    <w:rsid w:val="004C0E85"/>
    <w:rPr>
      <w:rFonts w:ascii="Garamond" w:eastAsia="Times New Roman" w:hAnsi="Garamond"/>
      <w:b/>
      <w:bCs/>
      <w:iCs/>
      <w:sz w:val="28"/>
      <w:szCs w:val="28"/>
      <w:lang w:eastAsia="en-US"/>
    </w:rPr>
  </w:style>
  <w:style w:type="paragraph" w:styleId="Nadpisobsahu">
    <w:name w:val="TOC Heading"/>
    <w:basedOn w:val="Nadpis1"/>
    <w:next w:val="Normln"/>
    <w:uiPriority w:val="39"/>
    <w:unhideWhenUsed/>
    <w:qFormat/>
    <w:rsid w:val="00F47C3C"/>
    <w:pPr>
      <w:numPr>
        <w:numId w:val="0"/>
      </w:numPr>
      <w:spacing w:after="0"/>
      <w:outlineLvl w:val="9"/>
    </w:pPr>
    <w:rPr>
      <w:rFonts w:ascii="Cambria" w:hAnsi="Cambria"/>
      <w:color w:val="365F91"/>
      <w:lang w:eastAsia="cs-CZ"/>
    </w:rPr>
  </w:style>
  <w:style w:type="paragraph" w:styleId="Obsah1">
    <w:name w:val="toc 1"/>
    <w:basedOn w:val="Normln"/>
    <w:next w:val="Normln"/>
    <w:autoRedefine/>
    <w:uiPriority w:val="39"/>
    <w:unhideWhenUsed/>
    <w:rsid w:val="00F47C3C"/>
  </w:style>
  <w:style w:type="character" w:styleId="Hypertextovodkaz">
    <w:name w:val="Hyperlink"/>
    <w:uiPriority w:val="99"/>
    <w:unhideWhenUsed/>
    <w:rsid w:val="00F47C3C"/>
    <w:rPr>
      <w:color w:val="0000FF"/>
      <w:u w:val="single"/>
    </w:rPr>
  </w:style>
  <w:style w:type="character" w:customStyle="1" w:styleId="Nadpis3Char">
    <w:name w:val="Nadpis 3 Char"/>
    <w:link w:val="Nadpis3"/>
    <w:uiPriority w:val="9"/>
    <w:rsid w:val="002B34D4"/>
    <w:rPr>
      <w:rFonts w:ascii="Garamond" w:eastAsia="Times New Roman" w:hAnsi="Garamond" w:cs="Times New Roman"/>
      <w:b/>
      <w:bCs/>
      <w:color w:val="000000"/>
      <w:sz w:val="24"/>
      <w:szCs w:val="22"/>
      <w:lang w:eastAsia="en-US"/>
    </w:rPr>
  </w:style>
  <w:style w:type="character" w:customStyle="1" w:styleId="Nadpis4Char">
    <w:name w:val="Nadpis 4 Char"/>
    <w:link w:val="Nadpis4"/>
    <w:uiPriority w:val="9"/>
    <w:rsid w:val="00815567"/>
    <w:rPr>
      <w:rFonts w:ascii="Garamond" w:eastAsia="Times New Roman" w:hAnsi="Garamond" w:cs="Times New Roman"/>
      <w:b/>
      <w:bCs/>
      <w:iCs/>
      <w:sz w:val="24"/>
      <w:szCs w:val="22"/>
      <w:lang w:eastAsia="en-US"/>
    </w:rPr>
  </w:style>
  <w:style w:type="character" w:customStyle="1" w:styleId="Nadpis5Char">
    <w:name w:val="Nadpis 5 Char"/>
    <w:link w:val="Nadpis5"/>
    <w:uiPriority w:val="9"/>
    <w:semiHidden/>
    <w:rsid w:val="00E044AF"/>
    <w:rPr>
      <w:rFonts w:ascii="Cambria" w:eastAsia="Times New Roman" w:hAnsi="Cambria" w:cs="Times New Roman"/>
      <w:color w:val="243F60"/>
      <w:sz w:val="24"/>
      <w:szCs w:val="22"/>
      <w:lang w:eastAsia="en-US"/>
    </w:rPr>
  </w:style>
  <w:style w:type="character" w:customStyle="1" w:styleId="Nadpis6Char">
    <w:name w:val="Nadpis 6 Char"/>
    <w:link w:val="Nadpis6"/>
    <w:uiPriority w:val="9"/>
    <w:semiHidden/>
    <w:rsid w:val="00E044AF"/>
    <w:rPr>
      <w:rFonts w:ascii="Cambria" w:eastAsia="Times New Roman" w:hAnsi="Cambria" w:cs="Times New Roman"/>
      <w:i/>
      <w:iCs/>
      <w:color w:val="243F60"/>
      <w:sz w:val="24"/>
      <w:szCs w:val="22"/>
      <w:lang w:eastAsia="en-US"/>
    </w:rPr>
  </w:style>
  <w:style w:type="character" w:customStyle="1" w:styleId="Nadpis7Char">
    <w:name w:val="Nadpis 7 Char"/>
    <w:link w:val="Nadpis7"/>
    <w:uiPriority w:val="9"/>
    <w:semiHidden/>
    <w:rsid w:val="00E044AF"/>
    <w:rPr>
      <w:rFonts w:ascii="Cambria" w:eastAsia="Times New Roman" w:hAnsi="Cambria" w:cs="Times New Roman"/>
      <w:i/>
      <w:iCs/>
      <w:color w:val="404040"/>
      <w:sz w:val="24"/>
      <w:szCs w:val="22"/>
      <w:lang w:eastAsia="en-US"/>
    </w:rPr>
  </w:style>
  <w:style w:type="character" w:customStyle="1" w:styleId="Nadpis8Char">
    <w:name w:val="Nadpis 8 Char"/>
    <w:link w:val="Nadpis8"/>
    <w:uiPriority w:val="9"/>
    <w:semiHidden/>
    <w:rsid w:val="00E044AF"/>
    <w:rPr>
      <w:rFonts w:ascii="Cambria" w:eastAsia="Times New Roman" w:hAnsi="Cambria" w:cs="Times New Roman"/>
      <w:color w:val="404040"/>
      <w:lang w:eastAsia="en-US"/>
    </w:rPr>
  </w:style>
  <w:style w:type="character" w:customStyle="1" w:styleId="Nadpis9Char">
    <w:name w:val="Nadpis 9 Char"/>
    <w:link w:val="Nadpis9"/>
    <w:uiPriority w:val="9"/>
    <w:semiHidden/>
    <w:rsid w:val="00E044AF"/>
    <w:rPr>
      <w:rFonts w:ascii="Cambria" w:eastAsia="Times New Roman" w:hAnsi="Cambria" w:cs="Times New Roman"/>
      <w:i/>
      <w:iCs/>
      <w:color w:val="404040"/>
      <w:lang w:eastAsia="en-US"/>
    </w:rPr>
  </w:style>
  <w:style w:type="paragraph" w:styleId="Obsah2">
    <w:name w:val="toc 2"/>
    <w:basedOn w:val="Normln"/>
    <w:next w:val="Normln"/>
    <w:autoRedefine/>
    <w:uiPriority w:val="39"/>
    <w:unhideWhenUsed/>
    <w:rsid w:val="005C706B"/>
    <w:pPr>
      <w:tabs>
        <w:tab w:val="left" w:pos="880"/>
        <w:tab w:val="right" w:leader="dot" w:pos="9062"/>
      </w:tabs>
      <w:ind w:left="238"/>
    </w:pPr>
    <w:rPr>
      <w:noProof/>
    </w:rPr>
  </w:style>
  <w:style w:type="paragraph" w:styleId="Obsah3">
    <w:name w:val="toc 3"/>
    <w:basedOn w:val="Normln"/>
    <w:next w:val="Normln"/>
    <w:autoRedefine/>
    <w:uiPriority w:val="39"/>
    <w:unhideWhenUsed/>
    <w:rsid w:val="00177807"/>
    <w:pPr>
      <w:tabs>
        <w:tab w:val="left" w:pos="1320"/>
        <w:tab w:val="right" w:leader="dot" w:pos="9062"/>
      </w:tabs>
      <w:ind w:left="482"/>
    </w:pPr>
  </w:style>
  <w:style w:type="paragraph" w:styleId="Zhlav">
    <w:name w:val="header"/>
    <w:basedOn w:val="Normln"/>
    <w:link w:val="ZhlavChar"/>
    <w:uiPriority w:val="99"/>
    <w:unhideWhenUsed/>
    <w:rsid w:val="004B6D15"/>
    <w:pPr>
      <w:tabs>
        <w:tab w:val="center" w:pos="4536"/>
        <w:tab w:val="right" w:pos="9072"/>
      </w:tabs>
      <w:spacing w:line="240" w:lineRule="auto"/>
    </w:pPr>
  </w:style>
  <w:style w:type="character" w:customStyle="1" w:styleId="ZhlavChar">
    <w:name w:val="Záhlaví Char"/>
    <w:link w:val="Zhlav"/>
    <w:uiPriority w:val="99"/>
    <w:rsid w:val="004B6D15"/>
    <w:rPr>
      <w:rFonts w:ascii="Times New Roman" w:hAnsi="Times New Roman"/>
      <w:sz w:val="24"/>
      <w:szCs w:val="22"/>
      <w:lang w:eastAsia="en-US"/>
    </w:rPr>
  </w:style>
  <w:style w:type="paragraph" w:styleId="Zpat">
    <w:name w:val="footer"/>
    <w:basedOn w:val="Normln"/>
    <w:link w:val="ZpatChar"/>
    <w:uiPriority w:val="99"/>
    <w:unhideWhenUsed/>
    <w:rsid w:val="004B6D15"/>
    <w:pPr>
      <w:tabs>
        <w:tab w:val="center" w:pos="4536"/>
        <w:tab w:val="right" w:pos="9072"/>
      </w:tabs>
      <w:spacing w:line="240" w:lineRule="auto"/>
    </w:pPr>
  </w:style>
  <w:style w:type="character" w:customStyle="1" w:styleId="ZpatChar">
    <w:name w:val="Zápatí Char"/>
    <w:link w:val="Zpat"/>
    <w:uiPriority w:val="99"/>
    <w:rsid w:val="004B6D15"/>
    <w:rPr>
      <w:rFonts w:ascii="Times New Roman" w:hAnsi="Times New Roman"/>
      <w:sz w:val="24"/>
      <w:szCs w:val="22"/>
      <w:lang w:eastAsia="en-US"/>
    </w:rPr>
  </w:style>
  <w:style w:type="paragraph" w:styleId="Textbubliny">
    <w:name w:val="Balloon Text"/>
    <w:basedOn w:val="Normln"/>
    <w:link w:val="TextbublinyChar"/>
    <w:uiPriority w:val="99"/>
    <w:semiHidden/>
    <w:unhideWhenUsed/>
    <w:rsid w:val="004B6D15"/>
    <w:pPr>
      <w:spacing w:line="240" w:lineRule="auto"/>
    </w:pPr>
    <w:rPr>
      <w:rFonts w:ascii="Tahoma" w:hAnsi="Tahoma" w:cs="Tahoma"/>
      <w:sz w:val="16"/>
      <w:szCs w:val="16"/>
    </w:rPr>
  </w:style>
  <w:style w:type="character" w:customStyle="1" w:styleId="TextbublinyChar">
    <w:name w:val="Text bubliny Char"/>
    <w:link w:val="Textbubliny"/>
    <w:uiPriority w:val="99"/>
    <w:semiHidden/>
    <w:rsid w:val="004B6D15"/>
    <w:rPr>
      <w:rFonts w:ascii="Tahoma" w:hAnsi="Tahoma" w:cs="Tahoma"/>
      <w:sz w:val="16"/>
      <w:szCs w:val="16"/>
      <w:lang w:eastAsia="en-US"/>
    </w:rPr>
  </w:style>
  <w:style w:type="paragraph" w:styleId="Odstavecseseznamem">
    <w:name w:val="List Paragraph"/>
    <w:basedOn w:val="Normln"/>
    <w:uiPriority w:val="34"/>
    <w:qFormat/>
    <w:rsid w:val="0034329B"/>
    <w:pPr>
      <w:ind w:left="720"/>
      <w:contextualSpacing/>
    </w:pPr>
  </w:style>
  <w:style w:type="paragraph" w:styleId="Titulek">
    <w:name w:val="caption"/>
    <w:basedOn w:val="Normln"/>
    <w:next w:val="Normln"/>
    <w:uiPriority w:val="35"/>
    <w:unhideWhenUsed/>
    <w:qFormat/>
    <w:rsid w:val="00582D25"/>
    <w:pPr>
      <w:spacing w:line="240" w:lineRule="auto"/>
    </w:pPr>
    <w:rPr>
      <w:b/>
      <w:bCs/>
      <w:color w:val="4F81BD"/>
      <w:sz w:val="18"/>
      <w:szCs w:val="18"/>
    </w:rPr>
  </w:style>
  <w:style w:type="paragraph" w:styleId="Podtitul">
    <w:name w:val="Subtitle"/>
    <w:aliases w:val="Grafy a tabulky"/>
    <w:basedOn w:val="Normln"/>
    <w:next w:val="Normln"/>
    <w:link w:val="PodtitulChar"/>
    <w:uiPriority w:val="11"/>
    <w:qFormat/>
    <w:rsid w:val="00582D25"/>
    <w:pPr>
      <w:keepNext/>
      <w:numPr>
        <w:ilvl w:val="1"/>
      </w:numPr>
      <w:spacing w:before="120" w:line="240" w:lineRule="auto"/>
      <w:jc w:val="left"/>
    </w:pPr>
    <w:rPr>
      <w:rFonts w:eastAsia="Times New Roman"/>
      <w:b/>
      <w:iCs/>
      <w:color w:val="000000"/>
      <w:spacing w:val="15"/>
      <w:szCs w:val="24"/>
    </w:rPr>
  </w:style>
  <w:style w:type="character" w:customStyle="1" w:styleId="PodtitulChar">
    <w:name w:val="Podtitul Char"/>
    <w:aliases w:val="Grafy a tabulky Char"/>
    <w:link w:val="Podtitul"/>
    <w:uiPriority w:val="11"/>
    <w:rsid w:val="00546079"/>
    <w:rPr>
      <w:rFonts w:ascii="Garamond" w:eastAsia="Times New Roman" w:hAnsi="Garamond" w:cs="Times New Roman"/>
      <w:b/>
      <w:iCs/>
      <w:color w:val="000000"/>
      <w:spacing w:val="15"/>
      <w:sz w:val="24"/>
      <w:szCs w:val="24"/>
      <w:lang w:eastAsia="en-US"/>
    </w:rPr>
  </w:style>
  <w:style w:type="paragraph" w:styleId="Seznamobrzk">
    <w:name w:val="table of figures"/>
    <w:basedOn w:val="Normln"/>
    <w:next w:val="Normln"/>
    <w:uiPriority w:val="99"/>
    <w:unhideWhenUsed/>
    <w:rsid w:val="001A79B6"/>
  </w:style>
  <w:style w:type="paragraph" w:styleId="Bezmezer">
    <w:name w:val="No Spacing"/>
    <w:uiPriority w:val="1"/>
    <w:qFormat/>
    <w:rsid w:val="00037758"/>
    <w:rPr>
      <w:rFonts w:ascii="Times New Roman" w:hAnsi="Times New Roman"/>
      <w:sz w:val="24"/>
      <w:szCs w:val="22"/>
      <w:lang w:eastAsia="en-US"/>
    </w:rPr>
  </w:style>
  <w:style w:type="paragraph" w:styleId="Textpoznpodarou">
    <w:name w:val="footnote text"/>
    <w:basedOn w:val="Normln"/>
    <w:link w:val="TextpoznpodarouChar"/>
    <w:uiPriority w:val="99"/>
    <w:semiHidden/>
    <w:unhideWhenUsed/>
    <w:rsid w:val="005D25DC"/>
    <w:pPr>
      <w:spacing w:line="240" w:lineRule="auto"/>
    </w:pPr>
    <w:rPr>
      <w:sz w:val="20"/>
      <w:szCs w:val="20"/>
    </w:rPr>
  </w:style>
  <w:style w:type="character" w:customStyle="1" w:styleId="TextpoznpodarouChar">
    <w:name w:val="Text pozn. pod čarou Char"/>
    <w:link w:val="Textpoznpodarou"/>
    <w:uiPriority w:val="99"/>
    <w:semiHidden/>
    <w:rsid w:val="005D25DC"/>
    <w:rPr>
      <w:rFonts w:ascii="Times New Roman" w:hAnsi="Times New Roman"/>
      <w:lang w:eastAsia="en-US"/>
    </w:rPr>
  </w:style>
  <w:style w:type="character" w:styleId="Znakapoznpodarou">
    <w:name w:val="footnote reference"/>
    <w:uiPriority w:val="99"/>
    <w:semiHidden/>
    <w:unhideWhenUsed/>
    <w:rsid w:val="005D25DC"/>
    <w:rPr>
      <w:vertAlign w:val="superscript"/>
    </w:rPr>
  </w:style>
  <w:style w:type="paragraph" w:styleId="Nzev">
    <w:name w:val="Title"/>
    <w:basedOn w:val="Normln"/>
    <w:next w:val="Normln"/>
    <w:link w:val="NzevChar"/>
    <w:uiPriority w:val="10"/>
    <w:qFormat/>
    <w:rsid w:val="00582D25"/>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NzevChar">
    <w:name w:val="Název Char"/>
    <w:link w:val="Nzev"/>
    <w:uiPriority w:val="10"/>
    <w:rsid w:val="007D6490"/>
    <w:rPr>
      <w:rFonts w:ascii="Cambria" w:eastAsia="Times New Roman" w:hAnsi="Cambria" w:cs="Times New Roman"/>
      <w:color w:val="17365D"/>
      <w:spacing w:val="5"/>
      <w:kern w:val="28"/>
      <w:sz w:val="52"/>
      <w:szCs w:val="52"/>
      <w:lang w:eastAsia="en-US"/>
    </w:rPr>
  </w:style>
  <w:style w:type="character" w:styleId="Odkaznakoment">
    <w:name w:val="annotation reference"/>
    <w:uiPriority w:val="99"/>
    <w:semiHidden/>
    <w:unhideWhenUsed/>
    <w:rsid w:val="006E32C6"/>
    <w:rPr>
      <w:sz w:val="16"/>
      <w:szCs w:val="16"/>
    </w:rPr>
  </w:style>
  <w:style w:type="paragraph" w:styleId="Textkomente">
    <w:name w:val="annotation text"/>
    <w:basedOn w:val="Normln"/>
    <w:link w:val="TextkomenteChar"/>
    <w:uiPriority w:val="99"/>
    <w:unhideWhenUsed/>
    <w:rsid w:val="006E32C6"/>
    <w:pPr>
      <w:spacing w:line="240" w:lineRule="auto"/>
    </w:pPr>
    <w:rPr>
      <w:sz w:val="20"/>
      <w:szCs w:val="20"/>
    </w:rPr>
  </w:style>
  <w:style w:type="character" w:customStyle="1" w:styleId="TextkomenteChar">
    <w:name w:val="Text komentáře Char"/>
    <w:link w:val="Textkomente"/>
    <w:uiPriority w:val="99"/>
    <w:rsid w:val="006E32C6"/>
    <w:rPr>
      <w:rFonts w:ascii="Times New Roman" w:hAnsi="Times New Roman"/>
      <w:lang w:eastAsia="en-US"/>
    </w:rPr>
  </w:style>
  <w:style w:type="paragraph" w:styleId="Pedmtkomente">
    <w:name w:val="annotation subject"/>
    <w:basedOn w:val="Textkomente"/>
    <w:next w:val="Textkomente"/>
    <w:link w:val="PedmtkomenteChar"/>
    <w:uiPriority w:val="99"/>
    <w:semiHidden/>
    <w:unhideWhenUsed/>
    <w:rsid w:val="006E32C6"/>
    <w:rPr>
      <w:b/>
      <w:bCs/>
    </w:rPr>
  </w:style>
  <w:style w:type="character" w:customStyle="1" w:styleId="PedmtkomenteChar">
    <w:name w:val="Předmět komentáře Char"/>
    <w:link w:val="Pedmtkomente"/>
    <w:uiPriority w:val="99"/>
    <w:semiHidden/>
    <w:rsid w:val="006E32C6"/>
    <w:rPr>
      <w:rFonts w:ascii="Times New Roman" w:hAnsi="Times New Roman"/>
      <w:b/>
      <w:bCs/>
      <w:lang w:eastAsia="en-US"/>
    </w:rPr>
  </w:style>
  <w:style w:type="paragraph" w:customStyle="1" w:styleId="OdstavecASR">
    <w:name w:val="Odstavec ASR"/>
    <w:basedOn w:val="Normln"/>
    <w:link w:val="OdstavecASRChar"/>
    <w:qFormat/>
    <w:rsid w:val="00F02FD5"/>
    <w:pPr>
      <w:spacing w:before="60" w:after="120"/>
    </w:pPr>
  </w:style>
  <w:style w:type="character" w:customStyle="1" w:styleId="OdstavecASRChar">
    <w:name w:val="Odstavec ASR Char"/>
    <w:link w:val="OdstavecASR"/>
    <w:rsid w:val="00F02FD5"/>
    <w:rPr>
      <w:rFonts w:ascii="Times New Roman" w:hAnsi="Times New Roman"/>
      <w:sz w:val="24"/>
      <w:szCs w:val="22"/>
      <w:lang w:eastAsia="en-US"/>
    </w:rPr>
  </w:style>
  <w:style w:type="paragraph" w:styleId="Obsah4">
    <w:name w:val="toc 4"/>
    <w:basedOn w:val="Normln"/>
    <w:next w:val="Normln"/>
    <w:autoRedefine/>
    <w:uiPriority w:val="39"/>
    <w:unhideWhenUsed/>
    <w:rsid w:val="00582D25"/>
    <w:pPr>
      <w:spacing w:after="100"/>
      <w:ind w:left="660"/>
      <w:jc w:val="left"/>
    </w:pPr>
    <w:rPr>
      <w:rFonts w:ascii="Calibri" w:eastAsia="Times New Roman" w:hAnsi="Calibri"/>
      <w:sz w:val="22"/>
      <w:lang w:eastAsia="cs-CZ"/>
    </w:rPr>
  </w:style>
  <w:style w:type="paragraph" w:styleId="Obsah5">
    <w:name w:val="toc 5"/>
    <w:basedOn w:val="Normln"/>
    <w:next w:val="Normln"/>
    <w:autoRedefine/>
    <w:uiPriority w:val="39"/>
    <w:unhideWhenUsed/>
    <w:rsid w:val="00582D25"/>
    <w:pPr>
      <w:spacing w:after="100"/>
      <w:ind w:left="880"/>
      <w:jc w:val="left"/>
    </w:pPr>
    <w:rPr>
      <w:rFonts w:ascii="Calibri" w:eastAsia="Times New Roman" w:hAnsi="Calibri"/>
      <w:sz w:val="22"/>
      <w:lang w:eastAsia="cs-CZ"/>
    </w:rPr>
  </w:style>
  <w:style w:type="paragraph" w:styleId="Obsah6">
    <w:name w:val="toc 6"/>
    <w:basedOn w:val="Normln"/>
    <w:next w:val="Normln"/>
    <w:autoRedefine/>
    <w:uiPriority w:val="39"/>
    <w:unhideWhenUsed/>
    <w:rsid w:val="00582D25"/>
    <w:pPr>
      <w:spacing w:after="100"/>
      <w:ind w:left="1100"/>
      <w:jc w:val="left"/>
    </w:pPr>
    <w:rPr>
      <w:rFonts w:ascii="Calibri" w:eastAsia="Times New Roman" w:hAnsi="Calibri"/>
      <w:sz w:val="22"/>
      <w:lang w:eastAsia="cs-CZ"/>
    </w:rPr>
  </w:style>
  <w:style w:type="paragraph" w:styleId="Obsah7">
    <w:name w:val="toc 7"/>
    <w:basedOn w:val="Normln"/>
    <w:next w:val="Normln"/>
    <w:autoRedefine/>
    <w:uiPriority w:val="39"/>
    <w:unhideWhenUsed/>
    <w:rsid w:val="00582D25"/>
    <w:pPr>
      <w:spacing w:after="100"/>
      <w:ind w:left="1320"/>
      <w:jc w:val="left"/>
    </w:pPr>
    <w:rPr>
      <w:rFonts w:ascii="Calibri" w:eastAsia="Times New Roman" w:hAnsi="Calibri"/>
      <w:sz w:val="22"/>
      <w:lang w:eastAsia="cs-CZ"/>
    </w:rPr>
  </w:style>
  <w:style w:type="paragraph" w:styleId="Obsah8">
    <w:name w:val="toc 8"/>
    <w:basedOn w:val="Normln"/>
    <w:next w:val="Normln"/>
    <w:autoRedefine/>
    <w:uiPriority w:val="39"/>
    <w:unhideWhenUsed/>
    <w:rsid w:val="00582D25"/>
    <w:pPr>
      <w:spacing w:after="100"/>
      <w:ind w:left="1540"/>
      <w:jc w:val="left"/>
    </w:pPr>
    <w:rPr>
      <w:rFonts w:ascii="Calibri" w:eastAsia="Times New Roman" w:hAnsi="Calibri"/>
      <w:sz w:val="22"/>
      <w:lang w:eastAsia="cs-CZ"/>
    </w:rPr>
  </w:style>
  <w:style w:type="paragraph" w:styleId="Obsah9">
    <w:name w:val="toc 9"/>
    <w:basedOn w:val="Normln"/>
    <w:next w:val="Normln"/>
    <w:autoRedefine/>
    <w:uiPriority w:val="39"/>
    <w:unhideWhenUsed/>
    <w:rsid w:val="00582D25"/>
    <w:pPr>
      <w:spacing w:after="100"/>
      <w:ind w:left="1760"/>
      <w:jc w:val="left"/>
    </w:pPr>
    <w:rPr>
      <w:rFonts w:ascii="Calibri" w:eastAsia="Times New Roman" w:hAnsi="Calibri"/>
      <w:sz w:val="22"/>
      <w:lang w:eastAsia="cs-CZ"/>
    </w:rPr>
  </w:style>
  <w:style w:type="paragraph" w:styleId="Revize">
    <w:name w:val="Revision"/>
    <w:hidden/>
    <w:uiPriority w:val="99"/>
    <w:semiHidden/>
    <w:rsid w:val="007903D4"/>
    <w:rPr>
      <w:rFonts w:ascii="Times New Roman" w:hAnsi="Times New Roman"/>
      <w:sz w:val="24"/>
      <w:szCs w:val="22"/>
      <w:lang w:eastAsia="en-US"/>
    </w:rPr>
  </w:style>
  <w:style w:type="character" w:styleId="Sledovanodkaz">
    <w:name w:val="FollowedHyperlink"/>
    <w:uiPriority w:val="99"/>
    <w:semiHidden/>
    <w:unhideWhenUsed/>
    <w:rsid w:val="00582D25"/>
    <w:rPr>
      <w:color w:val="800080"/>
      <w:u w:val="single"/>
    </w:rPr>
  </w:style>
  <w:style w:type="paragraph" w:styleId="Rozloendokumentu">
    <w:name w:val="Document Map"/>
    <w:basedOn w:val="Normln"/>
    <w:link w:val="RozloendokumentuChar"/>
    <w:uiPriority w:val="99"/>
    <w:semiHidden/>
    <w:unhideWhenUsed/>
    <w:rsid w:val="00B64F75"/>
    <w:pPr>
      <w:spacing w:line="240" w:lineRule="auto"/>
    </w:pPr>
    <w:rPr>
      <w:rFonts w:ascii="Tahoma" w:hAnsi="Tahoma" w:cs="Tahoma"/>
      <w:sz w:val="16"/>
      <w:szCs w:val="16"/>
    </w:rPr>
  </w:style>
  <w:style w:type="character" w:customStyle="1" w:styleId="RozloendokumentuChar">
    <w:name w:val="Rozložení dokumentu Char"/>
    <w:link w:val="Rozloendokumentu"/>
    <w:uiPriority w:val="99"/>
    <w:semiHidden/>
    <w:rsid w:val="00B64F75"/>
    <w:rPr>
      <w:rFonts w:ascii="Tahoma" w:hAnsi="Tahoma" w:cs="Tahoma"/>
      <w:sz w:val="16"/>
      <w:szCs w:val="16"/>
      <w:lang w:eastAsia="en-US"/>
    </w:rPr>
  </w:style>
  <w:style w:type="paragraph" w:styleId="Prosttext">
    <w:name w:val="Plain Text"/>
    <w:basedOn w:val="Normln"/>
    <w:link w:val="ProsttextChar"/>
    <w:uiPriority w:val="99"/>
    <w:semiHidden/>
    <w:unhideWhenUsed/>
    <w:rsid w:val="00464875"/>
    <w:pPr>
      <w:spacing w:line="240" w:lineRule="auto"/>
      <w:jc w:val="left"/>
    </w:pPr>
    <w:rPr>
      <w:rFonts w:ascii="Calibri" w:hAnsi="Calibri" w:cs="Consolas"/>
      <w:sz w:val="22"/>
      <w:szCs w:val="21"/>
    </w:rPr>
  </w:style>
  <w:style w:type="character" w:customStyle="1" w:styleId="ProsttextChar">
    <w:name w:val="Prostý text Char"/>
    <w:link w:val="Prosttext"/>
    <w:uiPriority w:val="99"/>
    <w:semiHidden/>
    <w:rsid w:val="00464875"/>
    <w:rPr>
      <w:rFonts w:eastAsia="Calibri" w:cs="Consolas"/>
      <w:sz w:val="22"/>
      <w:szCs w:val="21"/>
      <w:lang w:eastAsia="en-US"/>
    </w:rPr>
  </w:style>
  <w:style w:type="paragraph" w:styleId="Textvysvtlivek">
    <w:name w:val="endnote text"/>
    <w:basedOn w:val="Normln"/>
    <w:link w:val="TextvysvtlivekChar"/>
    <w:uiPriority w:val="99"/>
    <w:semiHidden/>
    <w:unhideWhenUsed/>
    <w:rsid w:val="00D0253D"/>
    <w:pPr>
      <w:spacing w:line="240" w:lineRule="auto"/>
    </w:pPr>
    <w:rPr>
      <w:sz w:val="20"/>
      <w:szCs w:val="20"/>
    </w:rPr>
  </w:style>
  <w:style w:type="character" w:customStyle="1" w:styleId="TextvysvtlivekChar">
    <w:name w:val="Text vysvětlivek Char"/>
    <w:link w:val="Textvysvtlivek"/>
    <w:uiPriority w:val="99"/>
    <w:semiHidden/>
    <w:rsid w:val="00D0253D"/>
    <w:rPr>
      <w:rFonts w:ascii="Garamond" w:hAnsi="Garamond"/>
      <w:lang w:eastAsia="en-US"/>
    </w:rPr>
  </w:style>
  <w:style w:type="character" w:styleId="Odkaznavysvtlivky">
    <w:name w:val="endnote reference"/>
    <w:uiPriority w:val="99"/>
    <w:semiHidden/>
    <w:unhideWhenUsed/>
    <w:rsid w:val="00D0253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830479">
      <w:bodyDiv w:val="1"/>
      <w:marLeft w:val="0"/>
      <w:marRight w:val="0"/>
      <w:marTop w:val="0"/>
      <w:marBottom w:val="0"/>
      <w:divBdr>
        <w:top w:val="none" w:sz="0" w:space="0" w:color="auto"/>
        <w:left w:val="none" w:sz="0" w:space="0" w:color="auto"/>
        <w:bottom w:val="none" w:sz="0" w:space="0" w:color="auto"/>
        <w:right w:val="none" w:sz="0" w:space="0" w:color="auto"/>
      </w:divBdr>
    </w:div>
    <w:div w:id="10182310">
      <w:bodyDiv w:val="1"/>
      <w:marLeft w:val="0"/>
      <w:marRight w:val="0"/>
      <w:marTop w:val="0"/>
      <w:marBottom w:val="0"/>
      <w:divBdr>
        <w:top w:val="none" w:sz="0" w:space="0" w:color="auto"/>
        <w:left w:val="none" w:sz="0" w:space="0" w:color="auto"/>
        <w:bottom w:val="none" w:sz="0" w:space="0" w:color="auto"/>
        <w:right w:val="none" w:sz="0" w:space="0" w:color="auto"/>
      </w:divBdr>
    </w:div>
    <w:div w:id="19864067">
      <w:bodyDiv w:val="1"/>
      <w:marLeft w:val="0"/>
      <w:marRight w:val="0"/>
      <w:marTop w:val="0"/>
      <w:marBottom w:val="0"/>
      <w:divBdr>
        <w:top w:val="none" w:sz="0" w:space="0" w:color="auto"/>
        <w:left w:val="none" w:sz="0" w:space="0" w:color="auto"/>
        <w:bottom w:val="none" w:sz="0" w:space="0" w:color="auto"/>
        <w:right w:val="none" w:sz="0" w:space="0" w:color="auto"/>
      </w:divBdr>
    </w:div>
    <w:div w:id="20597783">
      <w:bodyDiv w:val="1"/>
      <w:marLeft w:val="0"/>
      <w:marRight w:val="0"/>
      <w:marTop w:val="0"/>
      <w:marBottom w:val="0"/>
      <w:divBdr>
        <w:top w:val="none" w:sz="0" w:space="0" w:color="auto"/>
        <w:left w:val="none" w:sz="0" w:space="0" w:color="auto"/>
        <w:bottom w:val="none" w:sz="0" w:space="0" w:color="auto"/>
        <w:right w:val="none" w:sz="0" w:space="0" w:color="auto"/>
      </w:divBdr>
    </w:div>
    <w:div w:id="22825990">
      <w:bodyDiv w:val="1"/>
      <w:marLeft w:val="0"/>
      <w:marRight w:val="0"/>
      <w:marTop w:val="0"/>
      <w:marBottom w:val="0"/>
      <w:divBdr>
        <w:top w:val="none" w:sz="0" w:space="0" w:color="auto"/>
        <w:left w:val="none" w:sz="0" w:space="0" w:color="auto"/>
        <w:bottom w:val="none" w:sz="0" w:space="0" w:color="auto"/>
        <w:right w:val="none" w:sz="0" w:space="0" w:color="auto"/>
      </w:divBdr>
    </w:div>
    <w:div w:id="29570806">
      <w:bodyDiv w:val="1"/>
      <w:marLeft w:val="0"/>
      <w:marRight w:val="0"/>
      <w:marTop w:val="0"/>
      <w:marBottom w:val="0"/>
      <w:divBdr>
        <w:top w:val="none" w:sz="0" w:space="0" w:color="auto"/>
        <w:left w:val="none" w:sz="0" w:space="0" w:color="auto"/>
        <w:bottom w:val="none" w:sz="0" w:space="0" w:color="auto"/>
        <w:right w:val="none" w:sz="0" w:space="0" w:color="auto"/>
      </w:divBdr>
    </w:div>
    <w:div w:id="30883341">
      <w:bodyDiv w:val="1"/>
      <w:marLeft w:val="0"/>
      <w:marRight w:val="0"/>
      <w:marTop w:val="0"/>
      <w:marBottom w:val="0"/>
      <w:divBdr>
        <w:top w:val="none" w:sz="0" w:space="0" w:color="auto"/>
        <w:left w:val="none" w:sz="0" w:space="0" w:color="auto"/>
        <w:bottom w:val="none" w:sz="0" w:space="0" w:color="auto"/>
        <w:right w:val="none" w:sz="0" w:space="0" w:color="auto"/>
      </w:divBdr>
    </w:div>
    <w:div w:id="34738142">
      <w:bodyDiv w:val="1"/>
      <w:marLeft w:val="0"/>
      <w:marRight w:val="0"/>
      <w:marTop w:val="0"/>
      <w:marBottom w:val="0"/>
      <w:divBdr>
        <w:top w:val="none" w:sz="0" w:space="0" w:color="auto"/>
        <w:left w:val="none" w:sz="0" w:space="0" w:color="auto"/>
        <w:bottom w:val="none" w:sz="0" w:space="0" w:color="auto"/>
        <w:right w:val="none" w:sz="0" w:space="0" w:color="auto"/>
      </w:divBdr>
    </w:div>
    <w:div w:id="40567157">
      <w:bodyDiv w:val="1"/>
      <w:marLeft w:val="0"/>
      <w:marRight w:val="0"/>
      <w:marTop w:val="0"/>
      <w:marBottom w:val="0"/>
      <w:divBdr>
        <w:top w:val="none" w:sz="0" w:space="0" w:color="auto"/>
        <w:left w:val="none" w:sz="0" w:space="0" w:color="auto"/>
        <w:bottom w:val="none" w:sz="0" w:space="0" w:color="auto"/>
        <w:right w:val="none" w:sz="0" w:space="0" w:color="auto"/>
      </w:divBdr>
    </w:div>
    <w:div w:id="44834724">
      <w:bodyDiv w:val="1"/>
      <w:marLeft w:val="0"/>
      <w:marRight w:val="0"/>
      <w:marTop w:val="0"/>
      <w:marBottom w:val="0"/>
      <w:divBdr>
        <w:top w:val="none" w:sz="0" w:space="0" w:color="auto"/>
        <w:left w:val="none" w:sz="0" w:space="0" w:color="auto"/>
        <w:bottom w:val="none" w:sz="0" w:space="0" w:color="auto"/>
        <w:right w:val="none" w:sz="0" w:space="0" w:color="auto"/>
      </w:divBdr>
    </w:div>
    <w:div w:id="47464511">
      <w:bodyDiv w:val="1"/>
      <w:marLeft w:val="0"/>
      <w:marRight w:val="0"/>
      <w:marTop w:val="0"/>
      <w:marBottom w:val="0"/>
      <w:divBdr>
        <w:top w:val="none" w:sz="0" w:space="0" w:color="auto"/>
        <w:left w:val="none" w:sz="0" w:space="0" w:color="auto"/>
        <w:bottom w:val="none" w:sz="0" w:space="0" w:color="auto"/>
        <w:right w:val="none" w:sz="0" w:space="0" w:color="auto"/>
      </w:divBdr>
    </w:div>
    <w:div w:id="49043871">
      <w:bodyDiv w:val="1"/>
      <w:marLeft w:val="0"/>
      <w:marRight w:val="0"/>
      <w:marTop w:val="0"/>
      <w:marBottom w:val="0"/>
      <w:divBdr>
        <w:top w:val="none" w:sz="0" w:space="0" w:color="auto"/>
        <w:left w:val="none" w:sz="0" w:space="0" w:color="auto"/>
        <w:bottom w:val="none" w:sz="0" w:space="0" w:color="auto"/>
        <w:right w:val="none" w:sz="0" w:space="0" w:color="auto"/>
      </w:divBdr>
    </w:div>
    <w:div w:id="59403547">
      <w:bodyDiv w:val="1"/>
      <w:marLeft w:val="0"/>
      <w:marRight w:val="0"/>
      <w:marTop w:val="0"/>
      <w:marBottom w:val="0"/>
      <w:divBdr>
        <w:top w:val="none" w:sz="0" w:space="0" w:color="auto"/>
        <w:left w:val="none" w:sz="0" w:space="0" w:color="auto"/>
        <w:bottom w:val="none" w:sz="0" w:space="0" w:color="auto"/>
        <w:right w:val="none" w:sz="0" w:space="0" w:color="auto"/>
      </w:divBdr>
    </w:div>
    <w:div w:id="61610972">
      <w:bodyDiv w:val="1"/>
      <w:marLeft w:val="0"/>
      <w:marRight w:val="0"/>
      <w:marTop w:val="0"/>
      <w:marBottom w:val="0"/>
      <w:divBdr>
        <w:top w:val="none" w:sz="0" w:space="0" w:color="auto"/>
        <w:left w:val="none" w:sz="0" w:space="0" w:color="auto"/>
        <w:bottom w:val="none" w:sz="0" w:space="0" w:color="auto"/>
        <w:right w:val="none" w:sz="0" w:space="0" w:color="auto"/>
      </w:divBdr>
    </w:div>
    <w:div w:id="62794806">
      <w:bodyDiv w:val="1"/>
      <w:marLeft w:val="0"/>
      <w:marRight w:val="0"/>
      <w:marTop w:val="0"/>
      <w:marBottom w:val="0"/>
      <w:divBdr>
        <w:top w:val="none" w:sz="0" w:space="0" w:color="auto"/>
        <w:left w:val="none" w:sz="0" w:space="0" w:color="auto"/>
        <w:bottom w:val="none" w:sz="0" w:space="0" w:color="auto"/>
        <w:right w:val="none" w:sz="0" w:space="0" w:color="auto"/>
      </w:divBdr>
    </w:div>
    <w:div w:id="64422611">
      <w:bodyDiv w:val="1"/>
      <w:marLeft w:val="0"/>
      <w:marRight w:val="0"/>
      <w:marTop w:val="0"/>
      <w:marBottom w:val="0"/>
      <w:divBdr>
        <w:top w:val="none" w:sz="0" w:space="0" w:color="auto"/>
        <w:left w:val="none" w:sz="0" w:space="0" w:color="auto"/>
        <w:bottom w:val="none" w:sz="0" w:space="0" w:color="auto"/>
        <w:right w:val="none" w:sz="0" w:space="0" w:color="auto"/>
      </w:divBdr>
    </w:div>
    <w:div w:id="65035914">
      <w:bodyDiv w:val="1"/>
      <w:marLeft w:val="0"/>
      <w:marRight w:val="0"/>
      <w:marTop w:val="0"/>
      <w:marBottom w:val="0"/>
      <w:divBdr>
        <w:top w:val="none" w:sz="0" w:space="0" w:color="auto"/>
        <w:left w:val="none" w:sz="0" w:space="0" w:color="auto"/>
        <w:bottom w:val="none" w:sz="0" w:space="0" w:color="auto"/>
        <w:right w:val="none" w:sz="0" w:space="0" w:color="auto"/>
      </w:divBdr>
    </w:div>
    <w:div w:id="65344515">
      <w:bodyDiv w:val="1"/>
      <w:marLeft w:val="0"/>
      <w:marRight w:val="0"/>
      <w:marTop w:val="0"/>
      <w:marBottom w:val="0"/>
      <w:divBdr>
        <w:top w:val="none" w:sz="0" w:space="0" w:color="auto"/>
        <w:left w:val="none" w:sz="0" w:space="0" w:color="auto"/>
        <w:bottom w:val="none" w:sz="0" w:space="0" w:color="auto"/>
        <w:right w:val="none" w:sz="0" w:space="0" w:color="auto"/>
      </w:divBdr>
    </w:div>
    <w:div w:id="66005059">
      <w:bodyDiv w:val="1"/>
      <w:marLeft w:val="0"/>
      <w:marRight w:val="0"/>
      <w:marTop w:val="0"/>
      <w:marBottom w:val="0"/>
      <w:divBdr>
        <w:top w:val="none" w:sz="0" w:space="0" w:color="auto"/>
        <w:left w:val="none" w:sz="0" w:space="0" w:color="auto"/>
        <w:bottom w:val="none" w:sz="0" w:space="0" w:color="auto"/>
        <w:right w:val="none" w:sz="0" w:space="0" w:color="auto"/>
      </w:divBdr>
    </w:div>
    <w:div w:id="66153510">
      <w:bodyDiv w:val="1"/>
      <w:marLeft w:val="0"/>
      <w:marRight w:val="0"/>
      <w:marTop w:val="0"/>
      <w:marBottom w:val="0"/>
      <w:divBdr>
        <w:top w:val="none" w:sz="0" w:space="0" w:color="auto"/>
        <w:left w:val="none" w:sz="0" w:space="0" w:color="auto"/>
        <w:bottom w:val="none" w:sz="0" w:space="0" w:color="auto"/>
        <w:right w:val="none" w:sz="0" w:space="0" w:color="auto"/>
      </w:divBdr>
    </w:div>
    <w:div w:id="71244767">
      <w:bodyDiv w:val="1"/>
      <w:marLeft w:val="0"/>
      <w:marRight w:val="0"/>
      <w:marTop w:val="0"/>
      <w:marBottom w:val="0"/>
      <w:divBdr>
        <w:top w:val="none" w:sz="0" w:space="0" w:color="auto"/>
        <w:left w:val="none" w:sz="0" w:space="0" w:color="auto"/>
        <w:bottom w:val="none" w:sz="0" w:space="0" w:color="auto"/>
        <w:right w:val="none" w:sz="0" w:space="0" w:color="auto"/>
      </w:divBdr>
    </w:div>
    <w:div w:id="75590378">
      <w:bodyDiv w:val="1"/>
      <w:marLeft w:val="0"/>
      <w:marRight w:val="0"/>
      <w:marTop w:val="0"/>
      <w:marBottom w:val="0"/>
      <w:divBdr>
        <w:top w:val="none" w:sz="0" w:space="0" w:color="auto"/>
        <w:left w:val="none" w:sz="0" w:space="0" w:color="auto"/>
        <w:bottom w:val="none" w:sz="0" w:space="0" w:color="auto"/>
        <w:right w:val="none" w:sz="0" w:space="0" w:color="auto"/>
      </w:divBdr>
    </w:div>
    <w:div w:id="77025059">
      <w:bodyDiv w:val="1"/>
      <w:marLeft w:val="0"/>
      <w:marRight w:val="0"/>
      <w:marTop w:val="0"/>
      <w:marBottom w:val="0"/>
      <w:divBdr>
        <w:top w:val="none" w:sz="0" w:space="0" w:color="auto"/>
        <w:left w:val="none" w:sz="0" w:space="0" w:color="auto"/>
        <w:bottom w:val="none" w:sz="0" w:space="0" w:color="auto"/>
        <w:right w:val="none" w:sz="0" w:space="0" w:color="auto"/>
      </w:divBdr>
    </w:div>
    <w:div w:id="77138763">
      <w:bodyDiv w:val="1"/>
      <w:marLeft w:val="0"/>
      <w:marRight w:val="0"/>
      <w:marTop w:val="0"/>
      <w:marBottom w:val="0"/>
      <w:divBdr>
        <w:top w:val="none" w:sz="0" w:space="0" w:color="auto"/>
        <w:left w:val="none" w:sz="0" w:space="0" w:color="auto"/>
        <w:bottom w:val="none" w:sz="0" w:space="0" w:color="auto"/>
        <w:right w:val="none" w:sz="0" w:space="0" w:color="auto"/>
      </w:divBdr>
    </w:div>
    <w:div w:id="80370020">
      <w:bodyDiv w:val="1"/>
      <w:marLeft w:val="0"/>
      <w:marRight w:val="0"/>
      <w:marTop w:val="0"/>
      <w:marBottom w:val="0"/>
      <w:divBdr>
        <w:top w:val="none" w:sz="0" w:space="0" w:color="auto"/>
        <w:left w:val="none" w:sz="0" w:space="0" w:color="auto"/>
        <w:bottom w:val="none" w:sz="0" w:space="0" w:color="auto"/>
        <w:right w:val="none" w:sz="0" w:space="0" w:color="auto"/>
      </w:divBdr>
    </w:div>
    <w:div w:id="90469865">
      <w:bodyDiv w:val="1"/>
      <w:marLeft w:val="0"/>
      <w:marRight w:val="0"/>
      <w:marTop w:val="0"/>
      <w:marBottom w:val="0"/>
      <w:divBdr>
        <w:top w:val="none" w:sz="0" w:space="0" w:color="auto"/>
        <w:left w:val="none" w:sz="0" w:space="0" w:color="auto"/>
        <w:bottom w:val="none" w:sz="0" w:space="0" w:color="auto"/>
        <w:right w:val="none" w:sz="0" w:space="0" w:color="auto"/>
      </w:divBdr>
    </w:div>
    <w:div w:id="96027007">
      <w:bodyDiv w:val="1"/>
      <w:marLeft w:val="0"/>
      <w:marRight w:val="0"/>
      <w:marTop w:val="0"/>
      <w:marBottom w:val="0"/>
      <w:divBdr>
        <w:top w:val="none" w:sz="0" w:space="0" w:color="auto"/>
        <w:left w:val="none" w:sz="0" w:space="0" w:color="auto"/>
        <w:bottom w:val="none" w:sz="0" w:space="0" w:color="auto"/>
        <w:right w:val="none" w:sz="0" w:space="0" w:color="auto"/>
      </w:divBdr>
    </w:div>
    <w:div w:id="98531954">
      <w:bodyDiv w:val="1"/>
      <w:marLeft w:val="0"/>
      <w:marRight w:val="0"/>
      <w:marTop w:val="0"/>
      <w:marBottom w:val="0"/>
      <w:divBdr>
        <w:top w:val="none" w:sz="0" w:space="0" w:color="auto"/>
        <w:left w:val="none" w:sz="0" w:space="0" w:color="auto"/>
        <w:bottom w:val="none" w:sz="0" w:space="0" w:color="auto"/>
        <w:right w:val="none" w:sz="0" w:space="0" w:color="auto"/>
      </w:divBdr>
    </w:div>
    <w:div w:id="104620876">
      <w:bodyDiv w:val="1"/>
      <w:marLeft w:val="0"/>
      <w:marRight w:val="0"/>
      <w:marTop w:val="0"/>
      <w:marBottom w:val="0"/>
      <w:divBdr>
        <w:top w:val="none" w:sz="0" w:space="0" w:color="auto"/>
        <w:left w:val="none" w:sz="0" w:space="0" w:color="auto"/>
        <w:bottom w:val="none" w:sz="0" w:space="0" w:color="auto"/>
        <w:right w:val="none" w:sz="0" w:space="0" w:color="auto"/>
      </w:divBdr>
    </w:div>
    <w:div w:id="111411860">
      <w:bodyDiv w:val="1"/>
      <w:marLeft w:val="0"/>
      <w:marRight w:val="0"/>
      <w:marTop w:val="0"/>
      <w:marBottom w:val="0"/>
      <w:divBdr>
        <w:top w:val="none" w:sz="0" w:space="0" w:color="auto"/>
        <w:left w:val="none" w:sz="0" w:space="0" w:color="auto"/>
        <w:bottom w:val="none" w:sz="0" w:space="0" w:color="auto"/>
        <w:right w:val="none" w:sz="0" w:space="0" w:color="auto"/>
      </w:divBdr>
    </w:div>
    <w:div w:id="112945111">
      <w:bodyDiv w:val="1"/>
      <w:marLeft w:val="0"/>
      <w:marRight w:val="0"/>
      <w:marTop w:val="0"/>
      <w:marBottom w:val="0"/>
      <w:divBdr>
        <w:top w:val="none" w:sz="0" w:space="0" w:color="auto"/>
        <w:left w:val="none" w:sz="0" w:space="0" w:color="auto"/>
        <w:bottom w:val="none" w:sz="0" w:space="0" w:color="auto"/>
        <w:right w:val="none" w:sz="0" w:space="0" w:color="auto"/>
      </w:divBdr>
    </w:div>
    <w:div w:id="113184494">
      <w:bodyDiv w:val="1"/>
      <w:marLeft w:val="0"/>
      <w:marRight w:val="0"/>
      <w:marTop w:val="0"/>
      <w:marBottom w:val="0"/>
      <w:divBdr>
        <w:top w:val="none" w:sz="0" w:space="0" w:color="auto"/>
        <w:left w:val="none" w:sz="0" w:space="0" w:color="auto"/>
        <w:bottom w:val="none" w:sz="0" w:space="0" w:color="auto"/>
        <w:right w:val="none" w:sz="0" w:space="0" w:color="auto"/>
      </w:divBdr>
    </w:div>
    <w:div w:id="113981372">
      <w:bodyDiv w:val="1"/>
      <w:marLeft w:val="0"/>
      <w:marRight w:val="0"/>
      <w:marTop w:val="0"/>
      <w:marBottom w:val="0"/>
      <w:divBdr>
        <w:top w:val="none" w:sz="0" w:space="0" w:color="auto"/>
        <w:left w:val="none" w:sz="0" w:space="0" w:color="auto"/>
        <w:bottom w:val="none" w:sz="0" w:space="0" w:color="auto"/>
        <w:right w:val="none" w:sz="0" w:space="0" w:color="auto"/>
      </w:divBdr>
    </w:div>
    <w:div w:id="122617983">
      <w:bodyDiv w:val="1"/>
      <w:marLeft w:val="0"/>
      <w:marRight w:val="0"/>
      <w:marTop w:val="0"/>
      <w:marBottom w:val="0"/>
      <w:divBdr>
        <w:top w:val="none" w:sz="0" w:space="0" w:color="auto"/>
        <w:left w:val="none" w:sz="0" w:space="0" w:color="auto"/>
        <w:bottom w:val="none" w:sz="0" w:space="0" w:color="auto"/>
        <w:right w:val="none" w:sz="0" w:space="0" w:color="auto"/>
      </w:divBdr>
    </w:div>
    <w:div w:id="130750512">
      <w:bodyDiv w:val="1"/>
      <w:marLeft w:val="0"/>
      <w:marRight w:val="0"/>
      <w:marTop w:val="0"/>
      <w:marBottom w:val="0"/>
      <w:divBdr>
        <w:top w:val="none" w:sz="0" w:space="0" w:color="auto"/>
        <w:left w:val="none" w:sz="0" w:space="0" w:color="auto"/>
        <w:bottom w:val="none" w:sz="0" w:space="0" w:color="auto"/>
        <w:right w:val="none" w:sz="0" w:space="0" w:color="auto"/>
      </w:divBdr>
    </w:div>
    <w:div w:id="132917363">
      <w:bodyDiv w:val="1"/>
      <w:marLeft w:val="0"/>
      <w:marRight w:val="0"/>
      <w:marTop w:val="0"/>
      <w:marBottom w:val="0"/>
      <w:divBdr>
        <w:top w:val="none" w:sz="0" w:space="0" w:color="auto"/>
        <w:left w:val="none" w:sz="0" w:space="0" w:color="auto"/>
        <w:bottom w:val="none" w:sz="0" w:space="0" w:color="auto"/>
        <w:right w:val="none" w:sz="0" w:space="0" w:color="auto"/>
      </w:divBdr>
    </w:div>
    <w:div w:id="135344458">
      <w:bodyDiv w:val="1"/>
      <w:marLeft w:val="0"/>
      <w:marRight w:val="0"/>
      <w:marTop w:val="0"/>
      <w:marBottom w:val="0"/>
      <w:divBdr>
        <w:top w:val="none" w:sz="0" w:space="0" w:color="auto"/>
        <w:left w:val="none" w:sz="0" w:space="0" w:color="auto"/>
        <w:bottom w:val="none" w:sz="0" w:space="0" w:color="auto"/>
        <w:right w:val="none" w:sz="0" w:space="0" w:color="auto"/>
      </w:divBdr>
    </w:div>
    <w:div w:id="153572824">
      <w:bodyDiv w:val="1"/>
      <w:marLeft w:val="0"/>
      <w:marRight w:val="0"/>
      <w:marTop w:val="0"/>
      <w:marBottom w:val="0"/>
      <w:divBdr>
        <w:top w:val="none" w:sz="0" w:space="0" w:color="auto"/>
        <w:left w:val="none" w:sz="0" w:space="0" w:color="auto"/>
        <w:bottom w:val="none" w:sz="0" w:space="0" w:color="auto"/>
        <w:right w:val="none" w:sz="0" w:space="0" w:color="auto"/>
      </w:divBdr>
    </w:div>
    <w:div w:id="161315094">
      <w:bodyDiv w:val="1"/>
      <w:marLeft w:val="0"/>
      <w:marRight w:val="0"/>
      <w:marTop w:val="0"/>
      <w:marBottom w:val="0"/>
      <w:divBdr>
        <w:top w:val="none" w:sz="0" w:space="0" w:color="auto"/>
        <w:left w:val="none" w:sz="0" w:space="0" w:color="auto"/>
        <w:bottom w:val="none" w:sz="0" w:space="0" w:color="auto"/>
        <w:right w:val="none" w:sz="0" w:space="0" w:color="auto"/>
      </w:divBdr>
    </w:div>
    <w:div w:id="162860106">
      <w:bodyDiv w:val="1"/>
      <w:marLeft w:val="0"/>
      <w:marRight w:val="0"/>
      <w:marTop w:val="0"/>
      <w:marBottom w:val="0"/>
      <w:divBdr>
        <w:top w:val="none" w:sz="0" w:space="0" w:color="auto"/>
        <w:left w:val="none" w:sz="0" w:space="0" w:color="auto"/>
        <w:bottom w:val="none" w:sz="0" w:space="0" w:color="auto"/>
        <w:right w:val="none" w:sz="0" w:space="0" w:color="auto"/>
      </w:divBdr>
    </w:div>
    <w:div w:id="171528308">
      <w:bodyDiv w:val="1"/>
      <w:marLeft w:val="0"/>
      <w:marRight w:val="0"/>
      <w:marTop w:val="0"/>
      <w:marBottom w:val="0"/>
      <w:divBdr>
        <w:top w:val="none" w:sz="0" w:space="0" w:color="auto"/>
        <w:left w:val="none" w:sz="0" w:space="0" w:color="auto"/>
        <w:bottom w:val="none" w:sz="0" w:space="0" w:color="auto"/>
        <w:right w:val="none" w:sz="0" w:space="0" w:color="auto"/>
      </w:divBdr>
    </w:div>
    <w:div w:id="179127676">
      <w:bodyDiv w:val="1"/>
      <w:marLeft w:val="0"/>
      <w:marRight w:val="0"/>
      <w:marTop w:val="0"/>
      <w:marBottom w:val="0"/>
      <w:divBdr>
        <w:top w:val="none" w:sz="0" w:space="0" w:color="auto"/>
        <w:left w:val="none" w:sz="0" w:space="0" w:color="auto"/>
        <w:bottom w:val="none" w:sz="0" w:space="0" w:color="auto"/>
        <w:right w:val="none" w:sz="0" w:space="0" w:color="auto"/>
      </w:divBdr>
    </w:div>
    <w:div w:id="180358199">
      <w:bodyDiv w:val="1"/>
      <w:marLeft w:val="0"/>
      <w:marRight w:val="0"/>
      <w:marTop w:val="0"/>
      <w:marBottom w:val="0"/>
      <w:divBdr>
        <w:top w:val="none" w:sz="0" w:space="0" w:color="auto"/>
        <w:left w:val="none" w:sz="0" w:space="0" w:color="auto"/>
        <w:bottom w:val="none" w:sz="0" w:space="0" w:color="auto"/>
        <w:right w:val="none" w:sz="0" w:space="0" w:color="auto"/>
      </w:divBdr>
    </w:div>
    <w:div w:id="180634135">
      <w:bodyDiv w:val="1"/>
      <w:marLeft w:val="0"/>
      <w:marRight w:val="0"/>
      <w:marTop w:val="0"/>
      <w:marBottom w:val="0"/>
      <w:divBdr>
        <w:top w:val="none" w:sz="0" w:space="0" w:color="auto"/>
        <w:left w:val="none" w:sz="0" w:space="0" w:color="auto"/>
        <w:bottom w:val="none" w:sz="0" w:space="0" w:color="auto"/>
        <w:right w:val="none" w:sz="0" w:space="0" w:color="auto"/>
      </w:divBdr>
    </w:div>
    <w:div w:id="182744215">
      <w:bodyDiv w:val="1"/>
      <w:marLeft w:val="0"/>
      <w:marRight w:val="0"/>
      <w:marTop w:val="0"/>
      <w:marBottom w:val="0"/>
      <w:divBdr>
        <w:top w:val="none" w:sz="0" w:space="0" w:color="auto"/>
        <w:left w:val="none" w:sz="0" w:space="0" w:color="auto"/>
        <w:bottom w:val="none" w:sz="0" w:space="0" w:color="auto"/>
        <w:right w:val="none" w:sz="0" w:space="0" w:color="auto"/>
      </w:divBdr>
    </w:div>
    <w:div w:id="186063778">
      <w:bodyDiv w:val="1"/>
      <w:marLeft w:val="0"/>
      <w:marRight w:val="0"/>
      <w:marTop w:val="0"/>
      <w:marBottom w:val="0"/>
      <w:divBdr>
        <w:top w:val="none" w:sz="0" w:space="0" w:color="auto"/>
        <w:left w:val="none" w:sz="0" w:space="0" w:color="auto"/>
        <w:bottom w:val="none" w:sz="0" w:space="0" w:color="auto"/>
        <w:right w:val="none" w:sz="0" w:space="0" w:color="auto"/>
      </w:divBdr>
    </w:div>
    <w:div w:id="186875080">
      <w:bodyDiv w:val="1"/>
      <w:marLeft w:val="0"/>
      <w:marRight w:val="0"/>
      <w:marTop w:val="0"/>
      <w:marBottom w:val="0"/>
      <w:divBdr>
        <w:top w:val="none" w:sz="0" w:space="0" w:color="auto"/>
        <w:left w:val="none" w:sz="0" w:space="0" w:color="auto"/>
        <w:bottom w:val="none" w:sz="0" w:space="0" w:color="auto"/>
        <w:right w:val="none" w:sz="0" w:space="0" w:color="auto"/>
      </w:divBdr>
    </w:div>
    <w:div w:id="187841125">
      <w:bodyDiv w:val="1"/>
      <w:marLeft w:val="0"/>
      <w:marRight w:val="0"/>
      <w:marTop w:val="0"/>
      <w:marBottom w:val="0"/>
      <w:divBdr>
        <w:top w:val="none" w:sz="0" w:space="0" w:color="auto"/>
        <w:left w:val="none" w:sz="0" w:space="0" w:color="auto"/>
        <w:bottom w:val="none" w:sz="0" w:space="0" w:color="auto"/>
        <w:right w:val="none" w:sz="0" w:space="0" w:color="auto"/>
      </w:divBdr>
    </w:div>
    <w:div w:id="191307807">
      <w:bodyDiv w:val="1"/>
      <w:marLeft w:val="0"/>
      <w:marRight w:val="0"/>
      <w:marTop w:val="0"/>
      <w:marBottom w:val="0"/>
      <w:divBdr>
        <w:top w:val="none" w:sz="0" w:space="0" w:color="auto"/>
        <w:left w:val="none" w:sz="0" w:space="0" w:color="auto"/>
        <w:bottom w:val="none" w:sz="0" w:space="0" w:color="auto"/>
        <w:right w:val="none" w:sz="0" w:space="0" w:color="auto"/>
      </w:divBdr>
    </w:div>
    <w:div w:id="214050256">
      <w:bodyDiv w:val="1"/>
      <w:marLeft w:val="0"/>
      <w:marRight w:val="0"/>
      <w:marTop w:val="0"/>
      <w:marBottom w:val="0"/>
      <w:divBdr>
        <w:top w:val="none" w:sz="0" w:space="0" w:color="auto"/>
        <w:left w:val="none" w:sz="0" w:space="0" w:color="auto"/>
        <w:bottom w:val="none" w:sz="0" w:space="0" w:color="auto"/>
        <w:right w:val="none" w:sz="0" w:space="0" w:color="auto"/>
      </w:divBdr>
    </w:div>
    <w:div w:id="223417379">
      <w:bodyDiv w:val="1"/>
      <w:marLeft w:val="0"/>
      <w:marRight w:val="0"/>
      <w:marTop w:val="0"/>
      <w:marBottom w:val="0"/>
      <w:divBdr>
        <w:top w:val="none" w:sz="0" w:space="0" w:color="auto"/>
        <w:left w:val="none" w:sz="0" w:space="0" w:color="auto"/>
        <w:bottom w:val="none" w:sz="0" w:space="0" w:color="auto"/>
        <w:right w:val="none" w:sz="0" w:space="0" w:color="auto"/>
      </w:divBdr>
    </w:div>
    <w:div w:id="229122242">
      <w:bodyDiv w:val="1"/>
      <w:marLeft w:val="0"/>
      <w:marRight w:val="0"/>
      <w:marTop w:val="0"/>
      <w:marBottom w:val="0"/>
      <w:divBdr>
        <w:top w:val="none" w:sz="0" w:space="0" w:color="auto"/>
        <w:left w:val="none" w:sz="0" w:space="0" w:color="auto"/>
        <w:bottom w:val="none" w:sz="0" w:space="0" w:color="auto"/>
        <w:right w:val="none" w:sz="0" w:space="0" w:color="auto"/>
      </w:divBdr>
    </w:div>
    <w:div w:id="231670647">
      <w:bodyDiv w:val="1"/>
      <w:marLeft w:val="0"/>
      <w:marRight w:val="0"/>
      <w:marTop w:val="0"/>
      <w:marBottom w:val="0"/>
      <w:divBdr>
        <w:top w:val="none" w:sz="0" w:space="0" w:color="auto"/>
        <w:left w:val="none" w:sz="0" w:space="0" w:color="auto"/>
        <w:bottom w:val="none" w:sz="0" w:space="0" w:color="auto"/>
        <w:right w:val="none" w:sz="0" w:space="0" w:color="auto"/>
      </w:divBdr>
    </w:div>
    <w:div w:id="248662586">
      <w:bodyDiv w:val="1"/>
      <w:marLeft w:val="0"/>
      <w:marRight w:val="0"/>
      <w:marTop w:val="0"/>
      <w:marBottom w:val="0"/>
      <w:divBdr>
        <w:top w:val="none" w:sz="0" w:space="0" w:color="auto"/>
        <w:left w:val="none" w:sz="0" w:space="0" w:color="auto"/>
        <w:bottom w:val="none" w:sz="0" w:space="0" w:color="auto"/>
        <w:right w:val="none" w:sz="0" w:space="0" w:color="auto"/>
      </w:divBdr>
    </w:div>
    <w:div w:id="256712385">
      <w:bodyDiv w:val="1"/>
      <w:marLeft w:val="0"/>
      <w:marRight w:val="0"/>
      <w:marTop w:val="0"/>
      <w:marBottom w:val="0"/>
      <w:divBdr>
        <w:top w:val="none" w:sz="0" w:space="0" w:color="auto"/>
        <w:left w:val="none" w:sz="0" w:space="0" w:color="auto"/>
        <w:bottom w:val="none" w:sz="0" w:space="0" w:color="auto"/>
        <w:right w:val="none" w:sz="0" w:space="0" w:color="auto"/>
      </w:divBdr>
    </w:div>
    <w:div w:id="258563750">
      <w:bodyDiv w:val="1"/>
      <w:marLeft w:val="0"/>
      <w:marRight w:val="0"/>
      <w:marTop w:val="0"/>
      <w:marBottom w:val="0"/>
      <w:divBdr>
        <w:top w:val="none" w:sz="0" w:space="0" w:color="auto"/>
        <w:left w:val="none" w:sz="0" w:space="0" w:color="auto"/>
        <w:bottom w:val="none" w:sz="0" w:space="0" w:color="auto"/>
        <w:right w:val="none" w:sz="0" w:space="0" w:color="auto"/>
      </w:divBdr>
    </w:div>
    <w:div w:id="262029546">
      <w:bodyDiv w:val="1"/>
      <w:marLeft w:val="0"/>
      <w:marRight w:val="0"/>
      <w:marTop w:val="0"/>
      <w:marBottom w:val="0"/>
      <w:divBdr>
        <w:top w:val="none" w:sz="0" w:space="0" w:color="auto"/>
        <w:left w:val="none" w:sz="0" w:space="0" w:color="auto"/>
        <w:bottom w:val="none" w:sz="0" w:space="0" w:color="auto"/>
        <w:right w:val="none" w:sz="0" w:space="0" w:color="auto"/>
      </w:divBdr>
    </w:div>
    <w:div w:id="264074882">
      <w:bodyDiv w:val="1"/>
      <w:marLeft w:val="0"/>
      <w:marRight w:val="0"/>
      <w:marTop w:val="0"/>
      <w:marBottom w:val="0"/>
      <w:divBdr>
        <w:top w:val="none" w:sz="0" w:space="0" w:color="auto"/>
        <w:left w:val="none" w:sz="0" w:space="0" w:color="auto"/>
        <w:bottom w:val="none" w:sz="0" w:space="0" w:color="auto"/>
        <w:right w:val="none" w:sz="0" w:space="0" w:color="auto"/>
      </w:divBdr>
    </w:div>
    <w:div w:id="274751312">
      <w:bodyDiv w:val="1"/>
      <w:marLeft w:val="0"/>
      <w:marRight w:val="0"/>
      <w:marTop w:val="0"/>
      <w:marBottom w:val="0"/>
      <w:divBdr>
        <w:top w:val="none" w:sz="0" w:space="0" w:color="auto"/>
        <w:left w:val="none" w:sz="0" w:space="0" w:color="auto"/>
        <w:bottom w:val="none" w:sz="0" w:space="0" w:color="auto"/>
        <w:right w:val="none" w:sz="0" w:space="0" w:color="auto"/>
      </w:divBdr>
    </w:div>
    <w:div w:id="274753788">
      <w:bodyDiv w:val="1"/>
      <w:marLeft w:val="0"/>
      <w:marRight w:val="0"/>
      <w:marTop w:val="0"/>
      <w:marBottom w:val="0"/>
      <w:divBdr>
        <w:top w:val="none" w:sz="0" w:space="0" w:color="auto"/>
        <w:left w:val="none" w:sz="0" w:space="0" w:color="auto"/>
        <w:bottom w:val="none" w:sz="0" w:space="0" w:color="auto"/>
        <w:right w:val="none" w:sz="0" w:space="0" w:color="auto"/>
      </w:divBdr>
    </w:div>
    <w:div w:id="275067533">
      <w:bodyDiv w:val="1"/>
      <w:marLeft w:val="0"/>
      <w:marRight w:val="0"/>
      <w:marTop w:val="0"/>
      <w:marBottom w:val="0"/>
      <w:divBdr>
        <w:top w:val="none" w:sz="0" w:space="0" w:color="auto"/>
        <w:left w:val="none" w:sz="0" w:space="0" w:color="auto"/>
        <w:bottom w:val="none" w:sz="0" w:space="0" w:color="auto"/>
        <w:right w:val="none" w:sz="0" w:space="0" w:color="auto"/>
      </w:divBdr>
    </w:div>
    <w:div w:id="277682428">
      <w:bodyDiv w:val="1"/>
      <w:marLeft w:val="0"/>
      <w:marRight w:val="0"/>
      <w:marTop w:val="0"/>
      <w:marBottom w:val="0"/>
      <w:divBdr>
        <w:top w:val="none" w:sz="0" w:space="0" w:color="auto"/>
        <w:left w:val="none" w:sz="0" w:space="0" w:color="auto"/>
        <w:bottom w:val="none" w:sz="0" w:space="0" w:color="auto"/>
        <w:right w:val="none" w:sz="0" w:space="0" w:color="auto"/>
      </w:divBdr>
    </w:div>
    <w:div w:id="279337578">
      <w:bodyDiv w:val="1"/>
      <w:marLeft w:val="0"/>
      <w:marRight w:val="0"/>
      <w:marTop w:val="0"/>
      <w:marBottom w:val="0"/>
      <w:divBdr>
        <w:top w:val="none" w:sz="0" w:space="0" w:color="auto"/>
        <w:left w:val="none" w:sz="0" w:space="0" w:color="auto"/>
        <w:bottom w:val="none" w:sz="0" w:space="0" w:color="auto"/>
        <w:right w:val="none" w:sz="0" w:space="0" w:color="auto"/>
      </w:divBdr>
    </w:div>
    <w:div w:id="297995077">
      <w:bodyDiv w:val="1"/>
      <w:marLeft w:val="0"/>
      <w:marRight w:val="0"/>
      <w:marTop w:val="0"/>
      <w:marBottom w:val="0"/>
      <w:divBdr>
        <w:top w:val="none" w:sz="0" w:space="0" w:color="auto"/>
        <w:left w:val="none" w:sz="0" w:space="0" w:color="auto"/>
        <w:bottom w:val="none" w:sz="0" w:space="0" w:color="auto"/>
        <w:right w:val="none" w:sz="0" w:space="0" w:color="auto"/>
      </w:divBdr>
    </w:div>
    <w:div w:id="301888514">
      <w:bodyDiv w:val="1"/>
      <w:marLeft w:val="0"/>
      <w:marRight w:val="0"/>
      <w:marTop w:val="0"/>
      <w:marBottom w:val="0"/>
      <w:divBdr>
        <w:top w:val="none" w:sz="0" w:space="0" w:color="auto"/>
        <w:left w:val="none" w:sz="0" w:space="0" w:color="auto"/>
        <w:bottom w:val="none" w:sz="0" w:space="0" w:color="auto"/>
        <w:right w:val="none" w:sz="0" w:space="0" w:color="auto"/>
      </w:divBdr>
    </w:div>
    <w:div w:id="304744607">
      <w:bodyDiv w:val="1"/>
      <w:marLeft w:val="0"/>
      <w:marRight w:val="0"/>
      <w:marTop w:val="0"/>
      <w:marBottom w:val="0"/>
      <w:divBdr>
        <w:top w:val="none" w:sz="0" w:space="0" w:color="auto"/>
        <w:left w:val="none" w:sz="0" w:space="0" w:color="auto"/>
        <w:bottom w:val="none" w:sz="0" w:space="0" w:color="auto"/>
        <w:right w:val="none" w:sz="0" w:space="0" w:color="auto"/>
      </w:divBdr>
    </w:div>
    <w:div w:id="314182419">
      <w:bodyDiv w:val="1"/>
      <w:marLeft w:val="0"/>
      <w:marRight w:val="0"/>
      <w:marTop w:val="0"/>
      <w:marBottom w:val="0"/>
      <w:divBdr>
        <w:top w:val="none" w:sz="0" w:space="0" w:color="auto"/>
        <w:left w:val="none" w:sz="0" w:space="0" w:color="auto"/>
        <w:bottom w:val="none" w:sz="0" w:space="0" w:color="auto"/>
        <w:right w:val="none" w:sz="0" w:space="0" w:color="auto"/>
      </w:divBdr>
    </w:div>
    <w:div w:id="318121380">
      <w:bodyDiv w:val="1"/>
      <w:marLeft w:val="0"/>
      <w:marRight w:val="0"/>
      <w:marTop w:val="0"/>
      <w:marBottom w:val="0"/>
      <w:divBdr>
        <w:top w:val="none" w:sz="0" w:space="0" w:color="auto"/>
        <w:left w:val="none" w:sz="0" w:space="0" w:color="auto"/>
        <w:bottom w:val="none" w:sz="0" w:space="0" w:color="auto"/>
        <w:right w:val="none" w:sz="0" w:space="0" w:color="auto"/>
      </w:divBdr>
    </w:div>
    <w:div w:id="318852040">
      <w:bodyDiv w:val="1"/>
      <w:marLeft w:val="0"/>
      <w:marRight w:val="0"/>
      <w:marTop w:val="0"/>
      <w:marBottom w:val="0"/>
      <w:divBdr>
        <w:top w:val="none" w:sz="0" w:space="0" w:color="auto"/>
        <w:left w:val="none" w:sz="0" w:space="0" w:color="auto"/>
        <w:bottom w:val="none" w:sz="0" w:space="0" w:color="auto"/>
        <w:right w:val="none" w:sz="0" w:space="0" w:color="auto"/>
      </w:divBdr>
    </w:div>
    <w:div w:id="319619264">
      <w:bodyDiv w:val="1"/>
      <w:marLeft w:val="0"/>
      <w:marRight w:val="0"/>
      <w:marTop w:val="0"/>
      <w:marBottom w:val="0"/>
      <w:divBdr>
        <w:top w:val="none" w:sz="0" w:space="0" w:color="auto"/>
        <w:left w:val="none" w:sz="0" w:space="0" w:color="auto"/>
        <w:bottom w:val="none" w:sz="0" w:space="0" w:color="auto"/>
        <w:right w:val="none" w:sz="0" w:space="0" w:color="auto"/>
      </w:divBdr>
    </w:div>
    <w:div w:id="336857444">
      <w:bodyDiv w:val="1"/>
      <w:marLeft w:val="0"/>
      <w:marRight w:val="0"/>
      <w:marTop w:val="0"/>
      <w:marBottom w:val="0"/>
      <w:divBdr>
        <w:top w:val="none" w:sz="0" w:space="0" w:color="auto"/>
        <w:left w:val="none" w:sz="0" w:space="0" w:color="auto"/>
        <w:bottom w:val="none" w:sz="0" w:space="0" w:color="auto"/>
        <w:right w:val="none" w:sz="0" w:space="0" w:color="auto"/>
      </w:divBdr>
    </w:div>
    <w:div w:id="337083682">
      <w:bodyDiv w:val="1"/>
      <w:marLeft w:val="0"/>
      <w:marRight w:val="0"/>
      <w:marTop w:val="0"/>
      <w:marBottom w:val="0"/>
      <w:divBdr>
        <w:top w:val="none" w:sz="0" w:space="0" w:color="auto"/>
        <w:left w:val="none" w:sz="0" w:space="0" w:color="auto"/>
        <w:bottom w:val="none" w:sz="0" w:space="0" w:color="auto"/>
        <w:right w:val="none" w:sz="0" w:space="0" w:color="auto"/>
      </w:divBdr>
    </w:div>
    <w:div w:id="348607006">
      <w:bodyDiv w:val="1"/>
      <w:marLeft w:val="0"/>
      <w:marRight w:val="0"/>
      <w:marTop w:val="0"/>
      <w:marBottom w:val="0"/>
      <w:divBdr>
        <w:top w:val="none" w:sz="0" w:space="0" w:color="auto"/>
        <w:left w:val="none" w:sz="0" w:space="0" w:color="auto"/>
        <w:bottom w:val="none" w:sz="0" w:space="0" w:color="auto"/>
        <w:right w:val="none" w:sz="0" w:space="0" w:color="auto"/>
      </w:divBdr>
    </w:div>
    <w:div w:id="356466347">
      <w:bodyDiv w:val="1"/>
      <w:marLeft w:val="0"/>
      <w:marRight w:val="0"/>
      <w:marTop w:val="0"/>
      <w:marBottom w:val="0"/>
      <w:divBdr>
        <w:top w:val="none" w:sz="0" w:space="0" w:color="auto"/>
        <w:left w:val="none" w:sz="0" w:space="0" w:color="auto"/>
        <w:bottom w:val="none" w:sz="0" w:space="0" w:color="auto"/>
        <w:right w:val="none" w:sz="0" w:space="0" w:color="auto"/>
      </w:divBdr>
    </w:div>
    <w:div w:id="360783468">
      <w:bodyDiv w:val="1"/>
      <w:marLeft w:val="0"/>
      <w:marRight w:val="0"/>
      <w:marTop w:val="0"/>
      <w:marBottom w:val="0"/>
      <w:divBdr>
        <w:top w:val="none" w:sz="0" w:space="0" w:color="auto"/>
        <w:left w:val="none" w:sz="0" w:space="0" w:color="auto"/>
        <w:bottom w:val="none" w:sz="0" w:space="0" w:color="auto"/>
        <w:right w:val="none" w:sz="0" w:space="0" w:color="auto"/>
      </w:divBdr>
    </w:div>
    <w:div w:id="364411096">
      <w:bodyDiv w:val="1"/>
      <w:marLeft w:val="0"/>
      <w:marRight w:val="0"/>
      <w:marTop w:val="0"/>
      <w:marBottom w:val="0"/>
      <w:divBdr>
        <w:top w:val="none" w:sz="0" w:space="0" w:color="auto"/>
        <w:left w:val="none" w:sz="0" w:space="0" w:color="auto"/>
        <w:bottom w:val="none" w:sz="0" w:space="0" w:color="auto"/>
        <w:right w:val="none" w:sz="0" w:space="0" w:color="auto"/>
      </w:divBdr>
    </w:div>
    <w:div w:id="366225103">
      <w:bodyDiv w:val="1"/>
      <w:marLeft w:val="0"/>
      <w:marRight w:val="0"/>
      <w:marTop w:val="0"/>
      <w:marBottom w:val="0"/>
      <w:divBdr>
        <w:top w:val="none" w:sz="0" w:space="0" w:color="auto"/>
        <w:left w:val="none" w:sz="0" w:space="0" w:color="auto"/>
        <w:bottom w:val="none" w:sz="0" w:space="0" w:color="auto"/>
        <w:right w:val="none" w:sz="0" w:space="0" w:color="auto"/>
      </w:divBdr>
    </w:div>
    <w:div w:id="373507831">
      <w:bodyDiv w:val="1"/>
      <w:marLeft w:val="0"/>
      <w:marRight w:val="0"/>
      <w:marTop w:val="0"/>
      <w:marBottom w:val="0"/>
      <w:divBdr>
        <w:top w:val="none" w:sz="0" w:space="0" w:color="auto"/>
        <w:left w:val="none" w:sz="0" w:space="0" w:color="auto"/>
        <w:bottom w:val="none" w:sz="0" w:space="0" w:color="auto"/>
        <w:right w:val="none" w:sz="0" w:space="0" w:color="auto"/>
      </w:divBdr>
    </w:div>
    <w:div w:id="390350066">
      <w:bodyDiv w:val="1"/>
      <w:marLeft w:val="0"/>
      <w:marRight w:val="0"/>
      <w:marTop w:val="0"/>
      <w:marBottom w:val="0"/>
      <w:divBdr>
        <w:top w:val="none" w:sz="0" w:space="0" w:color="auto"/>
        <w:left w:val="none" w:sz="0" w:space="0" w:color="auto"/>
        <w:bottom w:val="none" w:sz="0" w:space="0" w:color="auto"/>
        <w:right w:val="none" w:sz="0" w:space="0" w:color="auto"/>
      </w:divBdr>
    </w:div>
    <w:div w:id="396755157">
      <w:bodyDiv w:val="1"/>
      <w:marLeft w:val="0"/>
      <w:marRight w:val="0"/>
      <w:marTop w:val="0"/>
      <w:marBottom w:val="0"/>
      <w:divBdr>
        <w:top w:val="none" w:sz="0" w:space="0" w:color="auto"/>
        <w:left w:val="none" w:sz="0" w:space="0" w:color="auto"/>
        <w:bottom w:val="none" w:sz="0" w:space="0" w:color="auto"/>
        <w:right w:val="none" w:sz="0" w:space="0" w:color="auto"/>
      </w:divBdr>
    </w:div>
    <w:div w:id="396780939">
      <w:bodyDiv w:val="1"/>
      <w:marLeft w:val="0"/>
      <w:marRight w:val="0"/>
      <w:marTop w:val="0"/>
      <w:marBottom w:val="0"/>
      <w:divBdr>
        <w:top w:val="none" w:sz="0" w:space="0" w:color="auto"/>
        <w:left w:val="none" w:sz="0" w:space="0" w:color="auto"/>
        <w:bottom w:val="none" w:sz="0" w:space="0" w:color="auto"/>
        <w:right w:val="none" w:sz="0" w:space="0" w:color="auto"/>
      </w:divBdr>
    </w:div>
    <w:div w:id="396782650">
      <w:bodyDiv w:val="1"/>
      <w:marLeft w:val="0"/>
      <w:marRight w:val="0"/>
      <w:marTop w:val="0"/>
      <w:marBottom w:val="0"/>
      <w:divBdr>
        <w:top w:val="none" w:sz="0" w:space="0" w:color="auto"/>
        <w:left w:val="none" w:sz="0" w:space="0" w:color="auto"/>
        <w:bottom w:val="none" w:sz="0" w:space="0" w:color="auto"/>
        <w:right w:val="none" w:sz="0" w:space="0" w:color="auto"/>
      </w:divBdr>
    </w:div>
    <w:div w:id="409667107">
      <w:bodyDiv w:val="1"/>
      <w:marLeft w:val="0"/>
      <w:marRight w:val="0"/>
      <w:marTop w:val="0"/>
      <w:marBottom w:val="0"/>
      <w:divBdr>
        <w:top w:val="none" w:sz="0" w:space="0" w:color="auto"/>
        <w:left w:val="none" w:sz="0" w:space="0" w:color="auto"/>
        <w:bottom w:val="none" w:sz="0" w:space="0" w:color="auto"/>
        <w:right w:val="none" w:sz="0" w:space="0" w:color="auto"/>
      </w:divBdr>
    </w:div>
    <w:div w:id="410347644">
      <w:bodyDiv w:val="1"/>
      <w:marLeft w:val="0"/>
      <w:marRight w:val="0"/>
      <w:marTop w:val="0"/>
      <w:marBottom w:val="0"/>
      <w:divBdr>
        <w:top w:val="none" w:sz="0" w:space="0" w:color="auto"/>
        <w:left w:val="none" w:sz="0" w:space="0" w:color="auto"/>
        <w:bottom w:val="none" w:sz="0" w:space="0" w:color="auto"/>
        <w:right w:val="none" w:sz="0" w:space="0" w:color="auto"/>
      </w:divBdr>
    </w:div>
    <w:div w:id="411316759">
      <w:bodyDiv w:val="1"/>
      <w:marLeft w:val="0"/>
      <w:marRight w:val="0"/>
      <w:marTop w:val="0"/>
      <w:marBottom w:val="0"/>
      <w:divBdr>
        <w:top w:val="none" w:sz="0" w:space="0" w:color="auto"/>
        <w:left w:val="none" w:sz="0" w:space="0" w:color="auto"/>
        <w:bottom w:val="none" w:sz="0" w:space="0" w:color="auto"/>
        <w:right w:val="none" w:sz="0" w:space="0" w:color="auto"/>
      </w:divBdr>
    </w:div>
    <w:div w:id="411970331">
      <w:bodyDiv w:val="1"/>
      <w:marLeft w:val="0"/>
      <w:marRight w:val="0"/>
      <w:marTop w:val="0"/>
      <w:marBottom w:val="0"/>
      <w:divBdr>
        <w:top w:val="none" w:sz="0" w:space="0" w:color="auto"/>
        <w:left w:val="none" w:sz="0" w:space="0" w:color="auto"/>
        <w:bottom w:val="none" w:sz="0" w:space="0" w:color="auto"/>
        <w:right w:val="none" w:sz="0" w:space="0" w:color="auto"/>
      </w:divBdr>
    </w:div>
    <w:div w:id="412704530">
      <w:bodyDiv w:val="1"/>
      <w:marLeft w:val="0"/>
      <w:marRight w:val="0"/>
      <w:marTop w:val="0"/>
      <w:marBottom w:val="0"/>
      <w:divBdr>
        <w:top w:val="none" w:sz="0" w:space="0" w:color="auto"/>
        <w:left w:val="none" w:sz="0" w:space="0" w:color="auto"/>
        <w:bottom w:val="none" w:sz="0" w:space="0" w:color="auto"/>
        <w:right w:val="none" w:sz="0" w:space="0" w:color="auto"/>
      </w:divBdr>
    </w:div>
    <w:div w:id="420179563">
      <w:bodyDiv w:val="1"/>
      <w:marLeft w:val="0"/>
      <w:marRight w:val="0"/>
      <w:marTop w:val="0"/>
      <w:marBottom w:val="0"/>
      <w:divBdr>
        <w:top w:val="none" w:sz="0" w:space="0" w:color="auto"/>
        <w:left w:val="none" w:sz="0" w:space="0" w:color="auto"/>
        <w:bottom w:val="none" w:sz="0" w:space="0" w:color="auto"/>
        <w:right w:val="none" w:sz="0" w:space="0" w:color="auto"/>
      </w:divBdr>
    </w:div>
    <w:div w:id="428163295">
      <w:bodyDiv w:val="1"/>
      <w:marLeft w:val="0"/>
      <w:marRight w:val="0"/>
      <w:marTop w:val="0"/>
      <w:marBottom w:val="0"/>
      <w:divBdr>
        <w:top w:val="none" w:sz="0" w:space="0" w:color="auto"/>
        <w:left w:val="none" w:sz="0" w:space="0" w:color="auto"/>
        <w:bottom w:val="none" w:sz="0" w:space="0" w:color="auto"/>
        <w:right w:val="none" w:sz="0" w:space="0" w:color="auto"/>
      </w:divBdr>
    </w:div>
    <w:div w:id="428963312">
      <w:bodyDiv w:val="1"/>
      <w:marLeft w:val="0"/>
      <w:marRight w:val="0"/>
      <w:marTop w:val="0"/>
      <w:marBottom w:val="0"/>
      <w:divBdr>
        <w:top w:val="none" w:sz="0" w:space="0" w:color="auto"/>
        <w:left w:val="none" w:sz="0" w:space="0" w:color="auto"/>
        <w:bottom w:val="none" w:sz="0" w:space="0" w:color="auto"/>
        <w:right w:val="none" w:sz="0" w:space="0" w:color="auto"/>
      </w:divBdr>
    </w:div>
    <w:div w:id="430317293">
      <w:bodyDiv w:val="1"/>
      <w:marLeft w:val="0"/>
      <w:marRight w:val="0"/>
      <w:marTop w:val="0"/>
      <w:marBottom w:val="0"/>
      <w:divBdr>
        <w:top w:val="none" w:sz="0" w:space="0" w:color="auto"/>
        <w:left w:val="none" w:sz="0" w:space="0" w:color="auto"/>
        <w:bottom w:val="none" w:sz="0" w:space="0" w:color="auto"/>
        <w:right w:val="none" w:sz="0" w:space="0" w:color="auto"/>
      </w:divBdr>
    </w:div>
    <w:div w:id="435246512">
      <w:bodyDiv w:val="1"/>
      <w:marLeft w:val="0"/>
      <w:marRight w:val="0"/>
      <w:marTop w:val="0"/>
      <w:marBottom w:val="0"/>
      <w:divBdr>
        <w:top w:val="none" w:sz="0" w:space="0" w:color="auto"/>
        <w:left w:val="none" w:sz="0" w:space="0" w:color="auto"/>
        <w:bottom w:val="none" w:sz="0" w:space="0" w:color="auto"/>
        <w:right w:val="none" w:sz="0" w:space="0" w:color="auto"/>
      </w:divBdr>
    </w:div>
    <w:div w:id="446852988">
      <w:bodyDiv w:val="1"/>
      <w:marLeft w:val="0"/>
      <w:marRight w:val="0"/>
      <w:marTop w:val="0"/>
      <w:marBottom w:val="0"/>
      <w:divBdr>
        <w:top w:val="none" w:sz="0" w:space="0" w:color="auto"/>
        <w:left w:val="none" w:sz="0" w:space="0" w:color="auto"/>
        <w:bottom w:val="none" w:sz="0" w:space="0" w:color="auto"/>
        <w:right w:val="none" w:sz="0" w:space="0" w:color="auto"/>
      </w:divBdr>
    </w:div>
    <w:div w:id="470830389">
      <w:bodyDiv w:val="1"/>
      <w:marLeft w:val="0"/>
      <w:marRight w:val="0"/>
      <w:marTop w:val="0"/>
      <w:marBottom w:val="0"/>
      <w:divBdr>
        <w:top w:val="none" w:sz="0" w:space="0" w:color="auto"/>
        <w:left w:val="none" w:sz="0" w:space="0" w:color="auto"/>
        <w:bottom w:val="none" w:sz="0" w:space="0" w:color="auto"/>
        <w:right w:val="none" w:sz="0" w:space="0" w:color="auto"/>
      </w:divBdr>
    </w:div>
    <w:div w:id="471678418">
      <w:bodyDiv w:val="1"/>
      <w:marLeft w:val="0"/>
      <w:marRight w:val="0"/>
      <w:marTop w:val="0"/>
      <w:marBottom w:val="0"/>
      <w:divBdr>
        <w:top w:val="none" w:sz="0" w:space="0" w:color="auto"/>
        <w:left w:val="none" w:sz="0" w:space="0" w:color="auto"/>
        <w:bottom w:val="none" w:sz="0" w:space="0" w:color="auto"/>
        <w:right w:val="none" w:sz="0" w:space="0" w:color="auto"/>
      </w:divBdr>
    </w:div>
    <w:div w:id="473184270">
      <w:bodyDiv w:val="1"/>
      <w:marLeft w:val="0"/>
      <w:marRight w:val="0"/>
      <w:marTop w:val="0"/>
      <w:marBottom w:val="0"/>
      <w:divBdr>
        <w:top w:val="none" w:sz="0" w:space="0" w:color="auto"/>
        <w:left w:val="none" w:sz="0" w:space="0" w:color="auto"/>
        <w:bottom w:val="none" w:sz="0" w:space="0" w:color="auto"/>
        <w:right w:val="none" w:sz="0" w:space="0" w:color="auto"/>
      </w:divBdr>
    </w:div>
    <w:div w:id="479543281">
      <w:bodyDiv w:val="1"/>
      <w:marLeft w:val="0"/>
      <w:marRight w:val="0"/>
      <w:marTop w:val="0"/>
      <w:marBottom w:val="0"/>
      <w:divBdr>
        <w:top w:val="none" w:sz="0" w:space="0" w:color="auto"/>
        <w:left w:val="none" w:sz="0" w:space="0" w:color="auto"/>
        <w:bottom w:val="none" w:sz="0" w:space="0" w:color="auto"/>
        <w:right w:val="none" w:sz="0" w:space="0" w:color="auto"/>
      </w:divBdr>
    </w:div>
    <w:div w:id="480925619">
      <w:bodyDiv w:val="1"/>
      <w:marLeft w:val="0"/>
      <w:marRight w:val="0"/>
      <w:marTop w:val="0"/>
      <w:marBottom w:val="0"/>
      <w:divBdr>
        <w:top w:val="none" w:sz="0" w:space="0" w:color="auto"/>
        <w:left w:val="none" w:sz="0" w:space="0" w:color="auto"/>
        <w:bottom w:val="none" w:sz="0" w:space="0" w:color="auto"/>
        <w:right w:val="none" w:sz="0" w:space="0" w:color="auto"/>
      </w:divBdr>
    </w:div>
    <w:div w:id="480968970">
      <w:bodyDiv w:val="1"/>
      <w:marLeft w:val="0"/>
      <w:marRight w:val="0"/>
      <w:marTop w:val="0"/>
      <w:marBottom w:val="0"/>
      <w:divBdr>
        <w:top w:val="none" w:sz="0" w:space="0" w:color="auto"/>
        <w:left w:val="none" w:sz="0" w:space="0" w:color="auto"/>
        <w:bottom w:val="none" w:sz="0" w:space="0" w:color="auto"/>
        <w:right w:val="none" w:sz="0" w:space="0" w:color="auto"/>
      </w:divBdr>
    </w:div>
    <w:div w:id="503130543">
      <w:bodyDiv w:val="1"/>
      <w:marLeft w:val="0"/>
      <w:marRight w:val="0"/>
      <w:marTop w:val="0"/>
      <w:marBottom w:val="0"/>
      <w:divBdr>
        <w:top w:val="none" w:sz="0" w:space="0" w:color="auto"/>
        <w:left w:val="none" w:sz="0" w:space="0" w:color="auto"/>
        <w:bottom w:val="none" w:sz="0" w:space="0" w:color="auto"/>
        <w:right w:val="none" w:sz="0" w:space="0" w:color="auto"/>
      </w:divBdr>
    </w:div>
    <w:div w:id="503514924">
      <w:bodyDiv w:val="1"/>
      <w:marLeft w:val="0"/>
      <w:marRight w:val="0"/>
      <w:marTop w:val="0"/>
      <w:marBottom w:val="0"/>
      <w:divBdr>
        <w:top w:val="none" w:sz="0" w:space="0" w:color="auto"/>
        <w:left w:val="none" w:sz="0" w:space="0" w:color="auto"/>
        <w:bottom w:val="none" w:sz="0" w:space="0" w:color="auto"/>
        <w:right w:val="none" w:sz="0" w:space="0" w:color="auto"/>
      </w:divBdr>
    </w:div>
    <w:div w:id="518392449">
      <w:bodyDiv w:val="1"/>
      <w:marLeft w:val="0"/>
      <w:marRight w:val="0"/>
      <w:marTop w:val="0"/>
      <w:marBottom w:val="0"/>
      <w:divBdr>
        <w:top w:val="none" w:sz="0" w:space="0" w:color="auto"/>
        <w:left w:val="none" w:sz="0" w:space="0" w:color="auto"/>
        <w:bottom w:val="none" w:sz="0" w:space="0" w:color="auto"/>
        <w:right w:val="none" w:sz="0" w:space="0" w:color="auto"/>
      </w:divBdr>
    </w:div>
    <w:div w:id="526523099">
      <w:bodyDiv w:val="1"/>
      <w:marLeft w:val="0"/>
      <w:marRight w:val="0"/>
      <w:marTop w:val="0"/>
      <w:marBottom w:val="0"/>
      <w:divBdr>
        <w:top w:val="none" w:sz="0" w:space="0" w:color="auto"/>
        <w:left w:val="none" w:sz="0" w:space="0" w:color="auto"/>
        <w:bottom w:val="none" w:sz="0" w:space="0" w:color="auto"/>
        <w:right w:val="none" w:sz="0" w:space="0" w:color="auto"/>
      </w:divBdr>
    </w:div>
    <w:div w:id="533809362">
      <w:bodyDiv w:val="1"/>
      <w:marLeft w:val="0"/>
      <w:marRight w:val="0"/>
      <w:marTop w:val="0"/>
      <w:marBottom w:val="0"/>
      <w:divBdr>
        <w:top w:val="none" w:sz="0" w:space="0" w:color="auto"/>
        <w:left w:val="none" w:sz="0" w:space="0" w:color="auto"/>
        <w:bottom w:val="none" w:sz="0" w:space="0" w:color="auto"/>
        <w:right w:val="none" w:sz="0" w:space="0" w:color="auto"/>
      </w:divBdr>
    </w:div>
    <w:div w:id="562448218">
      <w:bodyDiv w:val="1"/>
      <w:marLeft w:val="0"/>
      <w:marRight w:val="0"/>
      <w:marTop w:val="0"/>
      <w:marBottom w:val="0"/>
      <w:divBdr>
        <w:top w:val="none" w:sz="0" w:space="0" w:color="auto"/>
        <w:left w:val="none" w:sz="0" w:space="0" w:color="auto"/>
        <w:bottom w:val="none" w:sz="0" w:space="0" w:color="auto"/>
        <w:right w:val="none" w:sz="0" w:space="0" w:color="auto"/>
      </w:divBdr>
    </w:div>
    <w:div w:id="568003797">
      <w:bodyDiv w:val="1"/>
      <w:marLeft w:val="0"/>
      <w:marRight w:val="0"/>
      <w:marTop w:val="0"/>
      <w:marBottom w:val="0"/>
      <w:divBdr>
        <w:top w:val="none" w:sz="0" w:space="0" w:color="auto"/>
        <w:left w:val="none" w:sz="0" w:space="0" w:color="auto"/>
        <w:bottom w:val="none" w:sz="0" w:space="0" w:color="auto"/>
        <w:right w:val="none" w:sz="0" w:space="0" w:color="auto"/>
      </w:divBdr>
    </w:div>
    <w:div w:id="572012240">
      <w:bodyDiv w:val="1"/>
      <w:marLeft w:val="0"/>
      <w:marRight w:val="0"/>
      <w:marTop w:val="0"/>
      <w:marBottom w:val="0"/>
      <w:divBdr>
        <w:top w:val="none" w:sz="0" w:space="0" w:color="auto"/>
        <w:left w:val="none" w:sz="0" w:space="0" w:color="auto"/>
        <w:bottom w:val="none" w:sz="0" w:space="0" w:color="auto"/>
        <w:right w:val="none" w:sz="0" w:space="0" w:color="auto"/>
      </w:divBdr>
    </w:div>
    <w:div w:id="577176466">
      <w:bodyDiv w:val="1"/>
      <w:marLeft w:val="0"/>
      <w:marRight w:val="0"/>
      <w:marTop w:val="0"/>
      <w:marBottom w:val="0"/>
      <w:divBdr>
        <w:top w:val="none" w:sz="0" w:space="0" w:color="auto"/>
        <w:left w:val="none" w:sz="0" w:space="0" w:color="auto"/>
        <w:bottom w:val="none" w:sz="0" w:space="0" w:color="auto"/>
        <w:right w:val="none" w:sz="0" w:space="0" w:color="auto"/>
      </w:divBdr>
    </w:div>
    <w:div w:id="589003948">
      <w:bodyDiv w:val="1"/>
      <w:marLeft w:val="0"/>
      <w:marRight w:val="0"/>
      <w:marTop w:val="0"/>
      <w:marBottom w:val="0"/>
      <w:divBdr>
        <w:top w:val="none" w:sz="0" w:space="0" w:color="auto"/>
        <w:left w:val="none" w:sz="0" w:space="0" w:color="auto"/>
        <w:bottom w:val="none" w:sz="0" w:space="0" w:color="auto"/>
        <w:right w:val="none" w:sz="0" w:space="0" w:color="auto"/>
      </w:divBdr>
    </w:div>
    <w:div w:id="593129652">
      <w:bodyDiv w:val="1"/>
      <w:marLeft w:val="0"/>
      <w:marRight w:val="0"/>
      <w:marTop w:val="0"/>
      <w:marBottom w:val="0"/>
      <w:divBdr>
        <w:top w:val="none" w:sz="0" w:space="0" w:color="auto"/>
        <w:left w:val="none" w:sz="0" w:space="0" w:color="auto"/>
        <w:bottom w:val="none" w:sz="0" w:space="0" w:color="auto"/>
        <w:right w:val="none" w:sz="0" w:space="0" w:color="auto"/>
      </w:divBdr>
    </w:div>
    <w:div w:id="594753907">
      <w:bodyDiv w:val="1"/>
      <w:marLeft w:val="0"/>
      <w:marRight w:val="0"/>
      <w:marTop w:val="0"/>
      <w:marBottom w:val="0"/>
      <w:divBdr>
        <w:top w:val="none" w:sz="0" w:space="0" w:color="auto"/>
        <w:left w:val="none" w:sz="0" w:space="0" w:color="auto"/>
        <w:bottom w:val="none" w:sz="0" w:space="0" w:color="auto"/>
        <w:right w:val="none" w:sz="0" w:space="0" w:color="auto"/>
      </w:divBdr>
    </w:div>
    <w:div w:id="612708297">
      <w:bodyDiv w:val="1"/>
      <w:marLeft w:val="0"/>
      <w:marRight w:val="0"/>
      <w:marTop w:val="0"/>
      <w:marBottom w:val="0"/>
      <w:divBdr>
        <w:top w:val="none" w:sz="0" w:space="0" w:color="auto"/>
        <w:left w:val="none" w:sz="0" w:space="0" w:color="auto"/>
        <w:bottom w:val="none" w:sz="0" w:space="0" w:color="auto"/>
        <w:right w:val="none" w:sz="0" w:space="0" w:color="auto"/>
      </w:divBdr>
    </w:div>
    <w:div w:id="623777469">
      <w:bodyDiv w:val="1"/>
      <w:marLeft w:val="0"/>
      <w:marRight w:val="0"/>
      <w:marTop w:val="0"/>
      <w:marBottom w:val="0"/>
      <w:divBdr>
        <w:top w:val="none" w:sz="0" w:space="0" w:color="auto"/>
        <w:left w:val="none" w:sz="0" w:space="0" w:color="auto"/>
        <w:bottom w:val="none" w:sz="0" w:space="0" w:color="auto"/>
        <w:right w:val="none" w:sz="0" w:space="0" w:color="auto"/>
      </w:divBdr>
    </w:div>
    <w:div w:id="626160760">
      <w:bodyDiv w:val="1"/>
      <w:marLeft w:val="0"/>
      <w:marRight w:val="0"/>
      <w:marTop w:val="0"/>
      <w:marBottom w:val="0"/>
      <w:divBdr>
        <w:top w:val="none" w:sz="0" w:space="0" w:color="auto"/>
        <w:left w:val="none" w:sz="0" w:space="0" w:color="auto"/>
        <w:bottom w:val="none" w:sz="0" w:space="0" w:color="auto"/>
        <w:right w:val="none" w:sz="0" w:space="0" w:color="auto"/>
      </w:divBdr>
    </w:div>
    <w:div w:id="637077230">
      <w:bodyDiv w:val="1"/>
      <w:marLeft w:val="0"/>
      <w:marRight w:val="0"/>
      <w:marTop w:val="0"/>
      <w:marBottom w:val="0"/>
      <w:divBdr>
        <w:top w:val="none" w:sz="0" w:space="0" w:color="auto"/>
        <w:left w:val="none" w:sz="0" w:space="0" w:color="auto"/>
        <w:bottom w:val="none" w:sz="0" w:space="0" w:color="auto"/>
        <w:right w:val="none" w:sz="0" w:space="0" w:color="auto"/>
      </w:divBdr>
    </w:div>
    <w:div w:id="647980719">
      <w:bodyDiv w:val="1"/>
      <w:marLeft w:val="0"/>
      <w:marRight w:val="0"/>
      <w:marTop w:val="0"/>
      <w:marBottom w:val="0"/>
      <w:divBdr>
        <w:top w:val="none" w:sz="0" w:space="0" w:color="auto"/>
        <w:left w:val="none" w:sz="0" w:space="0" w:color="auto"/>
        <w:bottom w:val="none" w:sz="0" w:space="0" w:color="auto"/>
        <w:right w:val="none" w:sz="0" w:space="0" w:color="auto"/>
      </w:divBdr>
    </w:div>
    <w:div w:id="649359404">
      <w:bodyDiv w:val="1"/>
      <w:marLeft w:val="0"/>
      <w:marRight w:val="0"/>
      <w:marTop w:val="0"/>
      <w:marBottom w:val="0"/>
      <w:divBdr>
        <w:top w:val="none" w:sz="0" w:space="0" w:color="auto"/>
        <w:left w:val="none" w:sz="0" w:space="0" w:color="auto"/>
        <w:bottom w:val="none" w:sz="0" w:space="0" w:color="auto"/>
        <w:right w:val="none" w:sz="0" w:space="0" w:color="auto"/>
      </w:divBdr>
    </w:div>
    <w:div w:id="652225341">
      <w:bodyDiv w:val="1"/>
      <w:marLeft w:val="0"/>
      <w:marRight w:val="0"/>
      <w:marTop w:val="0"/>
      <w:marBottom w:val="0"/>
      <w:divBdr>
        <w:top w:val="none" w:sz="0" w:space="0" w:color="auto"/>
        <w:left w:val="none" w:sz="0" w:space="0" w:color="auto"/>
        <w:bottom w:val="none" w:sz="0" w:space="0" w:color="auto"/>
        <w:right w:val="none" w:sz="0" w:space="0" w:color="auto"/>
      </w:divBdr>
    </w:div>
    <w:div w:id="653145688">
      <w:bodyDiv w:val="1"/>
      <w:marLeft w:val="0"/>
      <w:marRight w:val="0"/>
      <w:marTop w:val="0"/>
      <w:marBottom w:val="0"/>
      <w:divBdr>
        <w:top w:val="none" w:sz="0" w:space="0" w:color="auto"/>
        <w:left w:val="none" w:sz="0" w:space="0" w:color="auto"/>
        <w:bottom w:val="none" w:sz="0" w:space="0" w:color="auto"/>
        <w:right w:val="none" w:sz="0" w:space="0" w:color="auto"/>
      </w:divBdr>
    </w:div>
    <w:div w:id="659382877">
      <w:bodyDiv w:val="1"/>
      <w:marLeft w:val="0"/>
      <w:marRight w:val="0"/>
      <w:marTop w:val="0"/>
      <w:marBottom w:val="0"/>
      <w:divBdr>
        <w:top w:val="none" w:sz="0" w:space="0" w:color="auto"/>
        <w:left w:val="none" w:sz="0" w:space="0" w:color="auto"/>
        <w:bottom w:val="none" w:sz="0" w:space="0" w:color="auto"/>
        <w:right w:val="none" w:sz="0" w:space="0" w:color="auto"/>
      </w:divBdr>
    </w:div>
    <w:div w:id="665086118">
      <w:bodyDiv w:val="1"/>
      <w:marLeft w:val="0"/>
      <w:marRight w:val="0"/>
      <w:marTop w:val="0"/>
      <w:marBottom w:val="0"/>
      <w:divBdr>
        <w:top w:val="none" w:sz="0" w:space="0" w:color="auto"/>
        <w:left w:val="none" w:sz="0" w:space="0" w:color="auto"/>
        <w:bottom w:val="none" w:sz="0" w:space="0" w:color="auto"/>
        <w:right w:val="none" w:sz="0" w:space="0" w:color="auto"/>
      </w:divBdr>
    </w:div>
    <w:div w:id="669867332">
      <w:bodyDiv w:val="1"/>
      <w:marLeft w:val="0"/>
      <w:marRight w:val="0"/>
      <w:marTop w:val="0"/>
      <w:marBottom w:val="0"/>
      <w:divBdr>
        <w:top w:val="none" w:sz="0" w:space="0" w:color="auto"/>
        <w:left w:val="none" w:sz="0" w:space="0" w:color="auto"/>
        <w:bottom w:val="none" w:sz="0" w:space="0" w:color="auto"/>
        <w:right w:val="none" w:sz="0" w:space="0" w:color="auto"/>
      </w:divBdr>
    </w:div>
    <w:div w:id="680468419">
      <w:bodyDiv w:val="1"/>
      <w:marLeft w:val="0"/>
      <w:marRight w:val="0"/>
      <w:marTop w:val="0"/>
      <w:marBottom w:val="0"/>
      <w:divBdr>
        <w:top w:val="none" w:sz="0" w:space="0" w:color="auto"/>
        <w:left w:val="none" w:sz="0" w:space="0" w:color="auto"/>
        <w:bottom w:val="none" w:sz="0" w:space="0" w:color="auto"/>
        <w:right w:val="none" w:sz="0" w:space="0" w:color="auto"/>
      </w:divBdr>
    </w:div>
    <w:div w:id="680857624">
      <w:bodyDiv w:val="1"/>
      <w:marLeft w:val="0"/>
      <w:marRight w:val="0"/>
      <w:marTop w:val="0"/>
      <w:marBottom w:val="0"/>
      <w:divBdr>
        <w:top w:val="none" w:sz="0" w:space="0" w:color="auto"/>
        <w:left w:val="none" w:sz="0" w:space="0" w:color="auto"/>
        <w:bottom w:val="none" w:sz="0" w:space="0" w:color="auto"/>
        <w:right w:val="none" w:sz="0" w:space="0" w:color="auto"/>
      </w:divBdr>
    </w:div>
    <w:div w:id="701327258">
      <w:bodyDiv w:val="1"/>
      <w:marLeft w:val="0"/>
      <w:marRight w:val="0"/>
      <w:marTop w:val="0"/>
      <w:marBottom w:val="0"/>
      <w:divBdr>
        <w:top w:val="none" w:sz="0" w:space="0" w:color="auto"/>
        <w:left w:val="none" w:sz="0" w:space="0" w:color="auto"/>
        <w:bottom w:val="none" w:sz="0" w:space="0" w:color="auto"/>
        <w:right w:val="none" w:sz="0" w:space="0" w:color="auto"/>
      </w:divBdr>
    </w:div>
    <w:div w:id="701632813">
      <w:bodyDiv w:val="1"/>
      <w:marLeft w:val="0"/>
      <w:marRight w:val="0"/>
      <w:marTop w:val="0"/>
      <w:marBottom w:val="0"/>
      <w:divBdr>
        <w:top w:val="none" w:sz="0" w:space="0" w:color="auto"/>
        <w:left w:val="none" w:sz="0" w:space="0" w:color="auto"/>
        <w:bottom w:val="none" w:sz="0" w:space="0" w:color="auto"/>
        <w:right w:val="none" w:sz="0" w:space="0" w:color="auto"/>
      </w:divBdr>
    </w:div>
    <w:div w:id="711157251">
      <w:bodyDiv w:val="1"/>
      <w:marLeft w:val="0"/>
      <w:marRight w:val="0"/>
      <w:marTop w:val="0"/>
      <w:marBottom w:val="0"/>
      <w:divBdr>
        <w:top w:val="none" w:sz="0" w:space="0" w:color="auto"/>
        <w:left w:val="none" w:sz="0" w:space="0" w:color="auto"/>
        <w:bottom w:val="none" w:sz="0" w:space="0" w:color="auto"/>
        <w:right w:val="none" w:sz="0" w:space="0" w:color="auto"/>
      </w:divBdr>
    </w:div>
    <w:div w:id="711922449">
      <w:bodyDiv w:val="1"/>
      <w:marLeft w:val="0"/>
      <w:marRight w:val="0"/>
      <w:marTop w:val="0"/>
      <w:marBottom w:val="0"/>
      <w:divBdr>
        <w:top w:val="none" w:sz="0" w:space="0" w:color="auto"/>
        <w:left w:val="none" w:sz="0" w:space="0" w:color="auto"/>
        <w:bottom w:val="none" w:sz="0" w:space="0" w:color="auto"/>
        <w:right w:val="none" w:sz="0" w:space="0" w:color="auto"/>
      </w:divBdr>
    </w:div>
    <w:div w:id="715663784">
      <w:bodyDiv w:val="1"/>
      <w:marLeft w:val="0"/>
      <w:marRight w:val="0"/>
      <w:marTop w:val="0"/>
      <w:marBottom w:val="0"/>
      <w:divBdr>
        <w:top w:val="none" w:sz="0" w:space="0" w:color="auto"/>
        <w:left w:val="none" w:sz="0" w:space="0" w:color="auto"/>
        <w:bottom w:val="none" w:sz="0" w:space="0" w:color="auto"/>
        <w:right w:val="none" w:sz="0" w:space="0" w:color="auto"/>
      </w:divBdr>
    </w:div>
    <w:div w:id="717701086">
      <w:bodyDiv w:val="1"/>
      <w:marLeft w:val="0"/>
      <w:marRight w:val="0"/>
      <w:marTop w:val="0"/>
      <w:marBottom w:val="0"/>
      <w:divBdr>
        <w:top w:val="none" w:sz="0" w:space="0" w:color="auto"/>
        <w:left w:val="none" w:sz="0" w:space="0" w:color="auto"/>
        <w:bottom w:val="none" w:sz="0" w:space="0" w:color="auto"/>
        <w:right w:val="none" w:sz="0" w:space="0" w:color="auto"/>
      </w:divBdr>
    </w:div>
    <w:div w:id="727656290">
      <w:bodyDiv w:val="1"/>
      <w:marLeft w:val="0"/>
      <w:marRight w:val="0"/>
      <w:marTop w:val="0"/>
      <w:marBottom w:val="0"/>
      <w:divBdr>
        <w:top w:val="none" w:sz="0" w:space="0" w:color="auto"/>
        <w:left w:val="none" w:sz="0" w:space="0" w:color="auto"/>
        <w:bottom w:val="none" w:sz="0" w:space="0" w:color="auto"/>
        <w:right w:val="none" w:sz="0" w:space="0" w:color="auto"/>
      </w:divBdr>
      <w:divsChild>
        <w:div w:id="1210143384">
          <w:marLeft w:val="0"/>
          <w:marRight w:val="0"/>
          <w:marTop w:val="0"/>
          <w:marBottom w:val="0"/>
          <w:divBdr>
            <w:top w:val="none" w:sz="0" w:space="0" w:color="auto"/>
            <w:left w:val="none" w:sz="0" w:space="0" w:color="auto"/>
            <w:bottom w:val="none" w:sz="0" w:space="0" w:color="auto"/>
            <w:right w:val="none" w:sz="0" w:space="0" w:color="auto"/>
          </w:divBdr>
          <w:divsChild>
            <w:div w:id="437719563">
              <w:marLeft w:val="0"/>
              <w:marRight w:val="0"/>
              <w:marTop w:val="0"/>
              <w:marBottom w:val="0"/>
              <w:divBdr>
                <w:top w:val="none" w:sz="0" w:space="0" w:color="auto"/>
                <w:left w:val="none" w:sz="0" w:space="0" w:color="auto"/>
                <w:bottom w:val="none" w:sz="0" w:space="0" w:color="auto"/>
                <w:right w:val="none" w:sz="0" w:space="0" w:color="auto"/>
              </w:divBdr>
              <w:divsChild>
                <w:div w:id="1633750591">
                  <w:marLeft w:val="0"/>
                  <w:marRight w:val="0"/>
                  <w:marTop w:val="0"/>
                  <w:marBottom w:val="0"/>
                  <w:divBdr>
                    <w:top w:val="none" w:sz="0" w:space="0" w:color="auto"/>
                    <w:left w:val="none" w:sz="0" w:space="0" w:color="auto"/>
                    <w:bottom w:val="none" w:sz="0" w:space="0" w:color="auto"/>
                    <w:right w:val="none" w:sz="0" w:space="0" w:color="auto"/>
                  </w:divBdr>
                  <w:divsChild>
                    <w:div w:id="746421469">
                      <w:marLeft w:val="0"/>
                      <w:marRight w:val="0"/>
                      <w:marTop w:val="0"/>
                      <w:marBottom w:val="0"/>
                      <w:divBdr>
                        <w:top w:val="none" w:sz="0" w:space="0" w:color="auto"/>
                        <w:left w:val="none" w:sz="0" w:space="0" w:color="auto"/>
                        <w:bottom w:val="none" w:sz="0" w:space="0" w:color="auto"/>
                        <w:right w:val="none" w:sz="0" w:space="0" w:color="auto"/>
                      </w:divBdr>
                      <w:divsChild>
                        <w:div w:id="657148891">
                          <w:marLeft w:val="0"/>
                          <w:marRight w:val="0"/>
                          <w:marTop w:val="0"/>
                          <w:marBottom w:val="0"/>
                          <w:divBdr>
                            <w:top w:val="none" w:sz="0" w:space="0" w:color="auto"/>
                            <w:left w:val="none" w:sz="0" w:space="0" w:color="auto"/>
                            <w:bottom w:val="none" w:sz="0" w:space="0" w:color="auto"/>
                            <w:right w:val="none" w:sz="0" w:space="0" w:color="auto"/>
                          </w:divBdr>
                          <w:divsChild>
                            <w:div w:id="107597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9502795">
      <w:bodyDiv w:val="1"/>
      <w:marLeft w:val="0"/>
      <w:marRight w:val="0"/>
      <w:marTop w:val="0"/>
      <w:marBottom w:val="0"/>
      <w:divBdr>
        <w:top w:val="none" w:sz="0" w:space="0" w:color="auto"/>
        <w:left w:val="none" w:sz="0" w:space="0" w:color="auto"/>
        <w:bottom w:val="none" w:sz="0" w:space="0" w:color="auto"/>
        <w:right w:val="none" w:sz="0" w:space="0" w:color="auto"/>
      </w:divBdr>
    </w:div>
    <w:div w:id="748887957">
      <w:bodyDiv w:val="1"/>
      <w:marLeft w:val="0"/>
      <w:marRight w:val="0"/>
      <w:marTop w:val="0"/>
      <w:marBottom w:val="0"/>
      <w:divBdr>
        <w:top w:val="none" w:sz="0" w:space="0" w:color="auto"/>
        <w:left w:val="none" w:sz="0" w:space="0" w:color="auto"/>
        <w:bottom w:val="none" w:sz="0" w:space="0" w:color="auto"/>
        <w:right w:val="none" w:sz="0" w:space="0" w:color="auto"/>
      </w:divBdr>
    </w:div>
    <w:div w:id="751968088">
      <w:bodyDiv w:val="1"/>
      <w:marLeft w:val="0"/>
      <w:marRight w:val="0"/>
      <w:marTop w:val="0"/>
      <w:marBottom w:val="0"/>
      <w:divBdr>
        <w:top w:val="none" w:sz="0" w:space="0" w:color="auto"/>
        <w:left w:val="none" w:sz="0" w:space="0" w:color="auto"/>
        <w:bottom w:val="none" w:sz="0" w:space="0" w:color="auto"/>
        <w:right w:val="none" w:sz="0" w:space="0" w:color="auto"/>
      </w:divBdr>
    </w:div>
    <w:div w:id="754786989">
      <w:bodyDiv w:val="1"/>
      <w:marLeft w:val="0"/>
      <w:marRight w:val="0"/>
      <w:marTop w:val="0"/>
      <w:marBottom w:val="0"/>
      <w:divBdr>
        <w:top w:val="none" w:sz="0" w:space="0" w:color="auto"/>
        <w:left w:val="none" w:sz="0" w:space="0" w:color="auto"/>
        <w:bottom w:val="none" w:sz="0" w:space="0" w:color="auto"/>
        <w:right w:val="none" w:sz="0" w:space="0" w:color="auto"/>
      </w:divBdr>
    </w:div>
    <w:div w:id="755245583">
      <w:bodyDiv w:val="1"/>
      <w:marLeft w:val="0"/>
      <w:marRight w:val="0"/>
      <w:marTop w:val="0"/>
      <w:marBottom w:val="0"/>
      <w:divBdr>
        <w:top w:val="none" w:sz="0" w:space="0" w:color="auto"/>
        <w:left w:val="none" w:sz="0" w:space="0" w:color="auto"/>
        <w:bottom w:val="none" w:sz="0" w:space="0" w:color="auto"/>
        <w:right w:val="none" w:sz="0" w:space="0" w:color="auto"/>
      </w:divBdr>
    </w:div>
    <w:div w:id="756748102">
      <w:bodyDiv w:val="1"/>
      <w:marLeft w:val="0"/>
      <w:marRight w:val="0"/>
      <w:marTop w:val="0"/>
      <w:marBottom w:val="0"/>
      <w:divBdr>
        <w:top w:val="none" w:sz="0" w:space="0" w:color="auto"/>
        <w:left w:val="none" w:sz="0" w:space="0" w:color="auto"/>
        <w:bottom w:val="none" w:sz="0" w:space="0" w:color="auto"/>
        <w:right w:val="none" w:sz="0" w:space="0" w:color="auto"/>
      </w:divBdr>
    </w:div>
    <w:div w:id="760687150">
      <w:bodyDiv w:val="1"/>
      <w:marLeft w:val="0"/>
      <w:marRight w:val="0"/>
      <w:marTop w:val="0"/>
      <w:marBottom w:val="0"/>
      <w:divBdr>
        <w:top w:val="none" w:sz="0" w:space="0" w:color="auto"/>
        <w:left w:val="none" w:sz="0" w:space="0" w:color="auto"/>
        <w:bottom w:val="none" w:sz="0" w:space="0" w:color="auto"/>
        <w:right w:val="none" w:sz="0" w:space="0" w:color="auto"/>
      </w:divBdr>
    </w:div>
    <w:div w:id="767115253">
      <w:bodyDiv w:val="1"/>
      <w:marLeft w:val="0"/>
      <w:marRight w:val="0"/>
      <w:marTop w:val="0"/>
      <w:marBottom w:val="0"/>
      <w:divBdr>
        <w:top w:val="none" w:sz="0" w:space="0" w:color="auto"/>
        <w:left w:val="none" w:sz="0" w:space="0" w:color="auto"/>
        <w:bottom w:val="none" w:sz="0" w:space="0" w:color="auto"/>
        <w:right w:val="none" w:sz="0" w:space="0" w:color="auto"/>
      </w:divBdr>
    </w:div>
    <w:div w:id="774442597">
      <w:bodyDiv w:val="1"/>
      <w:marLeft w:val="0"/>
      <w:marRight w:val="0"/>
      <w:marTop w:val="0"/>
      <w:marBottom w:val="0"/>
      <w:divBdr>
        <w:top w:val="none" w:sz="0" w:space="0" w:color="auto"/>
        <w:left w:val="none" w:sz="0" w:space="0" w:color="auto"/>
        <w:bottom w:val="none" w:sz="0" w:space="0" w:color="auto"/>
        <w:right w:val="none" w:sz="0" w:space="0" w:color="auto"/>
      </w:divBdr>
    </w:div>
    <w:div w:id="778331127">
      <w:bodyDiv w:val="1"/>
      <w:marLeft w:val="0"/>
      <w:marRight w:val="0"/>
      <w:marTop w:val="0"/>
      <w:marBottom w:val="0"/>
      <w:divBdr>
        <w:top w:val="none" w:sz="0" w:space="0" w:color="auto"/>
        <w:left w:val="none" w:sz="0" w:space="0" w:color="auto"/>
        <w:bottom w:val="none" w:sz="0" w:space="0" w:color="auto"/>
        <w:right w:val="none" w:sz="0" w:space="0" w:color="auto"/>
      </w:divBdr>
    </w:div>
    <w:div w:id="778648149">
      <w:bodyDiv w:val="1"/>
      <w:marLeft w:val="0"/>
      <w:marRight w:val="0"/>
      <w:marTop w:val="0"/>
      <w:marBottom w:val="0"/>
      <w:divBdr>
        <w:top w:val="none" w:sz="0" w:space="0" w:color="auto"/>
        <w:left w:val="none" w:sz="0" w:space="0" w:color="auto"/>
        <w:bottom w:val="none" w:sz="0" w:space="0" w:color="auto"/>
        <w:right w:val="none" w:sz="0" w:space="0" w:color="auto"/>
      </w:divBdr>
    </w:div>
    <w:div w:id="780341186">
      <w:bodyDiv w:val="1"/>
      <w:marLeft w:val="0"/>
      <w:marRight w:val="0"/>
      <w:marTop w:val="0"/>
      <w:marBottom w:val="0"/>
      <w:divBdr>
        <w:top w:val="none" w:sz="0" w:space="0" w:color="auto"/>
        <w:left w:val="none" w:sz="0" w:space="0" w:color="auto"/>
        <w:bottom w:val="none" w:sz="0" w:space="0" w:color="auto"/>
        <w:right w:val="none" w:sz="0" w:space="0" w:color="auto"/>
      </w:divBdr>
    </w:div>
    <w:div w:id="786310088">
      <w:bodyDiv w:val="1"/>
      <w:marLeft w:val="0"/>
      <w:marRight w:val="0"/>
      <w:marTop w:val="0"/>
      <w:marBottom w:val="0"/>
      <w:divBdr>
        <w:top w:val="none" w:sz="0" w:space="0" w:color="auto"/>
        <w:left w:val="none" w:sz="0" w:space="0" w:color="auto"/>
        <w:bottom w:val="none" w:sz="0" w:space="0" w:color="auto"/>
        <w:right w:val="none" w:sz="0" w:space="0" w:color="auto"/>
      </w:divBdr>
    </w:div>
    <w:div w:id="789974414">
      <w:bodyDiv w:val="1"/>
      <w:marLeft w:val="0"/>
      <w:marRight w:val="0"/>
      <w:marTop w:val="0"/>
      <w:marBottom w:val="0"/>
      <w:divBdr>
        <w:top w:val="none" w:sz="0" w:space="0" w:color="auto"/>
        <w:left w:val="none" w:sz="0" w:space="0" w:color="auto"/>
        <w:bottom w:val="none" w:sz="0" w:space="0" w:color="auto"/>
        <w:right w:val="none" w:sz="0" w:space="0" w:color="auto"/>
      </w:divBdr>
    </w:div>
    <w:div w:id="793209446">
      <w:bodyDiv w:val="1"/>
      <w:marLeft w:val="0"/>
      <w:marRight w:val="0"/>
      <w:marTop w:val="0"/>
      <w:marBottom w:val="0"/>
      <w:divBdr>
        <w:top w:val="none" w:sz="0" w:space="0" w:color="auto"/>
        <w:left w:val="none" w:sz="0" w:space="0" w:color="auto"/>
        <w:bottom w:val="none" w:sz="0" w:space="0" w:color="auto"/>
        <w:right w:val="none" w:sz="0" w:space="0" w:color="auto"/>
      </w:divBdr>
    </w:div>
    <w:div w:id="796920713">
      <w:bodyDiv w:val="1"/>
      <w:marLeft w:val="0"/>
      <w:marRight w:val="0"/>
      <w:marTop w:val="0"/>
      <w:marBottom w:val="0"/>
      <w:divBdr>
        <w:top w:val="none" w:sz="0" w:space="0" w:color="auto"/>
        <w:left w:val="none" w:sz="0" w:space="0" w:color="auto"/>
        <w:bottom w:val="none" w:sz="0" w:space="0" w:color="auto"/>
        <w:right w:val="none" w:sz="0" w:space="0" w:color="auto"/>
      </w:divBdr>
    </w:div>
    <w:div w:id="812603803">
      <w:bodyDiv w:val="1"/>
      <w:marLeft w:val="0"/>
      <w:marRight w:val="0"/>
      <w:marTop w:val="0"/>
      <w:marBottom w:val="0"/>
      <w:divBdr>
        <w:top w:val="none" w:sz="0" w:space="0" w:color="auto"/>
        <w:left w:val="none" w:sz="0" w:space="0" w:color="auto"/>
        <w:bottom w:val="none" w:sz="0" w:space="0" w:color="auto"/>
        <w:right w:val="none" w:sz="0" w:space="0" w:color="auto"/>
      </w:divBdr>
    </w:div>
    <w:div w:id="813722887">
      <w:bodyDiv w:val="1"/>
      <w:marLeft w:val="0"/>
      <w:marRight w:val="0"/>
      <w:marTop w:val="0"/>
      <w:marBottom w:val="0"/>
      <w:divBdr>
        <w:top w:val="none" w:sz="0" w:space="0" w:color="auto"/>
        <w:left w:val="none" w:sz="0" w:space="0" w:color="auto"/>
        <w:bottom w:val="none" w:sz="0" w:space="0" w:color="auto"/>
        <w:right w:val="none" w:sz="0" w:space="0" w:color="auto"/>
      </w:divBdr>
    </w:div>
    <w:div w:id="814101295">
      <w:bodyDiv w:val="1"/>
      <w:marLeft w:val="0"/>
      <w:marRight w:val="0"/>
      <w:marTop w:val="0"/>
      <w:marBottom w:val="0"/>
      <w:divBdr>
        <w:top w:val="none" w:sz="0" w:space="0" w:color="auto"/>
        <w:left w:val="none" w:sz="0" w:space="0" w:color="auto"/>
        <w:bottom w:val="none" w:sz="0" w:space="0" w:color="auto"/>
        <w:right w:val="none" w:sz="0" w:space="0" w:color="auto"/>
      </w:divBdr>
    </w:div>
    <w:div w:id="829367816">
      <w:bodyDiv w:val="1"/>
      <w:marLeft w:val="0"/>
      <w:marRight w:val="0"/>
      <w:marTop w:val="0"/>
      <w:marBottom w:val="0"/>
      <w:divBdr>
        <w:top w:val="none" w:sz="0" w:space="0" w:color="auto"/>
        <w:left w:val="none" w:sz="0" w:space="0" w:color="auto"/>
        <w:bottom w:val="none" w:sz="0" w:space="0" w:color="auto"/>
        <w:right w:val="none" w:sz="0" w:space="0" w:color="auto"/>
      </w:divBdr>
    </w:div>
    <w:div w:id="836266658">
      <w:bodyDiv w:val="1"/>
      <w:marLeft w:val="0"/>
      <w:marRight w:val="0"/>
      <w:marTop w:val="0"/>
      <w:marBottom w:val="0"/>
      <w:divBdr>
        <w:top w:val="none" w:sz="0" w:space="0" w:color="auto"/>
        <w:left w:val="none" w:sz="0" w:space="0" w:color="auto"/>
        <w:bottom w:val="none" w:sz="0" w:space="0" w:color="auto"/>
        <w:right w:val="none" w:sz="0" w:space="0" w:color="auto"/>
      </w:divBdr>
    </w:div>
    <w:div w:id="837696616">
      <w:bodyDiv w:val="1"/>
      <w:marLeft w:val="0"/>
      <w:marRight w:val="0"/>
      <w:marTop w:val="0"/>
      <w:marBottom w:val="0"/>
      <w:divBdr>
        <w:top w:val="none" w:sz="0" w:space="0" w:color="auto"/>
        <w:left w:val="none" w:sz="0" w:space="0" w:color="auto"/>
        <w:bottom w:val="none" w:sz="0" w:space="0" w:color="auto"/>
        <w:right w:val="none" w:sz="0" w:space="0" w:color="auto"/>
      </w:divBdr>
    </w:div>
    <w:div w:id="844054218">
      <w:bodyDiv w:val="1"/>
      <w:marLeft w:val="0"/>
      <w:marRight w:val="0"/>
      <w:marTop w:val="0"/>
      <w:marBottom w:val="0"/>
      <w:divBdr>
        <w:top w:val="none" w:sz="0" w:space="0" w:color="auto"/>
        <w:left w:val="none" w:sz="0" w:space="0" w:color="auto"/>
        <w:bottom w:val="none" w:sz="0" w:space="0" w:color="auto"/>
        <w:right w:val="none" w:sz="0" w:space="0" w:color="auto"/>
      </w:divBdr>
    </w:div>
    <w:div w:id="848760163">
      <w:bodyDiv w:val="1"/>
      <w:marLeft w:val="0"/>
      <w:marRight w:val="0"/>
      <w:marTop w:val="0"/>
      <w:marBottom w:val="0"/>
      <w:divBdr>
        <w:top w:val="none" w:sz="0" w:space="0" w:color="auto"/>
        <w:left w:val="none" w:sz="0" w:space="0" w:color="auto"/>
        <w:bottom w:val="none" w:sz="0" w:space="0" w:color="auto"/>
        <w:right w:val="none" w:sz="0" w:space="0" w:color="auto"/>
      </w:divBdr>
    </w:div>
    <w:div w:id="848954120">
      <w:bodyDiv w:val="1"/>
      <w:marLeft w:val="0"/>
      <w:marRight w:val="0"/>
      <w:marTop w:val="0"/>
      <w:marBottom w:val="0"/>
      <w:divBdr>
        <w:top w:val="none" w:sz="0" w:space="0" w:color="auto"/>
        <w:left w:val="none" w:sz="0" w:space="0" w:color="auto"/>
        <w:bottom w:val="none" w:sz="0" w:space="0" w:color="auto"/>
        <w:right w:val="none" w:sz="0" w:space="0" w:color="auto"/>
      </w:divBdr>
    </w:div>
    <w:div w:id="855921779">
      <w:bodyDiv w:val="1"/>
      <w:marLeft w:val="0"/>
      <w:marRight w:val="0"/>
      <w:marTop w:val="0"/>
      <w:marBottom w:val="0"/>
      <w:divBdr>
        <w:top w:val="none" w:sz="0" w:space="0" w:color="auto"/>
        <w:left w:val="none" w:sz="0" w:space="0" w:color="auto"/>
        <w:bottom w:val="none" w:sz="0" w:space="0" w:color="auto"/>
        <w:right w:val="none" w:sz="0" w:space="0" w:color="auto"/>
      </w:divBdr>
    </w:div>
    <w:div w:id="860510333">
      <w:bodyDiv w:val="1"/>
      <w:marLeft w:val="0"/>
      <w:marRight w:val="0"/>
      <w:marTop w:val="0"/>
      <w:marBottom w:val="0"/>
      <w:divBdr>
        <w:top w:val="none" w:sz="0" w:space="0" w:color="auto"/>
        <w:left w:val="none" w:sz="0" w:space="0" w:color="auto"/>
        <w:bottom w:val="none" w:sz="0" w:space="0" w:color="auto"/>
        <w:right w:val="none" w:sz="0" w:space="0" w:color="auto"/>
      </w:divBdr>
    </w:div>
    <w:div w:id="863371659">
      <w:bodyDiv w:val="1"/>
      <w:marLeft w:val="0"/>
      <w:marRight w:val="0"/>
      <w:marTop w:val="0"/>
      <w:marBottom w:val="0"/>
      <w:divBdr>
        <w:top w:val="none" w:sz="0" w:space="0" w:color="auto"/>
        <w:left w:val="none" w:sz="0" w:space="0" w:color="auto"/>
        <w:bottom w:val="none" w:sz="0" w:space="0" w:color="auto"/>
        <w:right w:val="none" w:sz="0" w:space="0" w:color="auto"/>
      </w:divBdr>
    </w:div>
    <w:div w:id="865555191">
      <w:bodyDiv w:val="1"/>
      <w:marLeft w:val="0"/>
      <w:marRight w:val="0"/>
      <w:marTop w:val="0"/>
      <w:marBottom w:val="0"/>
      <w:divBdr>
        <w:top w:val="none" w:sz="0" w:space="0" w:color="auto"/>
        <w:left w:val="none" w:sz="0" w:space="0" w:color="auto"/>
        <w:bottom w:val="none" w:sz="0" w:space="0" w:color="auto"/>
        <w:right w:val="none" w:sz="0" w:space="0" w:color="auto"/>
      </w:divBdr>
    </w:div>
    <w:div w:id="865945991">
      <w:bodyDiv w:val="1"/>
      <w:marLeft w:val="0"/>
      <w:marRight w:val="0"/>
      <w:marTop w:val="0"/>
      <w:marBottom w:val="0"/>
      <w:divBdr>
        <w:top w:val="none" w:sz="0" w:space="0" w:color="auto"/>
        <w:left w:val="none" w:sz="0" w:space="0" w:color="auto"/>
        <w:bottom w:val="none" w:sz="0" w:space="0" w:color="auto"/>
        <w:right w:val="none" w:sz="0" w:space="0" w:color="auto"/>
      </w:divBdr>
    </w:div>
    <w:div w:id="870801473">
      <w:bodyDiv w:val="1"/>
      <w:marLeft w:val="0"/>
      <w:marRight w:val="0"/>
      <w:marTop w:val="0"/>
      <w:marBottom w:val="0"/>
      <w:divBdr>
        <w:top w:val="none" w:sz="0" w:space="0" w:color="auto"/>
        <w:left w:val="none" w:sz="0" w:space="0" w:color="auto"/>
        <w:bottom w:val="none" w:sz="0" w:space="0" w:color="auto"/>
        <w:right w:val="none" w:sz="0" w:space="0" w:color="auto"/>
      </w:divBdr>
    </w:div>
    <w:div w:id="873344529">
      <w:bodyDiv w:val="1"/>
      <w:marLeft w:val="0"/>
      <w:marRight w:val="0"/>
      <w:marTop w:val="0"/>
      <w:marBottom w:val="0"/>
      <w:divBdr>
        <w:top w:val="none" w:sz="0" w:space="0" w:color="auto"/>
        <w:left w:val="none" w:sz="0" w:space="0" w:color="auto"/>
        <w:bottom w:val="none" w:sz="0" w:space="0" w:color="auto"/>
        <w:right w:val="none" w:sz="0" w:space="0" w:color="auto"/>
      </w:divBdr>
    </w:div>
    <w:div w:id="884756618">
      <w:bodyDiv w:val="1"/>
      <w:marLeft w:val="0"/>
      <w:marRight w:val="0"/>
      <w:marTop w:val="0"/>
      <w:marBottom w:val="0"/>
      <w:divBdr>
        <w:top w:val="none" w:sz="0" w:space="0" w:color="auto"/>
        <w:left w:val="none" w:sz="0" w:space="0" w:color="auto"/>
        <w:bottom w:val="none" w:sz="0" w:space="0" w:color="auto"/>
        <w:right w:val="none" w:sz="0" w:space="0" w:color="auto"/>
      </w:divBdr>
    </w:div>
    <w:div w:id="888959154">
      <w:bodyDiv w:val="1"/>
      <w:marLeft w:val="0"/>
      <w:marRight w:val="0"/>
      <w:marTop w:val="0"/>
      <w:marBottom w:val="0"/>
      <w:divBdr>
        <w:top w:val="none" w:sz="0" w:space="0" w:color="auto"/>
        <w:left w:val="none" w:sz="0" w:space="0" w:color="auto"/>
        <w:bottom w:val="none" w:sz="0" w:space="0" w:color="auto"/>
        <w:right w:val="none" w:sz="0" w:space="0" w:color="auto"/>
      </w:divBdr>
    </w:div>
    <w:div w:id="894438494">
      <w:bodyDiv w:val="1"/>
      <w:marLeft w:val="0"/>
      <w:marRight w:val="0"/>
      <w:marTop w:val="0"/>
      <w:marBottom w:val="0"/>
      <w:divBdr>
        <w:top w:val="none" w:sz="0" w:space="0" w:color="auto"/>
        <w:left w:val="none" w:sz="0" w:space="0" w:color="auto"/>
        <w:bottom w:val="none" w:sz="0" w:space="0" w:color="auto"/>
        <w:right w:val="none" w:sz="0" w:space="0" w:color="auto"/>
      </w:divBdr>
    </w:div>
    <w:div w:id="903836191">
      <w:bodyDiv w:val="1"/>
      <w:marLeft w:val="0"/>
      <w:marRight w:val="0"/>
      <w:marTop w:val="0"/>
      <w:marBottom w:val="0"/>
      <w:divBdr>
        <w:top w:val="none" w:sz="0" w:space="0" w:color="auto"/>
        <w:left w:val="none" w:sz="0" w:space="0" w:color="auto"/>
        <w:bottom w:val="none" w:sz="0" w:space="0" w:color="auto"/>
        <w:right w:val="none" w:sz="0" w:space="0" w:color="auto"/>
      </w:divBdr>
    </w:div>
    <w:div w:id="919605396">
      <w:bodyDiv w:val="1"/>
      <w:marLeft w:val="0"/>
      <w:marRight w:val="0"/>
      <w:marTop w:val="0"/>
      <w:marBottom w:val="0"/>
      <w:divBdr>
        <w:top w:val="none" w:sz="0" w:space="0" w:color="auto"/>
        <w:left w:val="none" w:sz="0" w:space="0" w:color="auto"/>
        <w:bottom w:val="none" w:sz="0" w:space="0" w:color="auto"/>
        <w:right w:val="none" w:sz="0" w:space="0" w:color="auto"/>
      </w:divBdr>
    </w:div>
    <w:div w:id="928656137">
      <w:bodyDiv w:val="1"/>
      <w:marLeft w:val="0"/>
      <w:marRight w:val="0"/>
      <w:marTop w:val="0"/>
      <w:marBottom w:val="0"/>
      <w:divBdr>
        <w:top w:val="none" w:sz="0" w:space="0" w:color="auto"/>
        <w:left w:val="none" w:sz="0" w:space="0" w:color="auto"/>
        <w:bottom w:val="none" w:sz="0" w:space="0" w:color="auto"/>
        <w:right w:val="none" w:sz="0" w:space="0" w:color="auto"/>
      </w:divBdr>
    </w:div>
    <w:div w:id="953437577">
      <w:bodyDiv w:val="1"/>
      <w:marLeft w:val="0"/>
      <w:marRight w:val="0"/>
      <w:marTop w:val="0"/>
      <w:marBottom w:val="0"/>
      <w:divBdr>
        <w:top w:val="none" w:sz="0" w:space="0" w:color="auto"/>
        <w:left w:val="none" w:sz="0" w:space="0" w:color="auto"/>
        <w:bottom w:val="none" w:sz="0" w:space="0" w:color="auto"/>
        <w:right w:val="none" w:sz="0" w:space="0" w:color="auto"/>
      </w:divBdr>
    </w:div>
    <w:div w:id="987629131">
      <w:bodyDiv w:val="1"/>
      <w:marLeft w:val="0"/>
      <w:marRight w:val="0"/>
      <w:marTop w:val="0"/>
      <w:marBottom w:val="0"/>
      <w:divBdr>
        <w:top w:val="none" w:sz="0" w:space="0" w:color="auto"/>
        <w:left w:val="none" w:sz="0" w:space="0" w:color="auto"/>
        <w:bottom w:val="none" w:sz="0" w:space="0" w:color="auto"/>
        <w:right w:val="none" w:sz="0" w:space="0" w:color="auto"/>
      </w:divBdr>
    </w:div>
    <w:div w:id="994919238">
      <w:bodyDiv w:val="1"/>
      <w:marLeft w:val="0"/>
      <w:marRight w:val="0"/>
      <w:marTop w:val="0"/>
      <w:marBottom w:val="0"/>
      <w:divBdr>
        <w:top w:val="none" w:sz="0" w:space="0" w:color="auto"/>
        <w:left w:val="none" w:sz="0" w:space="0" w:color="auto"/>
        <w:bottom w:val="none" w:sz="0" w:space="0" w:color="auto"/>
        <w:right w:val="none" w:sz="0" w:space="0" w:color="auto"/>
      </w:divBdr>
    </w:div>
    <w:div w:id="997273258">
      <w:bodyDiv w:val="1"/>
      <w:marLeft w:val="0"/>
      <w:marRight w:val="0"/>
      <w:marTop w:val="0"/>
      <w:marBottom w:val="0"/>
      <w:divBdr>
        <w:top w:val="none" w:sz="0" w:space="0" w:color="auto"/>
        <w:left w:val="none" w:sz="0" w:space="0" w:color="auto"/>
        <w:bottom w:val="none" w:sz="0" w:space="0" w:color="auto"/>
        <w:right w:val="none" w:sz="0" w:space="0" w:color="auto"/>
      </w:divBdr>
    </w:div>
    <w:div w:id="1003314881">
      <w:bodyDiv w:val="1"/>
      <w:marLeft w:val="0"/>
      <w:marRight w:val="0"/>
      <w:marTop w:val="0"/>
      <w:marBottom w:val="0"/>
      <w:divBdr>
        <w:top w:val="none" w:sz="0" w:space="0" w:color="auto"/>
        <w:left w:val="none" w:sz="0" w:space="0" w:color="auto"/>
        <w:bottom w:val="none" w:sz="0" w:space="0" w:color="auto"/>
        <w:right w:val="none" w:sz="0" w:space="0" w:color="auto"/>
      </w:divBdr>
    </w:div>
    <w:div w:id="1008678657">
      <w:bodyDiv w:val="1"/>
      <w:marLeft w:val="0"/>
      <w:marRight w:val="0"/>
      <w:marTop w:val="0"/>
      <w:marBottom w:val="0"/>
      <w:divBdr>
        <w:top w:val="none" w:sz="0" w:space="0" w:color="auto"/>
        <w:left w:val="none" w:sz="0" w:space="0" w:color="auto"/>
        <w:bottom w:val="none" w:sz="0" w:space="0" w:color="auto"/>
        <w:right w:val="none" w:sz="0" w:space="0" w:color="auto"/>
      </w:divBdr>
    </w:div>
    <w:div w:id="1008867163">
      <w:bodyDiv w:val="1"/>
      <w:marLeft w:val="0"/>
      <w:marRight w:val="0"/>
      <w:marTop w:val="0"/>
      <w:marBottom w:val="0"/>
      <w:divBdr>
        <w:top w:val="none" w:sz="0" w:space="0" w:color="auto"/>
        <w:left w:val="none" w:sz="0" w:space="0" w:color="auto"/>
        <w:bottom w:val="none" w:sz="0" w:space="0" w:color="auto"/>
        <w:right w:val="none" w:sz="0" w:space="0" w:color="auto"/>
      </w:divBdr>
    </w:div>
    <w:div w:id="1009066047">
      <w:bodyDiv w:val="1"/>
      <w:marLeft w:val="0"/>
      <w:marRight w:val="0"/>
      <w:marTop w:val="0"/>
      <w:marBottom w:val="0"/>
      <w:divBdr>
        <w:top w:val="none" w:sz="0" w:space="0" w:color="auto"/>
        <w:left w:val="none" w:sz="0" w:space="0" w:color="auto"/>
        <w:bottom w:val="none" w:sz="0" w:space="0" w:color="auto"/>
        <w:right w:val="none" w:sz="0" w:space="0" w:color="auto"/>
      </w:divBdr>
    </w:div>
    <w:div w:id="1016076146">
      <w:bodyDiv w:val="1"/>
      <w:marLeft w:val="0"/>
      <w:marRight w:val="0"/>
      <w:marTop w:val="0"/>
      <w:marBottom w:val="0"/>
      <w:divBdr>
        <w:top w:val="none" w:sz="0" w:space="0" w:color="auto"/>
        <w:left w:val="none" w:sz="0" w:space="0" w:color="auto"/>
        <w:bottom w:val="none" w:sz="0" w:space="0" w:color="auto"/>
        <w:right w:val="none" w:sz="0" w:space="0" w:color="auto"/>
      </w:divBdr>
    </w:div>
    <w:div w:id="1032266656">
      <w:bodyDiv w:val="1"/>
      <w:marLeft w:val="0"/>
      <w:marRight w:val="0"/>
      <w:marTop w:val="0"/>
      <w:marBottom w:val="0"/>
      <w:divBdr>
        <w:top w:val="none" w:sz="0" w:space="0" w:color="auto"/>
        <w:left w:val="none" w:sz="0" w:space="0" w:color="auto"/>
        <w:bottom w:val="none" w:sz="0" w:space="0" w:color="auto"/>
        <w:right w:val="none" w:sz="0" w:space="0" w:color="auto"/>
      </w:divBdr>
    </w:div>
    <w:div w:id="1044065724">
      <w:bodyDiv w:val="1"/>
      <w:marLeft w:val="0"/>
      <w:marRight w:val="0"/>
      <w:marTop w:val="0"/>
      <w:marBottom w:val="0"/>
      <w:divBdr>
        <w:top w:val="none" w:sz="0" w:space="0" w:color="auto"/>
        <w:left w:val="none" w:sz="0" w:space="0" w:color="auto"/>
        <w:bottom w:val="none" w:sz="0" w:space="0" w:color="auto"/>
        <w:right w:val="none" w:sz="0" w:space="0" w:color="auto"/>
      </w:divBdr>
    </w:div>
    <w:div w:id="1047989666">
      <w:bodyDiv w:val="1"/>
      <w:marLeft w:val="0"/>
      <w:marRight w:val="0"/>
      <w:marTop w:val="0"/>
      <w:marBottom w:val="0"/>
      <w:divBdr>
        <w:top w:val="none" w:sz="0" w:space="0" w:color="auto"/>
        <w:left w:val="none" w:sz="0" w:space="0" w:color="auto"/>
        <w:bottom w:val="none" w:sz="0" w:space="0" w:color="auto"/>
        <w:right w:val="none" w:sz="0" w:space="0" w:color="auto"/>
      </w:divBdr>
    </w:div>
    <w:div w:id="1053191114">
      <w:bodyDiv w:val="1"/>
      <w:marLeft w:val="0"/>
      <w:marRight w:val="0"/>
      <w:marTop w:val="0"/>
      <w:marBottom w:val="0"/>
      <w:divBdr>
        <w:top w:val="none" w:sz="0" w:space="0" w:color="auto"/>
        <w:left w:val="none" w:sz="0" w:space="0" w:color="auto"/>
        <w:bottom w:val="none" w:sz="0" w:space="0" w:color="auto"/>
        <w:right w:val="none" w:sz="0" w:space="0" w:color="auto"/>
      </w:divBdr>
    </w:div>
    <w:div w:id="1067534281">
      <w:bodyDiv w:val="1"/>
      <w:marLeft w:val="0"/>
      <w:marRight w:val="0"/>
      <w:marTop w:val="0"/>
      <w:marBottom w:val="0"/>
      <w:divBdr>
        <w:top w:val="none" w:sz="0" w:space="0" w:color="auto"/>
        <w:left w:val="none" w:sz="0" w:space="0" w:color="auto"/>
        <w:bottom w:val="none" w:sz="0" w:space="0" w:color="auto"/>
        <w:right w:val="none" w:sz="0" w:space="0" w:color="auto"/>
      </w:divBdr>
    </w:div>
    <w:div w:id="1070620400">
      <w:bodyDiv w:val="1"/>
      <w:marLeft w:val="0"/>
      <w:marRight w:val="0"/>
      <w:marTop w:val="0"/>
      <w:marBottom w:val="0"/>
      <w:divBdr>
        <w:top w:val="none" w:sz="0" w:space="0" w:color="auto"/>
        <w:left w:val="none" w:sz="0" w:space="0" w:color="auto"/>
        <w:bottom w:val="none" w:sz="0" w:space="0" w:color="auto"/>
        <w:right w:val="none" w:sz="0" w:space="0" w:color="auto"/>
      </w:divBdr>
      <w:divsChild>
        <w:div w:id="453404908">
          <w:marLeft w:val="336"/>
          <w:marRight w:val="0"/>
          <w:marTop w:val="120"/>
          <w:marBottom w:val="312"/>
          <w:divBdr>
            <w:top w:val="none" w:sz="0" w:space="0" w:color="auto"/>
            <w:left w:val="none" w:sz="0" w:space="0" w:color="auto"/>
            <w:bottom w:val="none" w:sz="0" w:space="0" w:color="auto"/>
            <w:right w:val="none" w:sz="0" w:space="0" w:color="auto"/>
          </w:divBdr>
          <w:divsChild>
            <w:div w:id="1730109367">
              <w:marLeft w:val="0"/>
              <w:marRight w:val="0"/>
              <w:marTop w:val="0"/>
              <w:marBottom w:val="0"/>
              <w:divBdr>
                <w:top w:val="single" w:sz="6" w:space="2" w:color="C8CCD1"/>
                <w:left w:val="single" w:sz="6" w:space="2" w:color="C8CCD1"/>
                <w:bottom w:val="single" w:sz="6" w:space="2" w:color="C8CCD1"/>
                <w:right w:val="single" w:sz="6" w:space="2" w:color="C8CCD1"/>
              </w:divBdr>
            </w:div>
          </w:divsChild>
        </w:div>
      </w:divsChild>
    </w:div>
    <w:div w:id="1075131007">
      <w:bodyDiv w:val="1"/>
      <w:marLeft w:val="0"/>
      <w:marRight w:val="0"/>
      <w:marTop w:val="0"/>
      <w:marBottom w:val="0"/>
      <w:divBdr>
        <w:top w:val="none" w:sz="0" w:space="0" w:color="auto"/>
        <w:left w:val="none" w:sz="0" w:space="0" w:color="auto"/>
        <w:bottom w:val="none" w:sz="0" w:space="0" w:color="auto"/>
        <w:right w:val="none" w:sz="0" w:space="0" w:color="auto"/>
      </w:divBdr>
    </w:div>
    <w:div w:id="1077703593">
      <w:bodyDiv w:val="1"/>
      <w:marLeft w:val="0"/>
      <w:marRight w:val="0"/>
      <w:marTop w:val="0"/>
      <w:marBottom w:val="0"/>
      <w:divBdr>
        <w:top w:val="none" w:sz="0" w:space="0" w:color="auto"/>
        <w:left w:val="none" w:sz="0" w:space="0" w:color="auto"/>
        <w:bottom w:val="none" w:sz="0" w:space="0" w:color="auto"/>
        <w:right w:val="none" w:sz="0" w:space="0" w:color="auto"/>
      </w:divBdr>
    </w:div>
    <w:div w:id="1078289791">
      <w:bodyDiv w:val="1"/>
      <w:marLeft w:val="0"/>
      <w:marRight w:val="0"/>
      <w:marTop w:val="0"/>
      <w:marBottom w:val="0"/>
      <w:divBdr>
        <w:top w:val="none" w:sz="0" w:space="0" w:color="auto"/>
        <w:left w:val="none" w:sz="0" w:space="0" w:color="auto"/>
        <w:bottom w:val="none" w:sz="0" w:space="0" w:color="auto"/>
        <w:right w:val="none" w:sz="0" w:space="0" w:color="auto"/>
      </w:divBdr>
    </w:div>
    <w:div w:id="1082338399">
      <w:bodyDiv w:val="1"/>
      <w:marLeft w:val="0"/>
      <w:marRight w:val="0"/>
      <w:marTop w:val="0"/>
      <w:marBottom w:val="0"/>
      <w:divBdr>
        <w:top w:val="none" w:sz="0" w:space="0" w:color="auto"/>
        <w:left w:val="none" w:sz="0" w:space="0" w:color="auto"/>
        <w:bottom w:val="none" w:sz="0" w:space="0" w:color="auto"/>
        <w:right w:val="none" w:sz="0" w:space="0" w:color="auto"/>
      </w:divBdr>
    </w:div>
    <w:div w:id="1088118612">
      <w:bodyDiv w:val="1"/>
      <w:marLeft w:val="0"/>
      <w:marRight w:val="0"/>
      <w:marTop w:val="0"/>
      <w:marBottom w:val="0"/>
      <w:divBdr>
        <w:top w:val="none" w:sz="0" w:space="0" w:color="auto"/>
        <w:left w:val="none" w:sz="0" w:space="0" w:color="auto"/>
        <w:bottom w:val="none" w:sz="0" w:space="0" w:color="auto"/>
        <w:right w:val="none" w:sz="0" w:space="0" w:color="auto"/>
      </w:divBdr>
    </w:div>
    <w:div w:id="1091241817">
      <w:bodyDiv w:val="1"/>
      <w:marLeft w:val="0"/>
      <w:marRight w:val="0"/>
      <w:marTop w:val="0"/>
      <w:marBottom w:val="0"/>
      <w:divBdr>
        <w:top w:val="none" w:sz="0" w:space="0" w:color="auto"/>
        <w:left w:val="none" w:sz="0" w:space="0" w:color="auto"/>
        <w:bottom w:val="none" w:sz="0" w:space="0" w:color="auto"/>
        <w:right w:val="none" w:sz="0" w:space="0" w:color="auto"/>
      </w:divBdr>
    </w:div>
    <w:div w:id="1103382820">
      <w:bodyDiv w:val="1"/>
      <w:marLeft w:val="0"/>
      <w:marRight w:val="0"/>
      <w:marTop w:val="0"/>
      <w:marBottom w:val="0"/>
      <w:divBdr>
        <w:top w:val="none" w:sz="0" w:space="0" w:color="auto"/>
        <w:left w:val="none" w:sz="0" w:space="0" w:color="auto"/>
        <w:bottom w:val="none" w:sz="0" w:space="0" w:color="auto"/>
        <w:right w:val="none" w:sz="0" w:space="0" w:color="auto"/>
      </w:divBdr>
    </w:div>
    <w:div w:id="1106853758">
      <w:bodyDiv w:val="1"/>
      <w:marLeft w:val="0"/>
      <w:marRight w:val="0"/>
      <w:marTop w:val="0"/>
      <w:marBottom w:val="0"/>
      <w:divBdr>
        <w:top w:val="none" w:sz="0" w:space="0" w:color="auto"/>
        <w:left w:val="none" w:sz="0" w:space="0" w:color="auto"/>
        <w:bottom w:val="none" w:sz="0" w:space="0" w:color="auto"/>
        <w:right w:val="none" w:sz="0" w:space="0" w:color="auto"/>
      </w:divBdr>
    </w:div>
    <w:div w:id="1113741766">
      <w:bodyDiv w:val="1"/>
      <w:marLeft w:val="0"/>
      <w:marRight w:val="0"/>
      <w:marTop w:val="0"/>
      <w:marBottom w:val="0"/>
      <w:divBdr>
        <w:top w:val="none" w:sz="0" w:space="0" w:color="auto"/>
        <w:left w:val="none" w:sz="0" w:space="0" w:color="auto"/>
        <w:bottom w:val="none" w:sz="0" w:space="0" w:color="auto"/>
        <w:right w:val="none" w:sz="0" w:space="0" w:color="auto"/>
      </w:divBdr>
    </w:div>
    <w:div w:id="1116409204">
      <w:bodyDiv w:val="1"/>
      <w:marLeft w:val="0"/>
      <w:marRight w:val="0"/>
      <w:marTop w:val="0"/>
      <w:marBottom w:val="0"/>
      <w:divBdr>
        <w:top w:val="none" w:sz="0" w:space="0" w:color="auto"/>
        <w:left w:val="none" w:sz="0" w:space="0" w:color="auto"/>
        <w:bottom w:val="none" w:sz="0" w:space="0" w:color="auto"/>
        <w:right w:val="none" w:sz="0" w:space="0" w:color="auto"/>
      </w:divBdr>
    </w:div>
    <w:div w:id="1118911255">
      <w:bodyDiv w:val="1"/>
      <w:marLeft w:val="0"/>
      <w:marRight w:val="0"/>
      <w:marTop w:val="0"/>
      <w:marBottom w:val="0"/>
      <w:divBdr>
        <w:top w:val="none" w:sz="0" w:space="0" w:color="auto"/>
        <w:left w:val="none" w:sz="0" w:space="0" w:color="auto"/>
        <w:bottom w:val="none" w:sz="0" w:space="0" w:color="auto"/>
        <w:right w:val="none" w:sz="0" w:space="0" w:color="auto"/>
      </w:divBdr>
    </w:div>
    <w:div w:id="1119758378">
      <w:bodyDiv w:val="1"/>
      <w:marLeft w:val="0"/>
      <w:marRight w:val="0"/>
      <w:marTop w:val="0"/>
      <w:marBottom w:val="0"/>
      <w:divBdr>
        <w:top w:val="none" w:sz="0" w:space="0" w:color="auto"/>
        <w:left w:val="none" w:sz="0" w:space="0" w:color="auto"/>
        <w:bottom w:val="none" w:sz="0" w:space="0" w:color="auto"/>
        <w:right w:val="none" w:sz="0" w:space="0" w:color="auto"/>
      </w:divBdr>
    </w:div>
    <w:div w:id="1122308724">
      <w:bodyDiv w:val="1"/>
      <w:marLeft w:val="0"/>
      <w:marRight w:val="0"/>
      <w:marTop w:val="0"/>
      <w:marBottom w:val="0"/>
      <w:divBdr>
        <w:top w:val="none" w:sz="0" w:space="0" w:color="auto"/>
        <w:left w:val="none" w:sz="0" w:space="0" w:color="auto"/>
        <w:bottom w:val="none" w:sz="0" w:space="0" w:color="auto"/>
        <w:right w:val="none" w:sz="0" w:space="0" w:color="auto"/>
      </w:divBdr>
    </w:div>
    <w:div w:id="1124075229">
      <w:bodyDiv w:val="1"/>
      <w:marLeft w:val="0"/>
      <w:marRight w:val="0"/>
      <w:marTop w:val="0"/>
      <w:marBottom w:val="0"/>
      <w:divBdr>
        <w:top w:val="none" w:sz="0" w:space="0" w:color="auto"/>
        <w:left w:val="none" w:sz="0" w:space="0" w:color="auto"/>
        <w:bottom w:val="none" w:sz="0" w:space="0" w:color="auto"/>
        <w:right w:val="none" w:sz="0" w:space="0" w:color="auto"/>
      </w:divBdr>
    </w:div>
    <w:div w:id="1131052738">
      <w:bodyDiv w:val="1"/>
      <w:marLeft w:val="0"/>
      <w:marRight w:val="0"/>
      <w:marTop w:val="0"/>
      <w:marBottom w:val="0"/>
      <w:divBdr>
        <w:top w:val="none" w:sz="0" w:space="0" w:color="auto"/>
        <w:left w:val="none" w:sz="0" w:space="0" w:color="auto"/>
        <w:bottom w:val="none" w:sz="0" w:space="0" w:color="auto"/>
        <w:right w:val="none" w:sz="0" w:space="0" w:color="auto"/>
      </w:divBdr>
    </w:div>
    <w:div w:id="1131242027">
      <w:bodyDiv w:val="1"/>
      <w:marLeft w:val="0"/>
      <w:marRight w:val="0"/>
      <w:marTop w:val="0"/>
      <w:marBottom w:val="0"/>
      <w:divBdr>
        <w:top w:val="none" w:sz="0" w:space="0" w:color="auto"/>
        <w:left w:val="none" w:sz="0" w:space="0" w:color="auto"/>
        <w:bottom w:val="none" w:sz="0" w:space="0" w:color="auto"/>
        <w:right w:val="none" w:sz="0" w:space="0" w:color="auto"/>
      </w:divBdr>
    </w:div>
    <w:div w:id="1140415246">
      <w:bodyDiv w:val="1"/>
      <w:marLeft w:val="0"/>
      <w:marRight w:val="0"/>
      <w:marTop w:val="0"/>
      <w:marBottom w:val="0"/>
      <w:divBdr>
        <w:top w:val="none" w:sz="0" w:space="0" w:color="auto"/>
        <w:left w:val="none" w:sz="0" w:space="0" w:color="auto"/>
        <w:bottom w:val="none" w:sz="0" w:space="0" w:color="auto"/>
        <w:right w:val="none" w:sz="0" w:space="0" w:color="auto"/>
      </w:divBdr>
    </w:div>
    <w:div w:id="1144421459">
      <w:bodyDiv w:val="1"/>
      <w:marLeft w:val="0"/>
      <w:marRight w:val="0"/>
      <w:marTop w:val="0"/>
      <w:marBottom w:val="0"/>
      <w:divBdr>
        <w:top w:val="none" w:sz="0" w:space="0" w:color="auto"/>
        <w:left w:val="none" w:sz="0" w:space="0" w:color="auto"/>
        <w:bottom w:val="none" w:sz="0" w:space="0" w:color="auto"/>
        <w:right w:val="none" w:sz="0" w:space="0" w:color="auto"/>
      </w:divBdr>
      <w:divsChild>
        <w:div w:id="681321169">
          <w:marLeft w:val="0"/>
          <w:marRight w:val="0"/>
          <w:marTop w:val="0"/>
          <w:marBottom w:val="0"/>
          <w:divBdr>
            <w:top w:val="single" w:sz="12" w:space="0" w:color="DDDDDD"/>
            <w:left w:val="single" w:sz="12" w:space="0" w:color="DDDDDD"/>
            <w:bottom w:val="single" w:sz="12" w:space="0" w:color="DDDDDD"/>
            <w:right w:val="single" w:sz="12" w:space="0" w:color="DDDDDD"/>
          </w:divBdr>
          <w:divsChild>
            <w:div w:id="1123113774">
              <w:marLeft w:val="0"/>
              <w:marRight w:val="0"/>
              <w:marTop w:val="0"/>
              <w:marBottom w:val="0"/>
              <w:divBdr>
                <w:top w:val="none" w:sz="0" w:space="0" w:color="auto"/>
                <w:left w:val="single" w:sz="12" w:space="12" w:color="DDDDDD"/>
                <w:bottom w:val="single" w:sz="12" w:space="0" w:color="DDDDDD"/>
                <w:right w:val="none" w:sz="0" w:space="0" w:color="auto"/>
              </w:divBdr>
              <w:divsChild>
                <w:div w:id="130593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0749325">
      <w:bodyDiv w:val="1"/>
      <w:marLeft w:val="0"/>
      <w:marRight w:val="0"/>
      <w:marTop w:val="0"/>
      <w:marBottom w:val="0"/>
      <w:divBdr>
        <w:top w:val="none" w:sz="0" w:space="0" w:color="auto"/>
        <w:left w:val="none" w:sz="0" w:space="0" w:color="auto"/>
        <w:bottom w:val="none" w:sz="0" w:space="0" w:color="auto"/>
        <w:right w:val="none" w:sz="0" w:space="0" w:color="auto"/>
      </w:divBdr>
    </w:div>
    <w:div w:id="1153835652">
      <w:bodyDiv w:val="1"/>
      <w:marLeft w:val="0"/>
      <w:marRight w:val="0"/>
      <w:marTop w:val="0"/>
      <w:marBottom w:val="0"/>
      <w:divBdr>
        <w:top w:val="none" w:sz="0" w:space="0" w:color="auto"/>
        <w:left w:val="none" w:sz="0" w:space="0" w:color="auto"/>
        <w:bottom w:val="none" w:sz="0" w:space="0" w:color="auto"/>
        <w:right w:val="none" w:sz="0" w:space="0" w:color="auto"/>
      </w:divBdr>
    </w:div>
    <w:div w:id="1154032542">
      <w:bodyDiv w:val="1"/>
      <w:marLeft w:val="0"/>
      <w:marRight w:val="0"/>
      <w:marTop w:val="0"/>
      <w:marBottom w:val="0"/>
      <w:divBdr>
        <w:top w:val="none" w:sz="0" w:space="0" w:color="auto"/>
        <w:left w:val="none" w:sz="0" w:space="0" w:color="auto"/>
        <w:bottom w:val="none" w:sz="0" w:space="0" w:color="auto"/>
        <w:right w:val="none" w:sz="0" w:space="0" w:color="auto"/>
      </w:divBdr>
    </w:div>
    <w:div w:id="1159151474">
      <w:bodyDiv w:val="1"/>
      <w:marLeft w:val="0"/>
      <w:marRight w:val="0"/>
      <w:marTop w:val="0"/>
      <w:marBottom w:val="0"/>
      <w:divBdr>
        <w:top w:val="none" w:sz="0" w:space="0" w:color="auto"/>
        <w:left w:val="none" w:sz="0" w:space="0" w:color="auto"/>
        <w:bottom w:val="none" w:sz="0" w:space="0" w:color="auto"/>
        <w:right w:val="none" w:sz="0" w:space="0" w:color="auto"/>
      </w:divBdr>
    </w:div>
    <w:div w:id="1161114215">
      <w:bodyDiv w:val="1"/>
      <w:marLeft w:val="0"/>
      <w:marRight w:val="0"/>
      <w:marTop w:val="0"/>
      <w:marBottom w:val="0"/>
      <w:divBdr>
        <w:top w:val="none" w:sz="0" w:space="0" w:color="auto"/>
        <w:left w:val="none" w:sz="0" w:space="0" w:color="auto"/>
        <w:bottom w:val="none" w:sz="0" w:space="0" w:color="auto"/>
        <w:right w:val="none" w:sz="0" w:space="0" w:color="auto"/>
      </w:divBdr>
    </w:div>
    <w:div w:id="1165559840">
      <w:bodyDiv w:val="1"/>
      <w:marLeft w:val="0"/>
      <w:marRight w:val="0"/>
      <w:marTop w:val="0"/>
      <w:marBottom w:val="0"/>
      <w:divBdr>
        <w:top w:val="none" w:sz="0" w:space="0" w:color="auto"/>
        <w:left w:val="none" w:sz="0" w:space="0" w:color="auto"/>
        <w:bottom w:val="none" w:sz="0" w:space="0" w:color="auto"/>
        <w:right w:val="none" w:sz="0" w:space="0" w:color="auto"/>
      </w:divBdr>
    </w:div>
    <w:div w:id="1168135625">
      <w:bodyDiv w:val="1"/>
      <w:marLeft w:val="0"/>
      <w:marRight w:val="0"/>
      <w:marTop w:val="0"/>
      <w:marBottom w:val="0"/>
      <w:divBdr>
        <w:top w:val="none" w:sz="0" w:space="0" w:color="auto"/>
        <w:left w:val="none" w:sz="0" w:space="0" w:color="auto"/>
        <w:bottom w:val="none" w:sz="0" w:space="0" w:color="auto"/>
        <w:right w:val="none" w:sz="0" w:space="0" w:color="auto"/>
      </w:divBdr>
    </w:div>
    <w:div w:id="1174026265">
      <w:bodyDiv w:val="1"/>
      <w:marLeft w:val="0"/>
      <w:marRight w:val="0"/>
      <w:marTop w:val="0"/>
      <w:marBottom w:val="0"/>
      <w:divBdr>
        <w:top w:val="none" w:sz="0" w:space="0" w:color="auto"/>
        <w:left w:val="none" w:sz="0" w:space="0" w:color="auto"/>
        <w:bottom w:val="none" w:sz="0" w:space="0" w:color="auto"/>
        <w:right w:val="none" w:sz="0" w:space="0" w:color="auto"/>
      </w:divBdr>
    </w:div>
    <w:div w:id="1174609596">
      <w:bodyDiv w:val="1"/>
      <w:marLeft w:val="0"/>
      <w:marRight w:val="0"/>
      <w:marTop w:val="0"/>
      <w:marBottom w:val="0"/>
      <w:divBdr>
        <w:top w:val="none" w:sz="0" w:space="0" w:color="auto"/>
        <w:left w:val="none" w:sz="0" w:space="0" w:color="auto"/>
        <w:bottom w:val="none" w:sz="0" w:space="0" w:color="auto"/>
        <w:right w:val="none" w:sz="0" w:space="0" w:color="auto"/>
      </w:divBdr>
    </w:div>
    <w:div w:id="1180001646">
      <w:bodyDiv w:val="1"/>
      <w:marLeft w:val="0"/>
      <w:marRight w:val="0"/>
      <w:marTop w:val="0"/>
      <w:marBottom w:val="0"/>
      <w:divBdr>
        <w:top w:val="none" w:sz="0" w:space="0" w:color="auto"/>
        <w:left w:val="none" w:sz="0" w:space="0" w:color="auto"/>
        <w:bottom w:val="none" w:sz="0" w:space="0" w:color="auto"/>
        <w:right w:val="none" w:sz="0" w:space="0" w:color="auto"/>
      </w:divBdr>
    </w:div>
    <w:div w:id="1192305249">
      <w:bodyDiv w:val="1"/>
      <w:marLeft w:val="0"/>
      <w:marRight w:val="0"/>
      <w:marTop w:val="0"/>
      <w:marBottom w:val="0"/>
      <w:divBdr>
        <w:top w:val="none" w:sz="0" w:space="0" w:color="auto"/>
        <w:left w:val="none" w:sz="0" w:space="0" w:color="auto"/>
        <w:bottom w:val="none" w:sz="0" w:space="0" w:color="auto"/>
        <w:right w:val="none" w:sz="0" w:space="0" w:color="auto"/>
      </w:divBdr>
    </w:div>
    <w:div w:id="1203205634">
      <w:bodyDiv w:val="1"/>
      <w:marLeft w:val="0"/>
      <w:marRight w:val="0"/>
      <w:marTop w:val="0"/>
      <w:marBottom w:val="0"/>
      <w:divBdr>
        <w:top w:val="none" w:sz="0" w:space="0" w:color="auto"/>
        <w:left w:val="none" w:sz="0" w:space="0" w:color="auto"/>
        <w:bottom w:val="none" w:sz="0" w:space="0" w:color="auto"/>
        <w:right w:val="none" w:sz="0" w:space="0" w:color="auto"/>
      </w:divBdr>
    </w:div>
    <w:div w:id="1203589450">
      <w:bodyDiv w:val="1"/>
      <w:marLeft w:val="0"/>
      <w:marRight w:val="0"/>
      <w:marTop w:val="0"/>
      <w:marBottom w:val="0"/>
      <w:divBdr>
        <w:top w:val="none" w:sz="0" w:space="0" w:color="auto"/>
        <w:left w:val="none" w:sz="0" w:space="0" w:color="auto"/>
        <w:bottom w:val="none" w:sz="0" w:space="0" w:color="auto"/>
        <w:right w:val="none" w:sz="0" w:space="0" w:color="auto"/>
      </w:divBdr>
    </w:div>
    <w:div w:id="1207595701">
      <w:bodyDiv w:val="1"/>
      <w:marLeft w:val="0"/>
      <w:marRight w:val="0"/>
      <w:marTop w:val="0"/>
      <w:marBottom w:val="0"/>
      <w:divBdr>
        <w:top w:val="none" w:sz="0" w:space="0" w:color="auto"/>
        <w:left w:val="none" w:sz="0" w:space="0" w:color="auto"/>
        <w:bottom w:val="none" w:sz="0" w:space="0" w:color="auto"/>
        <w:right w:val="none" w:sz="0" w:space="0" w:color="auto"/>
      </w:divBdr>
    </w:div>
    <w:div w:id="1209336842">
      <w:bodyDiv w:val="1"/>
      <w:marLeft w:val="0"/>
      <w:marRight w:val="0"/>
      <w:marTop w:val="0"/>
      <w:marBottom w:val="0"/>
      <w:divBdr>
        <w:top w:val="none" w:sz="0" w:space="0" w:color="auto"/>
        <w:left w:val="none" w:sz="0" w:space="0" w:color="auto"/>
        <w:bottom w:val="none" w:sz="0" w:space="0" w:color="auto"/>
        <w:right w:val="none" w:sz="0" w:space="0" w:color="auto"/>
      </w:divBdr>
    </w:div>
    <w:div w:id="1212186151">
      <w:bodyDiv w:val="1"/>
      <w:marLeft w:val="0"/>
      <w:marRight w:val="0"/>
      <w:marTop w:val="0"/>
      <w:marBottom w:val="0"/>
      <w:divBdr>
        <w:top w:val="none" w:sz="0" w:space="0" w:color="auto"/>
        <w:left w:val="none" w:sz="0" w:space="0" w:color="auto"/>
        <w:bottom w:val="none" w:sz="0" w:space="0" w:color="auto"/>
        <w:right w:val="none" w:sz="0" w:space="0" w:color="auto"/>
      </w:divBdr>
    </w:div>
    <w:div w:id="1216432964">
      <w:bodyDiv w:val="1"/>
      <w:marLeft w:val="0"/>
      <w:marRight w:val="0"/>
      <w:marTop w:val="0"/>
      <w:marBottom w:val="0"/>
      <w:divBdr>
        <w:top w:val="none" w:sz="0" w:space="0" w:color="auto"/>
        <w:left w:val="none" w:sz="0" w:space="0" w:color="auto"/>
        <w:bottom w:val="none" w:sz="0" w:space="0" w:color="auto"/>
        <w:right w:val="none" w:sz="0" w:space="0" w:color="auto"/>
      </w:divBdr>
    </w:div>
    <w:div w:id="1222205768">
      <w:bodyDiv w:val="1"/>
      <w:marLeft w:val="0"/>
      <w:marRight w:val="0"/>
      <w:marTop w:val="0"/>
      <w:marBottom w:val="0"/>
      <w:divBdr>
        <w:top w:val="none" w:sz="0" w:space="0" w:color="auto"/>
        <w:left w:val="none" w:sz="0" w:space="0" w:color="auto"/>
        <w:bottom w:val="none" w:sz="0" w:space="0" w:color="auto"/>
        <w:right w:val="none" w:sz="0" w:space="0" w:color="auto"/>
      </w:divBdr>
    </w:div>
    <w:div w:id="1226912695">
      <w:bodyDiv w:val="1"/>
      <w:marLeft w:val="0"/>
      <w:marRight w:val="0"/>
      <w:marTop w:val="0"/>
      <w:marBottom w:val="0"/>
      <w:divBdr>
        <w:top w:val="none" w:sz="0" w:space="0" w:color="auto"/>
        <w:left w:val="none" w:sz="0" w:space="0" w:color="auto"/>
        <w:bottom w:val="none" w:sz="0" w:space="0" w:color="auto"/>
        <w:right w:val="none" w:sz="0" w:space="0" w:color="auto"/>
      </w:divBdr>
    </w:div>
    <w:div w:id="1231504786">
      <w:bodyDiv w:val="1"/>
      <w:marLeft w:val="0"/>
      <w:marRight w:val="0"/>
      <w:marTop w:val="0"/>
      <w:marBottom w:val="0"/>
      <w:divBdr>
        <w:top w:val="none" w:sz="0" w:space="0" w:color="auto"/>
        <w:left w:val="none" w:sz="0" w:space="0" w:color="auto"/>
        <w:bottom w:val="none" w:sz="0" w:space="0" w:color="auto"/>
        <w:right w:val="none" w:sz="0" w:space="0" w:color="auto"/>
      </w:divBdr>
    </w:div>
    <w:div w:id="1235820965">
      <w:bodyDiv w:val="1"/>
      <w:marLeft w:val="0"/>
      <w:marRight w:val="0"/>
      <w:marTop w:val="0"/>
      <w:marBottom w:val="0"/>
      <w:divBdr>
        <w:top w:val="none" w:sz="0" w:space="0" w:color="auto"/>
        <w:left w:val="none" w:sz="0" w:space="0" w:color="auto"/>
        <w:bottom w:val="none" w:sz="0" w:space="0" w:color="auto"/>
        <w:right w:val="none" w:sz="0" w:space="0" w:color="auto"/>
      </w:divBdr>
    </w:div>
    <w:div w:id="1236629521">
      <w:bodyDiv w:val="1"/>
      <w:marLeft w:val="0"/>
      <w:marRight w:val="0"/>
      <w:marTop w:val="0"/>
      <w:marBottom w:val="0"/>
      <w:divBdr>
        <w:top w:val="none" w:sz="0" w:space="0" w:color="auto"/>
        <w:left w:val="none" w:sz="0" w:space="0" w:color="auto"/>
        <w:bottom w:val="none" w:sz="0" w:space="0" w:color="auto"/>
        <w:right w:val="none" w:sz="0" w:space="0" w:color="auto"/>
      </w:divBdr>
    </w:div>
    <w:div w:id="1238248056">
      <w:bodyDiv w:val="1"/>
      <w:marLeft w:val="0"/>
      <w:marRight w:val="0"/>
      <w:marTop w:val="0"/>
      <w:marBottom w:val="0"/>
      <w:divBdr>
        <w:top w:val="none" w:sz="0" w:space="0" w:color="auto"/>
        <w:left w:val="none" w:sz="0" w:space="0" w:color="auto"/>
        <w:bottom w:val="none" w:sz="0" w:space="0" w:color="auto"/>
        <w:right w:val="none" w:sz="0" w:space="0" w:color="auto"/>
      </w:divBdr>
    </w:div>
    <w:div w:id="1243223455">
      <w:bodyDiv w:val="1"/>
      <w:marLeft w:val="0"/>
      <w:marRight w:val="0"/>
      <w:marTop w:val="0"/>
      <w:marBottom w:val="0"/>
      <w:divBdr>
        <w:top w:val="none" w:sz="0" w:space="0" w:color="auto"/>
        <w:left w:val="none" w:sz="0" w:space="0" w:color="auto"/>
        <w:bottom w:val="none" w:sz="0" w:space="0" w:color="auto"/>
        <w:right w:val="none" w:sz="0" w:space="0" w:color="auto"/>
      </w:divBdr>
    </w:div>
    <w:div w:id="1251044858">
      <w:bodyDiv w:val="1"/>
      <w:marLeft w:val="0"/>
      <w:marRight w:val="0"/>
      <w:marTop w:val="0"/>
      <w:marBottom w:val="0"/>
      <w:divBdr>
        <w:top w:val="none" w:sz="0" w:space="0" w:color="auto"/>
        <w:left w:val="none" w:sz="0" w:space="0" w:color="auto"/>
        <w:bottom w:val="none" w:sz="0" w:space="0" w:color="auto"/>
        <w:right w:val="none" w:sz="0" w:space="0" w:color="auto"/>
      </w:divBdr>
    </w:div>
    <w:div w:id="1251234638">
      <w:bodyDiv w:val="1"/>
      <w:marLeft w:val="0"/>
      <w:marRight w:val="0"/>
      <w:marTop w:val="0"/>
      <w:marBottom w:val="0"/>
      <w:divBdr>
        <w:top w:val="none" w:sz="0" w:space="0" w:color="auto"/>
        <w:left w:val="none" w:sz="0" w:space="0" w:color="auto"/>
        <w:bottom w:val="none" w:sz="0" w:space="0" w:color="auto"/>
        <w:right w:val="none" w:sz="0" w:space="0" w:color="auto"/>
      </w:divBdr>
    </w:div>
    <w:div w:id="1253081051">
      <w:bodyDiv w:val="1"/>
      <w:marLeft w:val="0"/>
      <w:marRight w:val="0"/>
      <w:marTop w:val="0"/>
      <w:marBottom w:val="0"/>
      <w:divBdr>
        <w:top w:val="none" w:sz="0" w:space="0" w:color="auto"/>
        <w:left w:val="none" w:sz="0" w:space="0" w:color="auto"/>
        <w:bottom w:val="none" w:sz="0" w:space="0" w:color="auto"/>
        <w:right w:val="none" w:sz="0" w:space="0" w:color="auto"/>
      </w:divBdr>
    </w:div>
    <w:div w:id="1267932767">
      <w:bodyDiv w:val="1"/>
      <w:marLeft w:val="0"/>
      <w:marRight w:val="0"/>
      <w:marTop w:val="0"/>
      <w:marBottom w:val="0"/>
      <w:divBdr>
        <w:top w:val="none" w:sz="0" w:space="0" w:color="auto"/>
        <w:left w:val="none" w:sz="0" w:space="0" w:color="auto"/>
        <w:bottom w:val="none" w:sz="0" w:space="0" w:color="auto"/>
        <w:right w:val="none" w:sz="0" w:space="0" w:color="auto"/>
      </w:divBdr>
    </w:div>
    <w:div w:id="1277175178">
      <w:bodyDiv w:val="1"/>
      <w:marLeft w:val="0"/>
      <w:marRight w:val="0"/>
      <w:marTop w:val="0"/>
      <w:marBottom w:val="0"/>
      <w:divBdr>
        <w:top w:val="none" w:sz="0" w:space="0" w:color="auto"/>
        <w:left w:val="none" w:sz="0" w:space="0" w:color="auto"/>
        <w:bottom w:val="none" w:sz="0" w:space="0" w:color="auto"/>
        <w:right w:val="none" w:sz="0" w:space="0" w:color="auto"/>
      </w:divBdr>
    </w:div>
    <w:div w:id="1277441426">
      <w:bodyDiv w:val="1"/>
      <w:marLeft w:val="0"/>
      <w:marRight w:val="0"/>
      <w:marTop w:val="0"/>
      <w:marBottom w:val="0"/>
      <w:divBdr>
        <w:top w:val="none" w:sz="0" w:space="0" w:color="auto"/>
        <w:left w:val="none" w:sz="0" w:space="0" w:color="auto"/>
        <w:bottom w:val="none" w:sz="0" w:space="0" w:color="auto"/>
        <w:right w:val="none" w:sz="0" w:space="0" w:color="auto"/>
      </w:divBdr>
    </w:div>
    <w:div w:id="1280256699">
      <w:bodyDiv w:val="1"/>
      <w:marLeft w:val="0"/>
      <w:marRight w:val="0"/>
      <w:marTop w:val="0"/>
      <w:marBottom w:val="0"/>
      <w:divBdr>
        <w:top w:val="none" w:sz="0" w:space="0" w:color="auto"/>
        <w:left w:val="none" w:sz="0" w:space="0" w:color="auto"/>
        <w:bottom w:val="none" w:sz="0" w:space="0" w:color="auto"/>
        <w:right w:val="none" w:sz="0" w:space="0" w:color="auto"/>
      </w:divBdr>
    </w:div>
    <w:div w:id="1293443017">
      <w:bodyDiv w:val="1"/>
      <w:marLeft w:val="0"/>
      <w:marRight w:val="0"/>
      <w:marTop w:val="0"/>
      <w:marBottom w:val="0"/>
      <w:divBdr>
        <w:top w:val="none" w:sz="0" w:space="0" w:color="auto"/>
        <w:left w:val="none" w:sz="0" w:space="0" w:color="auto"/>
        <w:bottom w:val="none" w:sz="0" w:space="0" w:color="auto"/>
        <w:right w:val="none" w:sz="0" w:space="0" w:color="auto"/>
      </w:divBdr>
    </w:div>
    <w:div w:id="1295061423">
      <w:bodyDiv w:val="1"/>
      <w:marLeft w:val="0"/>
      <w:marRight w:val="0"/>
      <w:marTop w:val="0"/>
      <w:marBottom w:val="0"/>
      <w:divBdr>
        <w:top w:val="none" w:sz="0" w:space="0" w:color="auto"/>
        <w:left w:val="none" w:sz="0" w:space="0" w:color="auto"/>
        <w:bottom w:val="none" w:sz="0" w:space="0" w:color="auto"/>
        <w:right w:val="none" w:sz="0" w:space="0" w:color="auto"/>
      </w:divBdr>
    </w:div>
    <w:div w:id="1301423588">
      <w:bodyDiv w:val="1"/>
      <w:marLeft w:val="0"/>
      <w:marRight w:val="0"/>
      <w:marTop w:val="0"/>
      <w:marBottom w:val="0"/>
      <w:divBdr>
        <w:top w:val="none" w:sz="0" w:space="0" w:color="auto"/>
        <w:left w:val="none" w:sz="0" w:space="0" w:color="auto"/>
        <w:bottom w:val="none" w:sz="0" w:space="0" w:color="auto"/>
        <w:right w:val="none" w:sz="0" w:space="0" w:color="auto"/>
      </w:divBdr>
    </w:div>
    <w:div w:id="1307591348">
      <w:bodyDiv w:val="1"/>
      <w:marLeft w:val="0"/>
      <w:marRight w:val="0"/>
      <w:marTop w:val="0"/>
      <w:marBottom w:val="0"/>
      <w:divBdr>
        <w:top w:val="none" w:sz="0" w:space="0" w:color="auto"/>
        <w:left w:val="none" w:sz="0" w:space="0" w:color="auto"/>
        <w:bottom w:val="none" w:sz="0" w:space="0" w:color="auto"/>
        <w:right w:val="none" w:sz="0" w:space="0" w:color="auto"/>
      </w:divBdr>
    </w:div>
    <w:div w:id="1323119627">
      <w:bodyDiv w:val="1"/>
      <w:marLeft w:val="0"/>
      <w:marRight w:val="0"/>
      <w:marTop w:val="0"/>
      <w:marBottom w:val="0"/>
      <w:divBdr>
        <w:top w:val="none" w:sz="0" w:space="0" w:color="auto"/>
        <w:left w:val="none" w:sz="0" w:space="0" w:color="auto"/>
        <w:bottom w:val="none" w:sz="0" w:space="0" w:color="auto"/>
        <w:right w:val="none" w:sz="0" w:space="0" w:color="auto"/>
      </w:divBdr>
    </w:div>
    <w:div w:id="1325932171">
      <w:bodyDiv w:val="1"/>
      <w:marLeft w:val="0"/>
      <w:marRight w:val="0"/>
      <w:marTop w:val="0"/>
      <w:marBottom w:val="0"/>
      <w:divBdr>
        <w:top w:val="none" w:sz="0" w:space="0" w:color="auto"/>
        <w:left w:val="none" w:sz="0" w:space="0" w:color="auto"/>
        <w:bottom w:val="none" w:sz="0" w:space="0" w:color="auto"/>
        <w:right w:val="none" w:sz="0" w:space="0" w:color="auto"/>
      </w:divBdr>
    </w:div>
    <w:div w:id="1327320321">
      <w:bodyDiv w:val="1"/>
      <w:marLeft w:val="0"/>
      <w:marRight w:val="0"/>
      <w:marTop w:val="0"/>
      <w:marBottom w:val="0"/>
      <w:divBdr>
        <w:top w:val="none" w:sz="0" w:space="0" w:color="auto"/>
        <w:left w:val="none" w:sz="0" w:space="0" w:color="auto"/>
        <w:bottom w:val="none" w:sz="0" w:space="0" w:color="auto"/>
        <w:right w:val="none" w:sz="0" w:space="0" w:color="auto"/>
      </w:divBdr>
    </w:div>
    <w:div w:id="1328748755">
      <w:bodyDiv w:val="1"/>
      <w:marLeft w:val="0"/>
      <w:marRight w:val="0"/>
      <w:marTop w:val="0"/>
      <w:marBottom w:val="0"/>
      <w:divBdr>
        <w:top w:val="none" w:sz="0" w:space="0" w:color="auto"/>
        <w:left w:val="none" w:sz="0" w:space="0" w:color="auto"/>
        <w:bottom w:val="none" w:sz="0" w:space="0" w:color="auto"/>
        <w:right w:val="none" w:sz="0" w:space="0" w:color="auto"/>
      </w:divBdr>
    </w:div>
    <w:div w:id="1329288968">
      <w:bodyDiv w:val="1"/>
      <w:marLeft w:val="0"/>
      <w:marRight w:val="0"/>
      <w:marTop w:val="0"/>
      <w:marBottom w:val="0"/>
      <w:divBdr>
        <w:top w:val="none" w:sz="0" w:space="0" w:color="auto"/>
        <w:left w:val="none" w:sz="0" w:space="0" w:color="auto"/>
        <w:bottom w:val="none" w:sz="0" w:space="0" w:color="auto"/>
        <w:right w:val="none" w:sz="0" w:space="0" w:color="auto"/>
      </w:divBdr>
      <w:divsChild>
        <w:div w:id="1885408716">
          <w:marLeft w:val="0"/>
          <w:marRight w:val="0"/>
          <w:marTop w:val="0"/>
          <w:marBottom w:val="0"/>
          <w:divBdr>
            <w:top w:val="none" w:sz="0" w:space="0" w:color="auto"/>
            <w:left w:val="none" w:sz="0" w:space="0" w:color="auto"/>
            <w:bottom w:val="none" w:sz="0" w:space="0" w:color="auto"/>
            <w:right w:val="none" w:sz="0" w:space="0" w:color="auto"/>
          </w:divBdr>
          <w:divsChild>
            <w:div w:id="214898339">
              <w:marLeft w:val="0"/>
              <w:marRight w:val="0"/>
              <w:marTop w:val="0"/>
              <w:marBottom w:val="0"/>
              <w:divBdr>
                <w:top w:val="none" w:sz="0" w:space="0" w:color="auto"/>
                <w:left w:val="none" w:sz="0" w:space="0" w:color="auto"/>
                <w:bottom w:val="none" w:sz="0" w:space="0" w:color="auto"/>
                <w:right w:val="none" w:sz="0" w:space="0" w:color="auto"/>
              </w:divBdr>
              <w:divsChild>
                <w:div w:id="1400009600">
                  <w:marLeft w:val="0"/>
                  <w:marRight w:val="0"/>
                  <w:marTop w:val="0"/>
                  <w:marBottom w:val="0"/>
                  <w:divBdr>
                    <w:top w:val="none" w:sz="0" w:space="0" w:color="auto"/>
                    <w:left w:val="none" w:sz="0" w:space="0" w:color="auto"/>
                    <w:bottom w:val="none" w:sz="0" w:space="0" w:color="auto"/>
                    <w:right w:val="none" w:sz="0" w:space="0" w:color="auto"/>
                  </w:divBdr>
                  <w:divsChild>
                    <w:div w:id="179129471">
                      <w:marLeft w:val="0"/>
                      <w:marRight w:val="0"/>
                      <w:marTop w:val="0"/>
                      <w:marBottom w:val="0"/>
                      <w:divBdr>
                        <w:top w:val="none" w:sz="0" w:space="0" w:color="auto"/>
                        <w:left w:val="none" w:sz="0" w:space="0" w:color="auto"/>
                        <w:bottom w:val="none" w:sz="0" w:space="0" w:color="auto"/>
                        <w:right w:val="none" w:sz="0" w:space="0" w:color="auto"/>
                      </w:divBdr>
                      <w:divsChild>
                        <w:div w:id="1256522142">
                          <w:marLeft w:val="0"/>
                          <w:marRight w:val="0"/>
                          <w:marTop w:val="0"/>
                          <w:marBottom w:val="0"/>
                          <w:divBdr>
                            <w:top w:val="none" w:sz="0" w:space="0" w:color="auto"/>
                            <w:left w:val="none" w:sz="0" w:space="0" w:color="auto"/>
                            <w:bottom w:val="none" w:sz="0" w:space="0" w:color="auto"/>
                            <w:right w:val="none" w:sz="0" w:space="0" w:color="auto"/>
                          </w:divBdr>
                          <w:divsChild>
                            <w:div w:id="103916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758790">
      <w:bodyDiv w:val="1"/>
      <w:marLeft w:val="0"/>
      <w:marRight w:val="0"/>
      <w:marTop w:val="0"/>
      <w:marBottom w:val="0"/>
      <w:divBdr>
        <w:top w:val="none" w:sz="0" w:space="0" w:color="auto"/>
        <w:left w:val="none" w:sz="0" w:space="0" w:color="auto"/>
        <w:bottom w:val="none" w:sz="0" w:space="0" w:color="auto"/>
        <w:right w:val="none" w:sz="0" w:space="0" w:color="auto"/>
      </w:divBdr>
    </w:div>
    <w:div w:id="1333995348">
      <w:bodyDiv w:val="1"/>
      <w:marLeft w:val="0"/>
      <w:marRight w:val="0"/>
      <w:marTop w:val="0"/>
      <w:marBottom w:val="0"/>
      <w:divBdr>
        <w:top w:val="none" w:sz="0" w:space="0" w:color="auto"/>
        <w:left w:val="none" w:sz="0" w:space="0" w:color="auto"/>
        <w:bottom w:val="none" w:sz="0" w:space="0" w:color="auto"/>
        <w:right w:val="none" w:sz="0" w:space="0" w:color="auto"/>
      </w:divBdr>
    </w:div>
    <w:div w:id="1345324648">
      <w:bodyDiv w:val="1"/>
      <w:marLeft w:val="0"/>
      <w:marRight w:val="0"/>
      <w:marTop w:val="0"/>
      <w:marBottom w:val="0"/>
      <w:divBdr>
        <w:top w:val="none" w:sz="0" w:space="0" w:color="auto"/>
        <w:left w:val="none" w:sz="0" w:space="0" w:color="auto"/>
        <w:bottom w:val="none" w:sz="0" w:space="0" w:color="auto"/>
        <w:right w:val="none" w:sz="0" w:space="0" w:color="auto"/>
      </w:divBdr>
    </w:div>
    <w:div w:id="1348630127">
      <w:bodyDiv w:val="1"/>
      <w:marLeft w:val="0"/>
      <w:marRight w:val="0"/>
      <w:marTop w:val="0"/>
      <w:marBottom w:val="0"/>
      <w:divBdr>
        <w:top w:val="none" w:sz="0" w:space="0" w:color="auto"/>
        <w:left w:val="none" w:sz="0" w:space="0" w:color="auto"/>
        <w:bottom w:val="none" w:sz="0" w:space="0" w:color="auto"/>
        <w:right w:val="none" w:sz="0" w:space="0" w:color="auto"/>
      </w:divBdr>
    </w:div>
    <w:div w:id="1353918681">
      <w:bodyDiv w:val="1"/>
      <w:marLeft w:val="0"/>
      <w:marRight w:val="0"/>
      <w:marTop w:val="0"/>
      <w:marBottom w:val="0"/>
      <w:divBdr>
        <w:top w:val="none" w:sz="0" w:space="0" w:color="auto"/>
        <w:left w:val="none" w:sz="0" w:space="0" w:color="auto"/>
        <w:bottom w:val="none" w:sz="0" w:space="0" w:color="auto"/>
        <w:right w:val="none" w:sz="0" w:space="0" w:color="auto"/>
      </w:divBdr>
    </w:div>
    <w:div w:id="1362629633">
      <w:bodyDiv w:val="1"/>
      <w:marLeft w:val="0"/>
      <w:marRight w:val="0"/>
      <w:marTop w:val="0"/>
      <w:marBottom w:val="0"/>
      <w:divBdr>
        <w:top w:val="none" w:sz="0" w:space="0" w:color="auto"/>
        <w:left w:val="none" w:sz="0" w:space="0" w:color="auto"/>
        <w:bottom w:val="none" w:sz="0" w:space="0" w:color="auto"/>
        <w:right w:val="none" w:sz="0" w:space="0" w:color="auto"/>
      </w:divBdr>
    </w:div>
    <w:div w:id="1364477891">
      <w:bodyDiv w:val="1"/>
      <w:marLeft w:val="0"/>
      <w:marRight w:val="0"/>
      <w:marTop w:val="0"/>
      <w:marBottom w:val="0"/>
      <w:divBdr>
        <w:top w:val="none" w:sz="0" w:space="0" w:color="auto"/>
        <w:left w:val="none" w:sz="0" w:space="0" w:color="auto"/>
        <w:bottom w:val="none" w:sz="0" w:space="0" w:color="auto"/>
        <w:right w:val="none" w:sz="0" w:space="0" w:color="auto"/>
      </w:divBdr>
    </w:div>
    <w:div w:id="1365327401">
      <w:bodyDiv w:val="1"/>
      <w:marLeft w:val="0"/>
      <w:marRight w:val="0"/>
      <w:marTop w:val="0"/>
      <w:marBottom w:val="0"/>
      <w:divBdr>
        <w:top w:val="none" w:sz="0" w:space="0" w:color="auto"/>
        <w:left w:val="none" w:sz="0" w:space="0" w:color="auto"/>
        <w:bottom w:val="none" w:sz="0" w:space="0" w:color="auto"/>
        <w:right w:val="none" w:sz="0" w:space="0" w:color="auto"/>
      </w:divBdr>
    </w:div>
    <w:div w:id="1366128841">
      <w:bodyDiv w:val="1"/>
      <w:marLeft w:val="0"/>
      <w:marRight w:val="0"/>
      <w:marTop w:val="0"/>
      <w:marBottom w:val="0"/>
      <w:divBdr>
        <w:top w:val="none" w:sz="0" w:space="0" w:color="auto"/>
        <w:left w:val="none" w:sz="0" w:space="0" w:color="auto"/>
        <w:bottom w:val="none" w:sz="0" w:space="0" w:color="auto"/>
        <w:right w:val="none" w:sz="0" w:space="0" w:color="auto"/>
      </w:divBdr>
    </w:div>
    <w:div w:id="1366296732">
      <w:bodyDiv w:val="1"/>
      <w:marLeft w:val="0"/>
      <w:marRight w:val="0"/>
      <w:marTop w:val="0"/>
      <w:marBottom w:val="0"/>
      <w:divBdr>
        <w:top w:val="none" w:sz="0" w:space="0" w:color="auto"/>
        <w:left w:val="none" w:sz="0" w:space="0" w:color="auto"/>
        <w:bottom w:val="none" w:sz="0" w:space="0" w:color="auto"/>
        <w:right w:val="none" w:sz="0" w:space="0" w:color="auto"/>
      </w:divBdr>
    </w:div>
    <w:div w:id="1366443581">
      <w:bodyDiv w:val="1"/>
      <w:marLeft w:val="0"/>
      <w:marRight w:val="0"/>
      <w:marTop w:val="0"/>
      <w:marBottom w:val="0"/>
      <w:divBdr>
        <w:top w:val="none" w:sz="0" w:space="0" w:color="auto"/>
        <w:left w:val="none" w:sz="0" w:space="0" w:color="auto"/>
        <w:bottom w:val="none" w:sz="0" w:space="0" w:color="auto"/>
        <w:right w:val="none" w:sz="0" w:space="0" w:color="auto"/>
      </w:divBdr>
    </w:div>
    <w:div w:id="1382559296">
      <w:bodyDiv w:val="1"/>
      <w:marLeft w:val="0"/>
      <w:marRight w:val="0"/>
      <w:marTop w:val="0"/>
      <w:marBottom w:val="0"/>
      <w:divBdr>
        <w:top w:val="none" w:sz="0" w:space="0" w:color="auto"/>
        <w:left w:val="none" w:sz="0" w:space="0" w:color="auto"/>
        <w:bottom w:val="none" w:sz="0" w:space="0" w:color="auto"/>
        <w:right w:val="none" w:sz="0" w:space="0" w:color="auto"/>
      </w:divBdr>
    </w:div>
    <w:div w:id="1400984784">
      <w:bodyDiv w:val="1"/>
      <w:marLeft w:val="0"/>
      <w:marRight w:val="0"/>
      <w:marTop w:val="0"/>
      <w:marBottom w:val="0"/>
      <w:divBdr>
        <w:top w:val="none" w:sz="0" w:space="0" w:color="auto"/>
        <w:left w:val="none" w:sz="0" w:space="0" w:color="auto"/>
        <w:bottom w:val="none" w:sz="0" w:space="0" w:color="auto"/>
        <w:right w:val="none" w:sz="0" w:space="0" w:color="auto"/>
      </w:divBdr>
    </w:div>
    <w:div w:id="1403523881">
      <w:bodyDiv w:val="1"/>
      <w:marLeft w:val="0"/>
      <w:marRight w:val="0"/>
      <w:marTop w:val="0"/>
      <w:marBottom w:val="0"/>
      <w:divBdr>
        <w:top w:val="none" w:sz="0" w:space="0" w:color="auto"/>
        <w:left w:val="none" w:sz="0" w:space="0" w:color="auto"/>
        <w:bottom w:val="none" w:sz="0" w:space="0" w:color="auto"/>
        <w:right w:val="none" w:sz="0" w:space="0" w:color="auto"/>
      </w:divBdr>
    </w:div>
    <w:div w:id="1403794879">
      <w:bodyDiv w:val="1"/>
      <w:marLeft w:val="0"/>
      <w:marRight w:val="0"/>
      <w:marTop w:val="0"/>
      <w:marBottom w:val="0"/>
      <w:divBdr>
        <w:top w:val="none" w:sz="0" w:space="0" w:color="auto"/>
        <w:left w:val="none" w:sz="0" w:space="0" w:color="auto"/>
        <w:bottom w:val="none" w:sz="0" w:space="0" w:color="auto"/>
        <w:right w:val="none" w:sz="0" w:space="0" w:color="auto"/>
      </w:divBdr>
    </w:div>
    <w:div w:id="1410807586">
      <w:bodyDiv w:val="1"/>
      <w:marLeft w:val="0"/>
      <w:marRight w:val="0"/>
      <w:marTop w:val="0"/>
      <w:marBottom w:val="0"/>
      <w:divBdr>
        <w:top w:val="none" w:sz="0" w:space="0" w:color="auto"/>
        <w:left w:val="none" w:sz="0" w:space="0" w:color="auto"/>
        <w:bottom w:val="none" w:sz="0" w:space="0" w:color="auto"/>
        <w:right w:val="none" w:sz="0" w:space="0" w:color="auto"/>
      </w:divBdr>
    </w:div>
    <w:div w:id="1413160700">
      <w:bodyDiv w:val="1"/>
      <w:marLeft w:val="0"/>
      <w:marRight w:val="0"/>
      <w:marTop w:val="0"/>
      <w:marBottom w:val="0"/>
      <w:divBdr>
        <w:top w:val="none" w:sz="0" w:space="0" w:color="auto"/>
        <w:left w:val="none" w:sz="0" w:space="0" w:color="auto"/>
        <w:bottom w:val="none" w:sz="0" w:space="0" w:color="auto"/>
        <w:right w:val="none" w:sz="0" w:space="0" w:color="auto"/>
      </w:divBdr>
    </w:div>
    <w:div w:id="1414740067">
      <w:bodyDiv w:val="1"/>
      <w:marLeft w:val="0"/>
      <w:marRight w:val="0"/>
      <w:marTop w:val="0"/>
      <w:marBottom w:val="0"/>
      <w:divBdr>
        <w:top w:val="none" w:sz="0" w:space="0" w:color="auto"/>
        <w:left w:val="none" w:sz="0" w:space="0" w:color="auto"/>
        <w:bottom w:val="none" w:sz="0" w:space="0" w:color="auto"/>
        <w:right w:val="none" w:sz="0" w:space="0" w:color="auto"/>
      </w:divBdr>
    </w:div>
    <w:div w:id="1427648121">
      <w:bodyDiv w:val="1"/>
      <w:marLeft w:val="0"/>
      <w:marRight w:val="0"/>
      <w:marTop w:val="0"/>
      <w:marBottom w:val="0"/>
      <w:divBdr>
        <w:top w:val="none" w:sz="0" w:space="0" w:color="auto"/>
        <w:left w:val="none" w:sz="0" w:space="0" w:color="auto"/>
        <w:bottom w:val="none" w:sz="0" w:space="0" w:color="auto"/>
        <w:right w:val="none" w:sz="0" w:space="0" w:color="auto"/>
      </w:divBdr>
    </w:div>
    <w:div w:id="1427653782">
      <w:bodyDiv w:val="1"/>
      <w:marLeft w:val="0"/>
      <w:marRight w:val="0"/>
      <w:marTop w:val="0"/>
      <w:marBottom w:val="0"/>
      <w:divBdr>
        <w:top w:val="none" w:sz="0" w:space="0" w:color="auto"/>
        <w:left w:val="none" w:sz="0" w:space="0" w:color="auto"/>
        <w:bottom w:val="none" w:sz="0" w:space="0" w:color="auto"/>
        <w:right w:val="none" w:sz="0" w:space="0" w:color="auto"/>
      </w:divBdr>
    </w:div>
    <w:div w:id="1428310276">
      <w:bodyDiv w:val="1"/>
      <w:marLeft w:val="0"/>
      <w:marRight w:val="0"/>
      <w:marTop w:val="0"/>
      <w:marBottom w:val="0"/>
      <w:divBdr>
        <w:top w:val="none" w:sz="0" w:space="0" w:color="auto"/>
        <w:left w:val="none" w:sz="0" w:space="0" w:color="auto"/>
        <w:bottom w:val="none" w:sz="0" w:space="0" w:color="auto"/>
        <w:right w:val="none" w:sz="0" w:space="0" w:color="auto"/>
      </w:divBdr>
    </w:div>
    <w:div w:id="1438142053">
      <w:bodyDiv w:val="1"/>
      <w:marLeft w:val="0"/>
      <w:marRight w:val="0"/>
      <w:marTop w:val="0"/>
      <w:marBottom w:val="0"/>
      <w:divBdr>
        <w:top w:val="none" w:sz="0" w:space="0" w:color="auto"/>
        <w:left w:val="none" w:sz="0" w:space="0" w:color="auto"/>
        <w:bottom w:val="none" w:sz="0" w:space="0" w:color="auto"/>
        <w:right w:val="none" w:sz="0" w:space="0" w:color="auto"/>
      </w:divBdr>
    </w:div>
    <w:div w:id="1440372549">
      <w:bodyDiv w:val="1"/>
      <w:marLeft w:val="0"/>
      <w:marRight w:val="0"/>
      <w:marTop w:val="0"/>
      <w:marBottom w:val="0"/>
      <w:divBdr>
        <w:top w:val="none" w:sz="0" w:space="0" w:color="auto"/>
        <w:left w:val="none" w:sz="0" w:space="0" w:color="auto"/>
        <w:bottom w:val="none" w:sz="0" w:space="0" w:color="auto"/>
        <w:right w:val="none" w:sz="0" w:space="0" w:color="auto"/>
      </w:divBdr>
    </w:div>
    <w:div w:id="1444956148">
      <w:bodyDiv w:val="1"/>
      <w:marLeft w:val="0"/>
      <w:marRight w:val="0"/>
      <w:marTop w:val="0"/>
      <w:marBottom w:val="0"/>
      <w:divBdr>
        <w:top w:val="none" w:sz="0" w:space="0" w:color="auto"/>
        <w:left w:val="none" w:sz="0" w:space="0" w:color="auto"/>
        <w:bottom w:val="none" w:sz="0" w:space="0" w:color="auto"/>
        <w:right w:val="none" w:sz="0" w:space="0" w:color="auto"/>
      </w:divBdr>
    </w:div>
    <w:div w:id="1445270920">
      <w:bodyDiv w:val="1"/>
      <w:marLeft w:val="0"/>
      <w:marRight w:val="0"/>
      <w:marTop w:val="0"/>
      <w:marBottom w:val="0"/>
      <w:divBdr>
        <w:top w:val="none" w:sz="0" w:space="0" w:color="auto"/>
        <w:left w:val="none" w:sz="0" w:space="0" w:color="auto"/>
        <w:bottom w:val="none" w:sz="0" w:space="0" w:color="auto"/>
        <w:right w:val="none" w:sz="0" w:space="0" w:color="auto"/>
      </w:divBdr>
    </w:div>
    <w:div w:id="1448038699">
      <w:bodyDiv w:val="1"/>
      <w:marLeft w:val="0"/>
      <w:marRight w:val="0"/>
      <w:marTop w:val="0"/>
      <w:marBottom w:val="0"/>
      <w:divBdr>
        <w:top w:val="none" w:sz="0" w:space="0" w:color="auto"/>
        <w:left w:val="none" w:sz="0" w:space="0" w:color="auto"/>
        <w:bottom w:val="none" w:sz="0" w:space="0" w:color="auto"/>
        <w:right w:val="none" w:sz="0" w:space="0" w:color="auto"/>
      </w:divBdr>
    </w:div>
    <w:div w:id="1452047863">
      <w:bodyDiv w:val="1"/>
      <w:marLeft w:val="0"/>
      <w:marRight w:val="0"/>
      <w:marTop w:val="0"/>
      <w:marBottom w:val="0"/>
      <w:divBdr>
        <w:top w:val="none" w:sz="0" w:space="0" w:color="auto"/>
        <w:left w:val="none" w:sz="0" w:space="0" w:color="auto"/>
        <w:bottom w:val="none" w:sz="0" w:space="0" w:color="auto"/>
        <w:right w:val="none" w:sz="0" w:space="0" w:color="auto"/>
      </w:divBdr>
    </w:div>
    <w:div w:id="1465848532">
      <w:bodyDiv w:val="1"/>
      <w:marLeft w:val="0"/>
      <w:marRight w:val="0"/>
      <w:marTop w:val="0"/>
      <w:marBottom w:val="0"/>
      <w:divBdr>
        <w:top w:val="none" w:sz="0" w:space="0" w:color="auto"/>
        <w:left w:val="none" w:sz="0" w:space="0" w:color="auto"/>
        <w:bottom w:val="none" w:sz="0" w:space="0" w:color="auto"/>
        <w:right w:val="none" w:sz="0" w:space="0" w:color="auto"/>
      </w:divBdr>
    </w:div>
    <w:div w:id="1465852340">
      <w:bodyDiv w:val="1"/>
      <w:marLeft w:val="0"/>
      <w:marRight w:val="0"/>
      <w:marTop w:val="0"/>
      <w:marBottom w:val="0"/>
      <w:divBdr>
        <w:top w:val="none" w:sz="0" w:space="0" w:color="auto"/>
        <w:left w:val="none" w:sz="0" w:space="0" w:color="auto"/>
        <w:bottom w:val="none" w:sz="0" w:space="0" w:color="auto"/>
        <w:right w:val="none" w:sz="0" w:space="0" w:color="auto"/>
      </w:divBdr>
    </w:div>
    <w:div w:id="1475365453">
      <w:bodyDiv w:val="1"/>
      <w:marLeft w:val="0"/>
      <w:marRight w:val="0"/>
      <w:marTop w:val="0"/>
      <w:marBottom w:val="0"/>
      <w:divBdr>
        <w:top w:val="none" w:sz="0" w:space="0" w:color="auto"/>
        <w:left w:val="none" w:sz="0" w:space="0" w:color="auto"/>
        <w:bottom w:val="none" w:sz="0" w:space="0" w:color="auto"/>
        <w:right w:val="none" w:sz="0" w:space="0" w:color="auto"/>
      </w:divBdr>
    </w:div>
    <w:div w:id="1480658099">
      <w:bodyDiv w:val="1"/>
      <w:marLeft w:val="0"/>
      <w:marRight w:val="0"/>
      <w:marTop w:val="0"/>
      <w:marBottom w:val="0"/>
      <w:divBdr>
        <w:top w:val="none" w:sz="0" w:space="0" w:color="auto"/>
        <w:left w:val="none" w:sz="0" w:space="0" w:color="auto"/>
        <w:bottom w:val="none" w:sz="0" w:space="0" w:color="auto"/>
        <w:right w:val="none" w:sz="0" w:space="0" w:color="auto"/>
      </w:divBdr>
    </w:div>
    <w:div w:id="1487890281">
      <w:bodyDiv w:val="1"/>
      <w:marLeft w:val="0"/>
      <w:marRight w:val="0"/>
      <w:marTop w:val="0"/>
      <w:marBottom w:val="0"/>
      <w:divBdr>
        <w:top w:val="none" w:sz="0" w:space="0" w:color="auto"/>
        <w:left w:val="none" w:sz="0" w:space="0" w:color="auto"/>
        <w:bottom w:val="none" w:sz="0" w:space="0" w:color="auto"/>
        <w:right w:val="none" w:sz="0" w:space="0" w:color="auto"/>
      </w:divBdr>
    </w:div>
    <w:div w:id="1488203914">
      <w:bodyDiv w:val="1"/>
      <w:marLeft w:val="0"/>
      <w:marRight w:val="0"/>
      <w:marTop w:val="0"/>
      <w:marBottom w:val="0"/>
      <w:divBdr>
        <w:top w:val="none" w:sz="0" w:space="0" w:color="auto"/>
        <w:left w:val="none" w:sz="0" w:space="0" w:color="auto"/>
        <w:bottom w:val="none" w:sz="0" w:space="0" w:color="auto"/>
        <w:right w:val="none" w:sz="0" w:space="0" w:color="auto"/>
      </w:divBdr>
    </w:div>
    <w:div w:id="1497458316">
      <w:bodyDiv w:val="1"/>
      <w:marLeft w:val="0"/>
      <w:marRight w:val="0"/>
      <w:marTop w:val="0"/>
      <w:marBottom w:val="0"/>
      <w:divBdr>
        <w:top w:val="none" w:sz="0" w:space="0" w:color="auto"/>
        <w:left w:val="none" w:sz="0" w:space="0" w:color="auto"/>
        <w:bottom w:val="none" w:sz="0" w:space="0" w:color="auto"/>
        <w:right w:val="none" w:sz="0" w:space="0" w:color="auto"/>
      </w:divBdr>
    </w:div>
    <w:div w:id="1500927739">
      <w:bodyDiv w:val="1"/>
      <w:marLeft w:val="0"/>
      <w:marRight w:val="0"/>
      <w:marTop w:val="0"/>
      <w:marBottom w:val="0"/>
      <w:divBdr>
        <w:top w:val="none" w:sz="0" w:space="0" w:color="auto"/>
        <w:left w:val="none" w:sz="0" w:space="0" w:color="auto"/>
        <w:bottom w:val="none" w:sz="0" w:space="0" w:color="auto"/>
        <w:right w:val="none" w:sz="0" w:space="0" w:color="auto"/>
      </w:divBdr>
    </w:div>
    <w:div w:id="1501000695">
      <w:bodyDiv w:val="1"/>
      <w:marLeft w:val="0"/>
      <w:marRight w:val="0"/>
      <w:marTop w:val="0"/>
      <w:marBottom w:val="0"/>
      <w:divBdr>
        <w:top w:val="none" w:sz="0" w:space="0" w:color="auto"/>
        <w:left w:val="none" w:sz="0" w:space="0" w:color="auto"/>
        <w:bottom w:val="none" w:sz="0" w:space="0" w:color="auto"/>
        <w:right w:val="none" w:sz="0" w:space="0" w:color="auto"/>
      </w:divBdr>
    </w:div>
    <w:div w:id="1502624762">
      <w:bodyDiv w:val="1"/>
      <w:marLeft w:val="0"/>
      <w:marRight w:val="0"/>
      <w:marTop w:val="0"/>
      <w:marBottom w:val="0"/>
      <w:divBdr>
        <w:top w:val="none" w:sz="0" w:space="0" w:color="auto"/>
        <w:left w:val="none" w:sz="0" w:space="0" w:color="auto"/>
        <w:bottom w:val="none" w:sz="0" w:space="0" w:color="auto"/>
        <w:right w:val="none" w:sz="0" w:space="0" w:color="auto"/>
      </w:divBdr>
    </w:div>
    <w:div w:id="1503935455">
      <w:bodyDiv w:val="1"/>
      <w:marLeft w:val="0"/>
      <w:marRight w:val="0"/>
      <w:marTop w:val="0"/>
      <w:marBottom w:val="0"/>
      <w:divBdr>
        <w:top w:val="none" w:sz="0" w:space="0" w:color="auto"/>
        <w:left w:val="none" w:sz="0" w:space="0" w:color="auto"/>
        <w:bottom w:val="none" w:sz="0" w:space="0" w:color="auto"/>
        <w:right w:val="none" w:sz="0" w:space="0" w:color="auto"/>
      </w:divBdr>
    </w:div>
    <w:div w:id="1513685001">
      <w:bodyDiv w:val="1"/>
      <w:marLeft w:val="0"/>
      <w:marRight w:val="0"/>
      <w:marTop w:val="0"/>
      <w:marBottom w:val="0"/>
      <w:divBdr>
        <w:top w:val="none" w:sz="0" w:space="0" w:color="auto"/>
        <w:left w:val="none" w:sz="0" w:space="0" w:color="auto"/>
        <w:bottom w:val="none" w:sz="0" w:space="0" w:color="auto"/>
        <w:right w:val="none" w:sz="0" w:space="0" w:color="auto"/>
      </w:divBdr>
    </w:div>
    <w:div w:id="1524172375">
      <w:bodyDiv w:val="1"/>
      <w:marLeft w:val="0"/>
      <w:marRight w:val="0"/>
      <w:marTop w:val="0"/>
      <w:marBottom w:val="0"/>
      <w:divBdr>
        <w:top w:val="none" w:sz="0" w:space="0" w:color="auto"/>
        <w:left w:val="none" w:sz="0" w:space="0" w:color="auto"/>
        <w:bottom w:val="none" w:sz="0" w:space="0" w:color="auto"/>
        <w:right w:val="none" w:sz="0" w:space="0" w:color="auto"/>
      </w:divBdr>
    </w:div>
    <w:div w:id="1527791119">
      <w:bodyDiv w:val="1"/>
      <w:marLeft w:val="0"/>
      <w:marRight w:val="0"/>
      <w:marTop w:val="0"/>
      <w:marBottom w:val="0"/>
      <w:divBdr>
        <w:top w:val="none" w:sz="0" w:space="0" w:color="auto"/>
        <w:left w:val="none" w:sz="0" w:space="0" w:color="auto"/>
        <w:bottom w:val="none" w:sz="0" w:space="0" w:color="auto"/>
        <w:right w:val="none" w:sz="0" w:space="0" w:color="auto"/>
      </w:divBdr>
    </w:div>
    <w:div w:id="1533230292">
      <w:bodyDiv w:val="1"/>
      <w:marLeft w:val="0"/>
      <w:marRight w:val="0"/>
      <w:marTop w:val="0"/>
      <w:marBottom w:val="0"/>
      <w:divBdr>
        <w:top w:val="none" w:sz="0" w:space="0" w:color="auto"/>
        <w:left w:val="none" w:sz="0" w:space="0" w:color="auto"/>
        <w:bottom w:val="none" w:sz="0" w:space="0" w:color="auto"/>
        <w:right w:val="none" w:sz="0" w:space="0" w:color="auto"/>
      </w:divBdr>
    </w:div>
    <w:div w:id="1533688207">
      <w:bodyDiv w:val="1"/>
      <w:marLeft w:val="0"/>
      <w:marRight w:val="0"/>
      <w:marTop w:val="0"/>
      <w:marBottom w:val="0"/>
      <w:divBdr>
        <w:top w:val="none" w:sz="0" w:space="0" w:color="auto"/>
        <w:left w:val="none" w:sz="0" w:space="0" w:color="auto"/>
        <w:bottom w:val="none" w:sz="0" w:space="0" w:color="auto"/>
        <w:right w:val="none" w:sz="0" w:space="0" w:color="auto"/>
      </w:divBdr>
    </w:div>
    <w:div w:id="1537156651">
      <w:bodyDiv w:val="1"/>
      <w:marLeft w:val="0"/>
      <w:marRight w:val="0"/>
      <w:marTop w:val="0"/>
      <w:marBottom w:val="0"/>
      <w:divBdr>
        <w:top w:val="none" w:sz="0" w:space="0" w:color="auto"/>
        <w:left w:val="none" w:sz="0" w:space="0" w:color="auto"/>
        <w:bottom w:val="none" w:sz="0" w:space="0" w:color="auto"/>
        <w:right w:val="none" w:sz="0" w:space="0" w:color="auto"/>
      </w:divBdr>
    </w:div>
    <w:div w:id="1538273320">
      <w:bodyDiv w:val="1"/>
      <w:marLeft w:val="0"/>
      <w:marRight w:val="0"/>
      <w:marTop w:val="0"/>
      <w:marBottom w:val="0"/>
      <w:divBdr>
        <w:top w:val="none" w:sz="0" w:space="0" w:color="auto"/>
        <w:left w:val="none" w:sz="0" w:space="0" w:color="auto"/>
        <w:bottom w:val="none" w:sz="0" w:space="0" w:color="auto"/>
        <w:right w:val="none" w:sz="0" w:space="0" w:color="auto"/>
      </w:divBdr>
    </w:div>
    <w:div w:id="1541819768">
      <w:bodyDiv w:val="1"/>
      <w:marLeft w:val="0"/>
      <w:marRight w:val="0"/>
      <w:marTop w:val="0"/>
      <w:marBottom w:val="0"/>
      <w:divBdr>
        <w:top w:val="none" w:sz="0" w:space="0" w:color="auto"/>
        <w:left w:val="none" w:sz="0" w:space="0" w:color="auto"/>
        <w:bottom w:val="none" w:sz="0" w:space="0" w:color="auto"/>
        <w:right w:val="none" w:sz="0" w:space="0" w:color="auto"/>
      </w:divBdr>
    </w:div>
    <w:div w:id="1542356679">
      <w:bodyDiv w:val="1"/>
      <w:marLeft w:val="0"/>
      <w:marRight w:val="0"/>
      <w:marTop w:val="0"/>
      <w:marBottom w:val="0"/>
      <w:divBdr>
        <w:top w:val="none" w:sz="0" w:space="0" w:color="auto"/>
        <w:left w:val="none" w:sz="0" w:space="0" w:color="auto"/>
        <w:bottom w:val="none" w:sz="0" w:space="0" w:color="auto"/>
        <w:right w:val="none" w:sz="0" w:space="0" w:color="auto"/>
      </w:divBdr>
    </w:div>
    <w:div w:id="1542666817">
      <w:bodyDiv w:val="1"/>
      <w:marLeft w:val="0"/>
      <w:marRight w:val="0"/>
      <w:marTop w:val="0"/>
      <w:marBottom w:val="0"/>
      <w:divBdr>
        <w:top w:val="none" w:sz="0" w:space="0" w:color="auto"/>
        <w:left w:val="none" w:sz="0" w:space="0" w:color="auto"/>
        <w:bottom w:val="none" w:sz="0" w:space="0" w:color="auto"/>
        <w:right w:val="none" w:sz="0" w:space="0" w:color="auto"/>
      </w:divBdr>
    </w:div>
    <w:div w:id="1542672342">
      <w:bodyDiv w:val="1"/>
      <w:marLeft w:val="0"/>
      <w:marRight w:val="0"/>
      <w:marTop w:val="0"/>
      <w:marBottom w:val="0"/>
      <w:divBdr>
        <w:top w:val="none" w:sz="0" w:space="0" w:color="auto"/>
        <w:left w:val="none" w:sz="0" w:space="0" w:color="auto"/>
        <w:bottom w:val="none" w:sz="0" w:space="0" w:color="auto"/>
        <w:right w:val="none" w:sz="0" w:space="0" w:color="auto"/>
      </w:divBdr>
    </w:div>
    <w:div w:id="1544827461">
      <w:bodyDiv w:val="1"/>
      <w:marLeft w:val="0"/>
      <w:marRight w:val="0"/>
      <w:marTop w:val="0"/>
      <w:marBottom w:val="0"/>
      <w:divBdr>
        <w:top w:val="none" w:sz="0" w:space="0" w:color="auto"/>
        <w:left w:val="none" w:sz="0" w:space="0" w:color="auto"/>
        <w:bottom w:val="none" w:sz="0" w:space="0" w:color="auto"/>
        <w:right w:val="none" w:sz="0" w:space="0" w:color="auto"/>
      </w:divBdr>
    </w:div>
    <w:div w:id="1554074134">
      <w:bodyDiv w:val="1"/>
      <w:marLeft w:val="0"/>
      <w:marRight w:val="0"/>
      <w:marTop w:val="0"/>
      <w:marBottom w:val="0"/>
      <w:divBdr>
        <w:top w:val="none" w:sz="0" w:space="0" w:color="auto"/>
        <w:left w:val="none" w:sz="0" w:space="0" w:color="auto"/>
        <w:bottom w:val="none" w:sz="0" w:space="0" w:color="auto"/>
        <w:right w:val="none" w:sz="0" w:space="0" w:color="auto"/>
      </w:divBdr>
    </w:div>
    <w:div w:id="1555581459">
      <w:bodyDiv w:val="1"/>
      <w:marLeft w:val="0"/>
      <w:marRight w:val="0"/>
      <w:marTop w:val="0"/>
      <w:marBottom w:val="0"/>
      <w:divBdr>
        <w:top w:val="none" w:sz="0" w:space="0" w:color="auto"/>
        <w:left w:val="none" w:sz="0" w:space="0" w:color="auto"/>
        <w:bottom w:val="none" w:sz="0" w:space="0" w:color="auto"/>
        <w:right w:val="none" w:sz="0" w:space="0" w:color="auto"/>
      </w:divBdr>
    </w:div>
    <w:div w:id="1555584114">
      <w:bodyDiv w:val="1"/>
      <w:marLeft w:val="0"/>
      <w:marRight w:val="0"/>
      <w:marTop w:val="0"/>
      <w:marBottom w:val="0"/>
      <w:divBdr>
        <w:top w:val="none" w:sz="0" w:space="0" w:color="auto"/>
        <w:left w:val="none" w:sz="0" w:space="0" w:color="auto"/>
        <w:bottom w:val="none" w:sz="0" w:space="0" w:color="auto"/>
        <w:right w:val="none" w:sz="0" w:space="0" w:color="auto"/>
      </w:divBdr>
    </w:div>
    <w:div w:id="1561406746">
      <w:bodyDiv w:val="1"/>
      <w:marLeft w:val="0"/>
      <w:marRight w:val="0"/>
      <w:marTop w:val="0"/>
      <w:marBottom w:val="0"/>
      <w:divBdr>
        <w:top w:val="none" w:sz="0" w:space="0" w:color="auto"/>
        <w:left w:val="none" w:sz="0" w:space="0" w:color="auto"/>
        <w:bottom w:val="none" w:sz="0" w:space="0" w:color="auto"/>
        <w:right w:val="none" w:sz="0" w:space="0" w:color="auto"/>
      </w:divBdr>
    </w:div>
    <w:div w:id="1562011699">
      <w:bodyDiv w:val="1"/>
      <w:marLeft w:val="0"/>
      <w:marRight w:val="0"/>
      <w:marTop w:val="0"/>
      <w:marBottom w:val="0"/>
      <w:divBdr>
        <w:top w:val="none" w:sz="0" w:space="0" w:color="auto"/>
        <w:left w:val="none" w:sz="0" w:space="0" w:color="auto"/>
        <w:bottom w:val="none" w:sz="0" w:space="0" w:color="auto"/>
        <w:right w:val="none" w:sz="0" w:space="0" w:color="auto"/>
      </w:divBdr>
    </w:div>
    <w:div w:id="1573269466">
      <w:bodyDiv w:val="1"/>
      <w:marLeft w:val="0"/>
      <w:marRight w:val="0"/>
      <w:marTop w:val="0"/>
      <w:marBottom w:val="0"/>
      <w:divBdr>
        <w:top w:val="none" w:sz="0" w:space="0" w:color="auto"/>
        <w:left w:val="none" w:sz="0" w:space="0" w:color="auto"/>
        <w:bottom w:val="none" w:sz="0" w:space="0" w:color="auto"/>
        <w:right w:val="none" w:sz="0" w:space="0" w:color="auto"/>
      </w:divBdr>
    </w:div>
    <w:div w:id="1576627137">
      <w:bodyDiv w:val="1"/>
      <w:marLeft w:val="0"/>
      <w:marRight w:val="0"/>
      <w:marTop w:val="0"/>
      <w:marBottom w:val="0"/>
      <w:divBdr>
        <w:top w:val="none" w:sz="0" w:space="0" w:color="auto"/>
        <w:left w:val="none" w:sz="0" w:space="0" w:color="auto"/>
        <w:bottom w:val="none" w:sz="0" w:space="0" w:color="auto"/>
        <w:right w:val="none" w:sz="0" w:space="0" w:color="auto"/>
      </w:divBdr>
    </w:div>
    <w:div w:id="1582711814">
      <w:bodyDiv w:val="1"/>
      <w:marLeft w:val="0"/>
      <w:marRight w:val="0"/>
      <w:marTop w:val="0"/>
      <w:marBottom w:val="0"/>
      <w:divBdr>
        <w:top w:val="none" w:sz="0" w:space="0" w:color="auto"/>
        <w:left w:val="none" w:sz="0" w:space="0" w:color="auto"/>
        <w:bottom w:val="none" w:sz="0" w:space="0" w:color="auto"/>
        <w:right w:val="none" w:sz="0" w:space="0" w:color="auto"/>
      </w:divBdr>
    </w:div>
    <w:div w:id="1587037588">
      <w:bodyDiv w:val="1"/>
      <w:marLeft w:val="0"/>
      <w:marRight w:val="0"/>
      <w:marTop w:val="0"/>
      <w:marBottom w:val="0"/>
      <w:divBdr>
        <w:top w:val="none" w:sz="0" w:space="0" w:color="auto"/>
        <w:left w:val="none" w:sz="0" w:space="0" w:color="auto"/>
        <w:bottom w:val="none" w:sz="0" w:space="0" w:color="auto"/>
        <w:right w:val="none" w:sz="0" w:space="0" w:color="auto"/>
      </w:divBdr>
    </w:div>
    <w:div w:id="1587961024">
      <w:bodyDiv w:val="1"/>
      <w:marLeft w:val="0"/>
      <w:marRight w:val="0"/>
      <w:marTop w:val="0"/>
      <w:marBottom w:val="0"/>
      <w:divBdr>
        <w:top w:val="none" w:sz="0" w:space="0" w:color="auto"/>
        <w:left w:val="none" w:sz="0" w:space="0" w:color="auto"/>
        <w:bottom w:val="none" w:sz="0" w:space="0" w:color="auto"/>
        <w:right w:val="none" w:sz="0" w:space="0" w:color="auto"/>
      </w:divBdr>
    </w:div>
    <w:div w:id="1597706934">
      <w:bodyDiv w:val="1"/>
      <w:marLeft w:val="0"/>
      <w:marRight w:val="0"/>
      <w:marTop w:val="0"/>
      <w:marBottom w:val="0"/>
      <w:divBdr>
        <w:top w:val="none" w:sz="0" w:space="0" w:color="auto"/>
        <w:left w:val="none" w:sz="0" w:space="0" w:color="auto"/>
        <w:bottom w:val="none" w:sz="0" w:space="0" w:color="auto"/>
        <w:right w:val="none" w:sz="0" w:space="0" w:color="auto"/>
      </w:divBdr>
    </w:div>
    <w:div w:id="1599948232">
      <w:bodyDiv w:val="1"/>
      <w:marLeft w:val="0"/>
      <w:marRight w:val="0"/>
      <w:marTop w:val="0"/>
      <w:marBottom w:val="0"/>
      <w:divBdr>
        <w:top w:val="none" w:sz="0" w:space="0" w:color="auto"/>
        <w:left w:val="none" w:sz="0" w:space="0" w:color="auto"/>
        <w:bottom w:val="none" w:sz="0" w:space="0" w:color="auto"/>
        <w:right w:val="none" w:sz="0" w:space="0" w:color="auto"/>
      </w:divBdr>
    </w:div>
    <w:div w:id="1600675174">
      <w:bodyDiv w:val="1"/>
      <w:marLeft w:val="0"/>
      <w:marRight w:val="0"/>
      <w:marTop w:val="0"/>
      <w:marBottom w:val="0"/>
      <w:divBdr>
        <w:top w:val="none" w:sz="0" w:space="0" w:color="auto"/>
        <w:left w:val="none" w:sz="0" w:space="0" w:color="auto"/>
        <w:bottom w:val="none" w:sz="0" w:space="0" w:color="auto"/>
        <w:right w:val="none" w:sz="0" w:space="0" w:color="auto"/>
      </w:divBdr>
    </w:div>
    <w:div w:id="1607419072">
      <w:bodyDiv w:val="1"/>
      <w:marLeft w:val="0"/>
      <w:marRight w:val="0"/>
      <w:marTop w:val="0"/>
      <w:marBottom w:val="0"/>
      <w:divBdr>
        <w:top w:val="none" w:sz="0" w:space="0" w:color="auto"/>
        <w:left w:val="none" w:sz="0" w:space="0" w:color="auto"/>
        <w:bottom w:val="none" w:sz="0" w:space="0" w:color="auto"/>
        <w:right w:val="none" w:sz="0" w:space="0" w:color="auto"/>
      </w:divBdr>
    </w:div>
    <w:div w:id="1608152679">
      <w:bodyDiv w:val="1"/>
      <w:marLeft w:val="0"/>
      <w:marRight w:val="0"/>
      <w:marTop w:val="0"/>
      <w:marBottom w:val="0"/>
      <w:divBdr>
        <w:top w:val="none" w:sz="0" w:space="0" w:color="auto"/>
        <w:left w:val="none" w:sz="0" w:space="0" w:color="auto"/>
        <w:bottom w:val="none" w:sz="0" w:space="0" w:color="auto"/>
        <w:right w:val="none" w:sz="0" w:space="0" w:color="auto"/>
      </w:divBdr>
    </w:div>
    <w:div w:id="1610547549">
      <w:bodyDiv w:val="1"/>
      <w:marLeft w:val="0"/>
      <w:marRight w:val="0"/>
      <w:marTop w:val="0"/>
      <w:marBottom w:val="0"/>
      <w:divBdr>
        <w:top w:val="none" w:sz="0" w:space="0" w:color="auto"/>
        <w:left w:val="none" w:sz="0" w:space="0" w:color="auto"/>
        <w:bottom w:val="none" w:sz="0" w:space="0" w:color="auto"/>
        <w:right w:val="none" w:sz="0" w:space="0" w:color="auto"/>
      </w:divBdr>
    </w:div>
    <w:div w:id="1611157011">
      <w:bodyDiv w:val="1"/>
      <w:marLeft w:val="0"/>
      <w:marRight w:val="0"/>
      <w:marTop w:val="0"/>
      <w:marBottom w:val="0"/>
      <w:divBdr>
        <w:top w:val="none" w:sz="0" w:space="0" w:color="auto"/>
        <w:left w:val="none" w:sz="0" w:space="0" w:color="auto"/>
        <w:bottom w:val="none" w:sz="0" w:space="0" w:color="auto"/>
        <w:right w:val="none" w:sz="0" w:space="0" w:color="auto"/>
      </w:divBdr>
    </w:div>
    <w:div w:id="1614939043">
      <w:bodyDiv w:val="1"/>
      <w:marLeft w:val="0"/>
      <w:marRight w:val="0"/>
      <w:marTop w:val="0"/>
      <w:marBottom w:val="0"/>
      <w:divBdr>
        <w:top w:val="none" w:sz="0" w:space="0" w:color="auto"/>
        <w:left w:val="none" w:sz="0" w:space="0" w:color="auto"/>
        <w:bottom w:val="none" w:sz="0" w:space="0" w:color="auto"/>
        <w:right w:val="none" w:sz="0" w:space="0" w:color="auto"/>
      </w:divBdr>
    </w:div>
    <w:div w:id="1620798435">
      <w:bodyDiv w:val="1"/>
      <w:marLeft w:val="0"/>
      <w:marRight w:val="0"/>
      <w:marTop w:val="0"/>
      <w:marBottom w:val="0"/>
      <w:divBdr>
        <w:top w:val="none" w:sz="0" w:space="0" w:color="auto"/>
        <w:left w:val="none" w:sz="0" w:space="0" w:color="auto"/>
        <w:bottom w:val="none" w:sz="0" w:space="0" w:color="auto"/>
        <w:right w:val="none" w:sz="0" w:space="0" w:color="auto"/>
      </w:divBdr>
    </w:div>
    <w:div w:id="1621833780">
      <w:bodyDiv w:val="1"/>
      <w:marLeft w:val="0"/>
      <w:marRight w:val="0"/>
      <w:marTop w:val="0"/>
      <w:marBottom w:val="0"/>
      <w:divBdr>
        <w:top w:val="none" w:sz="0" w:space="0" w:color="auto"/>
        <w:left w:val="none" w:sz="0" w:space="0" w:color="auto"/>
        <w:bottom w:val="none" w:sz="0" w:space="0" w:color="auto"/>
        <w:right w:val="none" w:sz="0" w:space="0" w:color="auto"/>
      </w:divBdr>
    </w:div>
    <w:div w:id="1623464755">
      <w:bodyDiv w:val="1"/>
      <w:marLeft w:val="0"/>
      <w:marRight w:val="0"/>
      <w:marTop w:val="0"/>
      <w:marBottom w:val="0"/>
      <w:divBdr>
        <w:top w:val="none" w:sz="0" w:space="0" w:color="auto"/>
        <w:left w:val="none" w:sz="0" w:space="0" w:color="auto"/>
        <w:bottom w:val="none" w:sz="0" w:space="0" w:color="auto"/>
        <w:right w:val="none" w:sz="0" w:space="0" w:color="auto"/>
      </w:divBdr>
    </w:div>
    <w:div w:id="1628124034">
      <w:bodyDiv w:val="1"/>
      <w:marLeft w:val="0"/>
      <w:marRight w:val="0"/>
      <w:marTop w:val="0"/>
      <w:marBottom w:val="0"/>
      <w:divBdr>
        <w:top w:val="none" w:sz="0" w:space="0" w:color="auto"/>
        <w:left w:val="none" w:sz="0" w:space="0" w:color="auto"/>
        <w:bottom w:val="none" w:sz="0" w:space="0" w:color="auto"/>
        <w:right w:val="none" w:sz="0" w:space="0" w:color="auto"/>
      </w:divBdr>
    </w:div>
    <w:div w:id="1628852056">
      <w:bodyDiv w:val="1"/>
      <w:marLeft w:val="0"/>
      <w:marRight w:val="0"/>
      <w:marTop w:val="0"/>
      <w:marBottom w:val="0"/>
      <w:divBdr>
        <w:top w:val="none" w:sz="0" w:space="0" w:color="auto"/>
        <w:left w:val="none" w:sz="0" w:space="0" w:color="auto"/>
        <w:bottom w:val="none" w:sz="0" w:space="0" w:color="auto"/>
        <w:right w:val="none" w:sz="0" w:space="0" w:color="auto"/>
      </w:divBdr>
    </w:div>
    <w:div w:id="1631669316">
      <w:bodyDiv w:val="1"/>
      <w:marLeft w:val="0"/>
      <w:marRight w:val="0"/>
      <w:marTop w:val="0"/>
      <w:marBottom w:val="0"/>
      <w:divBdr>
        <w:top w:val="none" w:sz="0" w:space="0" w:color="auto"/>
        <w:left w:val="none" w:sz="0" w:space="0" w:color="auto"/>
        <w:bottom w:val="none" w:sz="0" w:space="0" w:color="auto"/>
        <w:right w:val="none" w:sz="0" w:space="0" w:color="auto"/>
      </w:divBdr>
    </w:div>
    <w:div w:id="1640040356">
      <w:bodyDiv w:val="1"/>
      <w:marLeft w:val="0"/>
      <w:marRight w:val="0"/>
      <w:marTop w:val="0"/>
      <w:marBottom w:val="0"/>
      <w:divBdr>
        <w:top w:val="none" w:sz="0" w:space="0" w:color="auto"/>
        <w:left w:val="none" w:sz="0" w:space="0" w:color="auto"/>
        <w:bottom w:val="none" w:sz="0" w:space="0" w:color="auto"/>
        <w:right w:val="none" w:sz="0" w:space="0" w:color="auto"/>
      </w:divBdr>
    </w:div>
    <w:div w:id="1645623473">
      <w:bodyDiv w:val="1"/>
      <w:marLeft w:val="0"/>
      <w:marRight w:val="0"/>
      <w:marTop w:val="0"/>
      <w:marBottom w:val="0"/>
      <w:divBdr>
        <w:top w:val="none" w:sz="0" w:space="0" w:color="auto"/>
        <w:left w:val="none" w:sz="0" w:space="0" w:color="auto"/>
        <w:bottom w:val="none" w:sz="0" w:space="0" w:color="auto"/>
        <w:right w:val="none" w:sz="0" w:space="0" w:color="auto"/>
      </w:divBdr>
      <w:divsChild>
        <w:div w:id="2018731361">
          <w:marLeft w:val="0"/>
          <w:marRight w:val="0"/>
          <w:marTop w:val="0"/>
          <w:marBottom w:val="0"/>
          <w:divBdr>
            <w:top w:val="none" w:sz="0" w:space="0" w:color="auto"/>
            <w:left w:val="none" w:sz="0" w:space="0" w:color="auto"/>
            <w:bottom w:val="none" w:sz="0" w:space="0" w:color="auto"/>
            <w:right w:val="none" w:sz="0" w:space="0" w:color="auto"/>
          </w:divBdr>
          <w:divsChild>
            <w:div w:id="1138493684">
              <w:marLeft w:val="0"/>
              <w:marRight w:val="0"/>
              <w:marTop w:val="0"/>
              <w:marBottom w:val="0"/>
              <w:divBdr>
                <w:top w:val="none" w:sz="0" w:space="0" w:color="auto"/>
                <w:left w:val="none" w:sz="0" w:space="0" w:color="auto"/>
                <w:bottom w:val="none" w:sz="0" w:space="0" w:color="auto"/>
                <w:right w:val="none" w:sz="0" w:space="0" w:color="auto"/>
              </w:divBdr>
              <w:divsChild>
                <w:div w:id="231741383">
                  <w:marLeft w:val="0"/>
                  <w:marRight w:val="0"/>
                  <w:marTop w:val="0"/>
                  <w:marBottom w:val="0"/>
                  <w:divBdr>
                    <w:top w:val="none" w:sz="0" w:space="0" w:color="auto"/>
                    <w:left w:val="none" w:sz="0" w:space="0" w:color="auto"/>
                    <w:bottom w:val="none" w:sz="0" w:space="0" w:color="auto"/>
                    <w:right w:val="none" w:sz="0" w:space="0" w:color="auto"/>
                  </w:divBdr>
                  <w:divsChild>
                    <w:div w:id="280765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8244016">
      <w:bodyDiv w:val="1"/>
      <w:marLeft w:val="0"/>
      <w:marRight w:val="0"/>
      <w:marTop w:val="0"/>
      <w:marBottom w:val="0"/>
      <w:divBdr>
        <w:top w:val="none" w:sz="0" w:space="0" w:color="auto"/>
        <w:left w:val="none" w:sz="0" w:space="0" w:color="auto"/>
        <w:bottom w:val="none" w:sz="0" w:space="0" w:color="auto"/>
        <w:right w:val="none" w:sz="0" w:space="0" w:color="auto"/>
      </w:divBdr>
    </w:div>
    <w:div w:id="1650473550">
      <w:bodyDiv w:val="1"/>
      <w:marLeft w:val="0"/>
      <w:marRight w:val="0"/>
      <w:marTop w:val="0"/>
      <w:marBottom w:val="0"/>
      <w:divBdr>
        <w:top w:val="none" w:sz="0" w:space="0" w:color="auto"/>
        <w:left w:val="none" w:sz="0" w:space="0" w:color="auto"/>
        <w:bottom w:val="none" w:sz="0" w:space="0" w:color="auto"/>
        <w:right w:val="none" w:sz="0" w:space="0" w:color="auto"/>
      </w:divBdr>
    </w:div>
    <w:div w:id="1651709708">
      <w:bodyDiv w:val="1"/>
      <w:marLeft w:val="0"/>
      <w:marRight w:val="0"/>
      <w:marTop w:val="0"/>
      <w:marBottom w:val="0"/>
      <w:divBdr>
        <w:top w:val="none" w:sz="0" w:space="0" w:color="auto"/>
        <w:left w:val="none" w:sz="0" w:space="0" w:color="auto"/>
        <w:bottom w:val="none" w:sz="0" w:space="0" w:color="auto"/>
        <w:right w:val="none" w:sz="0" w:space="0" w:color="auto"/>
      </w:divBdr>
    </w:div>
    <w:div w:id="1656296790">
      <w:bodyDiv w:val="1"/>
      <w:marLeft w:val="0"/>
      <w:marRight w:val="0"/>
      <w:marTop w:val="0"/>
      <w:marBottom w:val="0"/>
      <w:divBdr>
        <w:top w:val="none" w:sz="0" w:space="0" w:color="auto"/>
        <w:left w:val="none" w:sz="0" w:space="0" w:color="auto"/>
        <w:bottom w:val="none" w:sz="0" w:space="0" w:color="auto"/>
        <w:right w:val="none" w:sz="0" w:space="0" w:color="auto"/>
      </w:divBdr>
    </w:div>
    <w:div w:id="1658651172">
      <w:bodyDiv w:val="1"/>
      <w:marLeft w:val="0"/>
      <w:marRight w:val="0"/>
      <w:marTop w:val="0"/>
      <w:marBottom w:val="0"/>
      <w:divBdr>
        <w:top w:val="none" w:sz="0" w:space="0" w:color="auto"/>
        <w:left w:val="none" w:sz="0" w:space="0" w:color="auto"/>
        <w:bottom w:val="none" w:sz="0" w:space="0" w:color="auto"/>
        <w:right w:val="none" w:sz="0" w:space="0" w:color="auto"/>
      </w:divBdr>
    </w:div>
    <w:div w:id="1672221381">
      <w:bodyDiv w:val="1"/>
      <w:marLeft w:val="0"/>
      <w:marRight w:val="0"/>
      <w:marTop w:val="0"/>
      <w:marBottom w:val="0"/>
      <w:divBdr>
        <w:top w:val="none" w:sz="0" w:space="0" w:color="auto"/>
        <w:left w:val="none" w:sz="0" w:space="0" w:color="auto"/>
        <w:bottom w:val="none" w:sz="0" w:space="0" w:color="auto"/>
        <w:right w:val="none" w:sz="0" w:space="0" w:color="auto"/>
      </w:divBdr>
    </w:div>
    <w:div w:id="1680888284">
      <w:bodyDiv w:val="1"/>
      <w:marLeft w:val="0"/>
      <w:marRight w:val="0"/>
      <w:marTop w:val="0"/>
      <w:marBottom w:val="0"/>
      <w:divBdr>
        <w:top w:val="none" w:sz="0" w:space="0" w:color="auto"/>
        <w:left w:val="none" w:sz="0" w:space="0" w:color="auto"/>
        <w:bottom w:val="none" w:sz="0" w:space="0" w:color="auto"/>
        <w:right w:val="none" w:sz="0" w:space="0" w:color="auto"/>
      </w:divBdr>
    </w:div>
    <w:div w:id="1687831281">
      <w:bodyDiv w:val="1"/>
      <w:marLeft w:val="0"/>
      <w:marRight w:val="0"/>
      <w:marTop w:val="0"/>
      <w:marBottom w:val="0"/>
      <w:divBdr>
        <w:top w:val="none" w:sz="0" w:space="0" w:color="auto"/>
        <w:left w:val="none" w:sz="0" w:space="0" w:color="auto"/>
        <w:bottom w:val="none" w:sz="0" w:space="0" w:color="auto"/>
        <w:right w:val="none" w:sz="0" w:space="0" w:color="auto"/>
      </w:divBdr>
    </w:div>
    <w:div w:id="1693413953">
      <w:bodyDiv w:val="1"/>
      <w:marLeft w:val="0"/>
      <w:marRight w:val="0"/>
      <w:marTop w:val="0"/>
      <w:marBottom w:val="0"/>
      <w:divBdr>
        <w:top w:val="none" w:sz="0" w:space="0" w:color="auto"/>
        <w:left w:val="none" w:sz="0" w:space="0" w:color="auto"/>
        <w:bottom w:val="none" w:sz="0" w:space="0" w:color="auto"/>
        <w:right w:val="none" w:sz="0" w:space="0" w:color="auto"/>
      </w:divBdr>
    </w:div>
    <w:div w:id="1699235208">
      <w:bodyDiv w:val="1"/>
      <w:marLeft w:val="0"/>
      <w:marRight w:val="0"/>
      <w:marTop w:val="0"/>
      <w:marBottom w:val="0"/>
      <w:divBdr>
        <w:top w:val="none" w:sz="0" w:space="0" w:color="auto"/>
        <w:left w:val="none" w:sz="0" w:space="0" w:color="auto"/>
        <w:bottom w:val="none" w:sz="0" w:space="0" w:color="auto"/>
        <w:right w:val="none" w:sz="0" w:space="0" w:color="auto"/>
      </w:divBdr>
    </w:div>
    <w:div w:id="1702047521">
      <w:bodyDiv w:val="1"/>
      <w:marLeft w:val="0"/>
      <w:marRight w:val="0"/>
      <w:marTop w:val="0"/>
      <w:marBottom w:val="0"/>
      <w:divBdr>
        <w:top w:val="none" w:sz="0" w:space="0" w:color="auto"/>
        <w:left w:val="none" w:sz="0" w:space="0" w:color="auto"/>
        <w:bottom w:val="none" w:sz="0" w:space="0" w:color="auto"/>
        <w:right w:val="none" w:sz="0" w:space="0" w:color="auto"/>
      </w:divBdr>
    </w:div>
    <w:div w:id="1702976309">
      <w:bodyDiv w:val="1"/>
      <w:marLeft w:val="0"/>
      <w:marRight w:val="0"/>
      <w:marTop w:val="0"/>
      <w:marBottom w:val="0"/>
      <w:divBdr>
        <w:top w:val="none" w:sz="0" w:space="0" w:color="auto"/>
        <w:left w:val="none" w:sz="0" w:space="0" w:color="auto"/>
        <w:bottom w:val="none" w:sz="0" w:space="0" w:color="auto"/>
        <w:right w:val="none" w:sz="0" w:space="0" w:color="auto"/>
      </w:divBdr>
    </w:div>
    <w:div w:id="1704019438">
      <w:bodyDiv w:val="1"/>
      <w:marLeft w:val="0"/>
      <w:marRight w:val="0"/>
      <w:marTop w:val="0"/>
      <w:marBottom w:val="0"/>
      <w:divBdr>
        <w:top w:val="none" w:sz="0" w:space="0" w:color="auto"/>
        <w:left w:val="none" w:sz="0" w:space="0" w:color="auto"/>
        <w:bottom w:val="none" w:sz="0" w:space="0" w:color="auto"/>
        <w:right w:val="none" w:sz="0" w:space="0" w:color="auto"/>
      </w:divBdr>
    </w:div>
    <w:div w:id="1706439540">
      <w:bodyDiv w:val="1"/>
      <w:marLeft w:val="0"/>
      <w:marRight w:val="0"/>
      <w:marTop w:val="0"/>
      <w:marBottom w:val="0"/>
      <w:divBdr>
        <w:top w:val="none" w:sz="0" w:space="0" w:color="auto"/>
        <w:left w:val="none" w:sz="0" w:space="0" w:color="auto"/>
        <w:bottom w:val="none" w:sz="0" w:space="0" w:color="auto"/>
        <w:right w:val="none" w:sz="0" w:space="0" w:color="auto"/>
      </w:divBdr>
    </w:div>
    <w:div w:id="1717965080">
      <w:bodyDiv w:val="1"/>
      <w:marLeft w:val="0"/>
      <w:marRight w:val="0"/>
      <w:marTop w:val="0"/>
      <w:marBottom w:val="0"/>
      <w:divBdr>
        <w:top w:val="none" w:sz="0" w:space="0" w:color="auto"/>
        <w:left w:val="none" w:sz="0" w:space="0" w:color="auto"/>
        <w:bottom w:val="none" w:sz="0" w:space="0" w:color="auto"/>
        <w:right w:val="none" w:sz="0" w:space="0" w:color="auto"/>
      </w:divBdr>
    </w:div>
    <w:div w:id="1719165410">
      <w:bodyDiv w:val="1"/>
      <w:marLeft w:val="0"/>
      <w:marRight w:val="0"/>
      <w:marTop w:val="0"/>
      <w:marBottom w:val="0"/>
      <w:divBdr>
        <w:top w:val="none" w:sz="0" w:space="0" w:color="auto"/>
        <w:left w:val="none" w:sz="0" w:space="0" w:color="auto"/>
        <w:bottom w:val="none" w:sz="0" w:space="0" w:color="auto"/>
        <w:right w:val="none" w:sz="0" w:space="0" w:color="auto"/>
      </w:divBdr>
    </w:div>
    <w:div w:id="1729377983">
      <w:bodyDiv w:val="1"/>
      <w:marLeft w:val="0"/>
      <w:marRight w:val="0"/>
      <w:marTop w:val="0"/>
      <w:marBottom w:val="0"/>
      <w:divBdr>
        <w:top w:val="none" w:sz="0" w:space="0" w:color="auto"/>
        <w:left w:val="none" w:sz="0" w:space="0" w:color="auto"/>
        <w:bottom w:val="none" w:sz="0" w:space="0" w:color="auto"/>
        <w:right w:val="none" w:sz="0" w:space="0" w:color="auto"/>
      </w:divBdr>
    </w:div>
    <w:div w:id="1730223021">
      <w:bodyDiv w:val="1"/>
      <w:marLeft w:val="0"/>
      <w:marRight w:val="0"/>
      <w:marTop w:val="0"/>
      <w:marBottom w:val="0"/>
      <w:divBdr>
        <w:top w:val="none" w:sz="0" w:space="0" w:color="auto"/>
        <w:left w:val="none" w:sz="0" w:space="0" w:color="auto"/>
        <w:bottom w:val="none" w:sz="0" w:space="0" w:color="auto"/>
        <w:right w:val="none" w:sz="0" w:space="0" w:color="auto"/>
      </w:divBdr>
    </w:div>
    <w:div w:id="1734935609">
      <w:bodyDiv w:val="1"/>
      <w:marLeft w:val="0"/>
      <w:marRight w:val="0"/>
      <w:marTop w:val="0"/>
      <w:marBottom w:val="0"/>
      <w:divBdr>
        <w:top w:val="none" w:sz="0" w:space="0" w:color="auto"/>
        <w:left w:val="none" w:sz="0" w:space="0" w:color="auto"/>
        <w:bottom w:val="none" w:sz="0" w:space="0" w:color="auto"/>
        <w:right w:val="none" w:sz="0" w:space="0" w:color="auto"/>
      </w:divBdr>
    </w:div>
    <w:div w:id="1747417655">
      <w:bodyDiv w:val="1"/>
      <w:marLeft w:val="0"/>
      <w:marRight w:val="0"/>
      <w:marTop w:val="0"/>
      <w:marBottom w:val="0"/>
      <w:divBdr>
        <w:top w:val="none" w:sz="0" w:space="0" w:color="auto"/>
        <w:left w:val="none" w:sz="0" w:space="0" w:color="auto"/>
        <w:bottom w:val="none" w:sz="0" w:space="0" w:color="auto"/>
        <w:right w:val="none" w:sz="0" w:space="0" w:color="auto"/>
      </w:divBdr>
    </w:div>
    <w:div w:id="1752846029">
      <w:bodyDiv w:val="1"/>
      <w:marLeft w:val="0"/>
      <w:marRight w:val="0"/>
      <w:marTop w:val="0"/>
      <w:marBottom w:val="0"/>
      <w:divBdr>
        <w:top w:val="none" w:sz="0" w:space="0" w:color="auto"/>
        <w:left w:val="none" w:sz="0" w:space="0" w:color="auto"/>
        <w:bottom w:val="none" w:sz="0" w:space="0" w:color="auto"/>
        <w:right w:val="none" w:sz="0" w:space="0" w:color="auto"/>
      </w:divBdr>
    </w:div>
    <w:div w:id="1757749280">
      <w:bodyDiv w:val="1"/>
      <w:marLeft w:val="0"/>
      <w:marRight w:val="0"/>
      <w:marTop w:val="0"/>
      <w:marBottom w:val="0"/>
      <w:divBdr>
        <w:top w:val="none" w:sz="0" w:space="0" w:color="auto"/>
        <w:left w:val="none" w:sz="0" w:space="0" w:color="auto"/>
        <w:bottom w:val="none" w:sz="0" w:space="0" w:color="auto"/>
        <w:right w:val="none" w:sz="0" w:space="0" w:color="auto"/>
      </w:divBdr>
    </w:div>
    <w:div w:id="1761103192">
      <w:bodyDiv w:val="1"/>
      <w:marLeft w:val="0"/>
      <w:marRight w:val="0"/>
      <w:marTop w:val="0"/>
      <w:marBottom w:val="0"/>
      <w:divBdr>
        <w:top w:val="none" w:sz="0" w:space="0" w:color="auto"/>
        <w:left w:val="none" w:sz="0" w:space="0" w:color="auto"/>
        <w:bottom w:val="none" w:sz="0" w:space="0" w:color="auto"/>
        <w:right w:val="none" w:sz="0" w:space="0" w:color="auto"/>
      </w:divBdr>
    </w:div>
    <w:div w:id="1780559954">
      <w:bodyDiv w:val="1"/>
      <w:marLeft w:val="0"/>
      <w:marRight w:val="0"/>
      <w:marTop w:val="0"/>
      <w:marBottom w:val="0"/>
      <w:divBdr>
        <w:top w:val="none" w:sz="0" w:space="0" w:color="auto"/>
        <w:left w:val="none" w:sz="0" w:space="0" w:color="auto"/>
        <w:bottom w:val="none" w:sz="0" w:space="0" w:color="auto"/>
        <w:right w:val="none" w:sz="0" w:space="0" w:color="auto"/>
      </w:divBdr>
    </w:div>
    <w:div w:id="1781218138">
      <w:bodyDiv w:val="1"/>
      <w:marLeft w:val="0"/>
      <w:marRight w:val="0"/>
      <w:marTop w:val="0"/>
      <w:marBottom w:val="0"/>
      <w:divBdr>
        <w:top w:val="none" w:sz="0" w:space="0" w:color="auto"/>
        <w:left w:val="none" w:sz="0" w:space="0" w:color="auto"/>
        <w:bottom w:val="none" w:sz="0" w:space="0" w:color="auto"/>
        <w:right w:val="none" w:sz="0" w:space="0" w:color="auto"/>
      </w:divBdr>
    </w:div>
    <w:div w:id="1795826738">
      <w:bodyDiv w:val="1"/>
      <w:marLeft w:val="0"/>
      <w:marRight w:val="0"/>
      <w:marTop w:val="0"/>
      <w:marBottom w:val="0"/>
      <w:divBdr>
        <w:top w:val="none" w:sz="0" w:space="0" w:color="auto"/>
        <w:left w:val="none" w:sz="0" w:space="0" w:color="auto"/>
        <w:bottom w:val="none" w:sz="0" w:space="0" w:color="auto"/>
        <w:right w:val="none" w:sz="0" w:space="0" w:color="auto"/>
      </w:divBdr>
      <w:divsChild>
        <w:div w:id="48069597">
          <w:marLeft w:val="0"/>
          <w:marRight w:val="0"/>
          <w:marTop w:val="0"/>
          <w:marBottom w:val="0"/>
          <w:divBdr>
            <w:top w:val="none" w:sz="0" w:space="0" w:color="auto"/>
            <w:left w:val="none" w:sz="0" w:space="0" w:color="auto"/>
            <w:bottom w:val="none" w:sz="0" w:space="0" w:color="auto"/>
            <w:right w:val="none" w:sz="0" w:space="0" w:color="auto"/>
          </w:divBdr>
        </w:div>
      </w:divsChild>
    </w:div>
    <w:div w:id="1811900580">
      <w:bodyDiv w:val="1"/>
      <w:marLeft w:val="0"/>
      <w:marRight w:val="0"/>
      <w:marTop w:val="0"/>
      <w:marBottom w:val="0"/>
      <w:divBdr>
        <w:top w:val="none" w:sz="0" w:space="0" w:color="auto"/>
        <w:left w:val="none" w:sz="0" w:space="0" w:color="auto"/>
        <w:bottom w:val="none" w:sz="0" w:space="0" w:color="auto"/>
        <w:right w:val="none" w:sz="0" w:space="0" w:color="auto"/>
      </w:divBdr>
    </w:div>
    <w:div w:id="1813591932">
      <w:bodyDiv w:val="1"/>
      <w:marLeft w:val="0"/>
      <w:marRight w:val="0"/>
      <w:marTop w:val="0"/>
      <w:marBottom w:val="0"/>
      <w:divBdr>
        <w:top w:val="none" w:sz="0" w:space="0" w:color="auto"/>
        <w:left w:val="none" w:sz="0" w:space="0" w:color="auto"/>
        <w:bottom w:val="none" w:sz="0" w:space="0" w:color="auto"/>
        <w:right w:val="none" w:sz="0" w:space="0" w:color="auto"/>
      </w:divBdr>
    </w:div>
    <w:div w:id="1814442500">
      <w:bodyDiv w:val="1"/>
      <w:marLeft w:val="0"/>
      <w:marRight w:val="0"/>
      <w:marTop w:val="0"/>
      <w:marBottom w:val="0"/>
      <w:divBdr>
        <w:top w:val="none" w:sz="0" w:space="0" w:color="auto"/>
        <w:left w:val="none" w:sz="0" w:space="0" w:color="auto"/>
        <w:bottom w:val="none" w:sz="0" w:space="0" w:color="auto"/>
        <w:right w:val="none" w:sz="0" w:space="0" w:color="auto"/>
      </w:divBdr>
    </w:div>
    <w:div w:id="1824544931">
      <w:bodyDiv w:val="1"/>
      <w:marLeft w:val="0"/>
      <w:marRight w:val="0"/>
      <w:marTop w:val="0"/>
      <w:marBottom w:val="0"/>
      <w:divBdr>
        <w:top w:val="none" w:sz="0" w:space="0" w:color="auto"/>
        <w:left w:val="none" w:sz="0" w:space="0" w:color="auto"/>
        <w:bottom w:val="none" w:sz="0" w:space="0" w:color="auto"/>
        <w:right w:val="none" w:sz="0" w:space="0" w:color="auto"/>
      </w:divBdr>
    </w:div>
    <w:div w:id="1831630408">
      <w:bodyDiv w:val="1"/>
      <w:marLeft w:val="0"/>
      <w:marRight w:val="0"/>
      <w:marTop w:val="0"/>
      <w:marBottom w:val="0"/>
      <w:divBdr>
        <w:top w:val="none" w:sz="0" w:space="0" w:color="auto"/>
        <w:left w:val="none" w:sz="0" w:space="0" w:color="auto"/>
        <w:bottom w:val="none" w:sz="0" w:space="0" w:color="auto"/>
        <w:right w:val="none" w:sz="0" w:space="0" w:color="auto"/>
      </w:divBdr>
    </w:div>
    <w:div w:id="1834947948">
      <w:bodyDiv w:val="1"/>
      <w:marLeft w:val="0"/>
      <w:marRight w:val="0"/>
      <w:marTop w:val="0"/>
      <w:marBottom w:val="0"/>
      <w:divBdr>
        <w:top w:val="none" w:sz="0" w:space="0" w:color="auto"/>
        <w:left w:val="none" w:sz="0" w:space="0" w:color="auto"/>
        <w:bottom w:val="none" w:sz="0" w:space="0" w:color="auto"/>
        <w:right w:val="none" w:sz="0" w:space="0" w:color="auto"/>
      </w:divBdr>
    </w:div>
    <w:div w:id="1835535363">
      <w:bodyDiv w:val="1"/>
      <w:marLeft w:val="0"/>
      <w:marRight w:val="0"/>
      <w:marTop w:val="0"/>
      <w:marBottom w:val="0"/>
      <w:divBdr>
        <w:top w:val="none" w:sz="0" w:space="0" w:color="auto"/>
        <w:left w:val="none" w:sz="0" w:space="0" w:color="auto"/>
        <w:bottom w:val="none" w:sz="0" w:space="0" w:color="auto"/>
        <w:right w:val="none" w:sz="0" w:space="0" w:color="auto"/>
      </w:divBdr>
    </w:div>
    <w:div w:id="1841002284">
      <w:bodyDiv w:val="1"/>
      <w:marLeft w:val="0"/>
      <w:marRight w:val="0"/>
      <w:marTop w:val="0"/>
      <w:marBottom w:val="0"/>
      <w:divBdr>
        <w:top w:val="none" w:sz="0" w:space="0" w:color="auto"/>
        <w:left w:val="none" w:sz="0" w:space="0" w:color="auto"/>
        <w:bottom w:val="none" w:sz="0" w:space="0" w:color="auto"/>
        <w:right w:val="none" w:sz="0" w:space="0" w:color="auto"/>
      </w:divBdr>
    </w:div>
    <w:div w:id="1851142352">
      <w:bodyDiv w:val="1"/>
      <w:marLeft w:val="0"/>
      <w:marRight w:val="0"/>
      <w:marTop w:val="0"/>
      <w:marBottom w:val="0"/>
      <w:divBdr>
        <w:top w:val="none" w:sz="0" w:space="0" w:color="auto"/>
        <w:left w:val="none" w:sz="0" w:space="0" w:color="auto"/>
        <w:bottom w:val="none" w:sz="0" w:space="0" w:color="auto"/>
        <w:right w:val="none" w:sz="0" w:space="0" w:color="auto"/>
      </w:divBdr>
    </w:div>
    <w:div w:id="1862814343">
      <w:bodyDiv w:val="1"/>
      <w:marLeft w:val="0"/>
      <w:marRight w:val="0"/>
      <w:marTop w:val="0"/>
      <w:marBottom w:val="0"/>
      <w:divBdr>
        <w:top w:val="none" w:sz="0" w:space="0" w:color="auto"/>
        <w:left w:val="none" w:sz="0" w:space="0" w:color="auto"/>
        <w:bottom w:val="none" w:sz="0" w:space="0" w:color="auto"/>
        <w:right w:val="none" w:sz="0" w:space="0" w:color="auto"/>
      </w:divBdr>
    </w:div>
    <w:div w:id="1865821983">
      <w:bodyDiv w:val="1"/>
      <w:marLeft w:val="0"/>
      <w:marRight w:val="0"/>
      <w:marTop w:val="0"/>
      <w:marBottom w:val="0"/>
      <w:divBdr>
        <w:top w:val="none" w:sz="0" w:space="0" w:color="auto"/>
        <w:left w:val="none" w:sz="0" w:space="0" w:color="auto"/>
        <w:bottom w:val="none" w:sz="0" w:space="0" w:color="auto"/>
        <w:right w:val="none" w:sz="0" w:space="0" w:color="auto"/>
      </w:divBdr>
    </w:div>
    <w:div w:id="1866822869">
      <w:bodyDiv w:val="1"/>
      <w:marLeft w:val="0"/>
      <w:marRight w:val="0"/>
      <w:marTop w:val="0"/>
      <w:marBottom w:val="0"/>
      <w:divBdr>
        <w:top w:val="none" w:sz="0" w:space="0" w:color="auto"/>
        <w:left w:val="none" w:sz="0" w:space="0" w:color="auto"/>
        <w:bottom w:val="none" w:sz="0" w:space="0" w:color="auto"/>
        <w:right w:val="none" w:sz="0" w:space="0" w:color="auto"/>
      </w:divBdr>
    </w:div>
    <w:div w:id="1867713220">
      <w:bodyDiv w:val="1"/>
      <w:marLeft w:val="0"/>
      <w:marRight w:val="0"/>
      <w:marTop w:val="0"/>
      <w:marBottom w:val="0"/>
      <w:divBdr>
        <w:top w:val="none" w:sz="0" w:space="0" w:color="auto"/>
        <w:left w:val="none" w:sz="0" w:space="0" w:color="auto"/>
        <w:bottom w:val="none" w:sz="0" w:space="0" w:color="auto"/>
        <w:right w:val="none" w:sz="0" w:space="0" w:color="auto"/>
      </w:divBdr>
    </w:div>
    <w:div w:id="1867984409">
      <w:bodyDiv w:val="1"/>
      <w:marLeft w:val="0"/>
      <w:marRight w:val="0"/>
      <w:marTop w:val="0"/>
      <w:marBottom w:val="0"/>
      <w:divBdr>
        <w:top w:val="none" w:sz="0" w:space="0" w:color="auto"/>
        <w:left w:val="none" w:sz="0" w:space="0" w:color="auto"/>
        <w:bottom w:val="none" w:sz="0" w:space="0" w:color="auto"/>
        <w:right w:val="none" w:sz="0" w:space="0" w:color="auto"/>
      </w:divBdr>
    </w:div>
    <w:div w:id="1868985837">
      <w:bodyDiv w:val="1"/>
      <w:marLeft w:val="0"/>
      <w:marRight w:val="0"/>
      <w:marTop w:val="0"/>
      <w:marBottom w:val="0"/>
      <w:divBdr>
        <w:top w:val="none" w:sz="0" w:space="0" w:color="auto"/>
        <w:left w:val="none" w:sz="0" w:space="0" w:color="auto"/>
        <w:bottom w:val="none" w:sz="0" w:space="0" w:color="auto"/>
        <w:right w:val="none" w:sz="0" w:space="0" w:color="auto"/>
      </w:divBdr>
    </w:div>
    <w:div w:id="1875772660">
      <w:bodyDiv w:val="1"/>
      <w:marLeft w:val="0"/>
      <w:marRight w:val="0"/>
      <w:marTop w:val="0"/>
      <w:marBottom w:val="0"/>
      <w:divBdr>
        <w:top w:val="none" w:sz="0" w:space="0" w:color="auto"/>
        <w:left w:val="none" w:sz="0" w:space="0" w:color="auto"/>
        <w:bottom w:val="none" w:sz="0" w:space="0" w:color="auto"/>
        <w:right w:val="none" w:sz="0" w:space="0" w:color="auto"/>
      </w:divBdr>
    </w:div>
    <w:div w:id="1878735509">
      <w:bodyDiv w:val="1"/>
      <w:marLeft w:val="0"/>
      <w:marRight w:val="0"/>
      <w:marTop w:val="0"/>
      <w:marBottom w:val="0"/>
      <w:divBdr>
        <w:top w:val="none" w:sz="0" w:space="0" w:color="auto"/>
        <w:left w:val="none" w:sz="0" w:space="0" w:color="auto"/>
        <w:bottom w:val="none" w:sz="0" w:space="0" w:color="auto"/>
        <w:right w:val="none" w:sz="0" w:space="0" w:color="auto"/>
      </w:divBdr>
    </w:div>
    <w:div w:id="1890258653">
      <w:bodyDiv w:val="1"/>
      <w:marLeft w:val="0"/>
      <w:marRight w:val="0"/>
      <w:marTop w:val="0"/>
      <w:marBottom w:val="0"/>
      <w:divBdr>
        <w:top w:val="none" w:sz="0" w:space="0" w:color="auto"/>
        <w:left w:val="none" w:sz="0" w:space="0" w:color="auto"/>
        <w:bottom w:val="none" w:sz="0" w:space="0" w:color="auto"/>
        <w:right w:val="none" w:sz="0" w:space="0" w:color="auto"/>
      </w:divBdr>
    </w:div>
    <w:div w:id="1898201612">
      <w:bodyDiv w:val="1"/>
      <w:marLeft w:val="0"/>
      <w:marRight w:val="0"/>
      <w:marTop w:val="0"/>
      <w:marBottom w:val="0"/>
      <w:divBdr>
        <w:top w:val="none" w:sz="0" w:space="0" w:color="auto"/>
        <w:left w:val="none" w:sz="0" w:space="0" w:color="auto"/>
        <w:bottom w:val="none" w:sz="0" w:space="0" w:color="auto"/>
        <w:right w:val="none" w:sz="0" w:space="0" w:color="auto"/>
      </w:divBdr>
    </w:div>
    <w:div w:id="1898664798">
      <w:bodyDiv w:val="1"/>
      <w:marLeft w:val="0"/>
      <w:marRight w:val="0"/>
      <w:marTop w:val="0"/>
      <w:marBottom w:val="0"/>
      <w:divBdr>
        <w:top w:val="none" w:sz="0" w:space="0" w:color="auto"/>
        <w:left w:val="none" w:sz="0" w:space="0" w:color="auto"/>
        <w:bottom w:val="none" w:sz="0" w:space="0" w:color="auto"/>
        <w:right w:val="none" w:sz="0" w:space="0" w:color="auto"/>
      </w:divBdr>
    </w:div>
    <w:div w:id="1904294351">
      <w:bodyDiv w:val="1"/>
      <w:marLeft w:val="0"/>
      <w:marRight w:val="0"/>
      <w:marTop w:val="0"/>
      <w:marBottom w:val="0"/>
      <w:divBdr>
        <w:top w:val="none" w:sz="0" w:space="0" w:color="auto"/>
        <w:left w:val="none" w:sz="0" w:space="0" w:color="auto"/>
        <w:bottom w:val="none" w:sz="0" w:space="0" w:color="auto"/>
        <w:right w:val="none" w:sz="0" w:space="0" w:color="auto"/>
      </w:divBdr>
    </w:div>
    <w:div w:id="1912502200">
      <w:bodyDiv w:val="1"/>
      <w:marLeft w:val="0"/>
      <w:marRight w:val="0"/>
      <w:marTop w:val="0"/>
      <w:marBottom w:val="0"/>
      <w:divBdr>
        <w:top w:val="none" w:sz="0" w:space="0" w:color="auto"/>
        <w:left w:val="none" w:sz="0" w:space="0" w:color="auto"/>
        <w:bottom w:val="none" w:sz="0" w:space="0" w:color="auto"/>
        <w:right w:val="none" w:sz="0" w:space="0" w:color="auto"/>
      </w:divBdr>
    </w:div>
    <w:div w:id="1916435309">
      <w:bodyDiv w:val="1"/>
      <w:marLeft w:val="0"/>
      <w:marRight w:val="0"/>
      <w:marTop w:val="0"/>
      <w:marBottom w:val="0"/>
      <w:divBdr>
        <w:top w:val="none" w:sz="0" w:space="0" w:color="auto"/>
        <w:left w:val="none" w:sz="0" w:space="0" w:color="auto"/>
        <w:bottom w:val="none" w:sz="0" w:space="0" w:color="auto"/>
        <w:right w:val="none" w:sz="0" w:space="0" w:color="auto"/>
      </w:divBdr>
    </w:div>
    <w:div w:id="1925338917">
      <w:bodyDiv w:val="1"/>
      <w:marLeft w:val="0"/>
      <w:marRight w:val="0"/>
      <w:marTop w:val="0"/>
      <w:marBottom w:val="0"/>
      <w:divBdr>
        <w:top w:val="none" w:sz="0" w:space="0" w:color="auto"/>
        <w:left w:val="none" w:sz="0" w:space="0" w:color="auto"/>
        <w:bottom w:val="none" w:sz="0" w:space="0" w:color="auto"/>
        <w:right w:val="none" w:sz="0" w:space="0" w:color="auto"/>
      </w:divBdr>
    </w:div>
    <w:div w:id="1931691097">
      <w:bodyDiv w:val="1"/>
      <w:marLeft w:val="0"/>
      <w:marRight w:val="0"/>
      <w:marTop w:val="0"/>
      <w:marBottom w:val="0"/>
      <w:divBdr>
        <w:top w:val="none" w:sz="0" w:space="0" w:color="auto"/>
        <w:left w:val="none" w:sz="0" w:space="0" w:color="auto"/>
        <w:bottom w:val="none" w:sz="0" w:space="0" w:color="auto"/>
        <w:right w:val="none" w:sz="0" w:space="0" w:color="auto"/>
      </w:divBdr>
    </w:div>
    <w:div w:id="1935702662">
      <w:bodyDiv w:val="1"/>
      <w:marLeft w:val="0"/>
      <w:marRight w:val="0"/>
      <w:marTop w:val="0"/>
      <w:marBottom w:val="0"/>
      <w:divBdr>
        <w:top w:val="none" w:sz="0" w:space="0" w:color="auto"/>
        <w:left w:val="none" w:sz="0" w:space="0" w:color="auto"/>
        <w:bottom w:val="none" w:sz="0" w:space="0" w:color="auto"/>
        <w:right w:val="none" w:sz="0" w:space="0" w:color="auto"/>
      </w:divBdr>
    </w:div>
    <w:div w:id="1940284988">
      <w:bodyDiv w:val="1"/>
      <w:marLeft w:val="0"/>
      <w:marRight w:val="0"/>
      <w:marTop w:val="0"/>
      <w:marBottom w:val="0"/>
      <w:divBdr>
        <w:top w:val="none" w:sz="0" w:space="0" w:color="auto"/>
        <w:left w:val="none" w:sz="0" w:space="0" w:color="auto"/>
        <w:bottom w:val="none" w:sz="0" w:space="0" w:color="auto"/>
        <w:right w:val="none" w:sz="0" w:space="0" w:color="auto"/>
      </w:divBdr>
    </w:div>
    <w:div w:id="1950508588">
      <w:bodyDiv w:val="1"/>
      <w:marLeft w:val="0"/>
      <w:marRight w:val="0"/>
      <w:marTop w:val="0"/>
      <w:marBottom w:val="0"/>
      <w:divBdr>
        <w:top w:val="none" w:sz="0" w:space="0" w:color="auto"/>
        <w:left w:val="none" w:sz="0" w:space="0" w:color="auto"/>
        <w:bottom w:val="none" w:sz="0" w:space="0" w:color="auto"/>
        <w:right w:val="none" w:sz="0" w:space="0" w:color="auto"/>
      </w:divBdr>
    </w:div>
    <w:div w:id="1953785563">
      <w:bodyDiv w:val="1"/>
      <w:marLeft w:val="0"/>
      <w:marRight w:val="0"/>
      <w:marTop w:val="0"/>
      <w:marBottom w:val="0"/>
      <w:divBdr>
        <w:top w:val="none" w:sz="0" w:space="0" w:color="auto"/>
        <w:left w:val="none" w:sz="0" w:space="0" w:color="auto"/>
        <w:bottom w:val="none" w:sz="0" w:space="0" w:color="auto"/>
        <w:right w:val="none" w:sz="0" w:space="0" w:color="auto"/>
      </w:divBdr>
    </w:div>
    <w:div w:id="1954558024">
      <w:bodyDiv w:val="1"/>
      <w:marLeft w:val="0"/>
      <w:marRight w:val="0"/>
      <w:marTop w:val="0"/>
      <w:marBottom w:val="0"/>
      <w:divBdr>
        <w:top w:val="none" w:sz="0" w:space="0" w:color="auto"/>
        <w:left w:val="none" w:sz="0" w:space="0" w:color="auto"/>
        <w:bottom w:val="none" w:sz="0" w:space="0" w:color="auto"/>
        <w:right w:val="none" w:sz="0" w:space="0" w:color="auto"/>
      </w:divBdr>
    </w:div>
    <w:div w:id="1956980990">
      <w:bodyDiv w:val="1"/>
      <w:marLeft w:val="0"/>
      <w:marRight w:val="0"/>
      <w:marTop w:val="0"/>
      <w:marBottom w:val="0"/>
      <w:divBdr>
        <w:top w:val="none" w:sz="0" w:space="0" w:color="auto"/>
        <w:left w:val="none" w:sz="0" w:space="0" w:color="auto"/>
        <w:bottom w:val="none" w:sz="0" w:space="0" w:color="auto"/>
        <w:right w:val="none" w:sz="0" w:space="0" w:color="auto"/>
      </w:divBdr>
    </w:div>
    <w:div w:id="1959951751">
      <w:bodyDiv w:val="1"/>
      <w:marLeft w:val="0"/>
      <w:marRight w:val="0"/>
      <w:marTop w:val="0"/>
      <w:marBottom w:val="0"/>
      <w:divBdr>
        <w:top w:val="none" w:sz="0" w:space="0" w:color="auto"/>
        <w:left w:val="none" w:sz="0" w:space="0" w:color="auto"/>
        <w:bottom w:val="none" w:sz="0" w:space="0" w:color="auto"/>
        <w:right w:val="none" w:sz="0" w:space="0" w:color="auto"/>
      </w:divBdr>
    </w:div>
    <w:div w:id="1972899032">
      <w:bodyDiv w:val="1"/>
      <w:marLeft w:val="0"/>
      <w:marRight w:val="0"/>
      <w:marTop w:val="0"/>
      <w:marBottom w:val="0"/>
      <w:divBdr>
        <w:top w:val="none" w:sz="0" w:space="0" w:color="auto"/>
        <w:left w:val="none" w:sz="0" w:space="0" w:color="auto"/>
        <w:bottom w:val="none" w:sz="0" w:space="0" w:color="auto"/>
        <w:right w:val="none" w:sz="0" w:space="0" w:color="auto"/>
      </w:divBdr>
    </w:div>
    <w:div w:id="1975217001">
      <w:bodyDiv w:val="1"/>
      <w:marLeft w:val="0"/>
      <w:marRight w:val="0"/>
      <w:marTop w:val="0"/>
      <w:marBottom w:val="0"/>
      <w:divBdr>
        <w:top w:val="none" w:sz="0" w:space="0" w:color="auto"/>
        <w:left w:val="none" w:sz="0" w:space="0" w:color="auto"/>
        <w:bottom w:val="none" w:sz="0" w:space="0" w:color="auto"/>
        <w:right w:val="none" w:sz="0" w:space="0" w:color="auto"/>
      </w:divBdr>
    </w:div>
    <w:div w:id="1975332415">
      <w:bodyDiv w:val="1"/>
      <w:marLeft w:val="0"/>
      <w:marRight w:val="0"/>
      <w:marTop w:val="0"/>
      <w:marBottom w:val="0"/>
      <w:divBdr>
        <w:top w:val="none" w:sz="0" w:space="0" w:color="auto"/>
        <w:left w:val="none" w:sz="0" w:space="0" w:color="auto"/>
        <w:bottom w:val="none" w:sz="0" w:space="0" w:color="auto"/>
        <w:right w:val="none" w:sz="0" w:space="0" w:color="auto"/>
      </w:divBdr>
    </w:div>
    <w:div w:id="1976443310">
      <w:bodyDiv w:val="1"/>
      <w:marLeft w:val="0"/>
      <w:marRight w:val="0"/>
      <w:marTop w:val="0"/>
      <w:marBottom w:val="0"/>
      <w:divBdr>
        <w:top w:val="none" w:sz="0" w:space="0" w:color="auto"/>
        <w:left w:val="none" w:sz="0" w:space="0" w:color="auto"/>
        <w:bottom w:val="none" w:sz="0" w:space="0" w:color="auto"/>
        <w:right w:val="none" w:sz="0" w:space="0" w:color="auto"/>
      </w:divBdr>
    </w:div>
    <w:div w:id="1976907388">
      <w:bodyDiv w:val="1"/>
      <w:marLeft w:val="0"/>
      <w:marRight w:val="0"/>
      <w:marTop w:val="0"/>
      <w:marBottom w:val="0"/>
      <w:divBdr>
        <w:top w:val="none" w:sz="0" w:space="0" w:color="auto"/>
        <w:left w:val="none" w:sz="0" w:space="0" w:color="auto"/>
        <w:bottom w:val="none" w:sz="0" w:space="0" w:color="auto"/>
        <w:right w:val="none" w:sz="0" w:space="0" w:color="auto"/>
      </w:divBdr>
    </w:div>
    <w:div w:id="1985698441">
      <w:bodyDiv w:val="1"/>
      <w:marLeft w:val="0"/>
      <w:marRight w:val="0"/>
      <w:marTop w:val="0"/>
      <w:marBottom w:val="0"/>
      <w:divBdr>
        <w:top w:val="none" w:sz="0" w:space="0" w:color="auto"/>
        <w:left w:val="none" w:sz="0" w:space="0" w:color="auto"/>
        <w:bottom w:val="none" w:sz="0" w:space="0" w:color="auto"/>
        <w:right w:val="none" w:sz="0" w:space="0" w:color="auto"/>
      </w:divBdr>
    </w:div>
    <w:div w:id="1988508079">
      <w:bodyDiv w:val="1"/>
      <w:marLeft w:val="0"/>
      <w:marRight w:val="0"/>
      <w:marTop w:val="0"/>
      <w:marBottom w:val="0"/>
      <w:divBdr>
        <w:top w:val="none" w:sz="0" w:space="0" w:color="auto"/>
        <w:left w:val="none" w:sz="0" w:space="0" w:color="auto"/>
        <w:bottom w:val="none" w:sz="0" w:space="0" w:color="auto"/>
        <w:right w:val="none" w:sz="0" w:space="0" w:color="auto"/>
      </w:divBdr>
    </w:div>
    <w:div w:id="2000961639">
      <w:bodyDiv w:val="1"/>
      <w:marLeft w:val="0"/>
      <w:marRight w:val="0"/>
      <w:marTop w:val="0"/>
      <w:marBottom w:val="0"/>
      <w:divBdr>
        <w:top w:val="none" w:sz="0" w:space="0" w:color="auto"/>
        <w:left w:val="none" w:sz="0" w:space="0" w:color="auto"/>
        <w:bottom w:val="none" w:sz="0" w:space="0" w:color="auto"/>
        <w:right w:val="none" w:sz="0" w:space="0" w:color="auto"/>
      </w:divBdr>
    </w:div>
    <w:div w:id="2005161107">
      <w:bodyDiv w:val="1"/>
      <w:marLeft w:val="0"/>
      <w:marRight w:val="0"/>
      <w:marTop w:val="0"/>
      <w:marBottom w:val="0"/>
      <w:divBdr>
        <w:top w:val="none" w:sz="0" w:space="0" w:color="auto"/>
        <w:left w:val="none" w:sz="0" w:space="0" w:color="auto"/>
        <w:bottom w:val="none" w:sz="0" w:space="0" w:color="auto"/>
        <w:right w:val="none" w:sz="0" w:space="0" w:color="auto"/>
      </w:divBdr>
    </w:div>
    <w:div w:id="2005235727">
      <w:bodyDiv w:val="1"/>
      <w:marLeft w:val="0"/>
      <w:marRight w:val="0"/>
      <w:marTop w:val="0"/>
      <w:marBottom w:val="0"/>
      <w:divBdr>
        <w:top w:val="none" w:sz="0" w:space="0" w:color="auto"/>
        <w:left w:val="none" w:sz="0" w:space="0" w:color="auto"/>
        <w:bottom w:val="none" w:sz="0" w:space="0" w:color="auto"/>
        <w:right w:val="none" w:sz="0" w:space="0" w:color="auto"/>
      </w:divBdr>
    </w:div>
    <w:div w:id="2007392362">
      <w:bodyDiv w:val="1"/>
      <w:marLeft w:val="0"/>
      <w:marRight w:val="0"/>
      <w:marTop w:val="0"/>
      <w:marBottom w:val="0"/>
      <w:divBdr>
        <w:top w:val="none" w:sz="0" w:space="0" w:color="auto"/>
        <w:left w:val="none" w:sz="0" w:space="0" w:color="auto"/>
        <w:bottom w:val="none" w:sz="0" w:space="0" w:color="auto"/>
        <w:right w:val="none" w:sz="0" w:space="0" w:color="auto"/>
      </w:divBdr>
    </w:div>
    <w:div w:id="2022854557">
      <w:bodyDiv w:val="1"/>
      <w:marLeft w:val="0"/>
      <w:marRight w:val="0"/>
      <w:marTop w:val="0"/>
      <w:marBottom w:val="0"/>
      <w:divBdr>
        <w:top w:val="none" w:sz="0" w:space="0" w:color="auto"/>
        <w:left w:val="none" w:sz="0" w:space="0" w:color="auto"/>
        <w:bottom w:val="none" w:sz="0" w:space="0" w:color="auto"/>
        <w:right w:val="none" w:sz="0" w:space="0" w:color="auto"/>
      </w:divBdr>
    </w:div>
    <w:div w:id="2028211683">
      <w:bodyDiv w:val="1"/>
      <w:marLeft w:val="0"/>
      <w:marRight w:val="0"/>
      <w:marTop w:val="0"/>
      <w:marBottom w:val="0"/>
      <w:divBdr>
        <w:top w:val="none" w:sz="0" w:space="0" w:color="auto"/>
        <w:left w:val="none" w:sz="0" w:space="0" w:color="auto"/>
        <w:bottom w:val="none" w:sz="0" w:space="0" w:color="auto"/>
        <w:right w:val="none" w:sz="0" w:space="0" w:color="auto"/>
      </w:divBdr>
    </w:div>
    <w:div w:id="2029478850">
      <w:bodyDiv w:val="1"/>
      <w:marLeft w:val="0"/>
      <w:marRight w:val="0"/>
      <w:marTop w:val="0"/>
      <w:marBottom w:val="0"/>
      <w:divBdr>
        <w:top w:val="none" w:sz="0" w:space="0" w:color="auto"/>
        <w:left w:val="none" w:sz="0" w:space="0" w:color="auto"/>
        <w:bottom w:val="none" w:sz="0" w:space="0" w:color="auto"/>
        <w:right w:val="none" w:sz="0" w:space="0" w:color="auto"/>
      </w:divBdr>
    </w:div>
    <w:div w:id="2031761332">
      <w:bodyDiv w:val="1"/>
      <w:marLeft w:val="0"/>
      <w:marRight w:val="0"/>
      <w:marTop w:val="0"/>
      <w:marBottom w:val="0"/>
      <w:divBdr>
        <w:top w:val="none" w:sz="0" w:space="0" w:color="auto"/>
        <w:left w:val="none" w:sz="0" w:space="0" w:color="auto"/>
        <w:bottom w:val="none" w:sz="0" w:space="0" w:color="auto"/>
        <w:right w:val="none" w:sz="0" w:space="0" w:color="auto"/>
      </w:divBdr>
    </w:div>
    <w:div w:id="2032608131">
      <w:bodyDiv w:val="1"/>
      <w:marLeft w:val="0"/>
      <w:marRight w:val="0"/>
      <w:marTop w:val="0"/>
      <w:marBottom w:val="0"/>
      <w:divBdr>
        <w:top w:val="none" w:sz="0" w:space="0" w:color="auto"/>
        <w:left w:val="none" w:sz="0" w:space="0" w:color="auto"/>
        <w:bottom w:val="none" w:sz="0" w:space="0" w:color="auto"/>
        <w:right w:val="none" w:sz="0" w:space="0" w:color="auto"/>
      </w:divBdr>
    </w:div>
    <w:div w:id="2034303652">
      <w:bodyDiv w:val="1"/>
      <w:marLeft w:val="0"/>
      <w:marRight w:val="0"/>
      <w:marTop w:val="0"/>
      <w:marBottom w:val="0"/>
      <w:divBdr>
        <w:top w:val="none" w:sz="0" w:space="0" w:color="auto"/>
        <w:left w:val="none" w:sz="0" w:space="0" w:color="auto"/>
        <w:bottom w:val="none" w:sz="0" w:space="0" w:color="auto"/>
        <w:right w:val="none" w:sz="0" w:space="0" w:color="auto"/>
      </w:divBdr>
    </w:div>
    <w:div w:id="2039505747">
      <w:bodyDiv w:val="1"/>
      <w:marLeft w:val="0"/>
      <w:marRight w:val="0"/>
      <w:marTop w:val="0"/>
      <w:marBottom w:val="0"/>
      <w:divBdr>
        <w:top w:val="none" w:sz="0" w:space="0" w:color="auto"/>
        <w:left w:val="none" w:sz="0" w:space="0" w:color="auto"/>
        <w:bottom w:val="none" w:sz="0" w:space="0" w:color="auto"/>
        <w:right w:val="none" w:sz="0" w:space="0" w:color="auto"/>
      </w:divBdr>
    </w:div>
    <w:div w:id="2041468205">
      <w:bodyDiv w:val="1"/>
      <w:marLeft w:val="0"/>
      <w:marRight w:val="0"/>
      <w:marTop w:val="0"/>
      <w:marBottom w:val="0"/>
      <w:divBdr>
        <w:top w:val="none" w:sz="0" w:space="0" w:color="auto"/>
        <w:left w:val="none" w:sz="0" w:space="0" w:color="auto"/>
        <w:bottom w:val="none" w:sz="0" w:space="0" w:color="auto"/>
        <w:right w:val="none" w:sz="0" w:space="0" w:color="auto"/>
      </w:divBdr>
    </w:div>
    <w:div w:id="2062553899">
      <w:bodyDiv w:val="1"/>
      <w:marLeft w:val="0"/>
      <w:marRight w:val="0"/>
      <w:marTop w:val="0"/>
      <w:marBottom w:val="0"/>
      <w:divBdr>
        <w:top w:val="none" w:sz="0" w:space="0" w:color="auto"/>
        <w:left w:val="none" w:sz="0" w:space="0" w:color="auto"/>
        <w:bottom w:val="none" w:sz="0" w:space="0" w:color="auto"/>
        <w:right w:val="none" w:sz="0" w:space="0" w:color="auto"/>
      </w:divBdr>
    </w:div>
    <w:div w:id="2072384887">
      <w:bodyDiv w:val="1"/>
      <w:marLeft w:val="0"/>
      <w:marRight w:val="0"/>
      <w:marTop w:val="0"/>
      <w:marBottom w:val="0"/>
      <w:divBdr>
        <w:top w:val="none" w:sz="0" w:space="0" w:color="auto"/>
        <w:left w:val="none" w:sz="0" w:space="0" w:color="auto"/>
        <w:bottom w:val="none" w:sz="0" w:space="0" w:color="auto"/>
        <w:right w:val="none" w:sz="0" w:space="0" w:color="auto"/>
      </w:divBdr>
    </w:div>
    <w:div w:id="2075930430">
      <w:bodyDiv w:val="1"/>
      <w:marLeft w:val="0"/>
      <w:marRight w:val="0"/>
      <w:marTop w:val="0"/>
      <w:marBottom w:val="0"/>
      <w:divBdr>
        <w:top w:val="none" w:sz="0" w:space="0" w:color="auto"/>
        <w:left w:val="none" w:sz="0" w:space="0" w:color="auto"/>
        <w:bottom w:val="none" w:sz="0" w:space="0" w:color="auto"/>
        <w:right w:val="none" w:sz="0" w:space="0" w:color="auto"/>
      </w:divBdr>
    </w:div>
    <w:div w:id="2077316249">
      <w:bodyDiv w:val="1"/>
      <w:marLeft w:val="0"/>
      <w:marRight w:val="0"/>
      <w:marTop w:val="0"/>
      <w:marBottom w:val="0"/>
      <w:divBdr>
        <w:top w:val="none" w:sz="0" w:space="0" w:color="auto"/>
        <w:left w:val="none" w:sz="0" w:space="0" w:color="auto"/>
        <w:bottom w:val="none" w:sz="0" w:space="0" w:color="auto"/>
        <w:right w:val="none" w:sz="0" w:space="0" w:color="auto"/>
      </w:divBdr>
    </w:div>
    <w:div w:id="2092197833">
      <w:bodyDiv w:val="1"/>
      <w:marLeft w:val="0"/>
      <w:marRight w:val="0"/>
      <w:marTop w:val="0"/>
      <w:marBottom w:val="0"/>
      <w:divBdr>
        <w:top w:val="none" w:sz="0" w:space="0" w:color="auto"/>
        <w:left w:val="none" w:sz="0" w:space="0" w:color="auto"/>
        <w:bottom w:val="none" w:sz="0" w:space="0" w:color="auto"/>
        <w:right w:val="none" w:sz="0" w:space="0" w:color="auto"/>
      </w:divBdr>
    </w:div>
    <w:div w:id="2102098182">
      <w:bodyDiv w:val="1"/>
      <w:marLeft w:val="0"/>
      <w:marRight w:val="0"/>
      <w:marTop w:val="0"/>
      <w:marBottom w:val="0"/>
      <w:divBdr>
        <w:top w:val="none" w:sz="0" w:space="0" w:color="auto"/>
        <w:left w:val="none" w:sz="0" w:space="0" w:color="auto"/>
        <w:bottom w:val="none" w:sz="0" w:space="0" w:color="auto"/>
        <w:right w:val="none" w:sz="0" w:space="0" w:color="auto"/>
      </w:divBdr>
    </w:div>
    <w:div w:id="2103258800">
      <w:bodyDiv w:val="1"/>
      <w:marLeft w:val="0"/>
      <w:marRight w:val="0"/>
      <w:marTop w:val="0"/>
      <w:marBottom w:val="0"/>
      <w:divBdr>
        <w:top w:val="none" w:sz="0" w:space="0" w:color="auto"/>
        <w:left w:val="none" w:sz="0" w:space="0" w:color="auto"/>
        <w:bottom w:val="none" w:sz="0" w:space="0" w:color="auto"/>
        <w:right w:val="none" w:sz="0" w:space="0" w:color="auto"/>
      </w:divBdr>
    </w:div>
    <w:div w:id="2118720717">
      <w:bodyDiv w:val="1"/>
      <w:marLeft w:val="0"/>
      <w:marRight w:val="0"/>
      <w:marTop w:val="0"/>
      <w:marBottom w:val="0"/>
      <w:divBdr>
        <w:top w:val="none" w:sz="0" w:space="0" w:color="auto"/>
        <w:left w:val="none" w:sz="0" w:space="0" w:color="auto"/>
        <w:bottom w:val="none" w:sz="0" w:space="0" w:color="auto"/>
        <w:right w:val="none" w:sz="0" w:space="0" w:color="auto"/>
      </w:divBdr>
    </w:div>
    <w:div w:id="2128428513">
      <w:bodyDiv w:val="1"/>
      <w:marLeft w:val="0"/>
      <w:marRight w:val="0"/>
      <w:marTop w:val="0"/>
      <w:marBottom w:val="0"/>
      <w:divBdr>
        <w:top w:val="none" w:sz="0" w:space="0" w:color="auto"/>
        <w:left w:val="none" w:sz="0" w:space="0" w:color="auto"/>
        <w:bottom w:val="none" w:sz="0" w:space="0" w:color="auto"/>
        <w:right w:val="none" w:sz="0" w:space="0" w:color="auto"/>
      </w:divBdr>
    </w:div>
    <w:div w:id="2129737642">
      <w:bodyDiv w:val="1"/>
      <w:marLeft w:val="0"/>
      <w:marRight w:val="0"/>
      <w:marTop w:val="0"/>
      <w:marBottom w:val="0"/>
      <w:divBdr>
        <w:top w:val="none" w:sz="0" w:space="0" w:color="auto"/>
        <w:left w:val="none" w:sz="0" w:space="0" w:color="auto"/>
        <w:bottom w:val="none" w:sz="0" w:space="0" w:color="auto"/>
        <w:right w:val="none" w:sz="0" w:space="0" w:color="auto"/>
      </w:divBdr>
    </w:div>
    <w:div w:id="2136020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7.emf"/><Relationship Id="rId117" Type="http://schemas.openxmlformats.org/officeDocument/2006/relationships/image" Target="media/image108.emf"/><Relationship Id="rId21" Type="http://schemas.openxmlformats.org/officeDocument/2006/relationships/image" Target="media/image12.emf"/><Relationship Id="rId42" Type="http://schemas.openxmlformats.org/officeDocument/2006/relationships/image" Target="media/image33.emf"/><Relationship Id="rId47" Type="http://schemas.openxmlformats.org/officeDocument/2006/relationships/image" Target="media/image38.emf"/><Relationship Id="rId63" Type="http://schemas.openxmlformats.org/officeDocument/2006/relationships/image" Target="media/image54.emf"/><Relationship Id="rId68" Type="http://schemas.openxmlformats.org/officeDocument/2006/relationships/image" Target="media/image59.emf"/><Relationship Id="rId84" Type="http://schemas.openxmlformats.org/officeDocument/2006/relationships/image" Target="media/image75.emf"/><Relationship Id="rId89" Type="http://schemas.openxmlformats.org/officeDocument/2006/relationships/image" Target="media/image80.emf"/><Relationship Id="rId112" Type="http://schemas.openxmlformats.org/officeDocument/2006/relationships/image" Target="media/image103.emf"/><Relationship Id="rId133" Type="http://schemas.openxmlformats.org/officeDocument/2006/relationships/hyperlink" Target="http://cslav.justice.cz/InfoData/uvod.html" TargetMode="External"/><Relationship Id="rId138" Type="http://schemas.openxmlformats.org/officeDocument/2006/relationships/hyperlink" Target="mailto:posta@msp.justice.cz" TargetMode="External"/><Relationship Id="rId16" Type="http://schemas.openxmlformats.org/officeDocument/2006/relationships/image" Target="media/image7.emf"/><Relationship Id="rId107" Type="http://schemas.openxmlformats.org/officeDocument/2006/relationships/image" Target="media/image98.emf"/><Relationship Id="rId11" Type="http://schemas.openxmlformats.org/officeDocument/2006/relationships/hyperlink" Target="http://cslav.justice.cz/InfoData/uvod.html;jsessionid=aac8a5a17ffa2eb17703ab803dfd" TargetMode="External"/><Relationship Id="rId32" Type="http://schemas.openxmlformats.org/officeDocument/2006/relationships/image" Target="media/image23.emf"/><Relationship Id="rId37" Type="http://schemas.openxmlformats.org/officeDocument/2006/relationships/image" Target="media/image28.png"/><Relationship Id="rId53" Type="http://schemas.openxmlformats.org/officeDocument/2006/relationships/image" Target="media/image44.emf"/><Relationship Id="rId58" Type="http://schemas.openxmlformats.org/officeDocument/2006/relationships/image" Target="media/image49.emf"/><Relationship Id="rId74" Type="http://schemas.openxmlformats.org/officeDocument/2006/relationships/image" Target="media/image65.emf"/><Relationship Id="rId79" Type="http://schemas.openxmlformats.org/officeDocument/2006/relationships/image" Target="media/image70.emf"/><Relationship Id="rId102" Type="http://schemas.openxmlformats.org/officeDocument/2006/relationships/image" Target="media/image93.emf"/><Relationship Id="rId123" Type="http://schemas.openxmlformats.org/officeDocument/2006/relationships/image" Target="media/image114.emf"/><Relationship Id="rId128" Type="http://schemas.openxmlformats.org/officeDocument/2006/relationships/image" Target="media/image119.emf"/><Relationship Id="rId5" Type="http://schemas.openxmlformats.org/officeDocument/2006/relationships/settings" Target="settings.xml"/><Relationship Id="rId90" Type="http://schemas.openxmlformats.org/officeDocument/2006/relationships/image" Target="media/image81.emf"/><Relationship Id="rId95" Type="http://schemas.openxmlformats.org/officeDocument/2006/relationships/image" Target="media/image86.emf"/><Relationship Id="rId22" Type="http://schemas.openxmlformats.org/officeDocument/2006/relationships/image" Target="media/image13.emf"/><Relationship Id="rId27" Type="http://schemas.openxmlformats.org/officeDocument/2006/relationships/image" Target="media/image18.emf"/><Relationship Id="rId43" Type="http://schemas.openxmlformats.org/officeDocument/2006/relationships/image" Target="media/image34.emf"/><Relationship Id="rId48" Type="http://schemas.openxmlformats.org/officeDocument/2006/relationships/image" Target="media/image39.emf"/><Relationship Id="rId64" Type="http://schemas.openxmlformats.org/officeDocument/2006/relationships/image" Target="media/image55.emf"/><Relationship Id="rId69" Type="http://schemas.openxmlformats.org/officeDocument/2006/relationships/image" Target="media/image60.emf"/><Relationship Id="rId113" Type="http://schemas.openxmlformats.org/officeDocument/2006/relationships/image" Target="media/image104.emf"/><Relationship Id="rId118" Type="http://schemas.openxmlformats.org/officeDocument/2006/relationships/image" Target="media/image109.emf"/><Relationship Id="rId134" Type="http://schemas.openxmlformats.org/officeDocument/2006/relationships/image" Target="media/image124.emf"/><Relationship Id="rId139" Type="http://schemas.openxmlformats.org/officeDocument/2006/relationships/hyperlink" Target="http://www.justice.cz" TargetMode="External"/><Relationship Id="rId8" Type="http://schemas.openxmlformats.org/officeDocument/2006/relationships/endnotes" Target="endnotes.xml"/><Relationship Id="rId51" Type="http://schemas.openxmlformats.org/officeDocument/2006/relationships/image" Target="media/image42.emf"/><Relationship Id="rId72" Type="http://schemas.openxmlformats.org/officeDocument/2006/relationships/image" Target="media/image63.emf"/><Relationship Id="rId80" Type="http://schemas.openxmlformats.org/officeDocument/2006/relationships/image" Target="media/image71.emf"/><Relationship Id="rId85" Type="http://schemas.openxmlformats.org/officeDocument/2006/relationships/image" Target="media/image76.emf"/><Relationship Id="rId93" Type="http://schemas.openxmlformats.org/officeDocument/2006/relationships/image" Target="media/image84.emf"/><Relationship Id="rId98" Type="http://schemas.openxmlformats.org/officeDocument/2006/relationships/image" Target="media/image89.emf"/><Relationship Id="rId121" Type="http://schemas.openxmlformats.org/officeDocument/2006/relationships/image" Target="media/image112.emf"/><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image" Target="media/image8.emf"/><Relationship Id="rId25" Type="http://schemas.openxmlformats.org/officeDocument/2006/relationships/image" Target="media/image16.emf"/><Relationship Id="rId33" Type="http://schemas.openxmlformats.org/officeDocument/2006/relationships/image" Target="media/image24.emf"/><Relationship Id="rId38" Type="http://schemas.openxmlformats.org/officeDocument/2006/relationships/image" Target="media/image29.emf"/><Relationship Id="rId46" Type="http://schemas.openxmlformats.org/officeDocument/2006/relationships/image" Target="media/image37.emf"/><Relationship Id="rId59" Type="http://schemas.openxmlformats.org/officeDocument/2006/relationships/image" Target="media/image50.emf"/><Relationship Id="rId67" Type="http://schemas.openxmlformats.org/officeDocument/2006/relationships/image" Target="media/image58.emf"/><Relationship Id="rId103" Type="http://schemas.openxmlformats.org/officeDocument/2006/relationships/image" Target="media/image94.emf"/><Relationship Id="rId108" Type="http://schemas.openxmlformats.org/officeDocument/2006/relationships/image" Target="media/image99.emf"/><Relationship Id="rId116" Type="http://schemas.openxmlformats.org/officeDocument/2006/relationships/image" Target="media/image107.emf"/><Relationship Id="rId124" Type="http://schemas.openxmlformats.org/officeDocument/2006/relationships/image" Target="media/image115.emf"/><Relationship Id="rId129" Type="http://schemas.openxmlformats.org/officeDocument/2006/relationships/image" Target="media/image120.emf"/><Relationship Id="rId137" Type="http://schemas.openxmlformats.org/officeDocument/2006/relationships/footer" Target="footer1.xml"/><Relationship Id="rId20" Type="http://schemas.openxmlformats.org/officeDocument/2006/relationships/image" Target="media/image11.emf"/><Relationship Id="rId41" Type="http://schemas.openxmlformats.org/officeDocument/2006/relationships/image" Target="media/image32.emf"/><Relationship Id="rId54" Type="http://schemas.openxmlformats.org/officeDocument/2006/relationships/image" Target="media/image45.emf"/><Relationship Id="rId62" Type="http://schemas.openxmlformats.org/officeDocument/2006/relationships/image" Target="media/image53.emf"/><Relationship Id="rId70" Type="http://schemas.openxmlformats.org/officeDocument/2006/relationships/image" Target="media/image61.emf"/><Relationship Id="rId75" Type="http://schemas.openxmlformats.org/officeDocument/2006/relationships/image" Target="media/image66.emf"/><Relationship Id="rId83" Type="http://schemas.openxmlformats.org/officeDocument/2006/relationships/image" Target="media/image74.emf"/><Relationship Id="rId88" Type="http://schemas.openxmlformats.org/officeDocument/2006/relationships/image" Target="media/image79.emf"/><Relationship Id="rId91" Type="http://schemas.openxmlformats.org/officeDocument/2006/relationships/image" Target="media/image82.emf"/><Relationship Id="rId96" Type="http://schemas.openxmlformats.org/officeDocument/2006/relationships/image" Target="media/image87.emf"/><Relationship Id="rId111" Type="http://schemas.openxmlformats.org/officeDocument/2006/relationships/image" Target="media/image102.emf"/><Relationship Id="rId132" Type="http://schemas.openxmlformats.org/officeDocument/2006/relationships/image" Target="media/image123.emf"/><Relationship Id="rId14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6.emf"/><Relationship Id="rId23" Type="http://schemas.openxmlformats.org/officeDocument/2006/relationships/image" Target="media/image14.emf"/><Relationship Id="rId28" Type="http://schemas.openxmlformats.org/officeDocument/2006/relationships/image" Target="media/image19.emf"/><Relationship Id="rId36" Type="http://schemas.openxmlformats.org/officeDocument/2006/relationships/image" Target="media/image27.emf"/><Relationship Id="rId49" Type="http://schemas.openxmlformats.org/officeDocument/2006/relationships/image" Target="media/image40.emf"/><Relationship Id="rId57" Type="http://schemas.openxmlformats.org/officeDocument/2006/relationships/image" Target="media/image48.emf"/><Relationship Id="rId106" Type="http://schemas.openxmlformats.org/officeDocument/2006/relationships/image" Target="media/image97.emf"/><Relationship Id="rId114" Type="http://schemas.openxmlformats.org/officeDocument/2006/relationships/image" Target="media/image105.emf"/><Relationship Id="rId119" Type="http://schemas.openxmlformats.org/officeDocument/2006/relationships/image" Target="media/image110.emf"/><Relationship Id="rId127" Type="http://schemas.openxmlformats.org/officeDocument/2006/relationships/image" Target="media/image118.emf"/><Relationship Id="rId10" Type="http://schemas.openxmlformats.org/officeDocument/2006/relationships/image" Target="media/image2.jpg"/><Relationship Id="rId31" Type="http://schemas.openxmlformats.org/officeDocument/2006/relationships/image" Target="media/image22.emf"/><Relationship Id="rId44" Type="http://schemas.openxmlformats.org/officeDocument/2006/relationships/image" Target="media/image35.emf"/><Relationship Id="rId52" Type="http://schemas.openxmlformats.org/officeDocument/2006/relationships/image" Target="media/image43.emf"/><Relationship Id="rId60" Type="http://schemas.openxmlformats.org/officeDocument/2006/relationships/image" Target="media/image51.emf"/><Relationship Id="rId65" Type="http://schemas.openxmlformats.org/officeDocument/2006/relationships/image" Target="media/image56.emf"/><Relationship Id="rId73" Type="http://schemas.openxmlformats.org/officeDocument/2006/relationships/image" Target="media/image64.emf"/><Relationship Id="rId78" Type="http://schemas.openxmlformats.org/officeDocument/2006/relationships/image" Target="media/image69.emf"/><Relationship Id="rId81" Type="http://schemas.openxmlformats.org/officeDocument/2006/relationships/image" Target="media/image72.emf"/><Relationship Id="rId86" Type="http://schemas.openxmlformats.org/officeDocument/2006/relationships/image" Target="media/image77.emf"/><Relationship Id="rId94" Type="http://schemas.openxmlformats.org/officeDocument/2006/relationships/image" Target="media/image85.emf"/><Relationship Id="rId99" Type="http://schemas.openxmlformats.org/officeDocument/2006/relationships/image" Target="media/image90.emf"/><Relationship Id="rId101" Type="http://schemas.openxmlformats.org/officeDocument/2006/relationships/image" Target="media/image92.emf"/><Relationship Id="rId122" Type="http://schemas.openxmlformats.org/officeDocument/2006/relationships/image" Target="media/image113.emf"/><Relationship Id="rId130" Type="http://schemas.openxmlformats.org/officeDocument/2006/relationships/image" Target="media/image121.emf"/><Relationship Id="rId135" Type="http://schemas.openxmlformats.org/officeDocument/2006/relationships/image" Target="media/image125.emf"/><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image" Target="media/image4.emf"/><Relationship Id="rId18" Type="http://schemas.openxmlformats.org/officeDocument/2006/relationships/image" Target="media/image9.emf"/><Relationship Id="rId39" Type="http://schemas.openxmlformats.org/officeDocument/2006/relationships/image" Target="media/image30.emf"/><Relationship Id="rId109" Type="http://schemas.openxmlformats.org/officeDocument/2006/relationships/image" Target="media/image100.emf"/><Relationship Id="rId34" Type="http://schemas.openxmlformats.org/officeDocument/2006/relationships/image" Target="media/image25.emf"/><Relationship Id="rId50" Type="http://schemas.openxmlformats.org/officeDocument/2006/relationships/image" Target="media/image41.emf"/><Relationship Id="rId55" Type="http://schemas.openxmlformats.org/officeDocument/2006/relationships/image" Target="media/image46.emf"/><Relationship Id="rId76" Type="http://schemas.openxmlformats.org/officeDocument/2006/relationships/image" Target="media/image67.emf"/><Relationship Id="rId97" Type="http://schemas.openxmlformats.org/officeDocument/2006/relationships/image" Target="media/image88.emf"/><Relationship Id="rId104" Type="http://schemas.openxmlformats.org/officeDocument/2006/relationships/image" Target="media/image95.emf"/><Relationship Id="rId120" Type="http://schemas.openxmlformats.org/officeDocument/2006/relationships/image" Target="media/image111.emf"/><Relationship Id="rId125" Type="http://schemas.openxmlformats.org/officeDocument/2006/relationships/image" Target="media/image116.emf"/><Relationship Id="rId141"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image" Target="media/image62.emf"/><Relationship Id="rId92" Type="http://schemas.openxmlformats.org/officeDocument/2006/relationships/image" Target="media/image83.emf"/><Relationship Id="rId2" Type="http://schemas.openxmlformats.org/officeDocument/2006/relationships/numbering" Target="numbering.xml"/><Relationship Id="rId29" Type="http://schemas.openxmlformats.org/officeDocument/2006/relationships/image" Target="media/image20.emf"/><Relationship Id="rId24" Type="http://schemas.openxmlformats.org/officeDocument/2006/relationships/image" Target="media/image15.emf"/><Relationship Id="rId40" Type="http://schemas.openxmlformats.org/officeDocument/2006/relationships/image" Target="media/image31.emf"/><Relationship Id="rId45" Type="http://schemas.openxmlformats.org/officeDocument/2006/relationships/image" Target="media/image36.emf"/><Relationship Id="rId66" Type="http://schemas.openxmlformats.org/officeDocument/2006/relationships/image" Target="media/image57.emf"/><Relationship Id="rId87" Type="http://schemas.openxmlformats.org/officeDocument/2006/relationships/image" Target="media/image78.emf"/><Relationship Id="rId110" Type="http://schemas.openxmlformats.org/officeDocument/2006/relationships/image" Target="media/image101.emf"/><Relationship Id="rId115" Type="http://schemas.openxmlformats.org/officeDocument/2006/relationships/image" Target="media/image106.emf"/><Relationship Id="rId131" Type="http://schemas.openxmlformats.org/officeDocument/2006/relationships/image" Target="media/image122.emf"/><Relationship Id="rId136" Type="http://schemas.openxmlformats.org/officeDocument/2006/relationships/package" Target="embeddings/Microsoft_Excel_Worksheet1.xlsx"/><Relationship Id="rId61" Type="http://schemas.openxmlformats.org/officeDocument/2006/relationships/image" Target="media/image52.emf"/><Relationship Id="rId82" Type="http://schemas.openxmlformats.org/officeDocument/2006/relationships/image" Target="media/image73.emf"/><Relationship Id="rId19" Type="http://schemas.openxmlformats.org/officeDocument/2006/relationships/image" Target="media/image10.emf"/><Relationship Id="rId14" Type="http://schemas.openxmlformats.org/officeDocument/2006/relationships/image" Target="media/image5.emf"/><Relationship Id="rId30" Type="http://schemas.openxmlformats.org/officeDocument/2006/relationships/image" Target="media/image21.emf"/><Relationship Id="rId35" Type="http://schemas.openxmlformats.org/officeDocument/2006/relationships/image" Target="media/image26.emf"/><Relationship Id="rId56" Type="http://schemas.openxmlformats.org/officeDocument/2006/relationships/image" Target="media/image47.emf"/><Relationship Id="rId77" Type="http://schemas.openxmlformats.org/officeDocument/2006/relationships/image" Target="media/image68.emf"/><Relationship Id="rId100" Type="http://schemas.openxmlformats.org/officeDocument/2006/relationships/image" Target="media/image91.emf"/><Relationship Id="rId105" Type="http://schemas.openxmlformats.org/officeDocument/2006/relationships/image" Target="media/image96.emf"/><Relationship Id="rId126" Type="http://schemas.openxmlformats.org/officeDocument/2006/relationships/image" Target="media/image117.emf"/></Relationships>
</file>

<file path=word/_rels/footnotes.xml.rels><?xml version="1.0" encoding="UTF-8" standalone="yes"?>
<Relationships xmlns="http://schemas.openxmlformats.org/package/2006/relationships"><Relationship Id="rId3" Type="http://schemas.openxmlformats.org/officeDocument/2006/relationships/hyperlink" Target="http://www.nsoud.cz/Judikatura/ns_web.nsf/web/ONejvyssimsoudu~Trestnikolegium~Soudci_TK~?openDocument&amp;lng=CZ" TargetMode="External"/><Relationship Id="rId2" Type="http://schemas.openxmlformats.org/officeDocument/2006/relationships/hyperlink" Target="http://www.nsoud.cz/Judikatura/ns_web.nsf/web/ONejvyssimsoudu~Obcanskopravniaobchodnikolegium~Soudci_OOK~?openDocument&amp;lng=CZ" TargetMode="External"/><Relationship Id="rId1" Type="http://schemas.openxmlformats.org/officeDocument/2006/relationships/hyperlink" Target="http://www.nsoud.cz/Judikatura/ns_web.nsf/Edit/Proverejnostamedia~Vyrocnizpravy?Open&amp;area=Pro%20ve%C5%99ejnost%20a%20m%C3%A9dia&amp;grp=V%C3%BDro%C4%8Dn%C3%AD%20zpr%C3%A1vy&amp;lng="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35BB2E-6D74-4320-954D-0FE0A62346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168</Pages>
  <Words>39510</Words>
  <Characters>233112</Characters>
  <Application>Microsoft Office Word</Application>
  <DocSecurity>0</DocSecurity>
  <Lines>1942</Lines>
  <Paragraphs>544</Paragraphs>
  <ScaleCrop>false</ScaleCrop>
  <HeadingPairs>
    <vt:vector size="2" baseType="variant">
      <vt:variant>
        <vt:lpstr>Název</vt:lpstr>
      </vt:variant>
      <vt:variant>
        <vt:i4>1</vt:i4>
      </vt:variant>
    </vt:vector>
  </HeadingPairs>
  <TitlesOfParts>
    <vt:vector size="1" baseType="lpstr">
      <vt:lpstr/>
    </vt:vector>
  </TitlesOfParts>
  <Company>Ministerstvo spravedlnosti ČR</Company>
  <LinksUpToDate>false</LinksUpToDate>
  <CharactersWithSpaces>272078</CharactersWithSpaces>
  <SharedDoc>false</SharedDoc>
  <HLinks>
    <vt:vector size="1728" baseType="variant">
      <vt:variant>
        <vt:i4>7471206</vt:i4>
      </vt:variant>
      <vt:variant>
        <vt:i4>2277</vt:i4>
      </vt:variant>
      <vt:variant>
        <vt:i4>0</vt:i4>
      </vt:variant>
      <vt:variant>
        <vt:i4>5</vt:i4>
      </vt:variant>
      <vt:variant>
        <vt:lpwstr>http://www.justice.cz/</vt:lpwstr>
      </vt:variant>
      <vt:variant>
        <vt:lpwstr/>
      </vt:variant>
      <vt:variant>
        <vt:i4>7012352</vt:i4>
      </vt:variant>
      <vt:variant>
        <vt:i4>2274</vt:i4>
      </vt:variant>
      <vt:variant>
        <vt:i4>0</vt:i4>
      </vt:variant>
      <vt:variant>
        <vt:i4>5</vt:i4>
      </vt:variant>
      <vt:variant>
        <vt:lpwstr>mailto:posta@msp.justice.cz</vt:lpwstr>
      </vt:variant>
      <vt:variant>
        <vt:lpwstr/>
      </vt:variant>
      <vt:variant>
        <vt:i4>2490404</vt:i4>
      </vt:variant>
      <vt:variant>
        <vt:i4>2271</vt:i4>
      </vt:variant>
      <vt:variant>
        <vt:i4>0</vt:i4>
      </vt:variant>
      <vt:variant>
        <vt:i4>5</vt:i4>
      </vt:variant>
      <vt:variant>
        <vt:lpwstr>http://cslav.justice.cz/InfoData/uvod.html</vt:lpwstr>
      </vt:variant>
      <vt:variant>
        <vt:lpwstr/>
      </vt:variant>
      <vt:variant>
        <vt:i4>1638449</vt:i4>
      </vt:variant>
      <vt:variant>
        <vt:i4>2264</vt:i4>
      </vt:variant>
      <vt:variant>
        <vt:i4>0</vt:i4>
      </vt:variant>
      <vt:variant>
        <vt:i4>5</vt:i4>
      </vt:variant>
      <vt:variant>
        <vt:lpwstr/>
      </vt:variant>
      <vt:variant>
        <vt:lpwstr>_Toc11391422</vt:lpwstr>
      </vt:variant>
      <vt:variant>
        <vt:i4>1703985</vt:i4>
      </vt:variant>
      <vt:variant>
        <vt:i4>2258</vt:i4>
      </vt:variant>
      <vt:variant>
        <vt:i4>0</vt:i4>
      </vt:variant>
      <vt:variant>
        <vt:i4>5</vt:i4>
      </vt:variant>
      <vt:variant>
        <vt:lpwstr/>
      </vt:variant>
      <vt:variant>
        <vt:lpwstr>_Toc11391421</vt:lpwstr>
      </vt:variant>
      <vt:variant>
        <vt:i4>1769521</vt:i4>
      </vt:variant>
      <vt:variant>
        <vt:i4>2252</vt:i4>
      </vt:variant>
      <vt:variant>
        <vt:i4>0</vt:i4>
      </vt:variant>
      <vt:variant>
        <vt:i4>5</vt:i4>
      </vt:variant>
      <vt:variant>
        <vt:lpwstr/>
      </vt:variant>
      <vt:variant>
        <vt:lpwstr>_Toc11391420</vt:lpwstr>
      </vt:variant>
      <vt:variant>
        <vt:i4>1179698</vt:i4>
      </vt:variant>
      <vt:variant>
        <vt:i4>2246</vt:i4>
      </vt:variant>
      <vt:variant>
        <vt:i4>0</vt:i4>
      </vt:variant>
      <vt:variant>
        <vt:i4>5</vt:i4>
      </vt:variant>
      <vt:variant>
        <vt:lpwstr/>
      </vt:variant>
      <vt:variant>
        <vt:lpwstr>_Toc11391419</vt:lpwstr>
      </vt:variant>
      <vt:variant>
        <vt:i4>1245234</vt:i4>
      </vt:variant>
      <vt:variant>
        <vt:i4>2240</vt:i4>
      </vt:variant>
      <vt:variant>
        <vt:i4>0</vt:i4>
      </vt:variant>
      <vt:variant>
        <vt:i4>5</vt:i4>
      </vt:variant>
      <vt:variant>
        <vt:lpwstr/>
      </vt:variant>
      <vt:variant>
        <vt:lpwstr>_Toc11391418</vt:lpwstr>
      </vt:variant>
      <vt:variant>
        <vt:i4>1835058</vt:i4>
      </vt:variant>
      <vt:variant>
        <vt:i4>2234</vt:i4>
      </vt:variant>
      <vt:variant>
        <vt:i4>0</vt:i4>
      </vt:variant>
      <vt:variant>
        <vt:i4>5</vt:i4>
      </vt:variant>
      <vt:variant>
        <vt:lpwstr/>
      </vt:variant>
      <vt:variant>
        <vt:lpwstr>_Toc11391417</vt:lpwstr>
      </vt:variant>
      <vt:variant>
        <vt:i4>1900594</vt:i4>
      </vt:variant>
      <vt:variant>
        <vt:i4>2228</vt:i4>
      </vt:variant>
      <vt:variant>
        <vt:i4>0</vt:i4>
      </vt:variant>
      <vt:variant>
        <vt:i4>5</vt:i4>
      </vt:variant>
      <vt:variant>
        <vt:lpwstr/>
      </vt:variant>
      <vt:variant>
        <vt:lpwstr>_Toc11391416</vt:lpwstr>
      </vt:variant>
      <vt:variant>
        <vt:i4>1966130</vt:i4>
      </vt:variant>
      <vt:variant>
        <vt:i4>2222</vt:i4>
      </vt:variant>
      <vt:variant>
        <vt:i4>0</vt:i4>
      </vt:variant>
      <vt:variant>
        <vt:i4>5</vt:i4>
      </vt:variant>
      <vt:variant>
        <vt:lpwstr/>
      </vt:variant>
      <vt:variant>
        <vt:lpwstr>_Toc11391415</vt:lpwstr>
      </vt:variant>
      <vt:variant>
        <vt:i4>2031666</vt:i4>
      </vt:variant>
      <vt:variant>
        <vt:i4>2216</vt:i4>
      </vt:variant>
      <vt:variant>
        <vt:i4>0</vt:i4>
      </vt:variant>
      <vt:variant>
        <vt:i4>5</vt:i4>
      </vt:variant>
      <vt:variant>
        <vt:lpwstr/>
      </vt:variant>
      <vt:variant>
        <vt:lpwstr>_Toc11391414</vt:lpwstr>
      </vt:variant>
      <vt:variant>
        <vt:i4>1572914</vt:i4>
      </vt:variant>
      <vt:variant>
        <vt:i4>2210</vt:i4>
      </vt:variant>
      <vt:variant>
        <vt:i4>0</vt:i4>
      </vt:variant>
      <vt:variant>
        <vt:i4>5</vt:i4>
      </vt:variant>
      <vt:variant>
        <vt:lpwstr/>
      </vt:variant>
      <vt:variant>
        <vt:lpwstr>_Toc11391413</vt:lpwstr>
      </vt:variant>
      <vt:variant>
        <vt:i4>1638450</vt:i4>
      </vt:variant>
      <vt:variant>
        <vt:i4>2204</vt:i4>
      </vt:variant>
      <vt:variant>
        <vt:i4>0</vt:i4>
      </vt:variant>
      <vt:variant>
        <vt:i4>5</vt:i4>
      </vt:variant>
      <vt:variant>
        <vt:lpwstr/>
      </vt:variant>
      <vt:variant>
        <vt:lpwstr>_Toc11391412</vt:lpwstr>
      </vt:variant>
      <vt:variant>
        <vt:i4>1703986</vt:i4>
      </vt:variant>
      <vt:variant>
        <vt:i4>2198</vt:i4>
      </vt:variant>
      <vt:variant>
        <vt:i4>0</vt:i4>
      </vt:variant>
      <vt:variant>
        <vt:i4>5</vt:i4>
      </vt:variant>
      <vt:variant>
        <vt:lpwstr/>
      </vt:variant>
      <vt:variant>
        <vt:lpwstr>_Toc11391411</vt:lpwstr>
      </vt:variant>
      <vt:variant>
        <vt:i4>1769522</vt:i4>
      </vt:variant>
      <vt:variant>
        <vt:i4>2192</vt:i4>
      </vt:variant>
      <vt:variant>
        <vt:i4>0</vt:i4>
      </vt:variant>
      <vt:variant>
        <vt:i4>5</vt:i4>
      </vt:variant>
      <vt:variant>
        <vt:lpwstr/>
      </vt:variant>
      <vt:variant>
        <vt:lpwstr>_Toc11391410</vt:lpwstr>
      </vt:variant>
      <vt:variant>
        <vt:i4>1179699</vt:i4>
      </vt:variant>
      <vt:variant>
        <vt:i4>2186</vt:i4>
      </vt:variant>
      <vt:variant>
        <vt:i4>0</vt:i4>
      </vt:variant>
      <vt:variant>
        <vt:i4>5</vt:i4>
      </vt:variant>
      <vt:variant>
        <vt:lpwstr/>
      </vt:variant>
      <vt:variant>
        <vt:lpwstr>_Toc11391409</vt:lpwstr>
      </vt:variant>
      <vt:variant>
        <vt:i4>1245235</vt:i4>
      </vt:variant>
      <vt:variant>
        <vt:i4>2180</vt:i4>
      </vt:variant>
      <vt:variant>
        <vt:i4>0</vt:i4>
      </vt:variant>
      <vt:variant>
        <vt:i4>5</vt:i4>
      </vt:variant>
      <vt:variant>
        <vt:lpwstr/>
      </vt:variant>
      <vt:variant>
        <vt:lpwstr>_Toc11391408</vt:lpwstr>
      </vt:variant>
      <vt:variant>
        <vt:i4>1835059</vt:i4>
      </vt:variant>
      <vt:variant>
        <vt:i4>2174</vt:i4>
      </vt:variant>
      <vt:variant>
        <vt:i4>0</vt:i4>
      </vt:variant>
      <vt:variant>
        <vt:i4>5</vt:i4>
      </vt:variant>
      <vt:variant>
        <vt:lpwstr/>
      </vt:variant>
      <vt:variant>
        <vt:lpwstr>_Toc11391407</vt:lpwstr>
      </vt:variant>
      <vt:variant>
        <vt:i4>1900595</vt:i4>
      </vt:variant>
      <vt:variant>
        <vt:i4>2168</vt:i4>
      </vt:variant>
      <vt:variant>
        <vt:i4>0</vt:i4>
      </vt:variant>
      <vt:variant>
        <vt:i4>5</vt:i4>
      </vt:variant>
      <vt:variant>
        <vt:lpwstr/>
      </vt:variant>
      <vt:variant>
        <vt:lpwstr>_Toc11391406</vt:lpwstr>
      </vt:variant>
      <vt:variant>
        <vt:i4>1966131</vt:i4>
      </vt:variant>
      <vt:variant>
        <vt:i4>2162</vt:i4>
      </vt:variant>
      <vt:variant>
        <vt:i4>0</vt:i4>
      </vt:variant>
      <vt:variant>
        <vt:i4>5</vt:i4>
      </vt:variant>
      <vt:variant>
        <vt:lpwstr/>
      </vt:variant>
      <vt:variant>
        <vt:lpwstr>_Toc11391405</vt:lpwstr>
      </vt:variant>
      <vt:variant>
        <vt:i4>2031667</vt:i4>
      </vt:variant>
      <vt:variant>
        <vt:i4>2156</vt:i4>
      </vt:variant>
      <vt:variant>
        <vt:i4>0</vt:i4>
      </vt:variant>
      <vt:variant>
        <vt:i4>5</vt:i4>
      </vt:variant>
      <vt:variant>
        <vt:lpwstr/>
      </vt:variant>
      <vt:variant>
        <vt:lpwstr>_Toc11391404</vt:lpwstr>
      </vt:variant>
      <vt:variant>
        <vt:i4>1572915</vt:i4>
      </vt:variant>
      <vt:variant>
        <vt:i4>2150</vt:i4>
      </vt:variant>
      <vt:variant>
        <vt:i4>0</vt:i4>
      </vt:variant>
      <vt:variant>
        <vt:i4>5</vt:i4>
      </vt:variant>
      <vt:variant>
        <vt:lpwstr/>
      </vt:variant>
      <vt:variant>
        <vt:lpwstr>_Toc11391403</vt:lpwstr>
      </vt:variant>
      <vt:variant>
        <vt:i4>1638451</vt:i4>
      </vt:variant>
      <vt:variant>
        <vt:i4>2144</vt:i4>
      </vt:variant>
      <vt:variant>
        <vt:i4>0</vt:i4>
      </vt:variant>
      <vt:variant>
        <vt:i4>5</vt:i4>
      </vt:variant>
      <vt:variant>
        <vt:lpwstr/>
      </vt:variant>
      <vt:variant>
        <vt:lpwstr>_Toc11391402</vt:lpwstr>
      </vt:variant>
      <vt:variant>
        <vt:i4>1703987</vt:i4>
      </vt:variant>
      <vt:variant>
        <vt:i4>2138</vt:i4>
      </vt:variant>
      <vt:variant>
        <vt:i4>0</vt:i4>
      </vt:variant>
      <vt:variant>
        <vt:i4>5</vt:i4>
      </vt:variant>
      <vt:variant>
        <vt:lpwstr/>
      </vt:variant>
      <vt:variant>
        <vt:lpwstr>_Toc11391401</vt:lpwstr>
      </vt:variant>
      <vt:variant>
        <vt:i4>1769523</vt:i4>
      </vt:variant>
      <vt:variant>
        <vt:i4>2132</vt:i4>
      </vt:variant>
      <vt:variant>
        <vt:i4>0</vt:i4>
      </vt:variant>
      <vt:variant>
        <vt:i4>5</vt:i4>
      </vt:variant>
      <vt:variant>
        <vt:lpwstr/>
      </vt:variant>
      <vt:variant>
        <vt:lpwstr>_Toc11391400</vt:lpwstr>
      </vt:variant>
      <vt:variant>
        <vt:i4>1376314</vt:i4>
      </vt:variant>
      <vt:variant>
        <vt:i4>2126</vt:i4>
      </vt:variant>
      <vt:variant>
        <vt:i4>0</vt:i4>
      </vt:variant>
      <vt:variant>
        <vt:i4>5</vt:i4>
      </vt:variant>
      <vt:variant>
        <vt:lpwstr/>
      </vt:variant>
      <vt:variant>
        <vt:lpwstr>_Toc11391399</vt:lpwstr>
      </vt:variant>
      <vt:variant>
        <vt:i4>1310778</vt:i4>
      </vt:variant>
      <vt:variant>
        <vt:i4>2120</vt:i4>
      </vt:variant>
      <vt:variant>
        <vt:i4>0</vt:i4>
      </vt:variant>
      <vt:variant>
        <vt:i4>5</vt:i4>
      </vt:variant>
      <vt:variant>
        <vt:lpwstr/>
      </vt:variant>
      <vt:variant>
        <vt:lpwstr>_Toc11391398</vt:lpwstr>
      </vt:variant>
      <vt:variant>
        <vt:i4>1769530</vt:i4>
      </vt:variant>
      <vt:variant>
        <vt:i4>2114</vt:i4>
      </vt:variant>
      <vt:variant>
        <vt:i4>0</vt:i4>
      </vt:variant>
      <vt:variant>
        <vt:i4>5</vt:i4>
      </vt:variant>
      <vt:variant>
        <vt:lpwstr/>
      </vt:variant>
      <vt:variant>
        <vt:lpwstr>_Toc11391397</vt:lpwstr>
      </vt:variant>
      <vt:variant>
        <vt:i4>1703994</vt:i4>
      </vt:variant>
      <vt:variant>
        <vt:i4>2108</vt:i4>
      </vt:variant>
      <vt:variant>
        <vt:i4>0</vt:i4>
      </vt:variant>
      <vt:variant>
        <vt:i4>5</vt:i4>
      </vt:variant>
      <vt:variant>
        <vt:lpwstr/>
      </vt:variant>
      <vt:variant>
        <vt:lpwstr>_Toc11391396</vt:lpwstr>
      </vt:variant>
      <vt:variant>
        <vt:i4>1638458</vt:i4>
      </vt:variant>
      <vt:variant>
        <vt:i4>2102</vt:i4>
      </vt:variant>
      <vt:variant>
        <vt:i4>0</vt:i4>
      </vt:variant>
      <vt:variant>
        <vt:i4>5</vt:i4>
      </vt:variant>
      <vt:variant>
        <vt:lpwstr/>
      </vt:variant>
      <vt:variant>
        <vt:lpwstr>_Toc11391395</vt:lpwstr>
      </vt:variant>
      <vt:variant>
        <vt:i4>1572922</vt:i4>
      </vt:variant>
      <vt:variant>
        <vt:i4>2096</vt:i4>
      </vt:variant>
      <vt:variant>
        <vt:i4>0</vt:i4>
      </vt:variant>
      <vt:variant>
        <vt:i4>5</vt:i4>
      </vt:variant>
      <vt:variant>
        <vt:lpwstr/>
      </vt:variant>
      <vt:variant>
        <vt:lpwstr>_Toc11391394</vt:lpwstr>
      </vt:variant>
      <vt:variant>
        <vt:i4>2031674</vt:i4>
      </vt:variant>
      <vt:variant>
        <vt:i4>2090</vt:i4>
      </vt:variant>
      <vt:variant>
        <vt:i4>0</vt:i4>
      </vt:variant>
      <vt:variant>
        <vt:i4>5</vt:i4>
      </vt:variant>
      <vt:variant>
        <vt:lpwstr/>
      </vt:variant>
      <vt:variant>
        <vt:lpwstr>_Toc11391393</vt:lpwstr>
      </vt:variant>
      <vt:variant>
        <vt:i4>1966138</vt:i4>
      </vt:variant>
      <vt:variant>
        <vt:i4>2084</vt:i4>
      </vt:variant>
      <vt:variant>
        <vt:i4>0</vt:i4>
      </vt:variant>
      <vt:variant>
        <vt:i4>5</vt:i4>
      </vt:variant>
      <vt:variant>
        <vt:lpwstr/>
      </vt:variant>
      <vt:variant>
        <vt:lpwstr>_Toc11391392</vt:lpwstr>
      </vt:variant>
      <vt:variant>
        <vt:i4>1900602</vt:i4>
      </vt:variant>
      <vt:variant>
        <vt:i4>2078</vt:i4>
      </vt:variant>
      <vt:variant>
        <vt:i4>0</vt:i4>
      </vt:variant>
      <vt:variant>
        <vt:i4>5</vt:i4>
      </vt:variant>
      <vt:variant>
        <vt:lpwstr/>
      </vt:variant>
      <vt:variant>
        <vt:lpwstr>_Toc11391391</vt:lpwstr>
      </vt:variant>
      <vt:variant>
        <vt:i4>1835066</vt:i4>
      </vt:variant>
      <vt:variant>
        <vt:i4>2072</vt:i4>
      </vt:variant>
      <vt:variant>
        <vt:i4>0</vt:i4>
      </vt:variant>
      <vt:variant>
        <vt:i4>5</vt:i4>
      </vt:variant>
      <vt:variant>
        <vt:lpwstr/>
      </vt:variant>
      <vt:variant>
        <vt:lpwstr>_Toc11391390</vt:lpwstr>
      </vt:variant>
      <vt:variant>
        <vt:i4>1376315</vt:i4>
      </vt:variant>
      <vt:variant>
        <vt:i4>2066</vt:i4>
      </vt:variant>
      <vt:variant>
        <vt:i4>0</vt:i4>
      </vt:variant>
      <vt:variant>
        <vt:i4>5</vt:i4>
      </vt:variant>
      <vt:variant>
        <vt:lpwstr/>
      </vt:variant>
      <vt:variant>
        <vt:lpwstr>_Toc11391389</vt:lpwstr>
      </vt:variant>
      <vt:variant>
        <vt:i4>1310779</vt:i4>
      </vt:variant>
      <vt:variant>
        <vt:i4>2060</vt:i4>
      </vt:variant>
      <vt:variant>
        <vt:i4>0</vt:i4>
      </vt:variant>
      <vt:variant>
        <vt:i4>5</vt:i4>
      </vt:variant>
      <vt:variant>
        <vt:lpwstr/>
      </vt:variant>
      <vt:variant>
        <vt:lpwstr>_Toc11391388</vt:lpwstr>
      </vt:variant>
      <vt:variant>
        <vt:i4>1769531</vt:i4>
      </vt:variant>
      <vt:variant>
        <vt:i4>2054</vt:i4>
      </vt:variant>
      <vt:variant>
        <vt:i4>0</vt:i4>
      </vt:variant>
      <vt:variant>
        <vt:i4>5</vt:i4>
      </vt:variant>
      <vt:variant>
        <vt:lpwstr/>
      </vt:variant>
      <vt:variant>
        <vt:lpwstr>_Toc11391387</vt:lpwstr>
      </vt:variant>
      <vt:variant>
        <vt:i4>1703995</vt:i4>
      </vt:variant>
      <vt:variant>
        <vt:i4>2048</vt:i4>
      </vt:variant>
      <vt:variant>
        <vt:i4>0</vt:i4>
      </vt:variant>
      <vt:variant>
        <vt:i4>5</vt:i4>
      </vt:variant>
      <vt:variant>
        <vt:lpwstr/>
      </vt:variant>
      <vt:variant>
        <vt:lpwstr>_Toc11391386</vt:lpwstr>
      </vt:variant>
      <vt:variant>
        <vt:i4>1638459</vt:i4>
      </vt:variant>
      <vt:variant>
        <vt:i4>2042</vt:i4>
      </vt:variant>
      <vt:variant>
        <vt:i4>0</vt:i4>
      </vt:variant>
      <vt:variant>
        <vt:i4>5</vt:i4>
      </vt:variant>
      <vt:variant>
        <vt:lpwstr/>
      </vt:variant>
      <vt:variant>
        <vt:lpwstr>_Toc11391385</vt:lpwstr>
      </vt:variant>
      <vt:variant>
        <vt:i4>1572923</vt:i4>
      </vt:variant>
      <vt:variant>
        <vt:i4>2036</vt:i4>
      </vt:variant>
      <vt:variant>
        <vt:i4>0</vt:i4>
      </vt:variant>
      <vt:variant>
        <vt:i4>5</vt:i4>
      </vt:variant>
      <vt:variant>
        <vt:lpwstr/>
      </vt:variant>
      <vt:variant>
        <vt:lpwstr>_Toc11391384</vt:lpwstr>
      </vt:variant>
      <vt:variant>
        <vt:i4>2031675</vt:i4>
      </vt:variant>
      <vt:variant>
        <vt:i4>2030</vt:i4>
      </vt:variant>
      <vt:variant>
        <vt:i4>0</vt:i4>
      </vt:variant>
      <vt:variant>
        <vt:i4>5</vt:i4>
      </vt:variant>
      <vt:variant>
        <vt:lpwstr/>
      </vt:variant>
      <vt:variant>
        <vt:lpwstr>_Toc11391383</vt:lpwstr>
      </vt:variant>
      <vt:variant>
        <vt:i4>1966139</vt:i4>
      </vt:variant>
      <vt:variant>
        <vt:i4>2024</vt:i4>
      </vt:variant>
      <vt:variant>
        <vt:i4>0</vt:i4>
      </vt:variant>
      <vt:variant>
        <vt:i4>5</vt:i4>
      </vt:variant>
      <vt:variant>
        <vt:lpwstr/>
      </vt:variant>
      <vt:variant>
        <vt:lpwstr>_Toc11391382</vt:lpwstr>
      </vt:variant>
      <vt:variant>
        <vt:i4>1900603</vt:i4>
      </vt:variant>
      <vt:variant>
        <vt:i4>2018</vt:i4>
      </vt:variant>
      <vt:variant>
        <vt:i4>0</vt:i4>
      </vt:variant>
      <vt:variant>
        <vt:i4>5</vt:i4>
      </vt:variant>
      <vt:variant>
        <vt:lpwstr/>
      </vt:variant>
      <vt:variant>
        <vt:lpwstr>_Toc11391381</vt:lpwstr>
      </vt:variant>
      <vt:variant>
        <vt:i4>1835067</vt:i4>
      </vt:variant>
      <vt:variant>
        <vt:i4>2012</vt:i4>
      </vt:variant>
      <vt:variant>
        <vt:i4>0</vt:i4>
      </vt:variant>
      <vt:variant>
        <vt:i4>5</vt:i4>
      </vt:variant>
      <vt:variant>
        <vt:lpwstr/>
      </vt:variant>
      <vt:variant>
        <vt:lpwstr>_Toc11391380</vt:lpwstr>
      </vt:variant>
      <vt:variant>
        <vt:i4>1376308</vt:i4>
      </vt:variant>
      <vt:variant>
        <vt:i4>2006</vt:i4>
      </vt:variant>
      <vt:variant>
        <vt:i4>0</vt:i4>
      </vt:variant>
      <vt:variant>
        <vt:i4>5</vt:i4>
      </vt:variant>
      <vt:variant>
        <vt:lpwstr/>
      </vt:variant>
      <vt:variant>
        <vt:lpwstr>_Toc11391379</vt:lpwstr>
      </vt:variant>
      <vt:variant>
        <vt:i4>1310772</vt:i4>
      </vt:variant>
      <vt:variant>
        <vt:i4>2000</vt:i4>
      </vt:variant>
      <vt:variant>
        <vt:i4>0</vt:i4>
      </vt:variant>
      <vt:variant>
        <vt:i4>5</vt:i4>
      </vt:variant>
      <vt:variant>
        <vt:lpwstr/>
      </vt:variant>
      <vt:variant>
        <vt:lpwstr>_Toc11391378</vt:lpwstr>
      </vt:variant>
      <vt:variant>
        <vt:i4>1769524</vt:i4>
      </vt:variant>
      <vt:variant>
        <vt:i4>1994</vt:i4>
      </vt:variant>
      <vt:variant>
        <vt:i4>0</vt:i4>
      </vt:variant>
      <vt:variant>
        <vt:i4>5</vt:i4>
      </vt:variant>
      <vt:variant>
        <vt:lpwstr/>
      </vt:variant>
      <vt:variant>
        <vt:lpwstr>_Toc11391377</vt:lpwstr>
      </vt:variant>
      <vt:variant>
        <vt:i4>1703988</vt:i4>
      </vt:variant>
      <vt:variant>
        <vt:i4>1988</vt:i4>
      </vt:variant>
      <vt:variant>
        <vt:i4>0</vt:i4>
      </vt:variant>
      <vt:variant>
        <vt:i4>5</vt:i4>
      </vt:variant>
      <vt:variant>
        <vt:lpwstr/>
      </vt:variant>
      <vt:variant>
        <vt:lpwstr>_Toc11391376</vt:lpwstr>
      </vt:variant>
      <vt:variant>
        <vt:i4>1638452</vt:i4>
      </vt:variant>
      <vt:variant>
        <vt:i4>1982</vt:i4>
      </vt:variant>
      <vt:variant>
        <vt:i4>0</vt:i4>
      </vt:variant>
      <vt:variant>
        <vt:i4>5</vt:i4>
      </vt:variant>
      <vt:variant>
        <vt:lpwstr/>
      </vt:variant>
      <vt:variant>
        <vt:lpwstr>_Toc11391375</vt:lpwstr>
      </vt:variant>
      <vt:variant>
        <vt:i4>1572916</vt:i4>
      </vt:variant>
      <vt:variant>
        <vt:i4>1976</vt:i4>
      </vt:variant>
      <vt:variant>
        <vt:i4>0</vt:i4>
      </vt:variant>
      <vt:variant>
        <vt:i4>5</vt:i4>
      </vt:variant>
      <vt:variant>
        <vt:lpwstr/>
      </vt:variant>
      <vt:variant>
        <vt:lpwstr>_Toc11391374</vt:lpwstr>
      </vt:variant>
      <vt:variant>
        <vt:i4>2031668</vt:i4>
      </vt:variant>
      <vt:variant>
        <vt:i4>1970</vt:i4>
      </vt:variant>
      <vt:variant>
        <vt:i4>0</vt:i4>
      </vt:variant>
      <vt:variant>
        <vt:i4>5</vt:i4>
      </vt:variant>
      <vt:variant>
        <vt:lpwstr/>
      </vt:variant>
      <vt:variant>
        <vt:lpwstr>_Toc11391373</vt:lpwstr>
      </vt:variant>
      <vt:variant>
        <vt:i4>1966132</vt:i4>
      </vt:variant>
      <vt:variant>
        <vt:i4>1964</vt:i4>
      </vt:variant>
      <vt:variant>
        <vt:i4>0</vt:i4>
      </vt:variant>
      <vt:variant>
        <vt:i4>5</vt:i4>
      </vt:variant>
      <vt:variant>
        <vt:lpwstr/>
      </vt:variant>
      <vt:variant>
        <vt:lpwstr>_Toc11391372</vt:lpwstr>
      </vt:variant>
      <vt:variant>
        <vt:i4>1900596</vt:i4>
      </vt:variant>
      <vt:variant>
        <vt:i4>1958</vt:i4>
      </vt:variant>
      <vt:variant>
        <vt:i4>0</vt:i4>
      </vt:variant>
      <vt:variant>
        <vt:i4>5</vt:i4>
      </vt:variant>
      <vt:variant>
        <vt:lpwstr/>
      </vt:variant>
      <vt:variant>
        <vt:lpwstr>_Toc11391371</vt:lpwstr>
      </vt:variant>
      <vt:variant>
        <vt:i4>1835060</vt:i4>
      </vt:variant>
      <vt:variant>
        <vt:i4>1952</vt:i4>
      </vt:variant>
      <vt:variant>
        <vt:i4>0</vt:i4>
      </vt:variant>
      <vt:variant>
        <vt:i4>5</vt:i4>
      </vt:variant>
      <vt:variant>
        <vt:lpwstr/>
      </vt:variant>
      <vt:variant>
        <vt:lpwstr>_Toc11391370</vt:lpwstr>
      </vt:variant>
      <vt:variant>
        <vt:i4>1376309</vt:i4>
      </vt:variant>
      <vt:variant>
        <vt:i4>1946</vt:i4>
      </vt:variant>
      <vt:variant>
        <vt:i4>0</vt:i4>
      </vt:variant>
      <vt:variant>
        <vt:i4>5</vt:i4>
      </vt:variant>
      <vt:variant>
        <vt:lpwstr/>
      </vt:variant>
      <vt:variant>
        <vt:lpwstr>_Toc11391369</vt:lpwstr>
      </vt:variant>
      <vt:variant>
        <vt:i4>1310773</vt:i4>
      </vt:variant>
      <vt:variant>
        <vt:i4>1940</vt:i4>
      </vt:variant>
      <vt:variant>
        <vt:i4>0</vt:i4>
      </vt:variant>
      <vt:variant>
        <vt:i4>5</vt:i4>
      </vt:variant>
      <vt:variant>
        <vt:lpwstr/>
      </vt:variant>
      <vt:variant>
        <vt:lpwstr>_Toc11391368</vt:lpwstr>
      </vt:variant>
      <vt:variant>
        <vt:i4>1769525</vt:i4>
      </vt:variant>
      <vt:variant>
        <vt:i4>1934</vt:i4>
      </vt:variant>
      <vt:variant>
        <vt:i4>0</vt:i4>
      </vt:variant>
      <vt:variant>
        <vt:i4>5</vt:i4>
      </vt:variant>
      <vt:variant>
        <vt:lpwstr/>
      </vt:variant>
      <vt:variant>
        <vt:lpwstr>_Toc11391367</vt:lpwstr>
      </vt:variant>
      <vt:variant>
        <vt:i4>1703989</vt:i4>
      </vt:variant>
      <vt:variant>
        <vt:i4>1928</vt:i4>
      </vt:variant>
      <vt:variant>
        <vt:i4>0</vt:i4>
      </vt:variant>
      <vt:variant>
        <vt:i4>5</vt:i4>
      </vt:variant>
      <vt:variant>
        <vt:lpwstr/>
      </vt:variant>
      <vt:variant>
        <vt:lpwstr>_Toc11391366</vt:lpwstr>
      </vt:variant>
      <vt:variant>
        <vt:i4>1638453</vt:i4>
      </vt:variant>
      <vt:variant>
        <vt:i4>1922</vt:i4>
      </vt:variant>
      <vt:variant>
        <vt:i4>0</vt:i4>
      </vt:variant>
      <vt:variant>
        <vt:i4>5</vt:i4>
      </vt:variant>
      <vt:variant>
        <vt:lpwstr/>
      </vt:variant>
      <vt:variant>
        <vt:lpwstr>_Toc11391365</vt:lpwstr>
      </vt:variant>
      <vt:variant>
        <vt:i4>1572917</vt:i4>
      </vt:variant>
      <vt:variant>
        <vt:i4>1916</vt:i4>
      </vt:variant>
      <vt:variant>
        <vt:i4>0</vt:i4>
      </vt:variant>
      <vt:variant>
        <vt:i4>5</vt:i4>
      </vt:variant>
      <vt:variant>
        <vt:lpwstr/>
      </vt:variant>
      <vt:variant>
        <vt:lpwstr>_Toc11391364</vt:lpwstr>
      </vt:variant>
      <vt:variant>
        <vt:i4>2031669</vt:i4>
      </vt:variant>
      <vt:variant>
        <vt:i4>1910</vt:i4>
      </vt:variant>
      <vt:variant>
        <vt:i4>0</vt:i4>
      </vt:variant>
      <vt:variant>
        <vt:i4>5</vt:i4>
      </vt:variant>
      <vt:variant>
        <vt:lpwstr/>
      </vt:variant>
      <vt:variant>
        <vt:lpwstr>_Toc11391363</vt:lpwstr>
      </vt:variant>
      <vt:variant>
        <vt:i4>1966133</vt:i4>
      </vt:variant>
      <vt:variant>
        <vt:i4>1904</vt:i4>
      </vt:variant>
      <vt:variant>
        <vt:i4>0</vt:i4>
      </vt:variant>
      <vt:variant>
        <vt:i4>5</vt:i4>
      </vt:variant>
      <vt:variant>
        <vt:lpwstr/>
      </vt:variant>
      <vt:variant>
        <vt:lpwstr>_Toc11391362</vt:lpwstr>
      </vt:variant>
      <vt:variant>
        <vt:i4>1900597</vt:i4>
      </vt:variant>
      <vt:variant>
        <vt:i4>1898</vt:i4>
      </vt:variant>
      <vt:variant>
        <vt:i4>0</vt:i4>
      </vt:variant>
      <vt:variant>
        <vt:i4>5</vt:i4>
      </vt:variant>
      <vt:variant>
        <vt:lpwstr/>
      </vt:variant>
      <vt:variant>
        <vt:lpwstr>_Toc11391361</vt:lpwstr>
      </vt:variant>
      <vt:variant>
        <vt:i4>1835061</vt:i4>
      </vt:variant>
      <vt:variant>
        <vt:i4>1892</vt:i4>
      </vt:variant>
      <vt:variant>
        <vt:i4>0</vt:i4>
      </vt:variant>
      <vt:variant>
        <vt:i4>5</vt:i4>
      </vt:variant>
      <vt:variant>
        <vt:lpwstr/>
      </vt:variant>
      <vt:variant>
        <vt:lpwstr>_Toc11391360</vt:lpwstr>
      </vt:variant>
      <vt:variant>
        <vt:i4>1376310</vt:i4>
      </vt:variant>
      <vt:variant>
        <vt:i4>1886</vt:i4>
      </vt:variant>
      <vt:variant>
        <vt:i4>0</vt:i4>
      </vt:variant>
      <vt:variant>
        <vt:i4>5</vt:i4>
      </vt:variant>
      <vt:variant>
        <vt:lpwstr/>
      </vt:variant>
      <vt:variant>
        <vt:lpwstr>_Toc11391359</vt:lpwstr>
      </vt:variant>
      <vt:variant>
        <vt:i4>1310774</vt:i4>
      </vt:variant>
      <vt:variant>
        <vt:i4>1880</vt:i4>
      </vt:variant>
      <vt:variant>
        <vt:i4>0</vt:i4>
      </vt:variant>
      <vt:variant>
        <vt:i4>5</vt:i4>
      </vt:variant>
      <vt:variant>
        <vt:lpwstr/>
      </vt:variant>
      <vt:variant>
        <vt:lpwstr>_Toc11391358</vt:lpwstr>
      </vt:variant>
      <vt:variant>
        <vt:i4>1769526</vt:i4>
      </vt:variant>
      <vt:variant>
        <vt:i4>1874</vt:i4>
      </vt:variant>
      <vt:variant>
        <vt:i4>0</vt:i4>
      </vt:variant>
      <vt:variant>
        <vt:i4>5</vt:i4>
      </vt:variant>
      <vt:variant>
        <vt:lpwstr/>
      </vt:variant>
      <vt:variant>
        <vt:lpwstr>_Toc11391357</vt:lpwstr>
      </vt:variant>
      <vt:variant>
        <vt:i4>1703990</vt:i4>
      </vt:variant>
      <vt:variant>
        <vt:i4>1868</vt:i4>
      </vt:variant>
      <vt:variant>
        <vt:i4>0</vt:i4>
      </vt:variant>
      <vt:variant>
        <vt:i4>5</vt:i4>
      </vt:variant>
      <vt:variant>
        <vt:lpwstr/>
      </vt:variant>
      <vt:variant>
        <vt:lpwstr>_Toc11391356</vt:lpwstr>
      </vt:variant>
      <vt:variant>
        <vt:i4>1638454</vt:i4>
      </vt:variant>
      <vt:variant>
        <vt:i4>1862</vt:i4>
      </vt:variant>
      <vt:variant>
        <vt:i4>0</vt:i4>
      </vt:variant>
      <vt:variant>
        <vt:i4>5</vt:i4>
      </vt:variant>
      <vt:variant>
        <vt:lpwstr/>
      </vt:variant>
      <vt:variant>
        <vt:lpwstr>_Toc11391355</vt:lpwstr>
      </vt:variant>
      <vt:variant>
        <vt:i4>1572918</vt:i4>
      </vt:variant>
      <vt:variant>
        <vt:i4>1856</vt:i4>
      </vt:variant>
      <vt:variant>
        <vt:i4>0</vt:i4>
      </vt:variant>
      <vt:variant>
        <vt:i4>5</vt:i4>
      </vt:variant>
      <vt:variant>
        <vt:lpwstr/>
      </vt:variant>
      <vt:variant>
        <vt:lpwstr>_Toc11391354</vt:lpwstr>
      </vt:variant>
      <vt:variant>
        <vt:i4>2031670</vt:i4>
      </vt:variant>
      <vt:variant>
        <vt:i4>1850</vt:i4>
      </vt:variant>
      <vt:variant>
        <vt:i4>0</vt:i4>
      </vt:variant>
      <vt:variant>
        <vt:i4>5</vt:i4>
      </vt:variant>
      <vt:variant>
        <vt:lpwstr/>
      </vt:variant>
      <vt:variant>
        <vt:lpwstr>_Toc11391353</vt:lpwstr>
      </vt:variant>
      <vt:variant>
        <vt:i4>1966134</vt:i4>
      </vt:variant>
      <vt:variant>
        <vt:i4>1841</vt:i4>
      </vt:variant>
      <vt:variant>
        <vt:i4>0</vt:i4>
      </vt:variant>
      <vt:variant>
        <vt:i4>5</vt:i4>
      </vt:variant>
      <vt:variant>
        <vt:lpwstr/>
      </vt:variant>
      <vt:variant>
        <vt:lpwstr>_Toc11391352</vt:lpwstr>
      </vt:variant>
      <vt:variant>
        <vt:i4>1900598</vt:i4>
      </vt:variant>
      <vt:variant>
        <vt:i4>1835</vt:i4>
      </vt:variant>
      <vt:variant>
        <vt:i4>0</vt:i4>
      </vt:variant>
      <vt:variant>
        <vt:i4>5</vt:i4>
      </vt:variant>
      <vt:variant>
        <vt:lpwstr/>
      </vt:variant>
      <vt:variant>
        <vt:lpwstr>_Toc11391351</vt:lpwstr>
      </vt:variant>
      <vt:variant>
        <vt:i4>1835062</vt:i4>
      </vt:variant>
      <vt:variant>
        <vt:i4>1829</vt:i4>
      </vt:variant>
      <vt:variant>
        <vt:i4>0</vt:i4>
      </vt:variant>
      <vt:variant>
        <vt:i4>5</vt:i4>
      </vt:variant>
      <vt:variant>
        <vt:lpwstr/>
      </vt:variant>
      <vt:variant>
        <vt:lpwstr>_Toc11391350</vt:lpwstr>
      </vt:variant>
      <vt:variant>
        <vt:i4>1376311</vt:i4>
      </vt:variant>
      <vt:variant>
        <vt:i4>1823</vt:i4>
      </vt:variant>
      <vt:variant>
        <vt:i4>0</vt:i4>
      </vt:variant>
      <vt:variant>
        <vt:i4>5</vt:i4>
      </vt:variant>
      <vt:variant>
        <vt:lpwstr/>
      </vt:variant>
      <vt:variant>
        <vt:lpwstr>_Toc11391349</vt:lpwstr>
      </vt:variant>
      <vt:variant>
        <vt:i4>1310775</vt:i4>
      </vt:variant>
      <vt:variant>
        <vt:i4>1817</vt:i4>
      </vt:variant>
      <vt:variant>
        <vt:i4>0</vt:i4>
      </vt:variant>
      <vt:variant>
        <vt:i4>5</vt:i4>
      </vt:variant>
      <vt:variant>
        <vt:lpwstr/>
      </vt:variant>
      <vt:variant>
        <vt:lpwstr>_Toc11391348</vt:lpwstr>
      </vt:variant>
      <vt:variant>
        <vt:i4>1769527</vt:i4>
      </vt:variant>
      <vt:variant>
        <vt:i4>1811</vt:i4>
      </vt:variant>
      <vt:variant>
        <vt:i4>0</vt:i4>
      </vt:variant>
      <vt:variant>
        <vt:i4>5</vt:i4>
      </vt:variant>
      <vt:variant>
        <vt:lpwstr/>
      </vt:variant>
      <vt:variant>
        <vt:lpwstr>_Toc11391347</vt:lpwstr>
      </vt:variant>
      <vt:variant>
        <vt:i4>1703991</vt:i4>
      </vt:variant>
      <vt:variant>
        <vt:i4>1805</vt:i4>
      </vt:variant>
      <vt:variant>
        <vt:i4>0</vt:i4>
      </vt:variant>
      <vt:variant>
        <vt:i4>5</vt:i4>
      </vt:variant>
      <vt:variant>
        <vt:lpwstr/>
      </vt:variant>
      <vt:variant>
        <vt:lpwstr>_Toc11391346</vt:lpwstr>
      </vt:variant>
      <vt:variant>
        <vt:i4>1638455</vt:i4>
      </vt:variant>
      <vt:variant>
        <vt:i4>1799</vt:i4>
      </vt:variant>
      <vt:variant>
        <vt:i4>0</vt:i4>
      </vt:variant>
      <vt:variant>
        <vt:i4>5</vt:i4>
      </vt:variant>
      <vt:variant>
        <vt:lpwstr/>
      </vt:variant>
      <vt:variant>
        <vt:lpwstr>_Toc11391345</vt:lpwstr>
      </vt:variant>
      <vt:variant>
        <vt:i4>1572919</vt:i4>
      </vt:variant>
      <vt:variant>
        <vt:i4>1793</vt:i4>
      </vt:variant>
      <vt:variant>
        <vt:i4>0</vt:i4>
      </vt:variant>
      <vt:variant>
        <vt:i4>5</vt:i4>
      </vt:variant>
      <vt:variant>
        <vt:lpwstr/>
      </vt:variant>
      <vt:variant>
        <vt:lpwstr>_Toc11391344</vt:lpwstr>
      </vt:variant>
      <vt:variant>
        <vt:i4>2031671</vt:i4>
      </vt:variant>
      <vt:variant>
        <vt:i4>1787</vt:i4>
      </vt:variant>
      <vt:variant>
        <vt:i4>0</vt:i4>
      </vt:variant>
      <vt:variant>
        <vt:i4>5</vt:i4>
      </vt:variant>
      <vt:variant>
        <vt:lpwstr/>
      </vt:variant>
      <vt:variant>
        <vt:lpwstr>_Toc11391343</vt:lpwstr>
      </vt:variant>
      <vt:variant>
        <vt:i4>1966135</vt:i4>
      </vt:variant>
      <vt:variant>
        <vt:i4>1781</vt:i4>
      </vt:variant>
      <vt:variant>
        <vt:i4>0</vt:i4>
      </vt:variant>
      <vt:variant>
        <vt:i4>5</vt:i4>
      </vt:variant>
      <vt:variant>
        <vt:lpwstr/>
      </vt:variant>
      <vt:variant>
        <vt:lpwstr>_Toc11391342</vt:lpwstr>
      </vt:variant>
      <vt:variant>
        <vt:i4>1900599</vt:i4>
      </vt:variant>
      <vt:variant>
        <vt:i4>1775</vt:i4>
      </vt:variant>
      <vt:variant>
        <vt:i4>0</vt:i4>
      </vt:variant>
      <vt:variant>
        <vt:i4>5</vt:i4>
      </vt:variant>
      <vt:variant>
        <vt:lpwstr/>
      </vt:variant>
      <vt:variant>
        <vt:lpwstr>_Toc11391341</vt:lpwstr>
      </vt:variant>
      <vt:variant>
        <vt:i4>1835063</vt:i4>
      </vt:variant>
      <vt:variant>
        <vt:i4>1769</vt:i4>
      </vt:variant>
      <vt:variant>
        <vt:i4>0</vt:i4>
      </vt:variant>
      <vt:variant>
        <vt:i4>5</vt:i4>
      </vt:variant>
      <vt:variant>
        <vt:lpwstr/>
      </vt:variant>
      <vt:variant>
        <vt:lpwstr>_Toc11391340</vt:lpwstr>
      </vt:variant>
      <vt:variant>
        <vt:i4>1376304</vt:i4>
      </vt:variant>
      <vt:variant>
        <vt:i4>1763</vt:i4>
      </vt:variant>
      <vt:variant>
        <vt:i4>0</vt:i4>
      </vt:variant>
      <vt:variant>
        <vt:i4>5</vt:i4>
      </vt:variant>
      <vt:variant>
        <vt:lpwstr/>
      </vt:variant>
      <vt:variant>
        <vt:lpwstr>_Toc11391339</vt:lpwstr>
      </vt:variant>
      <vt:variant>
        <vt:i4>1310768</vt:i4>
      </vt:variant>
      <vt:variant>
        <vt:i4>1757</vt:i4>
      </vt:variant>
      <vt:variant>
        <vt:i4>0</vt:i4>
      </vt:variant>
      <vt:variant>
        <vt:i4>5</vt:i4>
      </vt:variant>
      <vt:variant>
        <vt:lpwstr/>
      </vt:variant>
      <vt:variant>
        <vt:lpwstr>_Toc11391338</vt:lpwstr>
      </vt:variant>
      <vt:variant>
        <vt:i4>1769520</vt:i4>
      </vt:variant>
      <vt:variant>
        <vt:i4>1751</vt:i4>
      </vt:variant>
      <vt:variant>
        <vt:i4>0</vt:i4>
      </vt:variant>
      <vt:variant>
        <vt:i4>5</vt:i4>
      </vt:variant>
      <vt:variant>
        <vt:lpwstr/>
      </vt:variant>
      <vt:variant>
        <vt:lpwstr>_Toc11391337</vt:lpwstr>
      </vt:variant>
      <vt:variant>
        <vt:i4>1703984</vt:i4>
      </vt:variant>
      <vt:variant>
        <vt:i4>1745</vt:i4>
      </vt:variant>
      <vt:variant>
        <vt:i4>0</vt:i4>
      </vt:variant>
      <vt:variant>
        <vt:i4>5</vt:i4>
      </vt:variant>
      <vt:variant>
        <vt:lpwstr/>
      </vt:variant>
      <vt:variant>
        <vt:lpwstr>_Toc11391336</vt:lpwstr>
      </vt:variant>
      <vt:variant>
        <vt:i4>1638448</vt:i4>
      </vt:variant>
      <vt:variant>
        <vt:i4>1739</vt:i4>
      </vt:variant>
      <vt:variant>
        <vt:i4>0</vt:i4>
      </vt:variant>
      <vt:variant>
        <vt:i4>5</vt:i4>
      </vt:variant>
      <vt:variant>
        <vt:lpwstr/>
      </vt:variant>
      <vt:variant>
        <vt:lpwstr>_Toc11391335</vt:lpwstr>
      </vt:variant>
      <vt:variant>
        <vt:i4>1572912</vt:i4>
      </vt:variant>
      <vt:variant>
        <vt:i4>1733</vt:i4>
      </vt:variant>
      <vt:variant>
        <vt:i4>0</vt:i4>
      </vt:variant>
      <vt:variant>
        <vt:i4>5</vt:i4>
      </vt:variant>
      <vt:variant>
        <vt:lpwstr/>
      </vt:variant>
      <vt:variant>
        <vt:lpwstr>_Toc11391334</vt:lpwstr>
      </vt:variant>
      <vt:variant>
        <vt:i4>2031664</vt:i4>
      </vt:variant>
      <vt:variant>
        <vt:i4>1727</vt:i4>
      </vt:variant>
      <vt:variant>
        <vt:i4>0</vt:i4>
      </vt:variant>
      <vt:variant>
        <vt:i4>5</vt:i4>
      </vt:variant>
      <vt:variant>
        <vt:lpwstr/>
      </vt:variant>
      <vt:variant>
        <vt:lpwstr>_Toc11391333</vt:lpwstr>
      </vt:variant>
      <vt:variant>
        <vt:i4>1966128</vt:i4>
      </vt:variant>
      <vt:variant>
        <vt:i4>1721</vt:i4>
      </vt:variant>
      <vt:variant>
        <vt:i4>0</vt:i4>
      </vt:variant>
      <vt:variant>
        <vt:i4>5</vt:i4>
      </vt:variant>
      <vt:variant>
        <vt:lpwstr/>
      </vt:variant>
      <vt:variant>
        <vt:lpwstr>_Toc11391332</vt:lpwstr>
      </vt:variant>
      <vt:variant>
        <vt:i4>1900592</vt:i4>
      </vt:variant>
      <vt:variant>
        <vt:i4>1715</vt:i4>
      </vt:variant>
      <vt:variant>
        <vt:i4>0</vt:i4>
      </vt:variant>
      <vt:variant>
        <vt:i4>5</vt:i4>
      </vt:variant>
      <vt:variant>
        <vt:lpwstr/>
      </vt:variant>
      <vt:variant>
        <vt:lpwstr>_Toc11391331</vt:lpwstr>
      </vt:variant>
      <vt:variant>
        <vt:i4>1835056</vt:i4>
      </vt:variant>
      <vt:variant>
        <vt:i4>1709</vt:i4>
      </vt:variant>
      <vt:variant>
        <vt:i4>0</vt:i4>
      </vt:variant>
      <vt:variant>
        <vt:i4>5</vt:i4>
      </vt:variant>
      <vt:variant>
        <vt:lpwstr/>
      </vt:variant>
      <vt:variant>
        <vt:lpwstr>_Toc11391330</vt:lpwstr>
      </vt:variant>
      <vt:variant>
        <vt:i4>1376305</vt:i4>
      </vt:variant>
      <vt:variant>
        <vt:i4>1703</vt:i4>
      </vt:variant>
      <vt:variant>
        <vt:i4>0</vt:i4>
      </vt:variant>
      <vt:variant>
        <vt:i4>5</vt:i4>
      </vt:variant>
      <vt:variant>
        <vt:lpwstr/>
      </vt:variant>
      <vt:variant>
        <vt:lpwstr>_Toc11391329</vt:lpwstr>
      </vt:variant>
      <vt:variant>
        <vt:i4>1310769</vt:i4>
      </vt:variant>
      <vt:variant>
        <vt:i4>1697</vt:i4>
      </vt:variant>
      <vt:variant>
        <vt:i4>0</vt:i4>
      </vt:variant>
      <vt:variant>
        <vt:i4>5</vt:i4>
      </vt:variant>
      <vt:variant>
        <vt:lpwstr/>
      </vt:variant>
      <vt:variant>
        <vt:lpwstr>_Toc11391328</vt:lpwstr>
      </vt:variant>
      <vt:variant>
        <vt:i4>1769521</vt:i4>
      </vt:variant>
      <vt:variant>
        <vt:i4>1691</vt:i4>
      </vt:variant>
      <vt:variant>
        <vt:i4>0</vt:i4>
      </vt:variant>
      <vt:variant>
        <vt:i4>5</vt:i4>
      </vt:variant>
      <vt:variant>
        <vt:lpwstr/>
      </vt:variant>
      <vt:variant>
        <vt:lpwstr>_Toc11391327</vt:lpwstr>
      </vt:variant>
      <vt:variant>
        <vt:i4>1703985</vt:i4>
      </vt:variant>
      <vt:variant>
        <vt:i4>1685</vt:i4>
      </vt:variant>
      <vt:variant>
        <vt:i4>0</vt:i4>
      </vt:variant>
      <vt:variant>
        <vt:i4>5</vt:i4>
      </vt:variant>
      <vt:variant>
        <vt:lpwstr/>
      </vt:variant>
      <vt:variant>
        <vt:lpwstr>_Toc11391326</vt:lpwstr>
      </vt:variant>
      <vt:variant>
        <vt:i4>1638449</vt:i4>
      </vt:variant>
      <vt:variant>
        <vt:i4>1679</vt:i4>
      </vt:variant>
      <vt:variant>
        <vt:i4>0</vt:i4>
      </vt:variant>
      <vt:variant>
        <vt:i4>5</vt:i4>
      </vt:variant>
      <vt:variant>
        <vt:lpwstr/>
      </vt:variant>
      <vt:variant>
        <vt:lpwstr>_Toc11391325</vt:lpwstr>
      </vt:variant>
      <vt:variant>
        <vt:i4>1572913</vt:i4>
      </vt:variant>
      <vt:variant>
        <vt:i4>1673</vt:i4>
      </vt:variant>
      <vt:variant>
        <vt:i4>0</vt:i4>
      </vt:variant>
      <vt:variant>
        <vt:i4>5</vt:i4>
      </vt:variant>
      <vt:variant>
        <vt:lpwstr/>
      </vt:variant>
      <vt:variant>
        <vt:lpwstr>_Toc11391324</vt:lpwstr>
      </vt:variant>
      <vt:variant>
        <vt:i4>2031665</vt:i4>
      </vt:variant>
      <vt:variant>
        <vt:i4>1667</vt:i4>
      </vt:variant>
      <vt:variant>
        <vt:i4>0</vt:i4>
      </vt:variant>
      <vt:variant>
        <vt:i4>5</vt:i4>
      </vt:variant>
      <vt:variant>
        <vt:lpwstr/>
      </vt:variant>
      <vt:variant>
        <vt:lpwstr>_Toc11391323</vt:lpwstr>
      </vt:variant>
      <vt:variant>
        <vt:i4>1966129</vt:i4>
      </vt:variant>
      <vt:variant>
        <vt:i4>1661</vt:i4>
      </vt:variant>
      <vt:variant>
        <vt:i4>0</vt:i4>
      </vt:variant>
      <vt:variant>
        <vt:i4>5</vt:i4>
      </vt:variant>
      <vt:variant>
        <vt:lpwstr/>
      </vt:variant>
      <vt:variant>
        <vt:lpwstr>_Toc11391322</vt:lpwstr>
      </vt:variant>
      <vt:variant>
        <vt:i4>1900593</vt:i4>
      </vt:variant>
      <vt:variant>
        <vt:i4>1655</vt:i4>
      </vt:variant>
      <vt:variant>
        <vt:i4>0</vt:i4>
      </vt:variant>
      <vt:variant>
        <vt:i4>5</vt:i4>
      </vt:variant>
      <vt:variant>
        <vt:lpwstr/>
      </vt:variant>
      <vt:variant>
        <vt:lpwstr>_Toc11391321</vt:lpwstr>
      </vt:variant>
      <vt:variant>
        <vt:i4>1835057</vt:i4>
      </vt:variant>
      <vt:variant>
        <vt:i4>1649</vt:i4>
      </vt:variant>
      <vt:variant>
        <vt:i4>0</vt:i4>
      </vt:variant>
      <vt:variant>
        <vt:i4>5</vt:i4>
      </vt:variant>
      <vt:variant>
        <vt:lpwstr/>
      </vt:variant>
      <vt:variant>
        <vt:lpwstr>_Toc11391320</vt:lpwstr>
      </vt:variant>
      <vt:variant>
        <vt:i4>1376306</vt:i4>
      </vt:variant>
      <vt:variant>
        <vt:i4>1643</vt:i4>
      </vt:variant>
      <vt:variant>
        <vt:i4>0</vt:i4>
      </vt:variant>
      <vt:variant>
        <vt:i4>5</vt:i4>
      </vt:variant>
      <vt:variant>
        <vt:lpwstr/>
      </vt:variant>
      <vt:variant>
        <vt:lpwstr>_Toc11391319</vt:lpwstr>
      </vt:variant>
      <vt:variant>
        <vt:i4>1310770</vt:i4>
      </vt:variant>
      <vt:variant>
        <vt:i4>1637</vt:i4>
      </vt:variant>
      <vt:variant>
        <vt:i4>0</vt:i4>
      </vt:variant>
      <vt:variant>
        <vt:i4>5</vt:i4>
      </vt:variant>
      <vt:variant>
        <vt:lpwstr/>
      </vt:variant>
      <vt:variant>
        <vt:lpwstr>_Toc11391318</vt:lpwstr>
      </vt:variant>
      <vt:variant>
        <vt:i4>1769522</vt:i4>
      </vt:variant>
      <vt:variant>
        <vt:i4>1631</vt:i4>
      </vt:variant>
      <vt:variant>
        <vt:i4>0</vt:i4>
      </vt:variant>
      <vt:variant>
        <vt:i4>5</vt:i4>
      </vt:variant>
      <vt:variant>
        <vt:lpwstr/>
      </vt:variant>
      <vt:variant>
        <vt:lpwstr>_Toc11391317</vt:lpwstr>
      </vt:variant>
      <vt:variant>
        <vt:i4>1703986</vt:i4>
      </vt:variant>
      <vt:variant>
        <vt:i4>1625</vt:i4>
      </vt:variant>
      <vt:variant>
        <vt:i4>0</vt:i4>
      </vt:variant>
      <vt:variant>
        <vt:i4>5</vt:i4>
      </vt:variant>
      <vt:variant>
        <vt:lpwstr/>
      </vt:variant>
      <vt:variant>
        <vt:lpwstr>_Toc11391316</vt:lpwstr>
      </vt:variant>
      <vt:variant>
        <vt:i4>1638450</vt:i4>
      </vt:variant>
      <vt:variant>
        <vt:i4>1619</vt:i4>
      </vt:variant>
      <vt:variant>
        <vt:i4>0</vt:i4>
      </vt:variant>
      <vt:variant>
        <vt:i4>5</vt:i4>
      </vt:variant>
      <vt:variant>
        <vt:lpwstr/>
      </vt:variant>
      <vt:variant>
        <vt:lpwstr>_Toc11391315</vt:lpwstr>
      </vt:variant>
      <vt:variant>
        <vt:i4>1572914</vt:i4>
      </vt:variant>
      <vt:variant>
        <vt:i4>1613</vt:i4>
      </vt:variant>
      <vt:variant>
        <vt:i4>0</vt:i4>
      </vt:variant>
      <vt:variant>
        <vt:i4>5</vt:i4>
      </vt:variant>
      <vt:variant>
        <vt:lpwstr/>
      </vt:variant>
      <vt:variant>
        <vt:lpwstr>_Toc11391314</vt:lpwstr>
      </vt:variant>
      <vt:variant>
        <vt:i4>2031666</vt:i4>
      </vt:variant>
      <vt:variant>
        <vt:i4>1607</vt:i4>
      </vt:variant>
      <vt:variant>
        <vt:i4>0</vt:i4>
      </vt:variant>
      <vt:variant>
        <vt:i4>5</vt:i4>
      </vt:variant>
      <vt:variant>
        <vt:lpwstr/>
      </vt:variant>
      <vt:variant>
        <vt:lpwstr>_Toc11391313</vt:lpwstr>
      </vt:variant>
      <vt:variant>
        <vt:i4>1966130</vt:i4>
      </vt:variant>
      <vt:variant>
        <vt:i4>1601</vt:i4>
      </vt:variant>
      <vt:variant>
        <vt:i4>0</vt:i4>
      </vt:variant>
      <vt:variant>
        <vt:i4>5</vt:i4>
      </vt:variant>
      <vt:variant>
        <vt:lpwstr/>
      </vt:variant>
      <vt:variant>
        <vt:lpwstr>_Toc11391312</vt:lpwstr>
      </vt:variant>
      <vt:variant>
        <vt:i4>1900594</vt:i4>
      </vt:variant>
      <vt:variant>
        <vt:i4>1595</vt:i4>
      </vt:variant>
      <vt:variant>
        <vt:i4>0</vt:i4>
      </vt:variant>
      <vt:variant>
        <vt:i4>5</vt:i4>
      </vt:variant>
      <vt:variant>
        <vt:lpwstr/>
      </vt:variant>
      <vt:variant>
        <vt:lpwstr>_Toc11391311</vt:lpwstr>
      </vt:variant>
      <vt:variant>
        <vt:i4>1835058</vt:i4>
      </vt:variant>
      <vt:variant>
        <vt:i4>1589</vt:i4>
      </vt:variant>
      <vt:variant>
        <vt:i4>0</vt:i4>
      </vt:variant>
      <vt:variant>
        <vt:i4>5</vt:i4>
      </vt:variant>
      <vt:variant>
        <vt:lpwstr/>
      </vt:variant>
      <vt:variant>
        <vt:lpwstr>_Toc11391310</vt:lpwstr>
      </vt:variant>
      <vt:variant>
        <vt:i4>1376307</vt:i4>
      </vt:variant>
      <vt:variant>
        <vt:i4>1583</vt:i4>
      </vt:variant>
      <vt:variant>
        <vt:i4>0</vt:i4>
      </vt:variant>
      <vt:variant>
        <vt:i4>5</vt:i4>
      </vt:variant>
      <vt:variant>
        <vt:lpwstr/>
      </vt:variant>
      <vt:variant>
        <vt:lpwstr>_Toc11391309</vt:lpwstr>
      </vt:variant>
      <vt:variant>
        <vt:i4>1310771</vt:i4>
      </vt:variant>
      <vt:variant>
        <vt:i4>1577</vt:i4>
      </vt:variant>
      <vt:variant>
        <vt:i4>0</vt:i4>
      </vt:variant>
      <vt:variant>
        <vt:i4>5</vt:i4>
      </vt:variant>
      <vt:variant>
        <vt:lpwstr/>
      </vt:variant>
      <vt:variant>
        <vt:lpwstr>_Toc11391308</vt:lpwstr>
      </vt:variant>
      <vt:variant>
        <vt:i4>1769523</vt:i4>
      </vt:variant>
      <vt:variant>
        <vt:i4>1571</vt:i4>
      </vt:variant>
      <vt:variant>
        <vt:i4>0</vt:i4>
      </vt:variant>
      <vt:variant>
        <vt:i4>5</vt:i4>
      </vt:variant>
      <vt:variant>
        <vt:lpwstr/>
      </vt:variant>
      <vt:variant>
        <vt:lpwstr>_Toc11391307</vt:lpwstr>
      </vt:variant>
      <vt:variant>
        <vt:i4>1703987</vt:i4>
      </vt:variant>
      <vt:variant>
        <vt:i4>1565</vt:i4>
      </vt:variant>
      <vt:variant>
        <vt:i4>0</vt:i4>
      </vt:variant>
      <vt:variant>
        <vt:i4>5</vt:i4>
      </vt:variant>
      <vt:variant>
        <vt:lpwstr/>
      </vt:variant>
      <vt:variant>
        <vt:lpwstr>_Toc11391306</vt:lpwstr>
      </vt:variant>
      <vt:variant>
        <vt:i4>1638451</vt:i4>
      </vt:variant>
      <vt:variant>
        <vt:i4>1559</vt:i4>
      </vt:variant>
      <vt:variant>
        <vt:i4>0</vt:i4>
      </vt:variant>
      <vt:variant>
        <vt:i4>5</vt:i4>
      </vt:variant>
      <vt:variant>
        <vt:lpwstr/>
      </vt:variant>
      <vt:variant>
        <vt:lpwstr>_Toc11391305</vt:lpwstr>
      </vt:variant>
      <vt:variant>
        <vt:i4>1572915</vt:i4>
      </vt:variant>
      <vt:variant>
        <vt:i4>1553</vt:i4>
      </vt:variant>
      <vt:variant>
        <vt:i4>0</vt:i4>
      </vt:variant>
      <vt:variant>
        <vt:i4>5</vt:i4>
      </vt:variant>
      <vt:variant>
        <vt:lpwstr/>
      </vt:variant>
      <vt:variant>
        <vt:lpwstr>_Toc11391304</vt:lpwstr>
      </vt:variant>
      <vt:variant>
        <vt:i4>2031667</vt:i4>
      </vt:variant>
      <vt:variant>
        <vt:i4>1547</vt:i4>
      </vt:variant>
      <vt:variant>
        <vt:i4>0</vt:i4>
      </vt:variant>
      <vt:variant>
        <vt:i4>5</vt:i4>
      </vt:variant>
      <vt:variant>
        <vt:lpwstr/>
      </vt:variant>
      <vt:variant>
        <vt:lpwstr>_Toc11391303</vt:lpwstr>
      </vt:variant>
      <vt:variant>
        <vt:i4>1966131</vt:i4>
      </vt:variant>
      <vt:variant>
        <vt:i4>1541</vt:i4>
      </vt:variant>
      <vt:variant>
        <vt:i4>0</vt:i4>
      </vt:variant>
      <vt:variant>
        <vt:i4>5</vt:i4>
      </vt:variant>
      <vt:variant>
        <vt:lpwstr/>
      </vt:variant>
      <vt:variant>
        <vt:lpwstr>_Toc11391302</vt:lpwstr>
      </vt:variant>
      <vt:variant>
        <vt:i4>1900595</vt:i4>
      </vt:variant>
      <vt:variant>
        <vt:i4>1535</vt:i4>
      </vt:variant>
      <vt:variant>
        <vt:i4>0</vt:i4>
      </vt:variant>
      <vt:variant>
        <vt:i4>5</vt:i4>
      </vt:variant>
      <vt:variant>
        <vt:lpwstr/>
      </vt:variant>
      <vt:variant>
        <vt:lpwstr>_Toc11391301</vt:lpwstr>
      </vt:variant>
      <vt:variant>
        <vt:i4>1835059</vt:i4>
      </vt:variant>
      <vt:variant>
        <vt:i4>1529</vt:i4>
      </vt:variant>
      <vt:variant>
        <vt:i4>0</vt:i4>
      </vt:variant>
      <vt:variant>
        <vt:i4>5</vt:i4>
      </vt:variant>
      <vt:variant>
        <vt:lpwstr/>
      </vt:variant>
      <vt:variant>
        <vt:lpwstr>_Toc11391300</vt:lpwstr>
      </vt:variant>
      <vt:variant>
        <vt:i4>1310778</vt:i4>
      </vt:variant>
      <vt:variant>
        <vt:i4>1523</vt:i4>
      </vt:variant>
      <vt:variant>
        <vt:i4>0</vt:i4>
      </vt:variant>
      <vt:variant>
        <vt:i4>5</vt:i4>
      </vt:variant>
      <vt:variant>
        <vt:lpwstr/>
      </vt:variant>
      <vt:variant>
        <vt:lpwstr>_Toc11391299</vt:lpwstr>
      </vt:variant>
      <vt:variant>
        <vt:i4>1376314</vt:i4>
      </vt:variant>
      <vt:variant>
        <vt:i4>1517</vt:i4>
      </vt:variant>
      <vt:variant>
        <vt:i4>0</vt:i4>
      </vt:variant>
      <vt:variant>
        <vt:i4>5</vt:i4>
      </vt:variant>
      <vt:variant>
        <vt:lpwstr/>
      </vt:variant>
      <vt:variant>
        <vt:lpwstr>_Toc11391298</vt:lpwstr>
      </vt:variant>
      <vt:variant>
        <vt:i4>1703994</vt:i4>
      </vt:variant>
      <vt:variant>
        <vt:i4>1511</vt:i4>
      </vt:variant>
      <vt:variant>
        <vt:i4>0</vt:i4>
      </vt:variant>
      <vt:variant>
        <vt:i4>5</vt:i4>
      </vt:variant>
      <vt:variant>
        <vt:lpwstr/>
      </vt:variant>
      <vt:variant>
        <vt:lpwstr>_Toc11391297</vt:lpwstr>
      </vt:variant>
      <vt:variant>
        <vt:i4>1769530</vt:i4>
      </vt:variant>
      <vt:variant>
        <vt:i4>1505</vt:i4>
      </vt:variant>
      <vt:variant>
        <vt:i4>0</vt:i4>
      </vt:variant>
      <vt:variant>
        <vt:i4>5</vt:i4>
      </vt:variant>
      <vt:variant>
        <vt:lpwstr/>
      </vt:variant>
      <vt:variant>
        <vt:lpwstr>_Toc11391296</vt:lpwstr>
      </vt:variant>
      <vt:variant>
        <vt:i4>1572922</vt:i4>
      </vt:variant>
      <vt:variant>
        <vt:i4>1499</vt:i4>
      </vt:variant>
      <vt:variant>
        <vt:i4>0</vt:i4>
      </vt:variant>
      <vt:variant>
        <vt:i4>5</vt:i4>
      </vt:variant>
      <vt:variant>
        <vt:lpwstr/>
      </vt:variant>
      <vt:variant>
        <vt:lpwstr>_Toc11391295</vt:lpwstr>
      </vt:variant>
      <vt:variant>
        <vt:i4>1638458</vt:i4>
      </vt:variant>
      <vt:variant>
        <vt:i4>1493</vt:i4>
      </vt:variant>
      <vt:variant>
        <vt:i4>0</vt:i4>
      </vt:variant>
      <vt:variant>
        <vt:i4>5</vt:i4>
      </vt:variant>
      <vt:variant>
        <vt:lpwstr/>
      </vt:variant>
      <vt:variant>
        <vt:lpwstr>_Toc11391294</vt:lpwstr>
      </vt:variant>
      <vt:variant>
        <vt:i4>1966138</vt:i4>
      </vt:variant>
      <vt:variant>
        <vt:i4>1487</vt:i4>
      </vt:variant>
      <vt:variant>
        <vt:i4>0</vt:i4>
      </vt:variant>
      <vt:variant>
        <vt:i4>5</vt:i4>
      </vt:variant>
      <vt:variant>
        <vt:lpwstr/>
      </vt:variant>
      <vt:variant>
        <vt:lpwstr>_Toc11391293</vt:lpwstr>
      </vt:variant>
      <vt:variant>
        <vt:i4>2031674</vt:i4>
      </vt:variant>
      <vt:variant>
        <vt:i4>1481</vt:i4>
      </vt:variant>
      <vt:variant>
        <vt:i4>0</vt:i4>
      </vt:variant>
      <vt:variant>
        <vt:i4>5</vt:i4>
      </vt:variant>
      <vt:variant>
        <vt:lpwstr/>
      </vt:variant>
      <vt:variant>
        <vt:lpwstr>_Toc11391292</vt:lpwstr>
      </vt:variant>
      <vt:variant>
        <vt:i4>1835066</vt:i4>
      </vt:variant>
      <vt:variant>
        <vt:i4>1475</vt:i4>
      </vt:variant>
      <vt:variant>
        <vt:i4>0</vt:i4>
      </vt:variant>
      <vt:variant>
        <vt:i4>5</vt:i4>
      </vt:variant>
      <vt:variant>
        <vt:lpwstr/>
      </vt:variant>
      <vt:variant>
        <vt:lpwstr>_Toc11391291</vt:lpwstr>
      </vt:variant>
      <vt:variant>
        <vt:i4>1900602</vt:i4>
      </vt:variant>
      <vt:variant>
        <vt:i4>1469</vt:i4>
      </vt:variant>
      <vt:variant>
        <vt:i4>0</vt:i4>
      </vt:variant>
      <vt:variant>
        <vt:i4>5</vt:i4>
      </vt:variant>
      <vt:variant>
        <vt:lpwstr/>
      </vt:variant>
      <vt:variant>
        <vt:lpwstr>_Toc11391290</vt:lpwstr>
      </vt:variant>
      <vt:variant>
        <vt:i4>1310779</vt:i4>
      </vt:variant>
      <vt:variant>
        <vt:i4>1463</vt:i4>
      </vt:variant>
      <vt:variant>
        <vt:i4>0</vt:i4>
      </vt:variant>
      <vt:variant>
        <vt:i4>5</vt:i4>
      </vt:variant>
      <vt:variant>
        <vt:lpwstr/>
      </vt:variant>
      <vt:variant>
        <vt:lpwstr>_Toc11391289</vt:lpwstr>
      </vt:variant>
      <vt:variant>
        <vt:i4>1376315</vt:i4>
      </vt:variant>
      <vt:variant>
        <vt:i4>1457</vt:i4>
      </vt:variant>
      <vt:variant>
        <vt:i4>0</vt:i4>
      </vt:variant>
      <vt:variant>
        <vt:i4>5</vt:i4>
      </vt:variant>
      <vt:variant>
        <vt:lpwstr/>
      </vt:variant>
      <vt:variant>
        <vt:lpwstr>_Toc11391288</vt:lpwstr>
      </vt:variant>
      <vt:variant>
        <vt:i4>1703995</vt:i4>
      </vt:variant>
      <vt:variant>
        <vt:i4>1451</vt:i4>
      </vt:variant>
      <vt:variant>
        <vt:i4>0</vt:i4>
      </vt:variant>
      <vt:variant>
        <vt:i4>5</vt:i4>
      </vt:variant>
      <vt:variant>
        <vt:lpwstr/>
      </vt:variant>
      <vt:variant>
        <vt:lpwstr>_Toc11391287</vt:lpwstr>
      </vt:variant>
      <vt:variant>
        <vt:i4>1769531</vt:i4>
      </vt:variant>
      <vt:variant>
        <vt:i4>1445</vt:i4>
      </vt:variant>
      <vt:variant>
        <vt:i4>0</vt:i4>
      </vt:variant>
      <vt:variant>
        <vt:i4>5</vt:i4>
      </vt:variant>
      <vt:variant>
        <vt:lpwstr/>
      </vt:variant>
      <vt:variant>
        <vt:lpwstr>_Toc11391286</vt:lpwstr>
      </vt:variant>
      <vt:variant>
        <vt:i4>1572923</vt:i4>
      </vt:variant>
      <vt:variant>
        <vt:i4>1439</vt:i4>
      </vt:variant>
      <vt:variant>
        <vt:i4>0</vt:i4>
      </vt:variant>
      <vt:variant>
        <vt:i4>5</vt:i4>
      </vt:variant>
      <vt:variant>
        <vt:lpwstr/>
      </vt:variant>
      <vt:variant>
        <vt:lpwstr>_Toc11391285</vt:lpwstr>
      </vt:variant>
      <vt:variant>
        <vt:i4>1638459</vt:i4>
      </vt:variant>
      <vt:variant>
        <vt:i4>1433</vt:i4>
      </vt:variant>
      <vt:variant>
        <vt:i4>0</vt:i4>
      </vt:variant>
      <vt:variant>
        <vt:i4>5</vt:i4>
      </vt:variant>
      <vt:variant>
        <vt:lpwstr/>
      </vt:variant>
      <vt:variant>
        <vt:lpwstr>_Toc11391284</vt:lpwstr>
      </vt:variant>
      <vt:variant>
        <vt:i4>1966139</vt:i4>
      </vt:variant>
      <vt:variant>
        <vt:i4>1427</vt:i4>
      </vt:variant>
      <vt:variant>
        <vt:i4>0</vt:i4>
      </vt:variant>
      <vt:variant>
        <vt:i4>5</vt:i4>
      </vt:variant>
      <vt:variant>
        <vt:lpwstr/>
      </vt:variant>
      <vt:variant>
        <vt:lpwstr>_Toc11391283</vt:lpwstr>
      </vt:variant>
      <vt:variant>
        <vt:i4>2031675</vt:i4>
      </vt:variant>
      <vt:variant>
        <vt:i4>1421</vt:i4>
      </vt:variant>
      <vt:variant>
        <vt:i4>0</vt:i4>
      </vt:variant>
      <vt:variant>
        <vt:i4>5</vt:i4>
      </vt:variant>
      <vt:variant>
        <vt:lpwstr/>
      </vt:variant>
      <vt:variant>
        <vt:lpwstr>_Toc11391282</vt:lpwstr>
      </vt:variant>
      <vt:variant>
        <vt:i4>1835067</vt:i4>
      </vt:variant>
      <vt:variant>
        <vt:i4>1415</vt:i4>
      </vt:variant>
      <vt:variant>
        <vt:i4>0</vt:i4>
      </vt:variant>
      <vt:variant>
        <vt:i4>5</vt:i4>
      </vt:variant>
      <vt:variant>
        <vt:lpwstr/>
      </vt:variant>
      <vt:variant>
        <vt:lpwstr>_Toc11391281</vt:lpwstr>
      </vt:variant>
      <vt:variant>
        <vt:i4>1900603</vt:i4>
      </vt:variant>
      <vt:variant>
        <vt:i4>1409</vt:i4>
      </vt:variant>
      <vt:variant>
        <vt:i4>0</vt:i4>
      </vt:variant>
      <vt:variant>
        <vt:i4>5</vt:i4>
      </vt:variant>
      <vt:variant>
        <vt:lpwstr/>
      </vt:variant>
      <vt:variant>
        <vt:lpwstr>_Toc11391280</vt:lpwstr>
      </vt:variant>
      <vt:variant>
        <vt:i4>1310772</vt:i4>
      </vt:variant>
      <vt:variant>
        <vt:i4>1403</vt:i4>
      </vt:variant>
      <vt:variant>
        <vt:i4>0</vt:i4>
      </vt:variant>
      <vt:variant>
        <vt:i4>5</vt:i4>
      </vt:variant>
      <vt:variant>
        <vt:lpwstr/>
      </vt:variant>
      <vt:variant>
        <vt:lpwstr>_Toc11391279</vt:lpwstr>
      </vt:variant>
      <vt:variant>
        <vt:i4>1376308</vt:i4>
      </vt:variant>
      <vt:variant>
        <vt:i4>1397</vt:i4>
      </vt:variant>
      <vt:variant>
        <vt:i4>0</vt:i4>
      </vt:variant>
      <vt:variant>
        <vt:i4>5</vt:i4>
      </vt:variant>
      <vt:variant>
        <vt:lpwstr/>
      </vt:variant>
      <vt:variant>
        <vt:lpwstr>_Toc11391278</vt:lpwstr>
      </vt:variant>
      <vt:variant>
        <vt:i4>1703988</vt:i4>
      </vt:variant>
      <vt:variant>
        <vt:i4>1391</vt:i4>
      </vt:variant>
      <vt:variant>
        <vt:i4>0</vt:i4>
      </vt:variant>
      <vt:variant>
        <vt:i4>5</vt:i4>
      </vt:variant>
      <vt:variant>
        <vt:lpwstr/>
      </vt:variant>
      <vt:variant>
        <vt:lpwstr>_Toc11391277</vt:lpwstr>
      </vt:variant>
      <vt:variant>
        <vt:i4>1769524</vt:i4>
      </vt:variant>
      <vt:variant>
        <vt:i4>1385</vt:i4>
      </vt:variant>
      <vt:variant>
        <vt:i4>0</vt:i4>
      </vt:variant>
      <vt:variant>
        <vt:i4>5</vt:i4>
      </vt:variant>
      <vt:variant>
        <vt:lpwstr/>
      </vt:variant>
      <vt:variant>
        <vt:lpwstr>_Toc11391276</vt:lpwstr>
      </vt:variant>
      <vt:variant>
        <vt:i4>1572916</vt:i4>
      </vt:variant>
      <vt:variant>
        <vt:i4>1379</vt:i4>
      </vt:variant>
      <vt:variant>
        <vt:i4>0</vt:i4>
      </vt:variant>
      <vt:variant>
        <vt:i4>5</vt:i4>
      </vt:variant>
      <vt:variant>
        <vt:lpwstr/>
      </vt:variant>
      <vt:variant>
        <vt:lpwstr>_Toc11391275</vt:lpwstr>
      </vt:variant>
      <vt:variant>
        <vt:i4>1638452</vt:i4>
      </vt:variant>
      <vt:variant>
        <vt:i4>1373</vt:i4>
      </vt:variant>
      <vt:variant>
        <vt:i4>0</vt:i4>
      </vt:variant>
      <vt:variant>
        <vt:i4>5</vt:i4>
      </vt:variant>
      <vt:variant>
        <vt:lpwstr/>
      </vt:variant>
      <vt:variant>
        <vt:lpwstr>_Toc11391274</vt:lpwstr>
      </vt:variant>
      <vt:variant>
        <vt:i4>1966132</vt:i4>
      </vt:variant>
      <vt:variant>
        <vt:i4>1367</vt:i4>
      </vt:variant>
      <vt:variant>
        <vt:i4>0</vt:i4>
      </vt:variant>
      <vt:variant>
        <vt:i4>5</vt:i4>
      </vt:variant>
      <vt:variant>
        <vt:lpwstr/>
      </vt:variant>
      <vt:variant>
        <vt:lpwstr>_Toc11391273</vt:lpwstr>
      </vt:variant>
      <vt:variant>
        <vt:i4>2031668</vt:i4>
      </vt:variant>
      <vt:variant>
        <vt:i4>1361</vt:i4>
      </vt:variant>
      <vt:variant>
        <vt:i4>0</vt:i4>
      </vt:variant>
      <vt:variant>
        <vt:i4>5</vt:i4>
      </vt:variant>
      <vt:variant>
        <vt:lpwstr/>
      </vt:variant>
      <vt:variant>
        <vt:lpwstr>_Toc11391272</vt:lpwstr>
      </vt:variant>
      <vt:variant>
        <vt:i4>1835060</vt:i4>
      </vt:variant>
      <vt:variant>
        <vt:i4>1355</vt:i4>
      </vt:variant>
      <vt:variant>
        <vt:i4>0</vt:i4>
      </vt:variant>
      <vt:variant>
        <vt:i4>5</vt:i4>
      </vt:variant>
      <vt:variant>
        <vt:lpwstr/>
      </vt:variant>
      <vt:variant>
        <vt:lpwstr>_Toc11391271</vt:lpwstr>
      </vt:variant>
      <vt:variant>
        <vt:i4>1900596</vt:i4>
      </vt:variant>
      <vt:variant>
        <vt:i4>1349</vt:i4>
      </vt:variant>
      <vt:variant>
        <vt:i4>0</vt:i4>
      </vt:variant>
      <vt:variant>
        <vt:i4>5</vt:i4>
      </vt:variant>
      <vt:variant>
        <vt:lpwstr/>
      </vt:variant>
      <vt:variant>
        <vt:lpwstr>_Toc11391270</vt:lpwstr>
      </vt:variant>
      <vt:variant>
        <vt:i4>1310773</vt:i4>
      </vt:variant>
      <vt:variant>
        <vt:i4>1343</vt:i4>
      </vt:variant>
      <vt:variant>
        <vt:i4>0</vt:i4>
      </vt:variant>
      <vt:variant>
        <vt:i4>5</vt:i4>
      </vt:variant>
      <vt:variant>
        <vt:lpwstr/>
      </vt:variant>
      <vt:variant>
        <vt:lpwstr>_Toc11391269</vt:lpwstr>
      </vt:variant>
      <vt:variant>
        <vt:i4>1376309</vt:i4>
      </vt:variant>
      <vt:variant>
        <vt:i4>1337</vt:i4>
      </vt:variant>
      <vt:variant>
        <vt:i4>0</vt:i4>
      </vt:variant>
      <vt:variant>
        <vt:i4>5</vt:i4>
      </vt:variant>
      <vt:variant>
        <vt:lpwstr/>
      </vt:variant>
      <vt:variant>
        <vt:lpwstr>_Toc11391268</vt:lpwstr>
      </vt:variant>
      <vt:variant>
        <vt:i4>1703989</vt:i4>
      </vt:variant>
      <vt:variant>
        <vt:i4>1331</vt:i4>
      </vt:variant>
      <vt:variant>
        <vt:i4>0</vt:i4>
      </vt:variant>
      <vt:variant>
        <vt:i4>5</vt:i4>
      </vt:variant>
      <vt:variant>
        <vt:lpwstr/>
      </vt:variant>
      <vt:variant>
        <vt:lpwstr>_Toc11391267</vt:lpwstr>
      </vt:variant>
      <vt:variant>
        <vt:i4>1769525</vt:i4>
      </vt:variant>
      <vt:variant>
        <vt:i4>1325</vt:i4>
      </vt:variant>
      <vt:variant>
        <vt:i4>0</vt:i4>
      </vt:variant>
      <vt:variant>
        <vt:i4>5</vt:i4>
      </vt:variant>
      <vt:variant>
        <vt:lpwstr/>
      </vt:variant>
      <vt:variant>
        <vt:lpwstr>_Toc11391266</vt:lpwstr>
      </vt:variant>
      <vt:variant>
        <vt:i4>1572917</vt:i4>
      </vt:variant>
      <vt:variant>
        <vt:i4>1319</vt:i4>
      </vt:variant>
      <vt:variant>
        <vt:i4>0</vt:i4>
      </vt:variant>
      <vt:variant>
        <vt:i4>5</vt:i4>
      </vt:variant>
      <vt:variant>
        <vt:lpwstr/>
      </vt:variant>
      <vt:variant>
        <vt:lpwstr>_Toc11391265</vt:lpwstr>
      </vt:variant>
      <vt:variant>
        <vt:i4>1638453</vt:i4>
      </vt:variant>
      <vt:variant>
        <vt:i4>1313</vt:i4>
      </vt:variant>
      <vt:variant>
        <vt:i4>0</vt:i4>
      </vt:variant>
      <vt:variant>
        <vt:i4>5</vt:i4>
      </vt:variant>
      <vt:variant>
        <vt:lpwstr/>
      </vt:variant>
      <vt:variant>
        <vt:lpwstr>_Toc11391264</vt:lpwstr>
      </vt:variant>
      <vt:variant>
        <vt:i4>1966133</vt:i4>
      </vt:variant>
      <vt:variant>
        <vt:i4>1307</vt:i4>
      </vt:variant>
      <vt:variant>
        <vt:i4>0</vt:i4>
      </vt:variant>
      <vt:variant>
        <vt:i4>5</vt:i4>
      </vt:variant>
      <vt:variant>
        <vt:lpwstr/>
      </vt:variant>
      <vt:variant>
        <vt:lpwstr>_Toc11391263</vt:lpwstr>
      </vt:variant>
      <vt:variant>
        <vt:i4>2031669</vt:i4>
      </vt:variant>
      <vt:variant>
        <vt:i4>1301</vt:i4>
      </vt:variant>
      <vt:variant>
        <vt:i4>0</vt:i4>
      </vt:variant>
      <vt:variant>
        <vt:i4>5</vt:i4>
      </vt:variant>
      <vt:variant>
        <vt:lpwstr/>
      </vt:variant>
      <vt:variant>
        <vt:lpwstr>_Toc11391262</vt:lpwstr>
      </vt:variant>
      <vt:variant>
        <vt:i4>1835061</vt:i4>
      </vt:variant>
      <vt:variant>
        <vt:i4>1295</vt:i4>
      </vt:variant>
      <vt:variant>
        <vt:i4>0</vt:i4>
      </vt:variant>
      <vt:variant>
        <vt:i4>5</vt:i4>
      </vt:variant>
      <vt:variant>
        <vt:lpwstr/>
      </vt:variant>
      <vt:variant>
        <vt:lpwstr>_Toc11391261</vt:lpwstr>
      </vt:variant>
      <vt:variant>
        <vt:i4>1900597</vt:i4>
      </vt:variant>
      <vt:variant>
        <vt:i4>1289</vt:i4>
      </vt:variant>
      <vt:variant>
        <vt:i4>0</vt:i4>
      </vt:variant>
      <vt:variant>
        <vt:i4>5</vt:i4>
      </vt:variant>
      <vt:variant>
        <vt:lpwstr/>
      </vt:variant>
      <vt:variant>
        <vt:lpwstr>_Toc11391260</vt:lpwstr>
      </vt:variant>
      <vt:variant>
        <vt:i4>1310774</vt:i4>
      </vt:variant>
      <vt:variant>
        <vt:i4>1283</vt:i4>
      </vt:variant>
      <vt:variant>
        <vt:i4>0</vt:i4>
      </vt:variant>
      <vt:variant>
        <vt:i4>5</vt:i4>
      </vt:variant>
      <vt:variant>
        <vt:lpwstr/>
      </vt:variant>
      <vt:variant>
        <vt:lpwstr>_Toc11391259</vt:lpwstr>
      </vt:variant>
      <vt:variant>
        <vt:i4>1376310</vt:i4>
      </vt:variant>
      <vt:variant>
        <vt:i4>1277</vt:i4>
      </vt:variant>
      <vt:variant>
        <vt:i4>0</vt:i4>
      </vt:variant>
      <vt:variant>
        <vt:i4>5</vt:i4>
      </vt:variant>
      <vt:variant>
        <vt:lpwstr/>
      </vt:variant>
      <vt:variant>
        <vt:lpwstr>_Toc11391258</vt:lpwstr>
      </vt:variant>
      <vt:variant>
        <vt:i4>1703990</vt:i4>
      </vt:variant>
      <vt:variant>
        <vt:i4>1271</vt:i4>
      </vt:variant>
      <vt:variant>
        <vt:i4>0</vt:i4>
      </vt:variant>
      <vt:variant>
        <vt:i4>5</vt:i4>
      </vt:variant>
      <vt:variant>
        <vt:lpwstr/>
      </vt:variant>
      <vt:variant>
        <vt:lpwstr>_Toc11391257</vt:lpwstr>
      </vt:variant>
      <vt:variant>
        <vt:i4>1769526</vt:i4>
      </vt:variant>
      <vt:variant>
        <vt:i4>1265</vt:i4>
      </vt:variant>
      <vt:variant>
        <vt:i4>0</vt:i4>
      </vt:variant>
      <vt:variant>
        <vt:i4>5</vt:i4>
      </vt:variant>
      <vt:variant>
        <vt:lpwstr/>
      </vt:variant>
      <vt:variant>
        <vt:lpwstr>_Toc11391256</vt:lpwstr>
      </vt:variant>
      <vt:variant>
        <vt:i4>1572918</vt:i4>
      </vt:variant>
      <vt:variant>
        <vt:i4>1259</vt:i4>
      </vt:variant>
      <vt:variant>
        <vt:i4>0</vt:i4>
      </vt:variant>
      <vt:variant>
        <vt:i4>5</vt:i4>
      </vt:variant>
      <vt:variant>
        <vt:lpwstr/>
      </vt:variant>
      <vt:variant>
        <vt:lpwstr>_Toc11391255</vt:lpwstr>
      </vt:variant>
      <vt:variant>
        <vt:i4>1638454</vt:i4>
      </vt:variant>
      <vt:variant>
        <vt:i4>1253</vt:i4>
      </vt:variant>
      <vt:variant>
        <vt:i4>0</vt:i4>
      </vt:variant>
      <vt:variant>
        <vt:i4>5</vt:i4>
      </vt:variant>
      <vt:variant>
        <vt:lpwstr/>
      </vt:variant>
      <vt:variant>
        <vt:lpwstr>_Toc11391254</vt:lpwstr>
      </vt:variant>
      <vt:variant>
        <vt:i4>1966134</vt:i4>
      </vt:variant>
      <vt:variant>
        <vt:i4>1247</vt:i4>
      </vt:variant>
      <vt:variant>
        <vt:i4>0</vt:i4>
      </vt:variant>
      <vt:variant>
        <vt:i4>5</vt:i4>
      </vt:variant>
      <vt:variant>
        <vt:lpwstr/>
      </vt:variant>
      <vt:variant>
        <vt:lpwstr>_Toc11391253</vt:lpwstr>
      </vt:variant>
      <vt:variant>
        <vt:i4>2031670</vt:i4>
      </vt:variant>
      <vt:variant>
        <vt:i4>1241</vt:i4>
      </vt:variant>
      <vt:variant>
        <vt:i4>0</vt:i4>
      </vt:variant>
      <vt:variant>
        <vt:i4>5</vt:i4>
      </vt:variant>
      <vt:variant>
        <vt:lpwstr/>
      </vt:variant>
      <vt:variant>
        <vt:lpwstr>_Toc11391252</vt:lpwstr>
      </vt:variant>
      <vt:variant>
        <vt:i4>1835062</vt:i4>
      </vt:variant>
      <vt:variant>
        <vt:i4>1235</vt:i4>
      </vt:variant>
      <vt:variant>
        <vt:i4>0</vt:i4>
      </vt:variant>
      <vt:variant>
        <vt:i4>5</vt:i4>
      </vt:variant>
      <vt:variant>
        <vt:lpwstr/>
      </vt:variant>
      <vt:variant>
        <vt:lpwstr>_Toc11391251</vt:lpwstr>
      </vt:variant>
      <vt:variant>
        <vt:i4>1900598</vt:i4>
      </vt:variant>
      <vt:variant>
        <vt:i4>1229</vt:i4>
      </vt:variant>
      <vt:variant>
        <vt:i4>0</vt:i4>
      </vt:variant>
      <vt:variant>
        <vt:i4>5</vt:i4>
      </vt:variant>
      <vt:variant>
        <vt:lpwstr/>
      </vt:variant>
      <vt:variant>
        <vt:lpwstr>_Toc11391250</vt:lpwstr>
      </vt:variant>
      <vt:variant>
        <vt:i4>3735668</vt:i4>
      </vt:variant>
      <vt:variant>
        <vt:i4>651</vt:i4>
      </vt:variant>
      <vt:variant>
        <vt:i4>0</vt:i4>
      </vt:variant>
      <vt:variant>
        <vt:i4>5</vt:i4>
      </vt:variant>
      <vt:variant>
        <vt:lpwstr>http://cslav.justice.cz/InfoData/uvod.html;jsessionid=aac8a5a17ffa2eb17703ab803dfd</vt:lpwstr>
      </vt:variant>
      <vt:variant>
        <vt:lpwstr/>
      </vt:variant>
      <vt:variant>
        <vt:i4>1835066</vt:i4>
      </vt:variant>
      <vt:variant>
        <vt:i4>644</vt:i4>
      </vt:variant>
      <vt:variant>
        <vt:i4>0</vt:i4>
      </vt:variant>
      <vt:variant>
        <vt:i4>5</vt:i4>
      </vt:variant>
      <vt:variant>
        <vt:lpwstr/>
      </vt:variant>
      <vt:variant>
        <vt:lpwstr>_Toc11133099</vt:lpwstr>
      </vt:variant>
      <vt:variant>
        <vt:i4>1900602</vt:i4>
      </vt:variant>
      <vt:variant>
        <vt:i4>638</vt:i4>
      </vt:variant>
      <vt:variant>
        <vt:i4>0</vt:i4>
      </vt:variant>
      <vt:variant>
        <vt:i4>5</vt:i4>
      </vt:variant>
      <vt:variant>
        <vt:lpwstr/>
      </vt:variant>
      <vt:variant>
        <vt:lpwstr>_Toc11133098</vt:lpwstr>
      </vt:variant>
      <vt:variant>
        <vt:i4>1179706</vt:i4>
      </vt:variant>
      <vt:variant>
        <vt:i4>632</vt:i4>
      </vt:variant>
      <vt:variant>
        <vt:i4>0</vt:i4>
      </vt:variant>
      <vt:variant>
        <vt:i4>5</vt:i4>
      </vt:variant>
      <vt:variant>
        <vt:lpwstr/>
      </vt:variant>
      <vt:variant>
        <vt:lpwstr>_Toc11133097</vt:lpwstr>
      </vt:variant>
      <vt:variant>
        <vt:i4>1245242</vt:i4>
      </vt:variant>
      <vt:variant>
        <vt:i4>626</vt:i4>
      </vt:variant>
      <vt:variant>
        <vt:i4>0</vt:i4>
      </vt:variant>
      <vt:variant>
        <vt:i4>5</vt:i4>
      </vt:variant>
      <vt:variant>
        <vt:lpwstr/>
      </vt:variant>
      <vt:variant>
        <vt:lpwstr>_Toc11133096</vt:lpwstr>
      </vt:variant>
      <vt:variant>
        <vt:i4>1048634</vt:i4>
      </vt:variant>
      <vt:variant>
        <vt:i4>620</vt:i4>
      </vt:variant>
      <vt:variant>
        <vt:i4>0</vt:i4>
      </vt:variant>
      <vt:variant>
        <vt:i4>5</vt:i4>
      </vt:variant>
      <vt:variant>
        <vt:lpwstr/>
      </vt:variant>
      <vt:variant>
        <vt:lpwstr>_Toc11133095</vt:lpwstr>
      </vt:variant>
      <vt:variant>
        <vt:i4>1114170</vt:i4>
      </vt:variant>
      <vt:variant>
        <vt:i4>614</vt:i4>
      </vt:variant>
      <vt:variant>
        <vt:i4>0</vt:i4>
      </vt:variant>
      <vt:variant>
        <vt:i4>5</vt:i4>
      </vt:variant>
      <vt:variant>
        <vt:lpwstr/>
      </vt:variant>
      <vt:variant>
        <vt:lpwstr>_Toc11133094</vt:lpwstr>
      </vt:variant>
      <vt:variant>
        <vt:i4>1441850</vt:i4>
      </vt:variant>
      <vt:variant>
        <vt:i4>608</vt:i4>
      </vt:variant>
      <vt:variant>
        <vt:i4>0</vt:i4>
      </vt:variant>
      <vt:variant>
        <vt:i4>5</vt:i4>
      </vt:variant>
      <vt:variant>
        <vt:lpwstr/>
      </vt:variant>
      <vt:variant>
        <vt:lpwstr>_Toc11133093</vt:lpwstr>
      </vt:variant>
      <vt:variant>
        <vt:i4>1507386</vt:i4>
      </vt:variant>
      <vt:variant>
        <vt:i4>602</vt:i4>
      </vt:variant>
      <vt:variant>
        <vt:i4>0</vt:i4>
      </vt:variant>
      <vt:variant>
        <vt:i4>5</vt:i4>
      </vt:variant>
      <vt:variant>
        <vt:lpwstr/>
      </vt:variant>
      <vt:variant>
        <vt:lpwstr>_Toc11133092</vt:lpwstr>
      </vt:variant>
      <vt:variant>
        <vt:i4>1310778</vt:i4>
      </vt:variant>
      <vt:variant>
        <vt:i4>596</vt:i4>
      </vt:variant>
      <vt:variant>
        <vt:i4>0</vt:i4>
      </vt:variant>
      <vt:variant>
        <vt:i4>5</vt:i4>
      </vt:variant>
      <vt:variant>
        <vt:lpwstr/>
      </vt:variant>
      <vt:variant>
        <vt:lpwstr>_Toc11133091</vt:lpwstr>
      </vt:variant>
      <vt:variant>
        <vt:i4>1376314</vt:i4>
      </vt:variant>
      <vt:variant>
        <vt:i4>590</vt:i4>
      </vt:variant>
      <vt:variant>
        <vt:i4>0</vt:i4>
      </vt:variant>
      <vt:variant>
        <vt:i4>5</vt:i4>
      </vt:variant>
      <vt:variant>
        <vt:lpwstr/>
      </vt:variant>
      <vt:variant>
        <vt:lpwstr>_Toc11133090</vt:lpwstr>
      </vt:variant>
      <vt:variant>
        <vt:i4>1835067</vt:i4>
      </vt:variant>
      <vt:variant>
        <vt:i4>584</vt:i4>
      </vt:variant>
      <vt:variant>
        <vt:i4>0</vt:i4>
      </vt:variant>
      <vt:variant>
        <vt:i4>5</vt:i4>
      </vt:variant>
      <vt:variant>
        <vt:lpwstr/>
      </vt:variant>
      <vt:variant>
        <vt:lpwstr>_Toc11133089</vt:lpwstr>
      </vt:variant>
      <vt:variant>
        <vt:i4>1900603</vt:i4>
      </vt:variant>
      <vt:variant>
        <vt:i4>578</vt:i4>
      </vt:variant>
      <vt:variant>
        <vt:i4>0</vt:i4>
      </vt:variant>
      <vt:variant>
        <vt:i4>5</vt:i4>
      </vt:variant>
      <vt:variant>
        <vt:lpwstr/>
      </vt:variant>
      <vt:variant>
        <vt:lpwstr>_Toc11133088</vt:lpwstr>
      </vt:variant>
      <vt:variant>
        <vt:i4>1179707</vt:i4>
      </vt:variant>
      <vt:variant>
        <vt:i4>572</vt:i4>
      </vt:variant>
      <vt:variant>
        <vt:i4>0</vt:i4>
      </vt:variant>
      <vt:variant>
        <vt:i4>5</vt:i4>
      </vt:variant>
      <vt:variant>
        <vt:lpwstr/>
      </vt:variant>
      <vt:variant>
        <vt:lpwstr>_Toc11133087</vt:lpwstr>
      </vt:variant>
      <vt:variant>
        <vt:i4>1245243</vt:i4>
      </vt:variant>
      <vt:variant>
        <vt:i4>566</vt:i4>
      </vt:variant>
      <vt:variant>
        <vt:i4>0</vt:i4>
      </vt:variant>
      <vt:variant>
        <vt:i4>5</vt:i4>
      </vt:variant>
      <vt:variant>
        <vt:lpwstr/>
      </vt:variant>
      <vt:variant>
        <vt:lpwstr>_Toc11133086</vt:lpwstr>
      </vt:variant>
      <vt:variant>
        <vt:i4>1048635</vt:i4>
      </vt:variant>
      <vt:variant>
        <vt:i4>560</vt:i4>
      </vt:variant>
      <vt:variant>
        <vt:i4>0</vt:i4>
      </vt:variant>
      <vt:variant>
        <vt:i4>5</vt:i4>
      </vt:variant>
      <vt:variant>
        <vt:lpwstr/>
      </vt:variant>
      <vt:variant>
        <vt:lpwstr>_Toc11133085</vt:lpwstr>
      </vt:variant>
      <vt:variant>
        <vt:i4>1114171</vt:i4>
      </vt:variant>
      <vt:variant>
        <vt:i4>554</vt:i4>
      </vt:variant>
      <vt:variant>
        <vt:i4>0</vt:i4>
      </vt:variant>
      <vt:variant>
        <vt:i4>5</vt:i4>
      </vt:variant>
      <vt:variant>
        <vt:lpwstr/>
      </vt:variant>
      <vt:variant>
        <vt:lpwstr>_Toc11133084</vt:lpwstr>
      </vt:variant>
      <vt:variant>
        <vt:i4>1441851</vt:i4>
      </vt:variant>
      <vt:variant>
        <vt:i4>548</vt:i4>
      </vt:variant>
      <vt:variant>
        <vt:i4>0</vt:i4>
      </vt:variant>
      <vt:variant>
        <vt:i4>5</vt:i4>
      </vt:variant>
      <vt:variant>
        <vt:lpwstr/>
      </vt:variant>
      <vt:variant>
        <vt:lpwstr>_Toc11133083</vt:lpwstr>
      </vt:variant>
      <vt:variant>
        <vt:i4>1507387</vt:i4>
      </vt:variant>
      <vt:variant>
        <vt:i4>542</vt:i4>
      </vt:variant>
      <vt:variant>
        <vt:i4>0</vt:i4>
      </vt:variant>
      <vt:variant>
        <vt:i4>5</vt:i4>
      </vt:variant>
      <vt:variant>
        <vt:lpwstr/>
      </vt:variant>
      <vt:variant>
        <vt:lpwstr>_Toc11133082</vt:lpwstr>
      </vt:variant>
      <vt:variant>
        <vt:i4>1310779</vt:i4>
      </vt:variant>
      <vt:variant>
        <vt:i4>536</vt:i4>
      </vt:variant>
      <vt:variant>
        <vt:i4>0</vt:i4>
      </vt:variant>
      <vt:variant>
        <vt:i4>5</vt:i4>
      </vt:variant>
      <vt:variant>
        <vt:lpwstr/>
      </vt:variant>
      <vt:variant>
        <vt:lpwstr>_Toc11133081</vt:lpwstr>
      </vt:variant>
      <vt:variant>
        <vt:i4>1376315</vt:i4>
      </vt:variant>
      <vt:variant>
        <vt:i4>530</vt:i4>
      </vt:variant>
      <vt:variant>
        <vt:i4>0</vt:i4>
      </vt:variant>
      <vt:variant>
        <vt:i4>5</vt:i4>
      </vt:variant>
      <vt:variant>
        <vt:lpwstr/>
      </vt:variant>
      <vt:variant>
        <vt:lpwstr>_Toc11133080</vt:lpwstr>
      </vt:variant>
      <vt:variant>
        <vt:i4>1835060</vt:i4>
      </vt:variant>
      <vt:variant>
        <vt:i4>524</vt:i4>
      </vt:variant>
      <vt:variant>
        <vt:i4>0</vt:i4>
      </vt:variant>
      <vt:variant>
        <vt:i4>5</vt:i4>
      </vt:variant>
      <vt:variant>
        <vt:lpwstr/>
      </vt:variant>
      <vt:variant>
        <vt:lpwstr>_Toc11133079</vt:lpwstr>
      </vt:variant>
      <vt:variant>
        <vt:i4>1900596</vt:i4>
      </vt:variant>
      <vt:variant>
        <vt:i4>518</vt:i4>
      </vt:variant>
      <vt:variant>
        <vt:i4>0</vt:i4>
      </vt:variant>
      <vt:variant>
        <vt:i4>5</vt:i4>
      </vt:variant>
      <vt:variant>
        <vt:lpwstr/>
      </vt:variant>
      <vt:variant>
        <vt:lpwstr>_Toc11133078</vt:lpwstr>
      </vt:variant>
      <vt:variant>
        <vt:i4>1179700</vt:i4>
      </vt:variant>
      <vt:variant>
        <vt:i4>512</vt:i4>
      </vt:variant>
      <vt:variant>
        <vt:i4>0</vt:i4>
      </vt:variant>
      <vt:variant>
        <vt:i4>5</vt:i4>
      </vt:variant>
      <vt:variant>
        <vt:lpwstr/>
      </vt:variant>
      <vt:variant>
        <vt:lpwstr>_Toc11133077</vt:lpwstr>
      </vt:variant>
      <vt:variant>
        <vt:i4>1245236</vt:i4>
      </vt:variant>
      <vt:variant>
        <vt:i4>506</vt:i4>
      </vt:variant>
      <vt:variant>
        <vt:i4>0</vt:i4>
      </vt:variant>
      <vt:variant>
        <vt:i4>5</vt:i4>
      </vt:variant>
      <vt:variant>
        <vt:lpwstr/>
      </vt:variant>
      <vt:variant>
        <vt:lpwstr>_Toc11133076</vt:lpwstr>
      </vt:variant>
      <vt:variant>
        <vt:i4>1048628</vt:i4>
      </vt:variant>
      <vt:variant>
        <vt:i4>500</vt:i4>
      </vt:variant>
      <vt:variant>
        <vt:i4>0</vt:i4>
      </vt:variant>
      <vt:variant>
        <vt:i4>5</vt:i4>
      </vt:variant>
      <vt:variant>
        <vt:lpwstr/>
      </vt:variant>
      <vt:variant>
        <vt:lpwstr>_Toc11133075</vt:lpwstr>
      </vt:variant>
      <vt:variant>
        <vt:i4>1114164</vt:i4>
      </vt:variant>
      <vt:variant>
        <vt:i4>494</vt:i4>
      </vt:variant>
      <vt:variant>
        <vt:i4>0</vt:i4>
      </vt:variant>
      <vt:variant>
        <vt:i4>5</vt:i4>
      </vt:variant>
      <vt:variant>
        <vt:lpwstr/>
      </vt:variant>
      <vt:variant>
        <vt:lpwstr>_Toc11133074</vt:lpwstr>
      </vt:variant>
      <vt:variant>
        <vt:i4>1441844</vt:i4>
      </vt:variant>
      <vt:variant>
        <vt:i4>488</vt:i4>
      </vt:variant>
      <vt:variant>
        <vt:i4>0</vt:i4>
      </vt:variant>
      <vt:variant>
        <vt:i4>5</vt:i4>
      </vt:variant>
      <vt:variant>
        <vt:lpwstr/>
      </vt:variant>
      <vt:variant>
        <vt:lpwstr>_Toc11133073</vt:lpwstr>
      </vt:variant>
      <vt:variant>
        <vt:i4>1507380</vt:i4>
      </vt:variant>
      <vt:variant>
        <vt:i4>482</vt:i4>
      </vt:variant>
      <vt:variant>
        <vt:i4>0</vt:i4>
      </vt:variant>
      <vt:variant>
        <vt:i4>5</vt:i4>
      </vt:variant>
      <vt:variant>
        <vt:lpwstr/>
      </vt:variant>
      <vt:variant>
        <vt:lpwstr>_Toc11133072</vt:lpwstr>
      </vt:variant>
      <vt:variant>
        <vt:i4>1310772</vt:i4>
      </vt:variant>
      <vt:variant>
        <vt:i4>476</vt:i4>
      </vt:variant>
      <vt:variant>
        <vt:i4>0</vt:i4>
      </vt:variant>
      <vt:variant>
        <vt:i4>5</vt:i4>
      </vt:variant>
      <vt:variant>
        <vt:lpwstr/>
      </vt:variant>
      <vt:variant>
        <vt:lpwstr>_Toc11133071</vt:lpwstr>
      </vt:variant>
      <vt:variant>
        <vt:i4>1376308</vt:i4>
      </vt:variant>
      <vt:variant>
        <vt:i4>470</vt:i4>
      </vt:variant>
      <vt:variant>
        <vt:i4>0</vt:i4>
      </vt:variant>
      <vt:variant>
        <vt:i4>5</vt:i4>
      </vt:variant>
      <vt:variant>
        <vt:lpwstr/>
      </vt:variant>
      <vt:variant>
        <vt:lpwstr>_Toc11133070</vt:lpwstr>
      </vt:variant>
      <vt:variant>
        <vt:i4>1835061</vt:i4>
      </vt:variant>
      <vt:variant>
        <vt:i4>464</vt:i4>
      </vt:variant>
      <vt:variant>
        <vt:i4>0</vt:i4>
      </vt:variant>
      <vt:variant>
        <vt:i4>5</vt:i4>
      </vt:variant>
      <vt:variant>
        <vt:lpwstr/>
      </vt:variant>
      <vt:variant>
        <vt:lpwstr>_Toc11133069</vt:lpwstr>
      </vt:variant>
      <vt:variant>
        <vt:i4>1900597</vt:i4>
      </vt:variant>
      <vt:variant>
        <vt:i4>458</vt:i4>
      </vt:variant>
      <vt:variant>
        <vt:i4>0</vt:i4>
      </vt:variant>
      <vt:variant>
        <vt:i4>5</vt:i4>
      </vt:variant>
      <vt:variant>
        <vt:lpwstr/>
      </vt:variant>
      <vt:variant>
        <vt:lpwstr>_Toc11133068</vt:lpwstr>
      </vt:variant>
      <vt:variant>
        <vt:i4>1179701</vt:i4>
      </vt:variant>
      <vt:variant>
        <vt:i4>452</vt:i4>
      </vt:variant>
      <vt:variant>
        <vt:i4>0</vt:i4>
      </vt:variant>
      <vt:variant>
        <vt:i4>5</vt:i4>
      </vt:variant>
      <vt:variant>
        <vt:lpwstr/>
      </vt:variant>
      <vt:variant>
        <vt:lpwstr>_Toc11133067</vt:lpwstr>
      </vt:variant>
      <vt:variant>
        <vt:i4>1245237</vt:i4>
      </vt:variant>
      <vt:variant>
        <vt:i4>446</vt:i4>
      </vt:variant>
      <vt:variant>
        <vt:i4>0</vt:i4>
      </vt:variant>
      <vt:variant>
        <vt:i4>5</vt:i4>
      </vt:variant>
      <vt:variant>
        <vt:lpwstr/>
      </vt:variant>
      <vt:variant>
        <vt:lpwstr>_Toc11133066</vt:lpwstr>
      </vt:variant>
      <vt:variant>
        <vt:i4>1048629</vt:i4>
      </vt:variant>
      <vt:variant>
        <vt:i4>440</vt:i4>
      </vt:variant>
      <vt:variant>
        <vt:i4>0</vt:i4>
      </vt:variant>
      <vt:variant>
        <vt:i4>5</vt:i4>
      </vt:variant>
      <vt:variant>
        <vt:lpwstr/>
      </vt:variant>
      <vt:variant>
        <vt:lpwstr>_Toc11133065</vt:lpwstr>
      </vt:variant>
      <vt:variant>
        <vt:i4>1114165</vt:i4>
      </vt:variant>
      <vt:variant>
        <vt:i4>434</vt:i4>
      </vt:variant>
      <vt:variant>
        <vt:i4>0</vt:i4>
      </vt:variant>
      <vt:variant>
        <vt:i4>5</vt:i4>
      </vt:variant>
      <vt:variant>
        <vt:lpwstr/>
      </vt:variant>
      <vt:variant>
        <vt:lpwstr>_Toc11133064</vt:lpwstr>
      </vt:variant>
      <vt:variant>
        <vt:i4>1441845</vt:i4>
      </vt:variant>
      <vt:variant>
        <vt:i4>428</vt:i4>
      </vt:variant>
      <vt:variant>
        <vt:i4>0</vt:i4>
      </vt:variant>
      <vt:variant>
        <vt:i4>5</vt:i4>
      </vt:variant>
      <vt:variant>
        <vt:lpwstr/>
      </vt:variant>
      <vt:variant>
        <vt:lpwstr>_Toc11133063</vt:lpwstr>
      </vt:variant>
      <vt:variant>
        <vt:i4>1507381</vt:i4>
      </vt:variant>
      <vt:variant>
        <vt:i4>422</vt:i4>
      </vt:variant>
      <vt:variant>
        <vt:i4>0</vt:i4>
      </vt:variant>
      <vt:variant>
        <vt:i4>5</vt:i4>
      </vt:variant>
      <vt:variant>
        <vt:lpwstr/>
      </vt:variant>
      <vt:variant>
        <vt:lpwstr>_Toc11133062</vt:lpwstr>
      </vt:variant>
      <vt:variant>
        <vt:i4>1310773</vt:i4>
      </vt:variant>
      <vt:variant>
        <vt:i4>416</vt:i4>
      </vt:variant>
      <vt:variant>
        <vt:i4>0</vt:i4>
      </vt:variant>
      <vt:variant>
        <vt:i4>5</vt:i4>
      </vt:variant>
      <vt:variant>
        <vt:lpwstr/>
      </vt:variant>
      <vt:variant>
        <vt:lpwstr>_Toc11133061</vt:lpwstr>
      </vt:variant>
      <vt:variant>
        <vt:i4>1376309</vt:i4>
      </vt:variant>
      <vt:variant>
        <vt:i4>410</vt:i4>
      </vt:variant>
      <vt:variant>
        <vt:i4>0</vt:i4>
      </vt:variant>
      <vt:variant>
        <vt:i4>5</vt:i4>
      </vt:variant>
      <vt:variant>
        <vt:lpwstr/>
      </vt:variant>
      <vt:variant>
        <vt:lpwstr>_Toc11133060</vt:lpwstr>
      </vt:variant>
      <vt:variant>
        <vt:i4>1835062</vt:i4>
      </vt:variant>
      <vt:variant>
        <vt:i4>404</vt:i4>
      </vt:variant>
      <vt:variant>
        <vt:i4>0</vt:i4>
      </vt:variant>
      <vt:variant>
        <vt:i4>5</vt:i4>
      </vt:variant>
      <vt:variant>
        <vt:lpwstr/>
      </vt:variant>
      <vt:variant>
        <vt:lpwstr>_Toc11133059</vt:lpwstr>
      </vt:variant>
      <vt:variant>
        <vt:i4>1900598</vt:i4>
      </vt:variant>
      <vt:variant>
        <vt:i4>398</vt:i4>
      </vt:variant>
      <vt:variant>
        <vt:i4>0</vt:i4>
      </vt:variant>
      <vt:variant>
        <vt:i4>5</vt:i4>
      </vt:variant>
      <vt:variant>
        <vt:lpwstr/>
      </vt:variant>
      <vt:variant>
        <vt:lpwstr>_Toc11133058</vt:lpwstr>
      </vt:variant>
      <vt:variant>
        <vt:i4>1179702</vt:i4>
      </vt:variant>
      <vt:variant>
        <vt:i4>392</vt:i4>
      </vt:variant>
      <vt:variant>
        <vt:i4>0</vt:i4>
      </vt:variant>
      <vt:variant>
        <vt:i4>5</vt:i4>
      </vt:variant>
      <vt:variant>
        <vt:lpwstr/>
      </vt:variant>
      <vt:variant>
        <vt:lpwstr>_Toc11133057</vt:lpwstr>
      </vt:variant>
      <vt:variant>
        <vt:i4>1245238</vt:i4>
      </vt:variant>
      <vt:variant>
        <vt:i4>386</vt:i4>
      </vt:variant>
      <vt:variant>
        <vt:i4>0</vt:i4>
      </vt:variant>
      <vt:variant>
        <vt:i4>5</vt:i4>
      </vt:variant>
      <vt:variant>
        <vt:lpwstr/>
      </vt:variant>
      <vt:variant>
        <vt:lpwstr>_Toc11133056</vt:lpwstr>
      </vt:variant>
      <vt:variant>
        <vt:i4>1048630</vt:i4>
      </vt:variant>
      <vt:variant>
        <vt:i4>380</vt:i4>
      </vt:variant>
      <vt:variant>
        <vt:i4>0</vt:i4>
      </vt:variant>
      <vt:variant>
        <vt:i4>5</vt:i4>
      </vt:variant>
      <vt:variant>
        <vt:lpwstr/>
      </vt:variant>
      <vt:variant>
        <vt:lpwstr>_Toc11133055</vt:lpwstr>
      </vt:variant>
      <vt:variant>
        <vt:i4>1114166</vt:i4>
      </vt:variant>
      <vt:variant>
        <vt:i4>374</vt:i4>
      </vt:variant>
      <vt:variant>
        <vt:i4>0</vt:i4>
      </vt:variant>
      <vt:variant>
        <vt:i4>5</vt:i4>
      </vt:variant>
      <vt:variant>
        <vt:lpwstr/>
      </vt:variant>
      <vt:variant>
        <vt:lpwstr>_Toc11133054</vt:lpwstr>
      </vt:variant>
      <vt:variant>
        <vt:i4>1441846</vt:i4>
      </vt:variant>
      <vt:variant>
        <vt:i4>368</vt:i4>
      </vt:variant>
      <vt:variant>
        <vt:i4>0</vt:i4>
      </vt:variant>
      <vt:variant>
        <vt:i4>5</vt:i4>
      </vt:variant>
      <vt:variant>
        <vt:lpwstr/>
      </vt:variant>
      <vt:variant>
        <vt:lpwstr>_Toc11133053</vt:lpwstr>
      </vt:variant>
      <vt:variant>
        <vt:i4>1507382</vt:i4>
      </vt:variant>
      <vt:variant>
        <vt:i4>362</vt:i4>
      </vt:variant>
      <vt:variant>
        <vt:i4>0</vt:i4>
      </vt:variant>
      <vt:variant>
        <vt:i4>5</vt:i4>
      </vt:variant>
      <vt:variant>
        <vt:lpwstr/>
      </vt:variant>
      <vt:variant>
        <vt:lpwstr>_Toc11133052</vt:lpwstr>
      </vt:variant>
      <vt:variant>
        <vt:i4>1310774</vt:i4>
      </vt:variant>
      <vt:variant>
        <vt:i4>356</vt:i4>
      </vt:variant>
      <vt:variant>
        <vt:i4>0</vt:i4>
      </vt:variant>
      <vt:variant>
        <vt:i4>5</vt:i4>
      </vt:variant>
      <vt:variant>
        <vt:lpwstr/>
      </vt:variant>
      <vt:variant>
        <vt:lpwstr>_Toc11133051</vt:lpwstr>
      </vt:variant>
      <vt:variant>
        <vt:i4>1376310</vt:i4>
      </vt:variant>
      <vt:variant>
        <vt:i4>350</vt:i4>
      </vt:variant>
      <vt:variant>
        <vt:i4>0</vt:i4>
      </vt:variant>
      <vt:variant>
        <vt:i4>5</vt:i4>
      </vt:variant>
      <vt:variant>
        <vt:lpwstr/>
      </vt:variant>
      <vt:variant>
        <vt:lpwstr>_Toc11133050</vt:lpwstr>
      </vt:variant>
      <vt:variant>
        <vt:i4>1835063</vt:i4>
      </vt:variant>
      <vt:variant>
        <vt:i4>344</vt:i4>
      </vt:variant>
      <vt:variant>
        <vt:i4>0</vt:i4>
      </vt:variant>
      <vt:variant>
        <vt:i4>5</vt:i4>
      </vt:variant>
      <vt:variant>
        <vt:lpwstr/>
      </vt:variant>
      <vt:variant>
        <vt:lpwstr>_Toc11133049</vt:lpwstr>
      </vt:variant>
      <vt:variant>
        <vt:i4>1900599</vt:i4>
      </vt:variant>
      <vt:variant>
        <vt:i4>338</vt:i4>
      </vt:variant>
      <vt:variant>
        <vt:i4>0</vt:i4>
      </vt:variant>
      <vt:variant>
        <vt:i4>5</vt:i4>
      </vt:variant>
      <vt:variant>
        <vt:lpwstr/>
      </vt:variant>
      <vt:variant>
        <vt:lpwstr>_Toc11133048</vt:lpwstr>
      </vt:variant>
      <vt:variant>
        <vt:i4>1179703</vt:i4>
      </vt:variant>
      <vt:variant>
        <vt:i4>332</vt:i4>
      </vt:variant>
      <vt:variant>
        <vt:i4>0</vt:i4>
      </vt:variant>
      <vt:variant>
        <vt:i4>5</vt:i4>
      </vt:variant>
      <vt:variant>
        <vt:lpwstr/>
      </vt:variant>
      <vt:variant>
        <vt:lpwstr>_Toc11133047</vt:lpwstr>
      </vt:variant>
      <vt:variant>
        <vt:i4>1245239</vt:i4>
      </vt:variant>
      <vt:variant>
        <vt:i4>326</vt:i4>
      </vt:variant>
      <vt:variant>
        <vt:i4>0</vt:i4>
      </vt:variant>
      <vt:variant>
        <vt:i4>5</vt:i4>
      </vt:variant>
      <vt:variant>
        <vt:lpwstr/>
      </vt:variant>
      <vt:variant>
        <vt:lpwstr>_Toc11133046</vt:lpwstr>
      </vt:variant>
      <vt:variant>
        <vt:i4>1048631</vt:i4>
      </vt:variant>
      <vt:variant>
        <vt:i4>320</vt:i4>
      </vt:variant>
      <vt:variant>
        <vt:i4>0</vt:i4>
      </vt:variant>
      <vt:variant>
        <vt:i4>5</vt:i4>
      </vt:variant>
      <vt:variant>
        <vt:lpwstr/>
      </vt:variant>
      <vt:variant>
        <vt:lpwstr>_Toc11133045</vt:lpwstr>
      </vt:variant>
      <vt:variant>
        <vt:i4>1114167</vt:i4>
      </vt:variant>
      <vt:variant>
        <vt:i4>314</vt:i4>
      </vt:variant>
      <vt:variant>
        <vt:i4>0</vt:i4>
      </vt:variant>
      <vt:variant>
        <vt:i4>5</vt:i4>
      </vt:variant>
      <vt:variant>
        <vt:lpwstr/>
      </vt:variant>
      <vt:variant>
        <vt:lpwstr>_Toc11133044</vt:lpwstr>
      </vt:variant>
      <vt:variant>
        <vt:i4>1441847</vt:i4>
      </vt:variant>
      <vt:variant>
        <vt:i4>308</vt:i4>
      </vt:variant>
      <vt:variant>
        <vt:i4>0</vt:i4>
      </vt:variant>
      <vt:variant>
        <vt:i4>5</vt:i4>
      </vt:variant>
      <vt:variant>
        <vt:lpwstr/>
      </vt:variant>
      <vt:variant>
        <vt:lpwstr>_Toc11133043</vt:lpwstr>
      </vt:variant>
      <vt:variant>
        <vt:i4>1507383</vt:i4>
      </vt:variant>
      <vt:variant>
        <vt:i4>302</vt:i4>
      </vt:variant>
      <vt:variant>
        <vt:i4>0</vt:i4>
      </vt:variant>
      <vt:variant>
        <vt:i4>5</vt:i4>
      </vt:variant>
      <vt:variant>
        <vt:lpwstr/>
      </vt:variant>
      <vt:variant>
        <vt:lpwstr>_Toc11133042</vt:lpwstr>
      </vt:variant>
      <vt:variant>
        <vt:i4>1310775</vt:i4>
      </vt:variant>
      <vt:variant>
        <vt:i4>296</vt:i4>
      </vt:variant>
      <vt:variant>
        <vt:i4>0</vt:i4>
      </vt:variant>
      <vt:variant>
        <vt:i4>5</vt:i4>
      </vt:variant>
      <vt:variant>
        <vt:lpwstr/>
      </vt:variant>
      <vt:variant>
        <vt:lpwstr>_Toc11133041</vt:lpwstr>
      </vt:variant>
      <vt:variant>
        <vt:i4>1376311</vt:i4>
      </vt:variant>
      <vt:variant>
        <vt:i4>290</vt:i4>
      </vt:variant>
      <vt:variant>
        <vt:i4>0</vt:i4>
      </vt:variant>
      <vt:variant>
        <vt:i4>5</vt:i4>
      </vt:variant>
      <vt:variant>
        <vt:lpwstr/>
      </vt:variant>
      <vt:variant>
        <vt:lpwstr>_Toc11133040</vt:lpwstr>
      </vt:variant>
      <vt:variant>
        <vt:i4>1835056</vt:i4>
      </vt:variant>
      <vt:variant>
        <vt:i4>284</vt:i4>
      </vt:variant>
      <vt:variant>
        <vt:i4>0</vt:i4>
      </vt:variant>
      <vt:variant>
        <vt:i4>5</vt:i4>
      </vt:variant>
      <vt:variant>
        <vt:lpwstr/>
      </vt:variant>
      <vt:variant>
        <vt:lpwstr>_Toc11133039</vt:lpwstr>
      </vt:variant>
      <vt:variant>
        <vt:i4>1900592</vt:i4>
      </vt:variant>
      <vt:variant>
        <vt:i4>278</vt:i4>
      </vt:variant>
      <vt:variant>
        <vt:i4>0</vt:i4>
      </vt:variant>
      <vt:variant>
        <vt:i4>5</vt:i4>
      </vt:variant>
      <vt:variant>
        <vt:lpwstr/>
      </vt:variant>
      <vt:variant>
        <vt:lpwstr>_Toc11133038</vt:lpwstr>
      </vt:variant>
      <vt:variant>
        <vt:i4>1179696</vt:i4>
      </vt:variant>
      <vt:variant>
        <vt:i4>272</vt:i4>
      </vt:variant>
      <vt:variant>
        <vt:i4>0</vt:i4>
      </vt:variant>
      <vt:variant>
        <vt:i4>5</vt:i4>
      </vt:variant>
      <vt:variant>
        <vt:lpwstr/>
      </vt:variant>
      <vt:variant>
        <vt:lpwstr>_Toc11133037</vt:lpwstr>
      </vt:variant>
      <vt:variant>
        <vt:i4>1245232</vt:i4>
      </vt:variant>
      <vt:variant>
        <vt:i4>266</vt:i4>
      </vt:variant>
      <vt:variant>
        <vt:i4>0</vt:i4>
      </vt:variant>
      <vt:variant>
        <vt:i4>5</vt:i4>
      </vt:variant>
      <vt:variant>
        <vt:lpwstr/>
      </vt:variant>
      <vt:variant>
        <vt:lpwstr>_Toc11133036</vt:lpwstr>
      </vt:variant>
      <vt:variant>
        <vt:i4>1048624</vt:i4>
      </vt:variant>
      <vt:variant>
        <vt:i4>260</vt:i4>
      </vt:variant>
      <vt:variant>
        <vt:i4>0</vt:i4>
      </vt:variant>
      <vt:variant>
        <vt:i4>5</vt:i4>
      </vt:variant>
      <vt:variant>
        <vt:lpwstr/>
      </vt:variant>
      <vt:variant>
        <vt:lpwstr>_Toc11133035</vt:lpwstr>
      </vt:variant>
      <vt:variant>
        <vt:i4>1114160</vt:i4>
      </vt:variant>
      <vt:variant>
        <vt:i4>254</vt:i4>
      </vt:variant>
      <vt:variant>
        <vt:i4>0</vt:i4>
      </vt:variant>
      <vt:variant>
        <vt:i4>5</vt:i4>
      </vt:variant>
      <vt:variant>
        <vt:lpwstr/>
      </vt:variant>
      <vt:variant>
        <vt:lpwstr>_Toc11133034</vt:lpwstr>
      </vt:variant>
      <vt:variant>
        <vt:i4>1441840</vt:i4>
      </vt:variant>
      <vt:variant>
        <vt:i4>248</vt:i4>
      </vt:variant>
      <vt:variant>
        <vt:i4>0</vt:i4>
      </vt:variant>
      <vt:variant>
        <vt:i4>5</vt:i4>
      </vt:variant>
      <vt:variant>
        <vt:lpwstr/>
      </vt:variant>
      <vt:variant>
        <vt:lpwstr>_Toc11133033</vt:lpwstr>
      </vt:variant>
      <vt:variant>
        <vt:i4>1507376</vt:i4>
      </vt:variant>
      <vt:variant>
        <vt:i4>242</vt:i4>
      </vt:variant>
      <vt:variant>
        <vt:i4>0</vt:i4>
      </vt:variant>
      <vt:variant>
        <vt:i4>5</vt:i4>
      </vt:variant>
      <vt:variant>
        <vt:lpwstr/>
      </vt:variant>
      <vt:variant>
        <vt:lpwstr>_Toc11133032</vt:lpwstr>
      </vt:variant>
      <vt:variant>
        <vt:i4>1310768</vt:i4>
      </vt:variant>
      <vt:variant>
        <vt:i4>236</vt:i4>
      </vt:variant>
      <vt:variant>
        <vt:i4>0</vt:i4>
      </vt:variant>
      <vt:variant>
        <vt:i4>5</vt:i4>
      </vt:variant>
      <vt:variant>
        <vt:lpwstr/>
      </vt:variant>
      <vt:variant>
        <vt:lpwstr>_Toc11133031</vt:lpwstr>
      </vt:variant>
      <vt:variant>
        <vt:i4>1376304</vt:i4>
      </vt:variant>
      <vt:variant>
        <vt:i4>230</vt:i4>
      </vt:variant>
      <vt:variant>
        <vt:i4>0</vt:i4>
      </vt:variant>
      <vt:variant>
        <vt:i4>5</vt:i4>
      </vt:variant>
      <vt:variant>
        <vt:lpwstr/>
      </vt:variant>
      <vt:variant>
        <vt:lpwstr>_Toc11133030</vt:lpwstr>
      </vt:variant>
      <vt:variant>
        <vt:i4>1835057</vt:i4>
      </vt:variant>
      <vt:variant>
        <vt:i4>224</vt:i4>
      </vt:variant>
      <vt:variant>
        <vt:i4>0</vt:i4>
      </vt:variant>
      <vt:variant>
        <vt:i4>5</vt:i4>
      </vt:variant>
      <vt:variant>
        <vt:lpwstr/>
      </vt:variant>
      <vt:variant>
        <vt:lpwstr>_Toc11133029</vt:lpwstr>
      </vt:variant>
      <vt:variant>
        <vt:i4>1900593</vt:i4>
      </vt:variant>
      <vt:variant>
        <vt:i4>218</vt:i4>
      </vt:variant>
      <vt:variant>
        <vt:i4>0</vt:i4>
      </vt:variant>
      <vt:variant>
        <vt:i4>5</vt:i4>
      </vt:variant>
      <vt:variant>
        <vt:lpwstr/>
      </vt:variant>
      <vt:variant>
        <vt:lpwstr>_Toc11133028</vt:lpwstr>
      </vt:variant>
      <vt:variant>
        <vt:i4>1179697</vt:i4>
      </vt:variant>
      <vt:variant>
        <vt:i4>212</vt:i4>
      </vt:variant>
      <vt:variant>
        <vt:i4>0</vt:i4>
      </vt:variant>
      <vt:variant>
        <vt:i4>5</vt:i4>
      </vt:variant>
      <vt:variant>
        <vt:lpwstr/>
      </vt:variant>
      <vt:variant>
        <vt:lpwstr>_Toc11133027</vt:lpwstr>
      </vt:variant>
      <vt:variant>
        <vt:i4>1245233</vt:i4>
      </vt:variant>
      <vt:variant>
        <vt:i4>206</vt:i4>
      </vt:variant>
      <vt:variant>
        <vt:i4>0</vt:i4>
      </vt:variant>
      <vt:variant>
        <vt:i4>5</vt:i4>
      </vt:variant>
      <vt:variant>
        <vt:lpwstr/>
      </vt:variant>
      <vt:variant>
        <vt:lpwstr>_Toc11133026</vt:lpwstr>
      </vt:variant>
      <vt:variant>
        <vt:i4>1048625</vt:i4>
      </vt:variant>
      <vt:variant>
        <vt:i4>200</vt:i4>
      </vt:variant>
      <vt:variant>
        <vt:i4>0</vt:i4>
      </vt:variant>
      <vt:variant>
        <vt:i4>5</vt:i4>
      </vt:variant>
      <vt:variant>
        <vt:lpwstr/>
      </vt:variant>
      <vt:variant>
        <vt:lpwstr>_Toc11133025</vt:lpwstr>
      </vt:variant>
      <vt:variant>
        <vt:i4>1114161</vt:i4>
      </vt:variant>
      <vt:variant>
        <vt:i4>194</vt:i4>
      </vt:variant>
      <vt:variant>
        <vt:i4>0</vt:i4>
      </vt:variant>
      <vt:variant>
        <vt:i4>5</vt:i4>
      </vt:variant>
      <vt:variant>
        <vt:lpwstr/>
      </vt:variant>
      <vt:variant>
        <vt:lpwstr>_Toc11133024</vt:lpwstr>
      </vt:variant>
      <vt:variant>
        <vt:i4>1441841</vt:i4>
      </vt:variant>
      <vt:variant>
        <vt:i4>188</vt:i4>
      </vt:variant>
      <vt:variant>
        <vt:i4>0</vt:i4>
      </vt:variant>
      <vt:variant>
        <vt:i4>5</vt:i4>
      </vt:variant>
      <vt:variant>
        <vt:lpwstr/>
      </vt:variant>
      <vt:variant>
        <vt:lpwstr>_Toc11133023</vt:lpwstr>
      </vt:variant>
      <vt:variant>
        <vt:i4>1507377</vt:i4>
      </vt:variant>
      <vt:variant>
        <vt:i4>182</vt:i4>
      </vt:variant>
      <vt:variant>
        <vt:i4>0</vt:i4>
      </vt:variant>
      <vt:variant>
        <vt:i4>5</vt:i4>
      </vt:variant>
      <vt:variant>
        <vt:lpwstr/>
      </vt:variant>
      <vt:variant>
        <vt:lpwstr>_Toc11133022</vt:lpwstr>
      </vt:variant>
      <vt:variant>
        <vt:i4>1310769</vt:i4>
      </vt:variant>
      <vt:variant>
        <vt:i4>176</vt:i4>
      </vt:variant>
      <vt:variant>
        <vt:i4>0</vt:i4>
      </vt:variant>
      <vt:variant>
        <vt:i4>5</vt:i4>
      </vt:variant>
      <vt:variant>
        <vt:lpwstr/>
      </vt:variant>
      <vt:variant>
        <vt:lpwstr>_Toc11133021</vt:lpwstr>
      </vt:variant>
      <vt:variant>
        <vt:i4>1376305</vt:i4>
      </vt:variant>
      <vt:variant>
        <vt:i4>170</vt:i4>
      </vt:variant>
      <vt:variant>
        <vt:i4>0</vt:i4>
      </vt:variant>
      <vt:variant>
        <vt:i4>5</vt:i4>
      </vt:variant>
      <vt:variant>
        <vt:lpwstr/>
      </vt:variant>
      <vt:variant>
        <vt:lpwstr>_Toc11133020</vt:lpwstr>
      </vt:variant>
      <vt:variant>
        <vt:i4>1835058</vt:i4>
      </vt:variant>
      <vt:variant>
        <vt:i4>164</vt:i4>
      </vt:variant>
      <vt:variant>
        <vt:i4>0</vt:i4>
      </vt:variant>
      <vt:variant>
        <vt:i4>5</vt:i4>
      </vt:variant>
      <vt:variant>
        <vt:lpwstr/>
      </vt:variant>
      <vt:variant>
        <vt:lpwstr>_Toc11133019</vt:lpwstr>
      </vt:variant>
      <vt:variant>
        <vt:i4>1900594</vt:i4>
      </vt:variant>
      <vt:variant>
        <vt:i4>158</vt:i4>
      </vt:variant>
      <vt:variant>
        <vt:i4>0</vt:i4>
      </vt:variant>
      <vt:variant>
        <vt:i4>5</vt:i4>
      </vt:variant>
      <vt:variant>
        <vt:lpwstr/>
      </vt:variant>
      <vt:variant>
        <vt:lpwstr>_Toc11133018</vt:lpwstr>
      </vt:variant>
      <vt:variant>
        <vt:i4>1179698</vt:i4>
      </vt:variant>
      <vt:variant>
        <vt:i4>152</vt:i4>
      </vt:variant>
      <vt:variant>
        <vt:i4>0</vt:i4>
      </vt:variant>
      <vt:variant>
        <vt:i4>5</vt:i4>
      </vt:variant>
      <vt:variant>
        <vt:lpwstr/>
      </vt:variant>
      <vt:variant>
        <vt:lpwstr>_Toc11133017</vt:lpwstr>
      </vt:variant>
      <vt:variant>
        <vt:i4>1245234</vt:i4>
      </vt:variant>
      <vt:variant>
        <vt:i4>146</vt:i4>
      </vt:variant>
      <vt:variant>
        <vt:i4>0</vt:i4>
      </vt:variant>
      <vt:variant>
        <vt:i4>5</vt:i4>
      </vt:variant>
      <vt:variant>
        <vt:lpwstr/>
      </vt:variant>
      <vt:variant>
        <vt:lpwstr>_Toc11133016</vt:lpwstr>
      </vt:variant>
      <vt:variant>
        <vt:i4>1048626</vt:i4>
      </vt:variant>
      <vt:variant>
        <vt:i4>140</vt:i4>
      </vt:variant>
      <vt:variant>
        <vt:i4>0</vt:i4>
      </vt:variant>
      <vt:variant>
        <vt:i4>5</vt:i4>
      </vt:variant>
      <vt:variant>
        <vt:lpwstr/>
      </vt:variant>
      <vt:variant>
        <vt:lpwstr>_Toc11133015</vt:lpwstr>
      </vt:variant>
      <vt:variant>
        <vt:i4>1114162</vt:i4>
      </vt:variant>
      <vt:variant>
        <vt:i4>134</vt:i4>
      </vt:variant>
      <vt:variant>
        <vt:i4>0</vt:i4>
      </vt:variant>
      <vt:variant>
        <vt:i4>5</vt:i4>
      </vt:variant>
      <vt:variant>
        <vt:lpwstr/>
      </vt:variant>
      <vt:variant>
        <vt:lpwstr>_Toc11133014</vt:lpwstr>
      </vt:variant>
      <vt:variant>
        <vt:i4>1441842</vt:i4>
      </vt:variant>
      <vt:variant>
        <vt:i4>128</vt:i4>
      </vt:variant>
      <vt:variant>
        <vt:i4>0</vt:i4>
      </vt:variant>
      <vt:variant>
        <vt:i4>5</vt:i4>
      </vt:variant>
      <vt:variant>
        <vt:lpwstr/>
      </vt:variant>
      <vt:variant>
        <vt:lpwstr>_Toc11133013</vt:lpwstr>
      </vt:variant>
      <vt:variant>
        <vt:i4>1507378</vt:i4>
      </vt:variant>
      <vt:variant>
        <vt:i4>122</vt:i4>
      </vt:variant>
      <vt:variant>
        <vt:i4>0</vt:i4>
      </vt:variant>
      <vt:variant>
        <vt:i4>5</vt:i4>
      </vt:variant>
      <vt:variant>
        <vt:lpwstr/>
      </vt:variant>
      <vt:variant>
        <vt:lpwstr>_Toc11133012</vt:lpwstr>
      </vt:variant>
      <vt:variant>
        <vt:i4>1310770</vt:i4>
      </vt:variant>
      <vt:variant>
        <vt:i4>116</vt:i4>
      </vt:variant>
      <vt:variant>
        <vt:i4>0</vt:i4>
      </vt:variant>
      <vt:variant>
        <vt:i4>5</vt:i4>
      </vt:variant>
      <vt:variant>
        <vt:lpwstr/>
      </vt:variant>
      <vt:variant>
        <vt:lpwstr>_Toc11133011</vt:lpwstr>
      </vt:variant>
      <vt:variant>
        <vt:i4>1376306</vt:i4>
      </vt:variant>
      <vt:variant>
        <vt:i4>110</vt:i4>
      </vt:variant>
      <vt:variant>
        <vt:i4>0</vt:i4>
      </vt:variant>
      <vt:variant>
        <vt:i4>5</vt:i4>
      </vt:variant>
      <vt:variant>
        <vt:lpwstr/>
      </vt:variant>
      <vt:variant>
        <vt:lpwstr>_Toc11133010</vt:lpwstr>
      </vt:variant>
      <vt:variant>
        <vt:i4>1835059</vt:i4>
      </vt:variant>
      <vt:variant>
        <vt:i4>104</vt:i4>
      </vt:variant>
      <vt:variant>
        <vt:i4>0</vt:i4>
      </vt:variant>
      <vt:variant>
        <vt:i4>5</vt:i4>
      </vt:variant>
      <vt:variant>
        <vt:lpwstr/>
      </vt:variant>
      <vt:variant>
        <vt:lpwstr>_Toc11133009</vt:lpwstr>
      </vt:variant>
      <vt:variant>
        <vt:i4>1900595</vt:i4>
      </vt:variant>
      <vt:variant>
        <vt:i4>98</vt:i4>
      </vt:variant>
      <vt:variant>
        <vt:i4>0</vt:i4>
      </vt:variant>
      <vt:variant>
        <vt:i4>5</vt:i4>
      </vt:variant>
      <vt:variant>
        <vt:lpwstr/>
      </vt:variant>
      <vt:variant>
        <vt:lpwstr>_Toc11133008</vt:lpwstr>
      </vt:variant>
      <vt:variant>
        <vt:i4>1179699</vt:i4>
      </vt:variant>
      <vt:variant>
        <vt:i4>92</vt:i4>
      </vt:variant>
      <vt:variant>
        <vt:i4>0</vt:i4>
      </vt:variant>
      <vt:variant>
        <vt:i4>5</vt:i4>
      </vt:variant>
      <vt:variant>
        <vt:lpwstr/>
      </vt:variant>
      <vt:variant>
        <vt:lpwstr>_Toc11133007</vt:lpwstr>
      </vt:variant>
      <vt:variant>
        <vt:i4>1245235</vt:i4>
      </vt:variant>
      <vt:variant>
        <vt:i4>86</vt:i4>
      </vt:variant>
      <vt:variant>
        <vt:i4>0</vt:i4>
      </vt:variant>
      <vt:variant>
        <vt:i4>5</vt:i4>
      </vt:variant>
      <vt:variant>
        <vt:lpwstr/>
      </vt:variant>
      <vt:variant>
        <vt:lpwstr>_Toc11133006</vt:lpwstr>
      </vt:variant>
      <vt:variant>
        <vt:i4>1048627</vt:i4>
      </vt:variant>
      <vt:variant>
        <vt:i4>80</vt:i4>
      </vt:variant>
      <vt:variant>
        <vt:i4>0</vt:i4>
      </vt:variant>
      <vt:variant>
        <vt:i4>5</vt:i4>
      </vt:variant>
      <vt:variant>
        <vt:lpwstr/>
      </vt:variant>
      <vt:variant>
        <vt:lpwstr>_Toc11133005</vt:lpwstr>
      </vt:variant>
      <vt:variant>
        <vt:i4>1114163</vt:i4>
      </vt:variant>
      <vt:variant>
        <vt:i4>74</vt:i4>
      </vt:variant>
      <vt:variant>
        <vt:i4>0</vt:i4>
      </vt:variant>
      <vt:variant>
        <vt:i4>5</vt:i4>
      </vt:variant>
      <vt:variant>
        <vt:lpwstr/>
      </vt:variant>
      <vt:variant>
        <vt:lpwstr>_Toc11133004</vt:lpwstr>
      </vt:variant>
      <vt:variant>
        <vt:i4>1441843</vt:i4>
      </vt:variant>
      <vt:variant>
        <vt:i4>68</vt:i4>
      </vt:variant>
      <vt:variant>
        <vt:i4>0</vt:i4>
      </vt:variant>
      <vt:variant>
        <vt:i4>5</vt:i4>
      </vt:variant>
      <vt:variant>
        <vt:lpwstr/>
      </vt:variant>
      <vt:variant>
        <vt:lpwstr>_Toc11133003</vt:lpwstr>
      </vt:variant>
      <vt:variant>
        <vt:i4>1507379</vt:i4>
      </vt:variant>
      <vt:variant>
        <vt:i4>62</vt:i4>
      </vt:variant>
      <vt:variant>
        <vt:i4>0</vt:i4>
      </vt:variant>
      <vt:variant>
        <vt:i4>5</vt:i4>
      </vt:variant>
      <vt:variant>
        <vt:lpwstr/>
      </vt:variant>
      <vt:variant>
        <vt:lpwstr>_Toc11133002</vt:lpwstr>
      </vt:variant>
      <vt:variant>
        <vt:i4>1310771</vt:i4>
      </vt:variant>
      <vt:variant>
        <vt:i4>56</vt:i4>
      </vt:variant>
      <vt:variant>
        <vt:i4>0</vt:i4>
      </vt:variant>
      <vt:variant>
        <vt:i4>5</vt:i4>
      </vt:variant>
      <vt:variant>
        <vt:lpwstr/>
      </vt:variant>
      <vt:variant>
        <vt:lpwstr>_Toc11133001</vt:lpwstr>
      </vt:variant>
      <vt:variant>
        <vt:i4>1376307</vt:i4>
      </vt:variant>
      <vt:variant>
        <vt:i4>50</vt:i4>
      </vt:variant>
      <vt:variant>
        <vt:i4>0</vt:i4>
      </vt:variant>
      <vt:variant>
        <vt:i4>5</vt:i4>
      </vt:variant>
      <vt:variant>
        <vt:lpwstr/>
      </vt:variant>
      <vt:variant>
        <vt:lpwstr>_Toc11133000</vt:lpwstr>
      </vt:variant>
      <vt:variant>
        <vt:i4>1376315</vt:i4>
      </vt:variant>
      <vt:variant>
        <vt:i4>44</vt:i4>
      </vt:variant>
      <vt:variant>
        <vt:i4>0</vt:i4>
      </vt:variant>
      <vt:variant>
        <vt:i4>5</vt:i4>
      </vt:variant>
      <vt:variant>
        <vt:lpwstr/>
      </vt:variant>
      <vt:variant>
        <vt:lpwstr>_Toc11132999</vt:lpwstr>
      </vt:variant>
      <vt:variant>
        <vt:i4>1310779</vt:i4>
      </vt:variant>
      <vt:variant>
        <vt:i4>38</vt:i4>
      </vt:variant>
      <vt:variant>
        <vt:i4>0</vt:i4>
      </vt:variant>
      <vt:variant>
        <vt:i4>5</vt:i4>
      </vt:variant>
      <vt:variant>
        <vt:lpwstr/>
      </vt:variant>
      <vt:variant>
        <vt:lpwstr>_Toc11132998</vt:lpwstr>
      </vt:variant>
      <vt:variant>
        <vt:i4>1769531</vt:i4>
      </vt:variant>
      <vt:variant>
        <vt:i4>32</vt:i4>
      </vt:variant>
      <vt:variant>
        <vt:i4>0</vt:i4>
      </vt:variant>
      <vt:variant>
        <vt:i4>5</vt:i4>
      </vt:variant>
      <vt:variant>
        <vt:lpwstr/>
      </vt:variant>
      <vt:variant>
        <vt:lpwstr>_Toc11132997</vt:lpwstr>
      </vt:variant>
      <vt:variant>
        <vt:i4>1703995</vt:i4>
      </vt:variant>
      <vt:variant>
        <vt:i4>26</vt:i4>
      </vt:variant>
      <vt:variant>
        <vt:i4>0</vt:i4>
      </vt:variant>
      <vt:variant>
        <vt:i4>5</vt:i4>
      </vt:variant>
      <vt:variant>
        <vt:lpwstr/>
      </vt:variant>
      <vt:variant>
        <vt:lpwstr>_Toc11132996</vt:lpwstr>
      </vt:variant>
      <vt:variant>
        <vt:i4>1638459</vt:i4>
      </vt:variant>
      <vt:variant>
        <vt:i4>20</vt:i4>
      </vt:variant>
      <vt:variant>
        <vt:i4>0</vt:i4>
      </vt:variant>
      <vt:variant>
        <vt:i4>5</vt:i4>
      </vt:variant>
      <vt:variant>
        <vt:lpwstr/>
      </vt:variant>
      <vt:variant>
        <vt:lpwstr>_Toc11132995</vt:lpwstr>
      </vt:variant>
      <vt:variant>
        <vt:i4>1572923</vt:i4>
      </vt:variant>
      <vt:variant>
        <vt:i4>14</vt:i4>
      </vt:variant>
      <vt:variant>
        <vt:i4>0</vt:i4>
      </vt:variant>
      <vt:variant>
        <vt:i4>5</vt:i4>
      </vt:variant>
      <vt:variant>
        <vt:lpwstr/>
      </vt:variant>
      <vt:variant>
        <vt:lpwstr>_Toc11132994</vt:lpwstr>
      </vt:variant>
      <vt:variant>
        <vt:i4>2031675</vt:i4>
      </vt:variant>
      <vt:variant>
        <vt:i4>8</vt:i4>
      </vt:variant>
      <vt:variant>
        <vt:i4>0</vt:i4>
      </vt:variant>
      <vt:variant>
        <vt:i4>5</vt:i4>
      </vt:variant>
      <vt:variant>
        <vt:lpwstr/>
      </vt:variant>
      <vt:variant>
        <vt:lpwstr>_Toc11132993</vt:lpwstr>
      </vt:variant>
      <vt:variant>
        <vt:i4>1966139</vt:i4>
      </vt:variant>
      <vt:variant>
        <vt:i4>2</vt:i4>
      </vt:variant>
      <vt:variant>
        <vt:i4>0</vt:i4>
      </vt:variant>
      <vt:variant>
        <vt:i4>5</vt:i4>
      </vt:variant>
      <vt:variant>
        <vt:lpwstr/>
      </vt:variant>
      <vt:variant>
        <vt:lpwstr>_Toc11132992</vt:lpwstr>
      </vt:variant>
      <vt:variant>
        <vt:i4>8126513</vt:i4>
      </vt:variant>
      <vt:variant>
        <vt:i4>6</vt:i4>
      </vt:variant>
      <vt:variant>
        <vt:i4>0</vt:i4>
      </vt:variant>
      <vt:variant>
        <vt:i4>5</vt:i4>
      </vt:variant>
      <vt:variant>
        <vt:lpwstr>http://www.nsoud.cz/Judikatura/ns_web.nsf/web/ONejvyssimsoudu~Trestnikolegium~Soudci_TK~?openDocument&amp;lng=CZ</vt:lpwstr>
      </vt:variant>
      <vt:variant>
        <vt:lpwstr/>
      </vt:variant>
      <vt:variant>
        <vt:i4>2162798</vt:i4>
      </vt:variant>
      <vt:variant>
        <vt:i4>3</vt:i4>
      </vt:variant>
      <vt:variant>
        <vt:i4>0</vt:i4>
      </vt:variant>
      <vt:variant>
        <vt:i4>5</vt:i4>
      </vt:variant>
      <vt:variant>
        <vt:lpwstr>http://www.nsoud.cz/Judikatura/ns_web.nsf/web/ONejvyssimsoudu~Obcanskopravniaobchodnikolegium~Soudci_OOK~?openDocument&amp;lng=CZ</vt:lpwstr>
      </vt:variant>
      <vt:variant>
        <vt:lpwstr/>
      </vt:variant>
      <vt:variant>
        <vt:i4>7405592</vt:i4>
      </vt:variant>
      <vt:variant>
        <vt:i4>0</vt:i4>
      </vt:variant>
      <vt:variant>
        <vt:i4>0</vt:i4>
      </vt:variant>
      <vt:variant>
        <vt:i4>5</vt:i4>
      </vt:variant>
      <vt:variant>
        <vt:lpwstr>http://www.nsoud.cz/Judikatura/ns_web.nsf/Edit/Proverejnostamedia~Vyrocnizpravy?Open&amp;area=Pro%20ve%C5%99ejnost%20a%20m%C3%A9dia&amp;grp=V%C3%BDro%C4%8Dn%C3%AD%20zpr%C3%A1vy&amp;lng=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Jonáš Václav Bc.;Pánek David</dc:creator>
  <cp:lastModifiedBy>Pánek David</cp:lastModifiedBy>
  <cp:revision>3</cp:revision>
  <cp:lastPrinted>2019-07-23T17:16:00Z</cp:lastPrinted>
  <dcterms:created xsi:type="dcterms:W3CDTF">2019-08-16T07:26:00Z</dcterms:created>
  <dcterms:modified xsi:type="dcterms:W3CDTF">2019-08-19T05:50:00Z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-1500088553</vt:i4>
  </property>
</Properties>
</file>