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83A" w:rsidRPr="00BF00B6" w:rsidRDefault="00A4083A" w:rsidP="00A4083A">
      <w:r>
        <w:rPr>
          <w:noProof/>
          <w:lang w:eastAsia="cs-CZ"/>
        </w:rPr>
        <mc:AlternateContent>
          <mc:Choice Requires="wps">
            <w:drawing>
              <wp:anchor distT="0" distB="0" distL="114300" distR="114300" simplePos="0" relativeHeight="251661312" behindDoc="0" locked="0" layoutInCell="1" allowOverlap="1" wp14:anchorId="3B2EF2A7" wp14:editId="131FD00E">
                <wp:simplePos x="0" y="0"/>
                <wp:positionH relativeFrom="column">
                  <wp:posOffset>1682750</wp:posOffset>
                </wp:positionH>
                <wp:positionV relativeFrom="paragraph">
                  <wp:posOffset>-193675</wp:posOffset>
                </wp:positionV>
                <wp:extent cx="4652010" cy="9850120"/>
                <wp:effectExtent l="0" t="0" r="0" b="0"/>
                <wp:wrapNone/>
                <wp:docPr id="124" name="Textové pol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2010" cy="9850120"/>
                        </a:xfrm>
                        <a:prstGeom prst="rect">
                          <a:avLst/>
                        </a:prstGeom>
                        <a:solidFill>
                          <a:sysClr val="window" lastClr="FFFFFF"/>
                        </a:solidFill>
                        <a:ln w="6350">
                          <a:noFill/>
                        </a:ln>
                        <a:effectLst/>
                      </wps:spPr>
                      <wps:txbx>
                        <w:txbxContent>
                          <w:p w:rsidR="006C7321" w:rsidRPr="00751F1F" w:rsidRDefault="006C7321" w:rsidP="00A4083A">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České soudnictví</w:t>
                            </w:r>
                          </w:p>
                          <w:p w:rsidR="006C7321" w:rsidRDefault="006C7321" w:rsidP="00A4083A">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2019:</w:t>
                            </w:r>
                          </w:p>
                          <w:p w:rsidR="006C7321" w:rsidRPr="00751F1F" w:rsidRDefault="006C7321" w:rsidP="00A4083A">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Výroční statistická zpráva</w:t>
                            </w:r>
                          </w:p>
                          <w:p w:rsidR="006C7321" w:rsidRDefault="006C7321" w:rsidP="00A4083A">
                            <w:pPr>
                              <w:spacing w:line="240" w:lineRule="auto"/>
                              <w:rPr>
                                <w:rFonts w:ascii="DIN Next LT Pro Condensed" w:hAnsi="DIN Next LT Pro Condensed"/>
                                <w:sz w:val="56"/>
                              </w:rPr>
                            </w:pPr>
                          </w:p>
                          <w:p w:rsidR="006C7321" w:rsidRDefault="006C7321" w:rsidP="00A4083A">
                            <w:pPr>
                              <w:spacing w:line="240" w:lineRule="auto"/>
                              <w:rPr>
                                <w:rFonts w:ascii="DIN Next LT Pro Condensed" w:hAnsi="DIN Next LT Pro Condensed"/>
                                <w:sz w:val="56"/>
                              </w:rPr>
                            </w:pPr>
                          </w:p>
                          <w:p w:rsidR="006C7321" w:rsidRDefault="006C7321" w:rsidP="00A4083A">
                            <w:pPr>
                              <w:spacing w:line="240" w:lineRule="auto"/>
                              <w:rPr>
                                <w:rFonts w:ascii="DIN Next LT Pro Condensed" w:hAnsi="DIN Next LT Pro Condensed"/>
                                <w:sz w:val="56"/>
                              </w:rPr>
                            </w:pPr>
                          </w:p>
                          <w:p w:rsidR="006C7321" w:rsidRPr="00751F1F" w:rsidRDefault="006C7321" w:rsidP="00A4083A">
                            <w:pPr>
                              <w:spacing w:line="240" w:lineRule="auto"/>
                              <w:rPr>
                                <w:rFonts w:ascii="DIN Next LT Pro Condensed" w:hAnsi="DIN Next LT Pro Condensed"/>
                                <w:color w:val="838383"/>
                                <w:sz w:val="66"/>
                                <w:szCs w:val="66"/>
                              </w:rPr>
                            </w:pPr>
                            <w:r w:rsidRPr="00751F1F">
                              <w:rPr>
                                <w:rFonts w:ascii="DIN Next LT Pro Condensed" w:hAnsi="DIN Next LT Pro Condensed"/>
                                <w:color w:val="838383"/>
                                <w:sz w:val="66"/>
                                <w:szCs w:val="66"/>
                              </w:rPr>
                              <w:t>Ministerstvo spravedlnosti</w:t>
                            </w:r>
                          </w:p>
                          <w:p w:rsidR="006C7321" w:rsidRPr="00751F1F" w:rsidRDefault="006C7321" w:rsidP="00A4083A">
                            <w:pPr>
                              <w:spacing w:line="240" w:lineRule="auto"/>
                              <w:rPr>
                                <w:rFonts w:ascii="DIN Next LT Pro Condensed" w:hAnsi="DIN Next LT Pro Condensed"/>
                                <w:color w:val="838383"/>
                                <w:sz w:val="66"/>
                                <w:szCs w:val="66"/>
                              </w:rPr>
                            </w:pPr>
                            <w:r w:rsidRPr="00751F1F">
                              <w:rPr>
                                <w:rFonts w:ascii="DIN Next LT Pro Condensed" w:hAnsi="DIN Next LT Pro Condensed"/>
                                <w:color w:val="838383"/>
                                <w:sz w:val="66"/>
                                <w:szCs w:val="66"/>
                              </w:rPr>
                              <w:t>JUSTICE.CZ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B2EF2A7" id="_x0000_t202" coordsize="21600,21600" o:spt="202" path="m,l,21600r21600,l21600,xe">
                <v:stroke joinstyle="miter"/>
                <v:path gradientshapeok="t" o:connecttype="rect"/>
              </v:shapetype>
              <v:shape id="Textové pole 71" o:spid="_x0000_s1026" type="#_x0000_t202" style="position:absolute;left:0;text-align:left;margin-left:132.5pt;margin-top:-15.25pt;width:366.3pt;height:77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" fillcolor="window" stroked="f" strokeweight=".5pt">
                <v:path arrowok="t"/>
                <v:textbox>
                  <w:txbxContent>
                    <w:p w:rsidR="006C7321" w:rsidRPr="00751F1F" w:rsidRDefault="006C7321" w:rsidP="00A4083A">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České soudnictví</w:t>
                      </w:r>
                    </w:p>
                    <w:p w:rsidR="006C7321" w:rsidRDefault="006C7321" w:rsidP="00A4083A">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2019:</w:t>
                      </w:r>
                    </w:p>
                    <w:p w:rsidR="006C7321" w:rsidRPr="00751F1F" w:rsidRDefault="006C7321" w:rsidP="00A4083A">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Výroční statistická zpráva</w:t>
                      </w:r>
                    </w:p>
                    <w:p w:rsidR="006C7321" w:rsidRDefault="006C7321" w:rsidP="00A4083A">
                      <w:pPr>
                        <w:spacing w:line="240" w:lineRule="auto"/>
                        <w:rPr>
                          <w:rFonts w:ascii="DIN Next LT Pro Condensed" w:hAnsi="DIN Next LT Pro Condensed"/>
                          <w:sz w:val="56"/>
                        </w:rPr>
                      </w:pPr>
                    </w:p>
                    <w:p w:rsidR="006C7321" w:rsidRDefault="006C7321" w:rsidP="00A4083A">
                      <w:pPr>
                        <w:spacing w:line="240" w:lineRule="auto"/>
                        <w:rPr>
                          <w:rFonts w:ascii="DIN Next LT Pro Condensed" w:hAnsi="DIN Next LT Pro Condensed"/>
                          <w:sz w:val="56"/>
                        </w:rPr>
                      </w:pPr>
                    </w:p>
                    <w:p w:rsidR="006C7321" w:rsidRDefault="006C7321" w:rsidP="00A4083A">
                      <w:pPr>
                        <w:spacing w:line="240" w:lineRule="auto"/>
                        <w:rPr>
                          <w:rFonts w:ascii="DIN Next LT Pro Condensed" w:hAnsi="DIN Next LT Pro Condensed"/>
                          <w:sz w:val="56"/>
                        </w:rPr>
                      </w:pPr>
                    </w:p>
                    <w:p w:rsidR="006C7321" w:rsidRPr="00751F1F" w:rsidRDefault="006C7321" w:rsidP="00A4083A">
                      <w:pPr>
                        <w:spacing w:line="240" w:lineRule="auto"/>
                        <w:rPr>
                          <w:rFonts w:ascii="DIN Next LT Pro Condensed" w:hAnsi="DIN Next LT Pro Condensed"/>
                          <w:color w:val="838383"/>
                          <w:sz w:val="66"/>
                          <w:szCs w:val="66"/>
                        </w:rPr>
                      </w:pPr>
                      <w:r w:rsidRPr="00751F1F">
                        <w:rPr>
                          <w:rFonts w:ascii="DIN Next LT Pro Condensed" w:hAnsi="DIN Next LT Pro Condensed"/>
                          <w:color w:val="838383"/>
                          <w:sz w:val="66"/>
                          <w:szCs w:val="66"/>
                        </w:rPr>
                        <w:t>Ministerstvo spravedlnosti</w:t>
                      </w:r>
                    </w:p>
                    <w:p w:rsidR="006C7321" w:rsidRPr="00751F1F" w:rsidRDefault="006C7321" w:rsidP="00A4083A">
                      <w:pPr>
                        <w:spacing w:line="240" w:lineRule="auto"/>
                        <w:rPr>
                          <w:rFonts w:ascii="DIN Next LT Pro Condensed" w:hAnsi="DIN Next LT Pro Condensed"/>
                          <w:color w:val="838383"/>
                          <w:sz w:val="66"/>
                          <w:szCs w:val="66"/>
                        </w:rPr>
                      </w:pPr>
                      <w:r w:rsidRPr="00751F1F">
                        <w:rPr>
                          <w:rFonts w:ascii="DIN Next LT Pro Condensed" w:hAnsi="DIN Next LT Pro Condensed"/>
                          <w:color w:val="838383"/>
                          <w:sz w:val="66"/>
                          <w:szCs w:val="66"/>
                        </w:rPr>
                        <w:t>JUSTICE.CZ</w:t>
                      </w:r>
                    </w:p>
                  </w:txbxContent>
                </v:textbox>
              </v:shape>
            </w:pict>
          </mc:Fallback>
        </mc:AlternateContent>
      </w:r>
      <w:r>
        <w:rPr>
          <w:noProof/>
          <w:lang w:eastAsia="cs-CZ"/>
        </w:rPr>
        <mc:AlternateContent>
          <mc:Choice Requires="wps">
            <w:drawing>
              <wp:anchor distT="0" distB="0" distL="114299" distR="114299" simplePos="0" relativeHeight="251660288" behindDoc="0" locked="0" layoutInCell="1" allowOverlap="1" wp14:anchorId="467D6554" wp14:editId="53A522DA">
                <wp:simplePos x="0" y="0"/>
                <wp:positionH relativeFrom="column">
                  <wp:posOffset>1442084</wp:posOffset>
                </wp:positionH>
                <wp:positionV relativeFrom="page">
                  <wp:posOffset>898525</wp:posOffset>
                </wp:positionV>
                <wp:extent cx="0" cy="9064625"/>
                <wp:effectExtent l="19050" t="0" r="19050" b="3175"/>
                <wp:wrapNone/>
                <wp:docPr id="123" name="Přímá spojnic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64625"/>
                        </a:xfrm>
                        <a:prstGeom prst="line">
                          <a:avLst/>
                        </a:prstGeom>
                        <a:noFill/>
                        <a:ln w="47625" cap="flat" cmpd="sng" algn="ctr">
                          <a:solidFill>
                            <a:srgbClr val="838383"/>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50FBEBC" id="Přímá spojnice 75"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margin;mso-height-relative:margin" from="113.55pt,70.75pt" to="113.55pt,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" strokecolor="#838383" strokeweight="3.75pt">
                <o:lock v:ext="edit" shapetype="f"/>
                <w10:wrap anchory="page"/>
              </v:line>
            </w:pict>
          </mc:Fallback>
        </mc:AlternateContent>
      </w:r>
      <w:r>
        <w:rPr>
          <w:noProof/>
          <w:lang w:eastAsia="cs-CZ"/>
        </w:rPr>
        <w:drawing>
          <wp:inline distT="0" distB="0" distL="0" distR="0" wp14:anchorId="0136EF26" wp14:editId="33813223">
            <wp:extent cx="1214755" cy="1057910"/>
            <wp:effectExtent l="0" t="0" r="0" b="0"/>
            <wp:docPr id="1"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4755" cy="1057910"/>
                    </a:xfrm>
                    <a:prstGeom prst="rect">
                      <a:avLst/>
                    </a:prstGeom>
                    <a:noFill/>
                    <a:ln>
                      <a:noFill/>
                    </a:ln>
                  </pic:spPr>
                </pic:pic>
              </a:graphicData>
            </a:graphic>
          </wp:inline>
        </w:drawing>
      </w:r>
    </w:p>
    <w:p w:rsidR="00A4083A" w:rsidRPr="00DA5E71" w:rsidRDefault="00A4083A" w:rsidP="00A4083A">
      <w:pPr>
        <w:spacing w:line="240" w:lineRule="auto"/>
        <w:jc w:val="left"/>
        <w:rPr>
          <w:noProof/>
          <w:sz w:val="20"/>
          <w:szCs w:val="40"/>
          <w:lang w:eastAsia="cs-CZ"/>
        </w:rPr>
      </w:pPr>
      <w:r w:rsidRPr="00DA5E71">
        <w:rPr>
          <w:noProof/>
          <w:sz w:val="20"/>
          <w:szCs w:val="40"/>
          <w:lang w:eastAsia="cs-CZ"/>
        </w:rPr>
        <w:br w:type="page"/>
      </w: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Default="00A4083A" w:rsidP="00A4083A">
      <w:pPr>
        <w:spacing w:line="240" w:lineRule="auto"/>
        <w:jc w:val="left"/>
        <w:rPr>
          <w:noProof/>
          <w:sz w:val="20"/>
          <w:szCs w:val="40"/>
          <w:lang w:eastAsia="cs-CZ"/>
        </w:rPr>
      </w:pPr>
    </w:p>
    <w:p w:rsidR="00A4083A" w:rsidRPr="00F85178" w:rsidRDefault="00A4083A" w:rsidP="00A4083A">
      <w:pPr>
        <w:spacing w:line="240" w:lineRule="auto"/>
        <w:jc w:val="left"/>
        <w:rPr>
          <w:sz w:val="20"/>
        </w:rPr>
      </w:pPr>
      <w:r w:rsidRPr="00F85178">
        <w:rPr>
          <w:sz w:val="20"/>
        </w:rPr>
        <w:t>© Ministerstvo spravedlnosti, 20</w:t>
      </w:r>
      <w:r>
        <w:rPr>
          <w:sz w:val="20"/>
        </w:rPr>
        <w:t>20</w:t>
      </w:r>
    </w:p>
    <w:p w:rsidR="00A4083A" w:rsidRPr="00F85178" w:rsidRDefault="00A4083A" w:rsidP="00A4083A">
      <w:pPr>
        <w:spacing w:line="240" w:lineRule="auto"/>
        <w:jc w:val="left"/>
        <w:rPr>
          <w:sz w:val="20"/>
        </w:rPr>
      </w:pPr>
      <w:r w:rsidRPr="00F85178">
        <w:rPr>
          <w:sz w:val="20"/>
        </w:rPr>
        <w:t>Vyšehradská 16</w:t>
      </w:r>
    </w:p>
    <w:p w:rsidR="00A4083A" w:rsidRDefault="00A4083A" w:rsidP="00A4083A">
      <w:pPr>
        <w:spacing w:line="240" w:lineRule="auto"/>
        <w:jc w:val="left"/>
        <w:rPr>
          <w:sz w:val="20"/>
        </w:rPr>
      </w:pPr>
      <w:r w:rsidRPr="00F85178">
        <w:rPr>
          <w:sz w:val="20"/>
        </w:rPr>
        <w:t>128 10  Praha 2</w:t>
      </w:r>
    </w:p>
    <w:p w:rsidR="00A4083A" w:rsidRDefault="00A4083A" w:rsidP="00A4083A">
      <w:pPr>
        <w:spacing w:line="240" w:lineRule="auto"/>
        <w:jc w:val="left"/>
        <w:rPr>
          <w:sz w:val="20"/>
        </w:rPr>
      </w:pPr>
      <w:r>
        <w:rPr>
          <w:sz w:val="20"/>
        </w:rPr>
        <w:br w:type="page"/>
      </w:r>
    </w:p>
    <w:p w:rsidR="00A4083A" w:rsidRPr="00953587" w:rsidRDefault="00AC6883" w:rsidP="006C7321">
      <w:pPr>
        <w:pStyle w:val="OdstavecASR"/>
        <w:rPr>
          <w:noProof/>
        </w:rPr>
      </w:pPr>
      <w:r>
        <w:rPr>
          <w:noProof/>
          <w:lang w:eastAsia="cs-CZ"/>
        </w:rPr>
        <w:lastRenderedPageBreak/>
        <mc:AlternateContent>
          <mc:Choice Requires="wps">
            <w:drawing>
              <wp:anchor distT="0" distB="0" distL="114300" distR="114300" simplePos="0" relativeHeight="251678720" behindDoc="0" locked="0" layoutInCell="1" allowOverlap="1" wp14:anchorId="468D957F" wp14:editId="40ACF50A">
                <wp:simplePos x="0" y="0"/>
                <wp:positionH relativeFrom="column">
                  <wp:posOffset>3810</wp:posOffset>
                </wp:positionH>
                <wp:positionV relativeFrom="paragraph">
                  <wp:posOffset>2404110</wp:posOffset>
                </wp:positionV>
                <wp:extent cx="2346960" cy="635"/>
                <wp:effectExtent l="0" t="0" r="0" b="0"/>
                <wp:wrapSquare wrapText="bothSides"/>
                <wp:docPr id="24" name="Textové pole 24"/>
                <wp:cNvGraphicFramePr/>
                <a:graphic xmlns:a="http://schemas.openxmlformats.org/drawingml/2006/main">
                  <a:graphicData uri="http://schemas.microsoft.com/office/word/2010/wordprocessingShape">
                    <wps:wsp>
                      <wps:cNvSpPr txBox="1"/>
                      <wps:spPr>
                        <a:xfrm>
                          <a:off x="0" y="0"/>
                          <a:ext cx="2346960" cy="635"/>
                        </a:xfrm>
                        <a:prstGeom prst="rect">
                          <a:avLst/>
                        </a:prstGeom>
                        <a:solidFill>
                          <a:prstClr val="white"/>
                        </a:solidFill>
                        <a:ln>
                          <a:noFill/>
                        </a:ln>
                      </wps:spPr>
                      <wps:txbx>
                        <w:txbxContent>
                          <w:p w:rsidR="00AC6883" w:rsidRPr="00AC6883" w:rsidRDefault="00AC6883" w:rsidP="00AC6883">
                            <w:pPr>
                              <w:pStyle w:val="Titulek"/>
                              <w:rPr>
                                <w:rFonts w:eastAsia="Times New Roman"/>
                                <w:b w:val="0"/>
                                <w:noProof/>
                                <w:color w:val="auto"/>
                                <w:sz w:val="24"/>
                              </w:rPr>
                            </w:pPr>
                            <w:r w:rsidRPr="00AC6883">
                              <w:rPr>
                                <w:b w:val="0"/>
                                <w:color w:val="auto"/>
                              </w:rPr>
                              <w:t>Foto: Michal Tvrdík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68D957F" id="_x0000_t202" coordsize="21600,21600" o:spt="202" path="m,l,21600r21600,l21600,xe">
                <v:stroke joinstyle="miter"/>
                <v:path gradientshapeok="t" o:connecttype="rect"/>
              </v:shapetype>
              <v:shape id="Textové pole 24" o:spid="_x0000_s1027" type="#_x0000_t202" style="position:absolute;left:0;text-align:left;margin-left:.3pt;margin-top:189.3pt;width:184.8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" stroked="f">
                <v:textbox style="mso-fit-shape-to-text:t" inset="0,0,0,0">
                  <w:txbxContent>
                    <w:p w:rsidR="00AC6883" w:rsidRPr="00AC6883" w:rsidRDefault="00AC6883" w:rsidP="00AC6883">
                      <w:pPr>
                        <w:pStyle w:val="Titulek"/>
                        <w:rPr>
                          <w:rFonts w:eastAsia="Times New Roman"/>
                          <w:b w:val="0"/>
                          <w:noProof/>
                          <w:color w:val="auto"/>
                          <w:sz w:val="24"/>
                        </w:rPr>
                      </w:pPr>
                      <w:r w:rsidRPr="00AC6883">
                        <w:rPr>
                          <w:b w:val="0"/>
                          <w:color w:val="auto"/>
                        </w:rPr>
                        <w:t>Foto: Michal Tvrdík</w:t>
                      </w:r>
                    </w:p>
                  </w:txbxContent>
                </v:textbox>
                <w10:wrap type="square"/>
              </v:shape>
            </w:pict>
          </mc:Fallback>
        </mc:AlternateContent>
      </w:r>
      <w:r w:rsidR="00D63F41">
        <w:rPr>
          <w:rFonts w:eastAsia="Times New Roman"/>
          <w:noProof/>
          <w:lang w:eastAsia="cs-CZ"/>
        </w:rPr>
        <w:drawing>
          <wp:anchor distT="0" distB="0" distL="114300" distR="114300" simplePos="0" relativeHeight="251676672" behindDoc="0" locked="0" layoutInCell="1" allowOverlap="1">
            <wp:simplePos x="0" y="0"/>
            <wp:positionH relativeFrom="column">
              <wp:posOffset>3810</wp:posOffset>
            </wp:positionH>
            <wp:positionV relativeFrom="paragraph">
              <wp:posOffset>3810</wp:posOffset>
            </wp:positionV>
            <wp:extent cx="2347200" cy="2343600"/>
            <wp:effectExtent l="0" t="0" r="0" b="0"/>
            <wp:wrapSquare wrapText="bothSides"/>
            <wp:docPr id="41" name="Obrázek 41" descr="cid:9AF3301F-203E-4295-B511-DE093CC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F3301F-203E-4295-B511-DE093CC00031" descr="cid:9AF3301F-203E-4295-B511-DE093CC00031"/>
                    <pic:cNvPicPr>
                      <a:picLocks noChangeAspect="1" noChangeArrowheads="1"/>
                    </pic:cNvPicPr>
                  </pic:nvPicPr>
                  <pic:blipFill rotWithShape="1">
                    <a:blip r:embed="rId9" r:link="rId10" cstate="print">
                      <a:extLst>
                        <a:ext uri="{28A0092B-C50C-407E-A947-70E740481C1C}">
                          <a14:useLocalDpi xmlns:a14="http://schemas.microsoft.com/office/drawing/2010/main" val="0"/>
                        </a:ext>
                      </a:extLst>
                    </a:blip>
                    <a:srcRect/>
                    <a:stretch/>
                  </pic:blipFill>
                  <pic:spPr bwMode="auto">
                    <a:xfrm>
                      <a:off x="0" y="0"/>
                      <a:ext cx="2347200" cy="2343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083A" w:rsidRPr="00953587">
        <w:rPr>
          <w:noProof/>
        </w:rPr>
        <w:t>Vážené dámy, vážení pánové,</w:t>
      </w:r>
    </w:p>
    <w:p w:rsidR="00A4083A" w:rsidRDefault="00A4083A" w:rsidP="006C7321">
      <w:pPr>
        <w:pStyle w:val="OdstavecASR"/>
        <w:rPr>
          <w:noProof/>
        </w:rPr>
      </w:pPr>
      <w:r w:rsidRPr="00953587">
        <w:rPr>
          <w:noProof/>
        </w:rPr>
        <w:t>již počtvrté Vám předkládáme výroční statistickou zprávu české justice, která je cenným nástrojem pro hodnocení trendů a</w:t>
      </w:r>
      <w:r>
        <w:rPr>
          <w:noProof/>
        </w:rPr>
        <w:t xml:space="preserve"> </w:t>
      </w:r>
      <w:r w:rsidRPr="00953587">
        <w:rPr>
          <w:noProof/>
        </w:rPr>
        <w:t>aspektů českého soudnictví.</w:t>
      </w:r>
    </w:p>
    <w:p w:rsidR="00A4083A" w:rsidRPr="00953587" w:rsidRDefault="00A4083A" w:rsidP="006C7321">
      <w:pPr>
        <w:pStyle w:val="OdstavecASR"/>
        <w:rPr>
          <w:noProof/>
        </w:rPr>
      </w:pPr>
      <w:r w:rsidRPr="00953587">
        <w:rPr>
          <w:noProof/>
        </w:rPr>
        <w:t>Výroční statistická zpráva za rok 2019 je v mnoha ohledech velmi podobná zprávám předchozím, i když určitých změn doznala. Doplnili jsme nové ukazatele, upřesnili metodiku některých výpočtů, upravili grafy i</w:t>
      </w:r>
      <w:r w:rsidR="00D63F41">
        <w:rPr>
          <w:noProof/>
        </w:rPr>
        <w:t> </w:t>
      </w:r>
      <w:r w:rsidRPr="00953587">
        <w:rPr>
          <w:noProof/>
        </w:rPr>
        <w:t>komentáře. Rozšířili jsme data o personálu, u krajských a vrchních soudů jsme doplnili data o incidenčních sporech.</w:t>
      </w:r>
    </w:p>
    <w:p w:rsidR="00A4083A" w:rsidRPr="00953587" w:rsidRDefault="00A4083A" w:rsidP="006C7321">
      <w:pPr>
        <w:pStyle w:val="OdstavecASR"/>
        <w:rPr>
          <w:noProof/>
        </w:rPr>
      </w:pPr>
      <w:r w:rsidRPr="00953587">
        <w:rPr>
          <w:noProof/>
        </w:rPr>
        <w:t>Handicapem české justice je nerovnoměrné zatížení jednotlivých justičních článků. Stále existují soudy, které jsou značně zatížené, případně jeví známky toho, že se dostávají do určitých problémů s vyřizováním agendy.</w:t>
      </w:r>
    </w:p>
    <w:p w:rsidR="00A4083A" w:rsidRDefault="00A4083A" w:rsidP="006C7321">
      <w:pPr>
        <w:pStyle w:val="OdstavecASR"/>
        <w:rPr>
          <w:noProof/>
        </w:rPr>
      </w:pPr>
      <w:r w:rsidRPr="00953587">
        <w:rPr>
          <w:noProof/>
        </w:rPr>
        <w:t>I přes výše uvedené zaujímá Česká republika mezi 28</w:t>
      </w:r>
      <w:r>
        <w:rPr>
          <w:noProof/>
        </w:rPr>
        <w:t> </w:t>
      </w:r>
      <w:r w:rsidRPr="00953587">
        <w:rPr>
          <w:noProof/>
        </w:rPr>
        <w:t>členskými státy Evropské unie sedmou příčku při srovnávání délky řízení ve sporných civilních a obchodních věcech u</w:t>
      </w:r>
      <w:r>
        <w:rPr>
          <w:noProof/>
        </w:rPr>
        <w:t> </w:t>
      </w:r>
      <w:r w:rsidRPr="00953587">
        <w:rPr>
          <w:noProof/>
        </w:rPr>
        <w:t>soudů prvních stupňů. V</w:t>
      </w:r>
      <w:r>
        <w:rPr>
          <w:noProof/>
        </w:rPr>
        <w:t> </w:t>
      </w:r>
      <w:r w:rsidRPr="00953587">
        <w:rPr>
          <w:noProof/>
        </w:rPr>
        <w:t>tomto ohledu jsme na tom lépe než Německo, Francie a další země vyspělé západní Evropy. Mediánová délka řízení je u nás kratší než 200</w:t>
      </w:r>
      <w:r>
        <w:rPr>
          <w:noProof/>
        </w:rPr>
        <w:t> </w:t>
      </w:r>
      <w:r w:rsidRPr="00953587">
        <w:rPr>
          <w:noProof/>
        </w:rPr>
        <w:t>dnů. Děje se tak především díky vylepšování situace nejpřetíženějších soudů, především v Severočeském či Jihomoravském soudním kraji.</w:t>
      </w:r>
    </w:p>
    <w:p w:rsidR="00A4083A" w:rsidRDefault="00A4083A" w:rsidP="006C7321">
      <w:pPr>
        <w:pStyle w:val="OdstavecASR"/>
        <w:rPr>
          <w:noProof/>
        </w:rPr>
      </w:pPr>
      <w:r w:rsidRPr="00953587">
        <w:rPr>
          <w:noProof/>
        </w:rPr>
        <w:t>Zatíženost soudů se zatím ne příliš kladně projevuje ve správním soudnictví. Ovšem už i zde</w:t>
      </w:r>
      <w:r>
        <w:rPr>
          <w:noProof/>
        </w:rPr>
        <w:t xml:space="preserve"> </w:t>
      </w:r>
      <w:r w:rsidRPr="00953587">
        <w:rPr>
          <w:noProof/>
        </w:rPr>
        <w:t>registrujeme pozitivní trend, a to pokles v počtu napadlých věcí. Poprvé od roku 2013 převýšil počet vyřízených věcí počet věcí příchozích.</w:t>
      </w:r>
    </w:p>
    <w:p w:rsidR="00A4083A" w:rsidRDefault="00A4083A" w:rsidP="006C7321">
      <w:pPr>
        <w:pStyle w:val="OdstavecASR"/>
        <w:rPr>
          <w:noProof/>
        </w:rPr>
      </w:pPr>
      <w:r w:rsidRPr="00953587">
        <w:rPr>
          <w:noProof/>
        </w:rPr>
        <w:t>Co se týká peněžitých trestů, tak nám dělá radost, že v posledních letech stoupá trend v</w:t>
      </w:r>
      <w:r>
        <w:rPr>
          <w:noProof/>
        </w:rPr>
        <w:t> </w:t>
      </w:r>
      <w:r w:rsidRPr="00953587">
        <w:rPr>
          <w:noProof/>
        </w:rPr>
        <w:t>jejich</w:t>
      </w:r>
      <w:r>
        <w:rPr>
          <w:noProof/>
        </w:rPr>
        <w:t xml:space="preserve"> </w:t>
      </w:r>
      <w:r w:rsidRPr="00953587">
        <w:rPr>
          <w:noProof/>
        </w:rPr>
        <w:t>ukládání. Počet uložených peněžitých trestů byl 3</w:t>
      </w:r>
      <w:r>
        <w:rPr>
          <w:noProof/>
        </w:rPr>
        <w:t> </w:t>
      </w:r>
      <w:r w:rsidRPr="00953587">
        <w:rPr>
          <w:noProof/>
        </w:rPr>
        <w:t>553 v</w:t>
      </w:r>
      <w:r>
        <w:rPr>
          <w:noProof/>
        </w:rPr>
        <w:t> </w:t>
      </w:r>
      <w:r w:rsidRPr="00953587">
        <w:rPr>
          <w:noProof/>
        </w:rPr>
        <w:t>roce 2015, zatímco v</w:t>
      </w:r>
      <w:r>
        <w:rPr>
          <w:noProof/>
        </w:rPr>
        <w:t> </w:t>
      </w:r>
      <w:r w:rsidRPr="00953587">
        <w:rPr>
          <w:noProof/>
        </w:rPr>
        <w:t>roce 2019 to již bylo 9</w:t>
      </w:r>
      <w:r>
        <w:rPr>
          <w:noProof/>
        </w:rPr>
        <w:t> </w:t>
      </w:r>
      <w:r w:rsidRPr="00953587">
        <w:rPr>
          <w:noProof/>
        </w:rPr>
        <w:t>811</w:t>
      </w:r>
      <w:r>
        <w:rPr>
          <w:noProof/>
        </w:rPr>
        <w:t> </w:t>
      </w:r>
      <w:r w:rsidRPr="00953587">
        <w:rPr>
          <w:noProof/>
        </w:rPr>
        <w:t>trestů. Dále se konečně ustálila situace v opatrovnické agendě. Po prudkém nárůstu v počtu napadlých věcí po nabytí účinnosti nového občanského zákoníku v roce 2014 následoval značný, i</w:t>
      </w:r>
      <w:r>
        <w:rPr>
          <w:noProof/>
        </w:rPr>
        <w:t> </w:t>
      </w:r>
      <w:r w:rsidRPr="00953587">
        <w:rPr>
          <w:noProof/>
        </w:rPr>
        <w:t>když méně výrazný pokles. V letech 2018 a 2019 se nápad konečně stabilizoval. Díky velké novele civilního procesního práva se pak daří odbřemenit Nejvyšší soud.</w:t>
      </w:r>
    </w:p>
    <w:p w:rsidR="00A4083A" w:rsidRPr="00953587" w:rsidRDefault="00A4083A" w:rsidP="006C7321">
      <w:pPr>
        <w:pStyle w:val="OdstavecASR"/>
        <w:rPr>
          <w:noProof/>
        </w:rPr>
      </w:pPr>
      <w:r w:rsidRPr="00953587">
        <w:rPr>
          <w:noProof/>
        </w:rPr>
        <w:t>Soustavně se snažíme naši práci zlepšovat. Díky statistice dokážeme odhalit problémové oblasti a</w:t>
      </w:r>
      <w:r>
        <w:rPr>
          <w:noProof/>
        </w:rPr>
        <w:t> </w:t>
      </w:r>
      <w:r w:rsidRPr="00953587">
        <w:rPr>
          <w:noProof/>
        </w:rPr>
        <w:t>odhadnout další vývoj. Těší mě, že i když mnohdy veřejnost vnímá justici poměrně skepticky, přesto lidé počítají soudy mezi tři nejdůvěryhodnější instituce v zemi. Naším cílem je si tuto pozici udržet i nadále.</w:t>
      </w:r>
    </w:p>
    <w:p w:rsidR="00A4083A" w:rsidRPr="00953587" w:rsidRDefault="00A4083A" w:rsidP="00A4083A">
      <w:pPr>
        <w:spacing w:line="240" w:lineRule="auto"/>
        <w:jc w:val="left"/>
        <w:rPr>
          <w:noProof/>
          <w:szCs w:val="26"/>
        </w:rPr>
      </w:pPr>
    </w:p>
    <w:p w:rsidR="00A4083A" w:rsidRPr="00953587" w:rsidRDefault="00A4083A" w:rsidP="00A4083A">
      <w:pPr>
        <w:spacing w:line="240" w:lineRule="auto"/>
        <w:jc w:val="left"/>
        <w:rPr>
          <w:noProof/>
          <w:szCs w:val="26"/>
        </w:rPr>
      </w:pPr>
    </w:p>
    <w:p w:rsidR="00A4083A" w:rsidRPr="002447BC" w:rsidRDefault="00A4083A" w:rsidP="00A4083A">
      <w:pPr>
        <w:spacing w:line="240" w:lineRule="auto"/>
        <w:jc w:val="right"/>
        <w:rPr>
          <w:i/>
          <w:noProof/>
          <w:szCs w:val="26"/>
        </w:rPr>
      </w:pPr>
      <w:r w:rsidRPr="002447BC">
        <w:rPr>
          <w:i/>
          <w:noProof/>
          <w:szCs w:val="26"/>
        </w:rPr>
        <w:t>Mgr. Marie Benešová</w:t>
      </w:r>
    </w:p>
    <w:p w:rsidR="00A4083A" w:rsidRPr="00953587" w:rsidRDefault="00A4083A" w:rsidP="00A4083A">
      <w:pPr>
        <w:spacing w:line="240" w:lineRule="auto"/>
        <w:jc w:val="right"/>
        <w:rPr>
          <w:noProof/>
          <w:szCs w:val="26"/>
        </w:rPr>
      </w:pPr>
      <w:r w:rsidRPr="00953587">
        <w:rPr>
          <w:noProof/>
          <w:szCs w:val="26"/>
        </w:rPr>
        <w:t>ministryně spravedlnosti</w:t>
      </w:r>
    </w:p>
    <w:p w:rsidR="00A4083A" w:rsidRPr="00F85178" w:rsidRDefault="00A4083A" w:rsidP="00A4083A">
      <w:pPr>
        <w:spacing w:line="240" w:lineRule="auto"/>
        <w:jc w:val="left"/>
        <w:rPr>
          <w:noProof/>
          <w:sz w:val="20"/>
          <w:szCs w:val="40"/>
          <w:lang w:eastAsia="cs-CZ"/>
        </w:rPr>
      </w:pPr>
      <w:r w:rsidRPr="00F85178">
        <w:rPr>
          <w:noProof/>
          <w:sz w:val="20"/>
          <w:szCs w:val="40"/>
          <w:lang w:eastAsia="cs-CZ"/>
        </w:rPr>
        <w:br w:type="page"/>
      </w:r>
    </w:p>
    <w:p w:rsidR="00A4083A" w:rsidRPr="00F85178" w:rsidRDefault="00A4083A" w:rsidP="00A4083A">
      <w:pPr>
        <w:pStyle w:val="Nadpis1"/>
        <w:numPr>
          <w:ilvl w:val="0"/>
          <w:numId w:val="0"/>
        </w:numPr>
        <w:ind w:left="432" w:hanging="432"/>
      </w:pPr>
      <w:bookmarkStart w:id="0" w:name="_Toc508873365"/>
      <w:bookmarkStart w:id="1" w:name="_Toc43903014"/>
      <w:r w:rsidRPr="00F85178">
        <w:lastRenderedPageBreak/>
        <w:t>Obsah</w:t>
      </w:r>
      <w:bookmarkEnd w:id="0"/>
      <w:bookmarkEnd w:id="1"/>
    </w:p>
    <w:p w:rsidR="00FF4076" w:rsidRDefault="00A4083A">
      <w:pPr>
        <w:pStyle w:val="Obsah1"/>
        <w:rPr>
          <w:rFonts w:asciiTheme="minorHAnsi" w:eastAsiaTheme="minorEastAsia" w:hAnsiTheme="minorHAnsi" w:cstheme="minorBidi"/>
          <w:noProof/>
          <w:sz w:val="22"/>
          <w:lang w:eastAsia="cs-CZ"/>
        </w:rPr>
      </w:pPr>
      <w:r w:rsidRPr="00F85178">
        <w:fldChar w:fldCharType="begin"/>
      </w:r>
      <w:r w:rsidRPr="00F85178">
        <w:instrText xml:space="preserve"> TOC \o "1-3" \h \z \u </w:instrText>
      </w:r>
      <w:r w:rsidRPr="00F85178">
        <w:fldChar w:fldCharType="separate"/>
      </w:r>
      <w:hyperlink w:anchor="_Toc43903014" w:history="1">
        <w:r w:rsidR="00FF4076" w:rsidRPr="000E3530">
          <w:rPr>
            <w:rStyle w:val="Hypertextovodkaz"/>
            <w:noProof/>
          </w:rPr>
          <w:t>Obsah</w:t>
        </w:r>
        <w:r w:rsidR="00FF4076">
          <w:rPr>
            <w:noProof/>
            <w:webHidden/>
          </w:rPr>
          <w:tab/>
        </w:r>
        <w:r w:rsidR="00FF4076">
          <w:rPr>
            <w:noProof/>
            <w:webHidden/>
          </w:rPr>
          <w:fldChar w:fldCharType="begin"/>
        </w:r>
        <w:r w:rsidR="00FF4076">
          <w:rPr>
            <w:noProof/>
            <w:webHidden/>
          </w:rPr>
          <w:instrText xml:space="preserve"> PAGEREF _Toc43903014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1"/>
        <w:tabs>
          <w:tab w:val="left" w:pos="482"/>
        </w:tabs>
        <w:rPr>
          <w:rFonts w:asciiTheme="minorHAnsi" w:eastAsiaTheme="minorEastAsia" w:hAnsiTheme="minorHAnsi" w:cstheme="minorBidi"/>
          <w:noProof/>
          <w:sz w:val="22"/>
          <w:lang w:eastAsia="cs-CZ"/>
        </w:rPr>
      </w:pPr>
      <w:hyperlink w:anchor="_Toc43903015" w:history="1">
        <w:r w:rsidR="00FF4076" w:rsidRPr="000E3530">
          <w:rPr>
            <w:rStyle w:val="Hypertextovodkaz"/>
            <w:noProof/>
          </w:rPr>
          <w:t>1</w:t>
        </w:r>
        <w:r w:rsidR="00FF4076">
          <w:rPr>
            <w:rFonts w:asciiTheme="minorHAnsi" w:eastAsiaTheme="minorEastAsia" w:hAnsiTheme="minorHAnsi" w:cstheme="minorBidi"/>
            <w:noProof/>
            <w:sz w:val="22"/>
            <w:lang w:eastAsia="cs-CZ"/>
          </w:rPr>
          <w:tab/>
        </w:r>
        <w:r w:rsidR="00FF4076" w:rsidRPr="000E3530">
          <w:rPr>
            <w:rStyle w:val="Hypertextovodkaz"/>
            <w:noProof/>
          </w:rPr>
          <w:t>Úvod</w:t>
        </w:r>
        <w:r w:rsidR="00FF4076">
          <w:rPr>
            <w:noProof/>
            <w:webHidden/>
          </w:rPr>
          <w:tab/>
        </w:r>
        <w:r w:rsidR="00FF4076">
          <w:rPr>
            <w:noProof/>
            <w:webHidden/>
          </w:rPr>
          <w:fldChar w:fldCharType="begin"/>
        </w:r>
        <w:r w:rsidR="00FF4076">
          <w:rPr>
            <w:noProof/>
            <w:webHidden/>
          </w:rPr>
          <w:instrText xml:space="preserve"> PAGEREF _Toc43903015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016" w:history="1">
        <w:r w:rsidR="00FF4076" w:rsidRPr="000E3530">
          <w:rPr>
            <w:rStyle w:val="Hypertextovodkaz"/>
          </w:rPr>
          <w:t>1.1</w:t>
        </w:r>
        <w:r w:rsidR="00FF4076">
          <w:rPr>
            <w:rFonts w:asciiTheme="minorHAnsi" w:eastAsiaTheme="minorEastAsia" w:hAnsiTheme="minorHAnsi" w:cstheme="minorBidi"/>
            <w:sz w:val="22"/>
            <w:lang w:eastAsia="cs-CZ"/>
          </w:rPr>
          <w:tab/>
        </w:r>
        <w:r w:rsidR="00FF4076" w:rsidRPr="000E3530">
          <w:rPr>
            <w:rStyle w:val="Hypertextovodkaz"/>
          </w:rPr>
          <w:t>Základní východiska, předpoklady, omezení a upřesňující poznámky</w:t>
        </w:r>
        <w:r w:rsidR="00FF4076">
          <w:rPr>
            <w:webHidden/>
          </w:rPr>
          <w:tab/>
        </w:r>
        <w:r w:rsidR="00FF4076">
          <w:rPr>
            <w:webHidden/>
          </w:rPr>
          <w:fldChar w:fldCharType="begin"/>
        </w:r>
        <w:r w:rsidR="00FF4076">
          <w:rPr>
            <w:webHidden/>
          </w:rPr>
          <w:instrText xml:space="preserve"> PAGEREF _Toc43903016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017" w:history="1">
        <w:r w:rsidR="00FF4076" w:rsidRPr="000E3530">
          <w:rPr>
            <w:rStyle w:val="Hypertextovodkaz"/>
          </w:rPr>
          <w:t>1.2</w:t>
        </w:r>
        <w:r w:rsidR="00FF4076">
          <w:rPr>
            <w:rFonts w:asciiTheme="minorHAnsi" w:eastAsiaTheme="minorEastAsia" w:hAnsiTheme="minorHAnsi" w:cstheme="minorBidi"/>
            <w:sz w:val="22"/>
            <w:lang w:eastAsia="cs-CZ"/>
          </w:rPr>
          <w:tab/>
        </w:r>
        <w:r w:rsidR="00FF4076" w:rsidRPr="000E3530">
          <w:rPr>
            <w:rStyle w:val="Hypertextovodkaz"/>
          </w:rPr>
          <w:t>Změny oproti verzi z minulého roku</w:t>
        </w:r>
        <w:r w:rsidR="00FF4076">
          <w:rPr>
            <w:webHidden/>
          </w:rPr>
          <w:tab/>
        </w:r>
        <w:r w:rsidR="00FF4076">
          <w:rPr>
            <w:webHidden/>
          </w:rPr>
          <w:fldChar w:fldCharType="begin"/>
        </w:r>
        <w:r w:rsidR="00FF4076">
          <w:rPr>
            <w:webHidden/>
          </w:rPr>
          <w:instrText xml:space="preserve"> PAGEREF _Toc43903017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1"/>
        <w:tabs>
          <w:tab w:val="left" w:pos="482"/>
        </w:tabs>
        <w:rPr>
          <w:rFonts w:asciiTheme="minorHAnsi" w:eastAsiaTheme="minorEastAsia" w:hAnsiTheme="minorHAnsi" w:cstheme="minorBidi"/>
          <w:noProof/>
          <w:sz w:val="22"/>
          <w:lang w:eastAsia="cs-CZ"/>
        </w:rPr>
      </w:pPr>
      <w:hyperlink w:anchor="_Toc43903018" w:history="1">
        <w:r w:rsidR="00FF4076" w:rsidRPr="000E3530">
          <w:rPr>
            <w:rStyle w:val="Hypertextovodkaz"/>
            <w:noProof/>
          </w:rPr>
          <w:t>2</w:t>
        </w:r>
        <w:r w:rsidR="00FF4076">
          <w:rPr>
            <w:rFonts w:asciiTheme="minorHAnsi" w:eastAsiaTheme="minorEastAsia" w:hAnsiTheme="minorHAnsi" w:cstheme="minorBidi"/>
            <w:noProof/>
            <w:sz w:val="22"/>
            <w:lang w:eastAsia="cs-CZ"/>
          </w:rPr>
          <w:tab/>
        </w:r>
        <w:r w:rsidR="00FF4076" w:rsidRPr="000E3530">
          <w:rPr>
            <w:rStyle w:val="Hypertextovodkaz"/>
            <w:noProof/>
          </w:rPr>
          <w:t>Okresní soudy</w:t>
        </w:r>
        <w:r w:rsidR="00FF4076">
          <w:rPr>
            <w:noProof/>
            <w:webHidden/>
          </w:rPr>
          <w:tab/>
        </w:r>
        <w:r w:rsidR="00FF4076">
          <w:rPr>
            <w:noProof/>
            <w:webHidden/>
          </w:rPr>
          <w:fldChar w:fldCharType="begin"/>
        </w:r>
        <w:r w:rsidR="00FF4076">
          <w:rPr>
            <w:noProof/>
            <w:webHidden/>
          </w:rPr>
          <w:instrText xml:space="preserve"> PAGEREF _Toc43903018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019" w:history="1">
        <w:r w:rsidR="00FF4076" w:rsidRPr="000E3530">
          <w:rPr>
            <w:rStyle w:val="Hypertextovodkaz"/>
          </w:rPr>
          <w:t>2.1</w:t>
        </w:r>
        <w:r w:rsidR="00FF4076">
          <w:rPr>
            <w:rFonts w:asciiTheme="minorHAnsi" w:eastAsiaTheme="minorEastAsia" w:hAnsiTheme="minorHAnsi" w:cstheme="minorBidi"/>
            <w:sz w:val="22"/>
            <w:lang w:eastAsia="cs-CZ"/>
          </w:rPr>
          <w:tab/>
        </w:r>
        <w:r w:rsidR="00FF4076" w:rsidRPr="000E3530">
          <w:rPr>
            <w:rStyle w:val="Hypertextovodkaz"/>
          </w:rPr>
          <w:t>Personál</w:t>
        </w:r>
        <w:r w:rsidR="00FF4076">
          <w:rPr>
            <w:webHidden/>
          </w:rPr>
          <w:tab/>
        </w:r>
        <w:r w:rsidR="00FF4076">
          <w:rPr>
            <w:webHidden/>
          </w:rPr>
          <w:fldChar w:fldCharType="begin"/>
        </w:r>
        <w:r w:rsidR="00FF4076">
          <w:rPr>
            <w:webHidden/>
          </w:rPr>
          <w:instrText xml:space="preserve"> PAGEREF _Toc43903019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20" w:history="1">
        <w:r w:rsidR="00FF4076" w:rsidRPr="000E3530">
          <w:rPr>
            <w:rStyle w:val="Hypertextovodkaz"/>
            <w:noProof/>
          </w:rPr>
          <w:t>2.1.1</w:t>
        </w:r>
        <w:r w:rsidR="00FF4076">
          <w:rPr>
            <w:rFonts w:asciiTheme="minorHAnsi" w:eastAsiaTheme="minorEastAsia" w:hAnsiTheme="minorHAnsi" w:cstheme="minorBidi"/>
            <w:noProof/>
            <w:sz w:val="22"/>
            <w:lang w:eastAsia="cs-CZ"/>
          </w:rPr>
          <w:tab/>
        </w:r>
        <w:r w:rsidR="00FF4076" w:rsidRPr="000E3530">
          <w:rPr>
            <w:rStyle w:val="Hypertextovodkaz"/>
            <w:noProof/>
          </w:rPr>
          <w:t>Soudci</w:t>
        </w:r>
        <w:r w:rsidR="00FF4076">
          <w:rPr>
            <w:noProof/>
            <w:webHidden/>
          </w:rPr>
          <w:tab/>
        </w:r>
        <w:r w:rsidR="00FF4076">
          <w:rPr>
            <w:noProof/>
            <w:webHidden/>
          </w:rPr>
          <w:fldChar w:fldCharType="begin"/>
        </w:r>
        <w:r w:rsidR="00FF4076">
          <w:rPr>
            <w:noProof/>
            <w:webHidden/>
          </w:rPr>
          <w:instrText xml:space="preserve"> PAGEREF _Toc43903020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21" w:history="1">
        <w:r w:rsidR="00FF4076" w:rsidRPr="000E3530">
          <w:rPr>
            <w:rStyle w:val="Hypertextovodkaz"/>
            <w:noProof/>
          </w:rPr>
          <w:t>2.1.2</w:t>
        </w:r>
        <w:r w:rsidR="00FF4076">
          <w:rPr>
            <w:rFonts w:asciiTheme="minorHAnsi" w:eastAsiaTheme="minorEastAsia" w:hAnsiTheme="minorHAnsi" w:cstheme="minorBidi"/>
            <w:noProof/>
            <w:sz w:val="22"/>
            <w:lang w:eastAsia="cs-CZ"/>
          </w:rPr>
          <w:tab/>
        </w:r>
        <w:r w:rsidR="00FF4076" w:rsidRPr="000E3530">
          <w:rPr>
            <w:rStyle w:val="Hypertextovodkaz"/>
            <w:noProof/>
          </w:rPr>
          <w:t>Zaměstnanci ve výkonu a ve správě</w:t>
        </w:r>
        <w:r w:rsidR="00FF4076">
          <w:rPr>
            <w:noProof/>
            <w:webHidden/>
          </w:rPr>
          <w:tab/>
        </w:r>
        <w:r w:rsidR="00FF4076">
          <w:rPr>
            <w:noProof/>
            <w:webHidden/>
          </w:rPr>
          <w:fldChar w:fldCharType="begin"/>
        </w:r>
        <w:r w:rsidR="00FF4076">
          <w:rPr>
            <w:noProof/>
            <w:webHidden/>
          </w:rPr>
          <w:instrText xml:space="preserve"> PAGEREF _Toc43903021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22" w:history="1">
        <w:r w:rsidR="00FF4076" w:rsidRPr="000E3530">
          <w:rPr>
            <w:rStyle w:val="Hypertextovodkaz"/>
            <w:noProof/>
          </w:rPr>
          <w:t>2.1.3</w:t>
        </w:r>
        <w:r w:rsidR="00FF4076">
          <w:rPr>
            <w:rFonts w:asciiTheme="minorHAnsi" w:eastAsiaTheme="minorEastAsia" w:hAnsiTheme="minorHAnsi" w:cstheme="minorBidi"/>
            <w:noProof/>
            <w:sz w:val="22"/>
            <w:lang w:eastAsia="cs-CZ"/>
          </w:rPr>
          <w:tab/>
        </w:r>
        <w:r w:rsidR="00FF4076" w:rsidRPr="000E3530">
          <w:rPr>
            <w:rStyle w:val="Hypertextovodkaz"/>
            <w:noProof/>
          </w:rPr>
          <w:t>Přísedící soudu</w:t>
        </w:r>
        <w:r w:rsidR="00FF4076">
          <w:rPr>
            <w:noProof/>
            <w:webHidden/>
          </w:rPr>
          <w:tab/>
        </w:r>
        <w:r w:rsidR="00FF4076">
          <w:rPr>
            <w:noProof/>
            <w:webHidden/>
          </w:rPr>
          <w:fldChar w:fldCharType="begin"/>
        </w:r>
        <w:r w:rsidR="00FF4076">
          <w:rPr>
            <w:noProof/>
            <w:webHidden/>
          </w:rPr>
          <w:instrText xml:space="preserve"> PAGEREF _Toc43903022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023" w:history="1">
        <w:r w:rsidR="00FF4076" w:rsidRPr="000E3530">
          <w:rPr>
            <w:rStyle w:val="Hypertextovodkaz"/>
          </w:rPr>
          <w:t>2.2</w:t>
        </w:r>
        <w:r w:rsidR="00FF4076">
          <w:rPr>
            <w:rFonts w:asciiTheme="minorHAnsi" w:eastAsiaTheme="minorEastAsia" w:hAnsiTheme="minorHAnsi" w:cstheme="minorBidi"/>
            <w:sz w:val="22"/>
            <w:lang w:eastAsia="cs-CZ"/>
          </w:rPr>
          <w:tab/>
        </w:r>
        <w:r w:rsidR="00FF4076" w:rsidRPr="000E3530">
          <w:rPr>
            <w:rStyle w:val="Hypertextovodkaz"/>
          </w:rPr>
          <w:t>Civilní agenda</w:t>
        </w:r>
        <w:r w:rsidR="00FF4076">
          <w:rPr>
            <w:webHidden/>
          </w:rPr>
          <w:tab/>
        </w:r>
        <w:r w:rsidR="00FF4076">
          <w:rPr>
            <w:webHidden/>
          </w:rPr>
          <w:fldChar w:fldCharType="begin"/>
        </w:r>
        <w:r w:rsidR="00FF4076">
          <w:rPr>
            <w:webHidden/>
          </w:rPr>
          <w:instrText xml:space="preserve"> PAGEREF _Toc43903023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24" w:history="1">
        <w:r w:rsidR="00FF4076" w:rsidRPr="000E3530">
          <w:rPr>
            <w:rStyle w:val="Hypertextovodkaz"/>
            <w:noProof/>
          </w:rPr>
          <w:t>2.2.1</w:t>
        </w:r>
        <w:r w:rsidR="00FF4076">
          <w:rPr>
            <w:rFonts w:asciiTheme="minorHAnsi" w:eastAsiaTheme="minorEastAsia" w:hAnsiTheme="minorHAnsi" w:cstheme="minorBidi"/>
            <w:noProof/>
            <w:sz w:val="22"/>
            <w:lang w:eastAsia="cs-CZ"/>
          </w:rPr>
          <w:tab/>
        </w:r>
        <w:r w:rsidR="00FF4076" w:rsidRPr="000E3530">
          <w:rPr>
            <w:rStyle w:val="Hypertextovodkaz"/>
            <w:noProof/>
          </w:rPr>
          <w:t>Délka řízení</w:t>
        </w:r>
        <w:r w:rsidR="00FF4076">
          <w:rPr>
            <w:noProof/>
            <w:webHidden/>
          </w:rPr>
          <w:tab/>
        </w:r>
        <w:r w:rsidR="00FF4076">
          <w:rPr>
            <w:noProof/>
            <w:webHidden/>
          </w:rPr>
          <w:fldChar w:fldCharType="begin"/>
        </w:r>
        <w:r w:rsidR="00FF4076">
          <w:rPr>
            <w:noProof/>
            <w:webHidden/>
          </w:rPr>
          <w:instrText xml:space="preserve"> PAGEREF _Toc43903024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25" w:history="1">
        <w:r w:rsidR="00FF4076" w:rsidRPr="000E3530">
          <w:rPr>
            <w:rStyle w:val="Hypertextovodkaz"/>
            <w:noProof/>
          </w:rPr>
          <w:t>2.2.2</w:t>
        </w:r>
        <w:r w:rsidR="00FF4076">
          <w:rPr>
            <w:rFonts w:asciiTheme="minorHAnsi" w:eastAsiaTheme="minorEastAsia" w:hAnsiTheme="minorHAnsi" w:cstheme="minorBidi"/>
            <w:noProof/>
            <w:sz w:val="22"/>
            <w:lang w:eastAsia="cs-CZ"/>
          </w:rPr>
          <w:tab/>
        </w:r>
        <w:r w:rsidR="00FF4076" w:rsidRPr="000E3530">
          <w:rPr>
            <w:rStyle w:val="Hypertextovodkaz"/>
            <w:noProof/>
          </w:rPr>
          <w:t>Vyřizování věcí</w:t>
        </w:r>
        <w:r w:rsidR="00FF4076">
          <w:rPr>
            <w:noProof/>
            <w:webHidden/>
          </w:rPr>
          <w:tab/>
        </w:r>
        <w:r w:rsidR="00FF4076">
          <w:rPr>
            <w:noProof/>
            <w:webHidden/>
          </w:rPr>
          <w:fldChar w:fldCharType="begin"/>
        </w:r>
        <w:r w:rsidR="00FF4076">
          <w:rPr>
            <w:noProof/>
            <w:webHidden/>
          </w:rPr>
          <w:instrText xml:space="preserve"> PAGEREF _Toc43903025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26" w:history="1">
        <w:r w:rsidR="00FF4076" w:rsidRPr="000E3530">
          <w:rPr>
            <w:rStyle w:val="Hypertextovodkaz"/>
            <w:noProof/>
          </w:rPr>
          <w:t>2.2.3</w:t>
        </w:r>
        <w:r w:rsidR="00FF4076">
          <w:rPr>
            <w:rFonts w:asciiTheme="minorHAnsi" w:eastAsiaTheme="minorEastAsia" w:hAnsiTheme="minorHAnsi" w:cstheme="minorBidi"/>
            <w:noProof/>
            <w:sz w:val="22"/>
            <w:lang w:eastAsia="cs-CZ"/>
          </w:rPr>
          <w:tab/>
        </w:r>
        <w:r w:rsidR="00FF4076" w:rsidRPr="000E3530">
          <w:rPr>
            <w:rStyle w:val="Hypertextovodkaz"/>
            <w:noProof/>
          </w:rPr>
          <w:t>Vyřizování věcí v přepočtu na soudce</w:t>
        </w:r>
        <w:r w:rsidR="00FF4076">
          <w:rPr>
            <w:noProof/>
            <w:webHidden/>
          </w:rPr>
          <w:tab/>
        </w:r>
        <w:r w:rsidR="00FF4076">
          <w:rPr>
            <w:noProof/>
            <w:webHidden/>
          </w:rPr>
          <w:fldChar w:fldCharType="begin"/>
        </w:r>
        <w:r w:rsidR="00FF4076">
          <w:rPr>
            <w:noProof/>
            <w:webHidden/>
          </w:rPr>
          <w:instrText xml:space="preserve"> PAGEREF _Toc43903026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27" w:history="1">
        <w:r w:rsidR="00FF4076" w:rsidRPr="000E3530">
          <w:rPr>
            <w:rStyle w:val="Hypertextovodkaz"/>
            <w:noProof/>
          </w:rPr>
          <w:t>2.2.4</w:t>
        </w:r>
        <w:r w:rsidR="00FF4076">
          <w:rPr>
            <w:rFonts w:asciiTheme="minorHAnsi" w:eastAsiaTheme="minorEastAsia" w:hAnsiTheme="minorHAnsi" w:cstheme="minorBidi"/>
            <w:noProof/>
            <w:sz w:val="22"/>
            <w:lang w:eastAsia="cs-CZ"/>
          </w:rPr>
          <w:tab/>
        </w:r>
        <w:r w:rsidR="00FF4076" w:rsidRPr="000E3530">
          <w:rPr>
            <w:rStyle w:val="Hypertextovodkaz"/>
            <w:noProof/>
          </w:rPr>
          <w:t>Disposition time</w:t>
        </w:r>
        <w:r w:rsidR="00FF4076">
          <w:rPr>
            <w:noProof/>
            <w:webHidden/>
          </w:rPr>
          <w:tab/>
        </w:r>
        <w:r w:rsidR="00FF4076">
          <w:rPr>
            <w:noProof/>
            <w:webHidden/>
          </w:rPr>
          <w:fldChar w:fldCharType="begin"/>
        </w:r>
        <w:r w:rsidR="00FF4076">
          <w:rPr>
            <w:noProof/>
            <w:webHidden/>
          </w:rPr>
          <w:instrText xml:space="preserve"> PAGEREF _Toc43903027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28" w:history="1">
        <w:r w:rsidR="00FF4076" w:rsidRPr="000E3530">
          <w:rPr>
            <w:rStyle w:val="Hypertextovodkaz"/>
            <w:noProof/>
          </w:rPr>
          <w:t>2.2.5</w:t>
        </w:r>
        <w:r w:rsidR="00FF4076">
          <w:rPr>
            <w:rFonts w:asciiTheme="minorHAnsi" w:eastAsiaTheme="minorEastAsia" w:hAnsiTheme="minorHAnsi" w:cstheme="minorBidi"/>
            <w:noProof/>
            <w:sz w:val="22"/>
            <w:lang w:eastAsia="cs-CZ"/>
          </w:rPr>
          <w:tab/>
        </w:r>
        <w:r w:rsidR="00FF4076" w:rsidRPr="000E3530">
          <w:rPr>
            <w:rStyle w:val="Hypertextovodkaz"/>
            <w:noProof/>
          </w:rPr>
          <w:t>Další statistiky</w:t>
        </w:r>
        <w:r w:rsidR="00FF4076">
          <w:rPr>
            <w:noProof/>
            <w:webHidden/>
          </w:rPr>
          <w:tab/>
        </w:r>
        <w:r w:rsidR="00FF4076">
          <w:rPr>
            <w:noProof/>
            <w:webHidden/>
          </w:rPr>
          <w:fldChar w:fldCharType="begin"/>
        </w:r>
        <w:r w:rsidR="00FF4076">
          <w:rPr>
            <w:noProof/>
            <w:webHidden/>
          </w:rPr>
          <w:instrText xml:space="preserve"> PAGEREF _Toc43903028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029" w:history="1">
        <w:r w:rsidR="00FF4076" w:rsidRPr="000E3530">
          <w:rPr>
            <w:rStyle w:val="Hypertextovodkaz"/>
          </w:rPr>
          <w:t>2.3</w:t>
        </w:r>
        <w:r w:rsidR="00FF4076">
          <w:rPr>
            <w:rFonts w:asciiTheme="minorHAnsi" w:eastAsiaTheme="minorEastAsia" w:hAnsiTheme="minorHAnsi" w:cstheme="minorBidi"/>
            <w:sz w:val="22"/>
            <w:lang w:eastAsia="cs-CZ"/>
          </w:rPr>
          <w:tab/>
        </w:r>
        <w:r w:rsidR="00FF4076" w:rsidRPr="000E3530">
          <w:rPr>
            <w:rStyle w:val="Hypertextovodkaz"/>
          </w:rPr>
          <w:t>Civilní agenda – elektronické rozkazní řízení</w:t>
        </w:r>
        <w:r w:rsidR="00FF4076">
          <w:rPr>
            <w:webHidden/>
          </w:rPr>
          <w:tab/>
        </w:r>
        <w:r w:rsidR="00FF4076">
          <w:rPr>
            <w:webHidden/>
          </w:rPr>
          <w:fldChar w:fldCharType="begin"/>
        </w:r>
        <w:r w:rsidR="00FF4076">
          <w:rPr>
            <w:webHidden/>
          </w:rPr>
          <w:instrText xml:space="preserve"> PAGEREF _Toc43903029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30" w:history="1">
        <w:r w:rsidR="00FF4076" w:rsidRPr="000E3530">
          <w:rPr>
            <w:rStyle w:val="Hypertextovodkaz"/>
            <w:noProof/>
          </w:rPr>
          <w:t>2.3.1</w:t>
        </w:r>
        <w:r w:rsidR="00FF4076">
          <w:rPr>
            <w:rFonts w:asciiTheme="minorHAnsi" w:eastAsiaTheme="minorEastAsia" w:hAnsiTheme="minorHAnsi" w:cstheme="minorBidi"/>
            <w:noProof/>
            <w:sz w:val="22"/>
            <w:lang w:eastAsia="cs-CZ"/>
          </w:rPr>
          <w:tab/>
        </w:r>
        <w:r w:rsidR="00FF4076" w:rsidRPr="000E3530">
          <w:rPr>
            <w:rStyle w:val="Hypertextovodkaz"/>
            <w:noProof/>
          </w:rPr>
          <w:t>Délka řízení</w:t>
        </w:r>
        <w:r w:rsidR="00FF4076">
          <w:rPr>
            <w:noProof/>
            <w:webHidden/>
          </w:rPr>
          <w:tab/>
        </w:r>
        <w:r w:rsidR="00FF4076">
          <w:rPr>
            <w:noProof/>
            <w:webHidden/>
          </w:rPr>
          <w:fldChar w:fldCharType="begin"/>
        </w:r>
        <w:r w:rsidR="00FF4076">
          <w:rPr>
            <w:noProof/>
            <w:webHidden/>
          </w:rPr>
          <w:instrText xml:space="preserve"> PAGEREF _Toc43903030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31" w:history="1">
        <w:r w:rsidR="00FF4076" w:rsidRPr="000E3530">
          <w:rPr>
            <w:rStyle w:val="Hypertextovodkaz"/>
            <w:noProof/>
          </w:rPr>
          <w:t>2.3.2</w:t>
        </w:r>
        <w:r w:rsidR="00FF4076">
          <w:rPr>
            <w:rFonts w:asciiTheme="minorHAnsi" w:eastAsiaTheme="minorEastAsia" w:hAnsiTheme="minorHAnsi" w:cstheme="minorBidi"/>
            <w:noProof/>
            <w:sz w:val="22"/>
            <w:lang w:eastAsia="cs-CZ"/>
          </w:rPr>
          <w:tab/>
        </w:r>
        <w:r w:rsidR="00FF4076" w:rsidRPr="000E3530">
          <w:rPr>
            <w:rStyle w:val="Hypertextovodkaz"/>
            <w:noProof/>
          </w:rPr>
          <w:t>Vyřizování věcí</w:t>
        </w:r>
        <w:r w:rsidR="00FF4076">
          <w:rPr>
            <w:noProof/>
            <w:webHidden/>
          </w:rPr>
          <w:tab/>
        </w:r>
        <w:r w:rsidR="00FF4076">
          <w:rPr>
            <w:noProof/>
            <w:webHidden/>
          </w:rPr>
          <w:fldChar w:fldCharType="begin"/>
        </w:r>
        <w:r w:rsidR="00FF4076">
          <w:rPr>
            <w:noProof/>
            <w:webHidden/>
          </w:rPr>
          <w:instrText xml:space="preserve"> PAGEREF _Toc43903031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32" w:history="1">
        <w:r w:rsidR="00FF4076" w:rsidRPr="000E3530">
          <w:rPr>
            <w:rStyle w:val="Hypertextovodkaz"/>
            <w:noProof/>
          </w:rPr>
          <w:t>2.3.3</w:t>
        </w:r>
        <w:r w:rsidR="00FF4076">
          <w:rPr>
            <w:rFonts w:asciiTheme="minorHAnsi" w:eastAsiaTheme="minorEastAsia" w:hAnsiTheme="minorHAnsi" w:cstheme="minorBidi"/>
            <w:noProof/>
            <w:sz w:val="22"/>
            <w:lang w:eastAsia="cs-CZ"/>
          </w:rPr>
          <w:tab/>
        </w:r>
        <w:r w:rsidR="00FF4076" w:rsidRPr="000E3530">
          <w:rPr>
            <w:rStyle w:val="Hypertextovodkaz"/>
            <w:noProof/>
          </w:rPr>
          <w:t>Další statistiky</w:t>
        </w:r>
        <w:r w:rsidR="00FF4076">
          <w:rPr>
            <w:noProof/>
            <w:webHidden/>
          </w:rPr>
          <w:tab/>
        </w:r>
        <w:r w:rsidR="00FF4076">
          <w:rPr>
            <w:noProof/>
            <w:webHidden/>
          </w:rPr>
          <w:fldChar w:fldCharType="begin"/>
        </w:r>
        <w:r w:rsidR="00FF4076">
          <w:rPr>
            <w:noProof/>
            <w:webHidden/>
          </w:rPr>
          <w:instrText xml:space="preserve"> PAGEREF _Toc43903032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033" w:history="1">
        <w:r w:rsidR="00FF4076" w:rsidRPr="000E3530">
          <w:rPr>
            <w:rStyle w:val="Hypertextovodkaz"/>
          </w:rPr>
          <w:t>2.4</w:t>
        </w:r>
        <w:r w:rsidR="00FF4076">
          <w:rPr>
            <w:rFonts w:asciiTheme="minorHAnsi" w:eastAsiaTheme="minorEastAsia" w:hAnsiTheme="minorHAnsi" w:cstheme="minorBidi"/>
            <w:sz w:val="22"/>
            <w:lang w:eastAsia="cs-CZ"/>
          </w:rPr>
          <w:tab/>
        </w:r>
        <w:r w:rsidR="00FF4076" w:rsidRPr="000E3530">
          <w:rPr>
            <w:rStyle w:val="Hypertextovodkaz"/>
          </w:rPr>
          <w:t>Trestní agenda</w:t>
        </w:r>
        <w:r w:rsidR="00FF4076">
          <w:rPr>
            <w:webHidden/>
          </w:rPr>
          <w:tab/>
        </w:r>
        <w:r w:rsidR="00FF4076">
          <w:rPr>
            <w:webHidden/>
          </w:rPr>
          <w:fldChar w:fldCharType="begin"/>
        </w:r>
        <w:r w:rsidR="00FF4076">
          <w:rPr>
            <w:webHidden/>
          </w:rPr>
          <w:instrText xml:space="preserve"> PAGEREF _Toc43903033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34" w:history="1">
        <w:r w:rsidR="00FF4076" w:rsidRPr="000E3530">
          <w:rPr>
            <w:rStyle w:val="Hypertextovodkaz"/>
            <w:noProof/>
          </w:rPr>
          <w:t>2.4.1</w:t>
        </w:r>
        <w:r w:rsidR="00FF4076">
          <w:rPr>
            <w:rFonts w:asciiTheme="minorHAnsi" w:eastAsiaTheme="minorEastAsia" w:hAnsiTheme="minorHAnsi" w:cstheme="minorBidi"/>
            <w:noProof/>
            <w:sz w:val="22"/>
            <w:lang w:eastAsia="cs-CZ"/>
          </w:rPr>
          <w:tab/>
        </w:r>
        <w:r w:rsidR="00FF4076" w:rsidRPr="000E3530">
          <w:rPr>
            <w:rStyle w:val="Hypertextovodkaz"/>
            <w:noProof/>
          </w:rPr>
          <w:t>Délka řízení</w:t>
        </w:r>
        <w:r w:rsidR="00FF4076">
          <w:rPr>
            <w:noProof/>
            <w:webHidden/>
          </w:rPr>
          <w:tab/>
        </w:r>
        <w:r w:rsidR="00FF4076">
          <w:rPr>
            <w:noProof/>
            <w:webHidden/>
          </w:rPr>
          <w:fldChar w:fldCharType="begin"/>
        </w:r>
        <w:r w:rsidR="00FF4076">
          <w:rPr>
            <w:noProof/>
            <w:webHidden/>
          </w:rPr>
          <w:instrText xml:space="preserve"> PAGEREF _Toc43903034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35" w:history="1">
        <w:r w:rsidR="00FF4076" w:rsidRPr="000E3530">
          <w:rPr>
            <w:rStyle w:val="Hypertextovodkaz"/>
            <w:noProof/>
          </w:rPr>
          <w:t>2.4.2</w:t>
        </w:r>
        <w:r w:rsidR="00FF4076">
          <w:rPr>
            <w:rFonts w:asciiTheme="minorHAnsi" w:eastAsiaTheme="minorEastAsia" w:hAnsiTheme="minorHAnsi" w:cstheme="minorBidi"/>
            <w:noProof/>
            <w:sz w:val="22"/>
            <w:lang w:eastAsia="cs-CZ"/>
          </w:rPr>
          <w:tab/>
        </w:r>
        <w:r w:rsidR="00FF4076" w:rsidRPr="000E3530">
          <w:rPr>
            <w:rStyle w:val="Hypertextovodkaz"/>
            <w:noProof/>
          </w:rPr>
          <w:t>Vyřizování věcí</w:t>
        </w:r>
        <w:r w:rsidR="00FF4076">
          <w:rPr>
            <w:noProof/>
            <w:webHidden/>
          </w:rPr>
          <w:tab/>
        </w:r>
        <w:r w:rsidR="00FF4076">
          <w:rPr>
            <w:noProof/>
            <w:webHidden/>
          </w:rPr>
          <w:fldChar w:fldCharType="begin"/>
        </w:r>
        <w:r w:rsidR="00FF4076">
          <w:rPr>
            <w:noProof/>
            <w:webHidden/>
          </w:rPr>
          <w:instrText xml:space="preserve"> PAGEREF _Toc43903035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36" w:history="1">
        <w:r w:rsidR="00FF4076" w:rsidRPr="000E3530">
          <w:rPr>
            <w:rStyle w:val="Hypertextovodkaz"/>
            <w:noProof/>
          </w:rPr>
          <w:t>2.4.3</w:t>
        </w:r>
        <w:r w:rsidR="00FF4076">
          <w:rPr>
            <w:rFonts w:asciiTheme="minorHAnsi" w:eastAsiaTheme="minorEastAsia" w:hAnsiTheme="minorHAnsi" w:cstheme="minorBidi"/>
            <w:noProof/>
            <w:sz w:val="22"/>
            <w:lang w:eastAsia="cs-CZ"/>
          </w:rPr>
          <w:tab/>
        </w:r>
        <w:r w:rsidR="00FF4076" w:rsidRPr="000E3530">
          <w:rPr>
            <w:rStyle w:val="Hypertextovodkaz"/>
            <w:noProof/>
          </w:rPr>
          <w:t>Vyřizování věcí v přepočtu na soudce</w:t>
        </w:r>
        <w:r w:rsidR="00FF4076">
          <w:rPr>
            <w:noProof/>
            <w:webHidden/>
          </w:rPr>
          <w:tab/>
        </w:r>
        <w:r w:rsidR="00FF4076">
          <w:rPr>
            <w:noProof/>
            <w:webHidden/>
          </w:rPr>
          <w:fldChar w:fldCharType="begin"/>
        </w:r>
        <w:r w:rsidR="00FF4076">
          <w:rPr>
            <w:noProof/>
            <w:webHidden/>
          </w:rPr>
          <w:instrText xml:space="preserve"> PAGEREF _Toc43903036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37" w:history="1">
        <w:r w:rsidR="00FF4076" w:rsidRPr="000E3530">
          <w:rPr>
            <w:rStyle w:val="Hypertextovodkaz"/>
            <w:noProof/>
          </w:rPr>
          <w:t>2.4.4</w:t>
        </w:r>
        <w:r w:rsidR="00FF4076">
          <w:rPr>
            <w:rFonts w:asciiTheme="minorHAnsi" w:eastAsiaTheme="minorEastAsia" w:hAnsiTheme="minorHAnsi" w:cstheme="minorBidi"/>
            <w:noProof/>
            <w:sz w:val="22"/>
            <w:lang w:eastAsia="cs-CZ"/>
          </w:rPr>
          <w:tab/>
        </w:r>
        <w:r w:rsidR="00FF4076" w:rsidRPr="000E3530">
          <w:rPr>
            <w:rStyle w:val="Hypertextovodkaz"/>
            <w:noProof/>
          </w:rPr>
          <w:t>Disposition time</w:t>
        </w:r>
        <w:r w:rsidR="00FF4076">
          <w:rPr>
            <w:noProof/>
            <w:webHidden/>
          </w:rPr>
          <w:tab/>
        </w:r>
        <w:r w:rsidR="00FF4076">
          <w:rPr>
            <w:noProof/>
            <w:webHidden/>
          </w:rPr>
          <w:fldChar w:fldCharType="begin"/>
        </w:r>
        <w:r w:rsidR="00FF4076">
          <w:rPr>
            <w:noProof/>
            <w:webHidden/>
          </w:rPr>
          <w:instrText xml:space="preserve"> PAGEREF _Toc43903037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38" w:history="1">
        <w:r w:rsidR="00FF4076" w:rsidRPr="000E3530">
          <w:rPr>
            <w:rStyle w:val="Hypertextovodkaz"/>
            <w:noProof/>
          </w:rPr>
          <w:t>2.4.5</w:t>
        </w:r>
        <w:r w:rsidR="00FF4076">
          <w:rPr>
            <w:rFonts w:asciiTheme="minorHAnsi" w:eastAsiaTheme="minorEastAsia" w:hAnsiTheme="minorHAnsi" w:cstheme="minorBidi"/>
            <w:noProof/>
            <w:sz w:val="22"/>
            <w:lang w:eastAsia="cs-CZ"/>
          </w:rPr>
          <w:tab/>
        </w:r>
        <w:r w:rsidR="00FF4076" w:rsidRPr="000E3530">
          <w:rPr>
            <w:rStyle w:val="Hypertextovodkaz"/>
            <w:noProof/>
          </w:rPr>
          <w:t>Další statistiky</w:t>
        </w:r>
        <w:r w:rsidR="00FF4076">
          <w:rPr>
            <w:noProof/>
            <w:webHidden/>
          </w:rPr>
          <w:tab/>
        </w:r>
        <w:r w:rsidR="00FF4076">
          <w:rPr>
            <w:noProof/>
            <w:webHidden/>
          </w:rPr>
          <w:fldChar w:fldCharType="begin"/>
        </w:r>
        <w:r w:rsidR="00FF4076">
          <w:rPr>
            <w:noProof/>
            <w:webHidden/>
          </w:rPr>
          <w:instrText xml:space="preserve"> PAGEREF _Toc43903038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039" w:history="1">
        <w:r w:rsidR="00FF4076" w:rsidRPr="000E3530">
          <w:rPr>
            <w:rStyle w:val="Hypertextovodkaz"/>
          </w:rPr>
          <w:t>2.5</w:t>
        </w:r>
        <w:r w:rsidR="00FF4076">
          <w:rPr>
            <w:rFonts w:asciiTheme="minorHAnsi" w:eastAsiaTheme="minorEastAsia" w:hAnsiTheme="minorHAnsi" w:cstheme="minorBidi"/>
            <w:sz w:val="22"/>
            <w:lang w:eastAsia="cs-CZ"/>
          </w:rPr>
          <w:tab/>
        </w:r>
        <w:r w:rsidR="00FF4076" w:rsidRPr="000E3530">
          <w:rPr>
            <w:rStyle w:val="Hypertextovodkaz"/>
          </w:rPr>
          <w:t>Opatrovnická agenda</w:t>
        </w:r>
        <w:r w:rsidR="00FF4076">
          <w:rPr>
            <w:webHidden/>
          </w:rPr>
          <w:tab/>
        </w:r>
        <w:r w:rsidR="00FF4076">
          <w:rPr>
            <w:webHidden/>
          </w:rPr>
          <w:fldChar w:fldCharType="begin"/>
        </w:r>
        <w:r w:rsidR="00FF4076">
          <w:rPr>
            <w:webHidden/>
          </w:rPr>
          <w:instrText xml:space="preserve"> PAGEREF _Toc43903039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40" w:history="1">
        <w:r w:rsidR="00FF4076" w:rsidRPr="000E3530">
          <w:rPr>
            <w:rStyle w:val="Hypertextovodkaz"/>
            <w:noProof/>
          </w:rPr>
          <w:t>2.5.1</w:t>
        </w:r>
        <w:r w:rsidR="00FF4076">
          <w:rPr>
            <w:rFonts w:asciiTheme="minorHAnsi" w:eastAsiaTheme="minorEastAsia" w:hAnsiTheme="minorHAnsi" w:cstheme="minorBidi"/>
            <w:noProof/>
            <w:sz w:val="22"/>
            <w:lang w:eastAsia="cs-CZ"/>
          </w:rPr>
          <w:tab/>
        </w:r>
        <w:r w:rsidR="00FF4076" w:rsidRPr="000E3530">
          <w:rPr>
            <w:rStyle w:val="Hypertextovodkaz"/>
            <w:noProof/>
          </w:rPr>
          <w:t>Délka řízení</w:t>
        </w:r>
        <w:r w:rsidR="00FF4076">
          <w:rPr>
            <w:noProof/>
            <w:webHidden/>
          </w:rPr>
          <w:tab/>
        </w:r>
        <w:r w:rsidR="00FF4076">
          <w:rPr>
            <w:noProof/>
            <w:webHidden/>
          </w:rPr>
          <w:fldChar w:fldCharType="begin"/>
        </w:r>
        <w:r w:rsidR="00FF4076">
          <w:rPr>
            <w:noProof/>
            <w:webHidden/>
          </w:rPr>
          <w:instrText xml:space="preserve"> PAGEREF _Toc43903040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41" w:history="1">
        <w:r w:rsidR="00FF4076" w:rsidRPr="000E3530">
          <w:rPr>
            <w:rStyle w:val="Hypertextovodkaz"/>
            <w:noProof/>
          </w:rPr>
          <w:t>2.5.2</w:t>
        </w:r>
        <w:r w:rsidR="00FF4076">
          <w:rPr>
            <w:rFonts w:asciiTheme="minorHAnsi" w:eastAsiaTheme="minorEastAsia" w:hAnsiTheme="minorHAnsi" w:cstheme="minorBidi"/>
            <w:noProof/>
            <w:sz w:val="22"/>
            <w:lang w:eastAsia="cs-CZ"/>
          </w:rPr>
          <w:tab/>
        </w:r>
        <w:r w:rsidR="00FF4076" w:rsidRPr="000E3530">
          <w:rPr>
            <w:rStyle w:val="Hypertextovodkaz"/>
            <w:noProof/>
          </w:rPr>
          <w:t>Vyřizování věcí</w:t>
        </w:r>
        <w:r w:rsidR="00FF4076">
          <w:rPr>
            <w:noProof/>
            <w:webHidden/>
          </w:rPr>
          <w:tab/>
        </w:r>
        <w:r w:rsidR="00FF4076">
          <w:rPr>
            <w:noProof/>
            <w:webHidden/>
          </w:rPr>
          <w:fldChar w:fldCharType="begin"/>
        </w:r>
        <w:r w:rsidR="00FF4076">
          <w:rPr>
            <w:noProof/>
            <w:webHidden/>
          </w:rPr>
          <w:instrText xml:space="preserve"> PAGEREF _Toc43903041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42" w:history="1">
        <w:r w:rsidR="00FF4076" w:rsidRPr="000E3530">
          <w:rPr>
            <w:rStyle w:val="Hypertextovodkaz"/>
            <w:noProof/>
          </w:rPr>
          <w:t>2.5.3</w:t>
        </w:r>
        <w:r w:rsidR="00FF4076">
          <w:rPr>
            <w:rFonts w:asciiTheme="minorHAnsi" w:eastAsiaTheme="minorEastAsia" w:hAnsiTheme="minorHAnsi" w:cstheme="minorBidi"/>
            <w:noProof/>
            <w:sz w:val="22"/>
            <w:lang w:eastAsia="cs-CZ"/>
          </w:rPr>
          <w:tab/>
        </w:r>
        <w:r w:rsidR="00FF4076" w:rsidRPr="000E3530">
          <w:rPr>
            <w:rStyle w:val="Hypertextovodkaz"/>
            <w:noProof/>
          </w:rPr>
          <w:t>Vyřizování v přepočtu na soudce</w:t>
        </w:r>
        <w:r w:rsidR="00FF4076">
          <w:rPr>
            <w:noProof/>
            <w:webHidden/>
          </w:rPr>
          <w:tab/>
        </w:r>
        <w:r w:rsidR="00FF4076">
          <w:rPr>
            <w:noProof/>
            <w:webHidden/>
          </w:rPr>
          <w:fldChar w:fldCharType="begin"/>
        </w:r>
        <w:r w:rsidR="00FF4076">
          <w:rPr>
            <w:noProof/>
            <w:webHidden/>
          </w:rPr>
          <w:instrText xml:space="preserve"> PAGEREF _Toc43903042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43" w:history="1">
        <w:r w:rsidR="00FF4076" w:rsidRPr="000E3530">
          <w:rPr>
            <w:rStyle w:val="Hypertextovodkaz"/>
            <w:noProof/>
          </w:rPr>
          <w:t>2.5.4</w:t>
        </w:r>
        <w:r w:rsidR="00FF4076">
          <w:rPr>
            <w:rFonts w:asciiTheme="minorHAnsi" w:eastAsiaTheme="minorEastAsia" w:hAnsiTheme="minorHAnsi" w:cstheme="minorBidi"/>
            <w:noProof/>
            <w:sz w:val="22"/>
            <w:lang w:eastAsia="cs-CZ"/>
          </w:rPr>
          <w:tab/>
        </w:r>
        <w:r w:rsidR="00FF4076" w:rsidRPr="000E3530">
          <w:rPr>
            <w:rStyle w:val="Hypertextovodkaz"/>
            <w:noProof/>
          </w:rPr>
          <w:t>Disposition time</w:t>
        </w:r>
        <w:r w:rsidR="00FF4076">
          <w:rPr>
            <w:noProof/>
            <w:webHidden/>
          </w:rPr>
          <w:tab/>
        </w:r>
        <w:r w:rsidR="00FF4076">
          <w:rPr>
            <w:noProof/>
            <w:webHidden/>
          </w:rPr>
          <w:fldChar w:fldCharType="begin"/>
        </w:r>
        <w:r w:rsidR="00FF4076">
          <w:rPr>
            <w:noProof/>
            <w:webHidden/>
          </w:rPr>
          <w:instrText xml:space="preserve"> PAGEREF _Toc43903043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44" w:history="1">
        <w:r w:rsidR="00FF4076" w:rsidRPr="000E3530">
          <w:rPr>
            <w:rStyle w:val="Hypertextovodkaz"/>
            <w:noProof/>
          </w:rPr>
          <w:t>2.5.5</w:t>
        </w:r>
        <w:r w:rsidR="00FF4076">
          <w:rPr>
            <w:rFonts w:asciiTheme="minorHAnsi" w:eastAsiaTheme="minorEastAsia" w:hAnsiTheme="minorHAnsi" w:cstheme="minorBidi"/>
            <w:noProof/>
            <w:sz w:val="22"/>
            <w:lang w:eastAsia="cs-CZ"/>
          </w:rPr>
          <w:tab/>
        </w:r>
        <w:r w:rsidR="00FF4076" w:rsidRPr="000E3530">
          <w:rPr>
            <w:rStyle w:val="Hypertextovodkaz"/>
            <w:noProof/>
          </w:rPr>
          <w:t>Další statistiky</w:t>
        </w:r>
        <w:r w:rsidR="00FF4076">
          <w:rPr>
            <w:noProof/>
            <w:webHidden/>
          </w:rPr>
          <w:tab/>
        </w:r>
        <w:r w:rsidR="00FF4076">
          <w:rPr>
            <w:noProof/>
            <w:webHidden/>
          </w:rPr>
          <w:fldChar w:fldCharType="begin"/>
        </w:r>
        <w:r w:rsidR="00FF4076">
          <w:rPr>
            <w:noProof/>
            <w:webHidden/>
          </w:rPr>
          <w:instrText xml:space="preserve"> PAGEREF _Toc43903044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045" w:history="1">
        <w:r w:rsidR="00FF4076" w:rsidRPr="000E3530">
          <w:rPr>
            <w:rStyle w:val="Hypertextovodkaz"/>
          </w:rPr>
          <w:t>2.6</w:t>
        </w:r>
        <w:r w:rsidR="00FF4076">
          <w:rPr>
            <w:rFonts w:asciiTheme="minorHAnsi" w:eastAsiaTheme="minorEastAsia" w:hAnsiTheme="minorHAnsi" w:cstheme="minorBidi"/>
            <w:sz w:val="22"/>
            <w:lang w:eastAsia="cs-CZ"/>
          </w:rPr>
          <w:tab/>
        </w:r>
        <w:r w:rsidR="00FF4076" w:rsidRPr="000E3530">
          <w:rPr>
            <w:rStyle w:val="Hypertextovodkaz"/>
          </w:rPr>
          <w:t>DEA</w:t>
        </w:r>
        <w:r w:rsidR="00FF4076">
          <w:rPr>
            <w:webHidden/>
          </w:rPr>
          <w:tab/>
        </w:r>
        <w:r w:rsidR="00FF4076">
          <w:rPr>
            <w:webHidden/>
          </w:rPr>
          <w:fldChar w:fldCharType="begin"/>
        </w:r>
        <w:r w:rsidR="00FF4076">
          <w:rPr>
            <w:webHidden/>
          </w:rPr>
          <w:instrText xml:space="preserve"> PAGEREF _Toc43903045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46" w:history="1">
        <w:r w:rsidR="00FF4076" w:rsidRPr="000E3530">
          <w:rPr>
            <w:rStyle w:val="Hypertextovodkaz"/>
            <w:noProof/>
          </w:rPr>
          <w:t>2.6.1</w:t>
        </w:r>
        <w:r w:rsidR="00FF4076">
          <w:rPr>
            <w:rFonts w:asciiTheme="minorHAnsi" w:eastAsiaTheme="minorEastAsia" w:hAnsiTheme="minorHAnsi" w:cstheme="minorBidi"/>
            <w:noProof/>
            <w:sz w:val="22"/>
            <w:lang w:eastAsia="cs-CZ"/>
          </w:rPr>
          <w:tab/>
        </w:r>
        <w:r w:rsidR="00FF4076" w:rsidRPr="000E3530">
          <w:rPr>
            <w:rStyle w:val="Hypertextovodkaz"/>
            <w:noProof/>
          </w:rPr>
          <w:t>Výsledky a jejich interpretace</w:t>
        </w:r>
        <w:r w:rsidR="00FF4076">
          <w:rPr>
            <w:noProof/>
            <w:webHidden/>
          </w:rPr>
          <w:tab/>
        </w:r>
        <w:r w:rsidR="00FF4076">
          <w:rPr>
            <w:noProof/>
            <w:webHidden/>
          </w:rPr>
          <w:fldChar w:fldCharType="begin"/>
        </w:r>
        <w:r w:rsidR="00FF4076">
          <w:rPr>
            <w:noProof/>
            <w:webHidden/>
          </w:rPr>
          <w:instrText xml:space="preserve"> PAGEREF _Toc43903046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47" w:history="1">
        <w:r w:rsidR="00FF4076" w:rsidRPr="000E3530">
          <w:rPr>
            <w:rStyle w:val="Hypertextovodkaz"/>
            <w:noProof/>
          </w:rPr>
          <w:t>2.6.2</w:t>
        </w:r>
        <w:r w:rsidR="00FF4076">
          <w:rPr>
            <w:rFonts w:asciiTheme="minorHAnsi" w:eastAsiaTheme="minorEastAsia" w:hAnsiTheme="minorHAnsi" w:cstheme="minorBidi"/>
            <w:noProof/>
            <w:sz w:val="22"/>
            <w:lang w:eastAsia="cs-CZ"/>
          </w:rPr>
          <w:tab/>
        </w:r>
        <w:r w:rsidR="00FF4076" w:rsidRPr="000E3530">
          <w:rPr>
            <w:rStyle w:val="Hypertextovodkaz"/>
            <w:noProof/>
          </w:rPr>
          <w:t>Srovnání s rokem 2017</w:t>
        </w:r>
        <w:r w:rsidR="00FF4076">
          <w:rPr>
            <w:noProof/>
            <w:webHidden/>
          </w:rPr>
          <w:tab/>
        </w:r>
        <w:r w:rsidR="00FF4076">
          <w:rPr>
            <w:noProof/>
            <w:webHidden/>
          </w:rPr>
          <w:fldChar w:fldCharType="begin"/>
        </w:r>
        <w:r w:rsidR="00FF4076">
          <w:rPr>
            <w:noProof/>
            <w:webHidden/>
          </w:rPr>
          <w:instrText xml:space="preserve"> PAGEREF _Toc43903047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1"/>
        <w:tabs>
          <w:tab w:val="left" w:pos="482"/>
        </w:tabs>
        <w:rPr>
          <w:rFonts w:asciiTheme="minorHAnsi" w:eastAsiaTheme="minorEastAsia" w:hAnsiTheme="minorHAnsi" w:cstheme="minorBidi"/>
          <w:noProof/>
          <w:sz w:val="22"/>
          <w:lang w:eastAsia="cs-CZ"/>
        </w:rPr>
      </w:pPr>
      <w:hyperlink w:anchor="_Toc43903048" w:history="1">
        <w:r w:rsidR="00FF4076" w:rsidRPr="000E3530">
          <w:rPr>
            <w:rStyle w:val="Hypertextovodkaz"/>
            <w:noProof/>
          </w:rPr>
          <w:t>3</w:t>
        </w:r>
        <w:r w:rsidR="00FF4076">
          <w:rPr>
            <w:rFonts w:asciiTheme="minorHAnsi" w:eastAsiaTheme="minorEastAsia" w:hAnsiTheme="minorHAnsi" w:cstheme="minorBidi"/>
            <w:noProof/>
            <w:sz w:val="22"/>
            <w:lang w:eastAsia="cs-CZ"/>
          </w:rPr>
          <w:tab/>
        </w:r>
        <w:r w:rsidR="00FF4076" w:rsidRPr="000E3530">
          <w:rPr>
            <w:rStyle w:val="Hypertextovodkaz"/>
            <w:noProof/>
          </w:rPr>
          <w:t>Krajské soudy</w:t>
        </w:r>
        <w:r w:rsidR="00FF4076">
          <w:rPr>
            <w:noProof/>
            <w:webHidden/>
          </w:rPr>
          <w:tab/>
        </w:r>
        <w:r w:rsidR="00FF4076">
          <w:rPr>
            <w:noProof/>
            <w:webHidden/>
          </w:rPr>
          <w:fldChar w:fldCharType="begin"/>
        </w:r>
        <w:r w:rsidR="00FF4076">
          <w:rPr>
            <w:noProof/>
            <w:webHidden/>
          </w:rPr>
          <w:instrText xml:space="preserve"> PAGEREF _Toc43903048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049" w:history="1">
        <w:r w:rsidR="00FF4076" w:rsidRPr="000E3530">
          <w:rPr>
            <w:rStyle w:val="Hypertextovodkaz"/>
          </w:rPr>
          <w:t>3.1</w:t>
        </w:r>
        <w:r w:rsidR="00FF4076">
          <w:rPr>
            <w:rFonts w:asciiTheme="minorHAnsi" w:eastAsiaTheme="minorEastAsia" w:hAnsiTheme="minorHAnsi" w:cstheme="minorBidi"/>
            <w:sz w:val="22"/>
            <w:lang w:eastAsia="cs-CZ"/>
          </w:rPr>
          <w:tab/>
        </w:r>
        <w:r w:rsidR="00FF4076" w:rsidRPr="000E3530">
          <w:rPr>
            <w:rStyle w:val="Hypertextovodkaz"/>
          </w:rPr>
          <w:t>Personál</w:t>
        </w:r>
        <w:r w:rsidR="00FF4076">
          <w:rPr>
            <w:webHidden/>
          </w:rPr>
          <w:tab/>
        </w:r>
        <w:r w:rsidR="00FF4076">
          <w:rPr>
            <w:webHidden/>
          </w:rPr>
          <w:fldChar w:fldCharType="begin"/>
        </w:r>
        <w:r w:rsidR="00FF4076">
          <w:rPr>
            <w:webHidden/>
          </w:rPr>
          <w:instrText xml:space="preserve"> PAGEREF _Toc43903049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50" w:history="1">
        <w:r w:rsidR="00FF4076" w:rsidRPr="000E3530">
          <w:rPr>
            <w:rStyle w:val="Hypertextovodkaz"/>
            <w:noProof/>
          </w:rPr>
          <w:t>3.1.1</w:t>
        </w:r>
        <w:r w:rsidR="00FF4076">
          <w:rPr>
            <w:rFonts w:asciiTheme="minorHAnsi" w:eastAsiaTheme="minorEastAsia" w:hAnsiTheme="minorHAnsi" w:cstheme="minorBidi"/>
            <w:noProof/>
            <w:sz w:val="22"/>
            <w:lang w:eastAsia="cs-CZ"/>
          </w:rPr>
          <w:tab/>
        </w:r>
        <w:r w:rsidR="00FF4076" w:rsidRPr="000E3530">
          <w:rPr>
            <w:rStyle w:val="Hypertextovodkaz"/>
            <w:noProof/>
          </w:rPr>
          <w:t>Soudci</w:t>
        </w:r>
        <w:r w:rsidR="00FF4076">
          <w:rPr>
            <w:noProof/>
            <w:webHidden/>
          </w:rPr>
          <w:tab/>
        </w:r>
        <w:r w:rsidR="00FF4076">
          <w:rPr>
            <w:noProof/>
            <w:webHidden/>
          </w:rPr>
          <w:fldChar w:fldCharType="begin"/>
        </w:r>
        <w:r w:rsidR="00FF4076">
          <w:rPr>
            <w:noProof/>
            <w:webHidden/>
          </w:rPr>
          <w:instrText xml:space="preserve"> PAGEREF _Toc43903050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51" w:history="1">
        <w:r w:rsidR="00FF4076" w:rsidRPr="000E3530">
          <w:rPr>
            <w:rStyle w:val="Hypertextovodkaz"/>
            <w:noProof/>
          </w:rPr>
          <w:t>3.1.2</w:t>
        </w:r>
        <w:r w:rsidR="00FF4076">
          <w:rPr>
            <w:rFonts w:asciiTheme="minorHAnsi" w:eastAsiaTheme="minorEastAsia" w:hAnsiTheme="minorHAnsi" w:cstheme="minorBidi"/>
            <w:noProof/>
            <w:sz w:val="22"/>
            <w:lang w:eastAsia="cs-CZ"/>
          </w:rPr>
          <w:tab/>
        </w:r>
        <w:r w:rsidR="00FF4076" w:rsidRPr="000E3530">
          <w:rPr>
            <w:rStyle w:val="Hypertextovodkaz"/>
            <w:noProof/>
          </w:rPr>
          <w:t>Zaměstnanci ve výkonu</w:t>
        </w:r>
        <w:r w:rsidR="00FF4076">
          <w:rPr>
            <w:noProof/>
            <w:webHidden/>
          </w:rPr>
          <w:tab/>
        </w:r>
        <w:r w:rsidR="00FF4076">
          <w:rPr>
            <w:noProof/>
            <w:webHidden/>
          </w:rPr>
          <w:fldChar w:fldCharType="begin"/>
        </w:r>
        <w:r w:rsidR="00FF4076">
          <w:rPr>
            <w:noProof/>
            <w:webHidden/>
          </w:rPr>
          <w:instrText xml:space="preserve"> PAGEREF _Toc43903051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52" w:history="1">
        <w:r w:rsidR="00FF4076" w:rsidRPr="000E3530">
          <w:rPr>
            <w:rStyle w:val="Hypertextovodkaz"/>
            <w:noProof/>
          </w:rPr>
          <w:t>3.1.3</w:t>
        </w:r>
        <w:r w:rsidR="00FF4076">
          <w:rPr>
            <w:rFonts w:asciiTheme="minorHAnsi" w:eastAsiaTheme="minorEastAsia" w:hAnsiTheme="minorHAnsi" w:cstheme="minorBidi"/>
            <w:noProof/>
            <w:sz w:val="22"/>
            <w:lang w:eastAsia="cs-CZ"/>
          </w:rPr>
          <w:tab/>
        </w:r>
        <w:r w:rsidR="00FF4076" w:rsidRPr="000E3530">
          <w:rPr>
            <w:rStyle w:val="Hypertextovodkaz"/>
            <w:noProof/>
          </w:rPr>
          <w:t>Přísedící soudu</w:t>
        </w:r>
        <w:r w:rsidR="00FF4076">
          <w:rPr>
            <w:noProof/>
            <w:webHidden/>
          </w:rPr>
          <w:tab/>
        </w:r>
        <w:r w:rsidR="00FF4076">
          <w:rPr>
            <w:noProof/>
            <w:webHidden/>
          </w:rPr>
          <w:fldChar w:fldCharType="begin"/>
        </w:r>
        <w:r w:rsidR="00FF4076">
          <w:rPr>
            <w:noProof/>
            <w:webHidden/>
          </w:rPr>
          <w:instrText xml:space="preserve"> PAGEREF _Toc43903052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053" w:history="1">
        <w:r w:rsidR="00FF4076" w:rsidRPr="000E3530">
          <w:rPr>
            <w:rStyle w:val="Hypertextovodkaz"/>
          </w:rPr>
          <w:t>3.2</w:t>
        </w:r>
        <w:r w:rsidR="00FF4076">
          <w:rPr>
            <w:rFonts w:asciiTheme="minorHAnsi" w:eastAsiaTheme="minorEastAsia" w:hAnsiTheme="minorHAnsi" w:cstheme="minorBidi"/>
            <w:sz w:val="22"/>
            <w:lang w:eastAsia="cs-CZ"/>
          </w:rPr>
          <w:tab/>
        </w:r>
        <w:r w:rsidR="00FF4076" w:rsidRPr="000E3530">
          <w:rPr>
            <w:rStyle w:val="Hypertextovodkaz"/>
          </w:rPr>
          <w:t>Prvostupňová civilní a obchodní agenda</w:t>
        </w:r>
        <w:r w:rsidR="00FF4076">
          <w:rPr>
            <w:webHidden/>
          </w:rPr>
          <w:tab/>
        </w:r>
        <w:r w:rsidR="00FF4076">
          <w:rPr>
            <w:webHidden/>
          </w:rPr>
          <w:fldChar w:fldCharType="begin"/>
        </w:r>
        <w:r w:rsidR="00FF4076">
          <w:rPr>
            <w:webHidden/>
          </w:rPr>
          <w:instrText xml:space="preserve"> PAGEREF _Toc43903053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54" w:history="1">
        <w:r w:rsidR="00FF4076" w:rsidRPr="000E3530">
          <w:rPr>
            <w:rStyle w:val="Hypertextovodkaz"/>
            <w:noProof/>
          </w:rPr>
          <w:t>3.2.1</w:t>
        </w:r>
        <w:r w:rsidR="00FF4076">
          <w:rPr>
            <w:rFonts w:asciiTheme="minorHAnsi" w:eastAsiaTheme="minorEastAsia" w:hAnsiTheme="minorHAnsi" w:cstheme="minorBidi"/>
            <w:noProof/>
            <w:sz w:val="22"/>
            <w:lang w:eastAsia="cs-CZ"/>
          </w:rPr>
          <w:tab/>
        </w:r>
        <w:r w:rsidR="00FF4076" w:rsidRPr="000E3530">
          <w:rPr>
            <w:rStyle w:val="Hypertextovodkaz"/>
            <w:noProof/>
          </w:rPr>
          <w:t>Délka řízení</w:t>
        </w:r>
        <w:r w:rsidR="00FF4076">
          <w:rPr>
            <w:noProof/>
            <w:webHidden/>
          </w:rPr>
          <w:tab/>
        </w:r>
        <w:r w:rsidR="00FF4076">
          <w:rPr>
            <w:noProof/>
            <w:webHidden/>
          </w:rPr>
          <w:fldChar w:fldCharType="begin"/>
        </w:r>
        <w:r w:rsidR="00FF4076">
          <w:rPr>
            <w:noProof/>
            <w:webHidden/>
          </w:rPr>
          <w:instrText xml:space="preserve"> PAGEREF _Toc43903054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55" w:history="1">
        <w:r w:rsidR="00FF4076" w:rsidRPr="000E3530">
          <w:rPr>
            <w:rStyle w:val="Hypertextovodkaz"/>
            <w:noProof/>
          </w:rPr>
          <w:t>3.2.2</w:t>
        </w:r>
        <w:r w:rsidR="00FF4076">
          <w:rPr>
            <w:rFonts w:asciiTheme="minorHAnsi" w:eastAsiaTheme="minorEastAsia" w:hAnsiTheme="minorHAnsi" w:cstheme="minorBidi"/>
            <w:noProof/>
            <w:sz w:val="22"/>
            <w:lang w:eastAsia="cs-CZ"/>
          </w:rPr>
          <w:tab/>
        </w:r>
        <w:r w:rsidR="00FF4076" w:rsidRPr="000E3530">
          <w:rPr>
            <w:rStyle w:val="Hypertextovodkaz"/>
            <w:noProof/>
          </w:rPr>
          <w:t>Vyřizování věcí</w:t>
        </w:r>
        <w:r w:rsidR="00FF4076">
          <w:rPr>
            <w:noProof/>
            <w:webHidden/>
          </w:rPr>
          <w:tab/>
        </w:r>
        <w:r w:rsidR="00FF4076">
          <w:rPr>
            <w:noProof/>
            <w:webHidden/>
          </w:rPr>
          <w:fldChar w:fldCharType="begin"/>
        </w:r>
        <w:r w:rsidR="00FF4076">
          <w:rPr>
            <w:noProof/>
            <w:webHidden/>
          </w:rPr>
          <w:instrText xml:space="preserve"> PAGEREF _Toc43903055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56" w:history="1">
        <w:r w:rsidR="00FF4076" w:rsidRPr="000E3530">
          <w:rPr>
            <w:rStyle w:val="Hypertextovodkaz"/>
            <w:noProof/>
          </w:rPr>
          <w:t>3.2.3</w:t>
        </w:r>
        <w:r w:rsidR="00FF4076">
          <w:rPr>
            <w:rFonts w:asciiTheme="minorHAnsi" w:eastAsiaTheme="minorEastAsia" w:hAnsiTheme="minorHAnsi" w:cstheme="minorBidi"/>
            <w:noProof/>
            <w:sz w:val="22"/>
            <w:lang w:eastAsia="cs-CZ"/>
          </w:rPr>
          <w:tab/>
        </w:r>
        <w:r w:rsidR="00FF4076" w:rsidRPr="000E3530">
          <w:rPr>
            <w:rStyle w:val="Hypertextovodkaz"/>
            <w:noProof/>
          </w:rPr>
          <w:t>Vyřizování v přepočtu na soudce</w:t>
        </w:r>
        <w:r w:rsidR="00FF4076">
          <w:rPr>
            <w:noProof/>
            <w:webHidden/>
          </w:rPr>
          <w:tab/>
        </w:r>
        <w:r w:rsidR="00FF4076">
          <w:rPr>
            <w:noProof/>
            <w:webHidden/>
          </w:rPr>
          <w:fldChar w:fldCharType="begin"/>
        </w:r>
        <w:r w:rsidR="00FF4076">
          <w:rPr>
            <w:noProof/>
            <w:webHidden/>
          </w:rPr>
          <w:instrText xml:space="preserve"> PAGEREF _Toc43903056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57" w:history="1">
        <w:r w:rsidR="00FF4076" w:rsidRPr="000E3530">
          <w:rPr>
            <w:rStyle w:val="Hypertextovodkaz"/>
            <w:noProof/>
          </w:rPr>
          <w:t>3.2.4</w:t>
        </w:r>
        <w:r w:rsidR="00FF4076">
          <w:rPr>
            <w:rFonts w:asciiTheme="minorHAnsi" w:eastAsiaTheme="minorEastAsia" w:hAnsiTheme="minorHAnsi" w:cstheme="minorBidi"/>
            <w:noProof/>
            <w:sz w:val="22"/>
            <w:lang w:eastAsia="cs-CZ"/>
          </w:rPr>
          <w:tab/>
        </w:r>
        <w:r w:rsidR="00FF4076" w:rsidRPr="000E3530">
          <w:rPr>
            <w:rStyle w:val="Hypertextovodkaz"/>
            <w:noProof/>
          </w:rPr>
          <w:t>Disposition time</w:t>
        </w:r>
        <w:r w:rsidR="00FF4076">
          <w:rPr>
            <w:noProof/>
            <w:webHidden/>
          </w:rPr>
          <w:tab/>
        </w:r>
        <w:r w:rsidR="00FF4076">
          <w:rPr>
            <w:noProof/>
            <w:webHidden/>
          </w:rPr>
          <w:fldChar w:fldCharType="begin"/>
        </w:r>
        <w:r w:rsidR="00FF4076">
          <w:rPr>
            <w:noProof/>
            <w:webHidden/>
          </w:rPr>
          <w:instrText xml:space="preserve"> PAGEREF _Toc43903057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58" w:history="1">
        <w:r w:rsidR="00FF4076" w:rsidRPr="000E3530">
          <w:rPr>
            <w:rStyle w:val="Hypertextovodkaz"/>
            <w:noProof/>
          </w:rPr>
          <w:t>3.2.5</w:t>
        </w:r>
        <w:r w:rsidR="00FF4076">
          <w:rPr>
            <w:rFonts w:asciiTheme="minorHAnsi" w:eastAsiaTheme="minorEastAsia" w:hAnsiTheme="minorHAnsi" w:cstheme="minorBidi"/>
            <w:noProof/>
            <w:sz w:val="22"/>
            <w:lang w:eastAsia="cs-CZ"/>
          </w:rPr>
          <w:tab/>
        </w:r>
        <w:r w:rsidR="00FF4076" w:rsidRPr="000E3530">
          <w:rPr>
            <w:rStyle w:val="Hypertextovodkaz"/>
            <w:noProof/>
          </w:rPr>
          <w:t>Další statistiky</w:t>
        </w:r>
        <w:r w:rsidR="00FF4076">
          <w:rPr>
            <w:noProof/>
            <w:webHidden/>
          </w:rPr>
          <w:tab/>
        </w:r>
        <w:r w:rsidR="00FF4076">
          <w:rPr>
            <w:noProof/>
            <w:webHidden/>
          </w:rPr>
          <w:fldChar w:fldCharType="begin"/>
        </w:r>
        <w:r w:rsidR="00FF4076">
          <w:rPr>
            <w:noProof/>
            <w:webHidden/>
          </w:rPr>
          <w:instrText xml:space="preserve"> PAGEREF _Toc43903058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059" w:history="1">
        <w:r w:rsidR="00FF4076" w:rsidRPr="000E3530">
          <w:rPr>
            <w:rStyle w:val="Hypertextovodkaz"/>
          </w:rPr>
          <w:t>3.3</w:t>
        </w:r>
        <w:r w:rsidR="00FF4076">
          <w:rPr>
            <w:rFonts w:asciiTheme="minorHAnsi" w:eastAsiaTheme="minorEastAsia" w:hAnsiTheme="minorHAnsi" w:cstheme="minorBidi"/>
            <w:sz w:val="22"/>
            <w:lang w:eastAsia="cs-CZ"/>
          </w:rPr>
          <w:tab/>
        </w:r>
        <w:r w:rsidR="00FF4076" w:rsidRPr="000E3530">
          <w:rPr>
            <w:rStyle w:val="Hypertextovodkaz"/>
          </w:rPr>
          <w:t>Civilní odvolací agenda</w:t>
        </w:r>
        <w:r w:rsidR="00FF4076">
          <w:rPr>
            <w:webHidden/>
          </w:rPr>
          <w:tab/>
        </w:r>
        <w:r w:rsidR="00FF4076">
          <w:rPr>
            <w:webHidden/>
          </w:rPr>
          <w:fldChar w:fldCharType="begin"/>
        </w:r>
        <w:r w:rsidR="00FF4076">
          <w:rPr>
            <w:webHidden/>
          </w:rPr>
          <w:instrText xml:space="preserve"> PAGEREF _Toc43903059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60" w:history="1">
        <w:r w:rsidR="00FF4076" w:rsidRPr="000E3530">
          <w:rPr>
            <w:rStyle w:val="Hypertextovodkaz"/>
            <w:noProof/>
          </w:rPr>
          <w:t>3.3.1</w:t>
        </w:r>
        <w:r w:rsidR="00FF4076">
          <w:rPr>
            <w:rFonts w:asciiTheme="minorHAnsi" w:eastAsiaTheme="minorEastAsia" w:hAnsiTheme="minorHAnsi" w:cstheme="minorBidi"/>
            <w:noProof/>
            <w:sz w:val="22"/>
            <w:lang w:eastAsia="cs-CZ"/>
          </w:rPr>
          <w:tab/>
        </w:r>
        <w:r w:rsidR="00FF4076" w:rsidRPr="000E3530">
          <w:rPr>
            <w:rStyle w:val="Hypertextovodkaz"/>
            <w:noProof/>
          </w:rPr>
          <w:t>Délka řízení</w:t>
        </w:r>
        <w:r w:rsidR="00FF4076">
          <w:rPr>
            <w:noProof/>
            <w:webHidden/>
          </w:rPr>
          <w:tab/>
        </w:r>
        <w:r w:rsidR="00FF4076">
          <w:rPr>
            <w:noProof/>
            <w:webHidden/>
          </w:rPr>
          <w:fldChar w:fldCharType="begin"/>
        </w:r>
        <w:r w:rsidR="00FF4076">
          <w:rPr>
            <w:noProof/>
            <w:webHidden/>
          </w:rPr>
          <w:instrText xml:space="preserve"> PAGEREF _Toc43903060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61" w:history="1">
        <w:r w:rsidR="00FF4076" w:rsidRPr="000E3530">
          <w:rPr>
            <w:rStyle w:val="Hypertextovodkaz"/>
            <w:noProof/>
          </w:rPr>
          <w:t>3.3.2</w:t>
        </w:r>
        <w:r w:rsidR="00FF4076">
          <w:rPr>
            <w:rFonts w:asciiTheme="minorHAnsi" w:eastAsiaTheme="minorEastAsia" w:hAnsiTheme="minorHAnsi" w:cstheme="minorBidi"/>
            <w:noProof/>
            <w:sz w:val="22"/>
            <w:lang w:eastAsia="cs-CZ"/>
          </w:rPr>
          <w:tab/>
        </w:r>
        <w:r w:rsidR="00FF4076" w:rsidRPr="000E3530">
          <w:rPr>
            <w:rStyle w:val="Hypertextovodkaz"/>
            <w:noProof/>
          </w:rPr>
          <w:t>Vyřizování věcí</w:t>
        </w:r>
        <w:r w:rsidR="00FF4076">
          <w:rPr>
            <w:noProof/>
            <w:webHidden/>
          </w:rPr>
          <w:tab/>
        </w:r>
        <w:r w:rsidR="00FF4076">
          <w:rPr>
            <w:noProof/>
            <w:webHidden/>
          </w:rPr>
          <w:fldChar w:fldCharType="begin"/>
        </w:r>
        <w:r w:rsidR="00FF4076">
          <w:rPr>
            <w:noProof/>
            <w:webHidden/>
          </w:rPr>
          <w:instrText xml:space="preserve"> PAGEREF _Toc43903061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62" w:history="1">
        <w:r w:rsidR="00FF4076" w:rsidRPr="000E3530">
          <w:rPr>
            <w:rStyle w:val="Hypertextovodkaz"/>
            <w:noProof/>
          </w:rPr>
          <w:t>3.3.3</w:t>
        </w:r>
        <w:r w:rsidR="00FF4076">
          <w:rPr>
            <w:rFonts w:asciiTheme="minorHAnsi" w:eastAsiaTheme="minorEastAsia" w:hAnsiTheme="minorHAnsi" w:cstheme="minorBidi"/>
            <w:noProof/>
            <w:sz w:val="22"/>
            <w:lang w:eastAsia="cs-CZ"/>
          </w:rPr>
          <w:tab/>
        </w:r>
        <w:r w:rsidR="00FF4076" w:rsidRPr="000E3530">
          <w:rPr>
            <w:rStyle w:val="Hypertextovodkaz"/>
            <w:noProof/>
          </w:rPr>
          <w:t>Vyřizování v přepočtu na soudce</w:t>
        </w:r>
        <w:r w:rsidR="00FF4076">
          <w:rPr>
            <w:noProof/>
            <w:webHidden/>
          </w:rPr>
          <w:tab/>
        </w:r>
        <w:r w:rsidR="00FF4076">
          <w:rPr>
            <w:noProof/>
            <w:webHidden/>
          </w:rPr>
          <w:fldChar w:fldCharType="begin"/>
        </w:r>
        <w:r w:rsidR="00FF4076">
          <w:rPr>
            <w:noProof/>
            <w:webHidden/>
          </w:rPr>
          <w:instrText xml:space="preserve"> PAGEREF _Toc43903062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63" w:history="1">
        <w:r w:rsidR="00FF4076" w:rsidRPr="000E3530">
          <w:rPr>
            <w:rStyle w:val="Hypertextovodkaz"/>
            <w:noProof/>
          </w:rPr>
          <w:t>3.3.4</w:t>
        </w:r>
        <w:r w:rsidR="00FF4076">
          <w:rPr>
            <w:rFonts w:asciiTheme="minorHAnsi" w:eastAsiaTheme="minorEastAsia" w:hAnsiTheme="minorHAnsi" w:cstheme="minorBidi"/>
            <w:noProof/>
            <w:sz w:val="22"/>
            <w:lang w:eastAsia="cs-CZ"/>
          </w:rPr>
          <w:tab/>
        </w:r>
        <w:r w:rsidR="00FF4076" w:rsidRPr="000E3530">
          <w:rPr>
            <w:rStyle w:val="Hypertextovodkaz"/>
            <w:noProof/>
          </w:rPr>
          <w:t>Disposition time</w:t>
        </w:r>
        <w:r w:rsidR="00FF4076">
          <w:rPr>
            <w:noProof/>
            <w:webHidden/>
          </w:rPr>
          <w:tab/>
        </w:r>
        <w:r w:rsidR="00FF4076">
          <w:rPr>
            <w:noProof/>
            <w:webHidden/>
          </w:rPr>
          <w:fldChar w:fldCharType="begin"/>
        </w:r>
        <w:r w:rsidR="00FF4076">
          <w:rPr>
            <w:noProof/>
            <w:webHidden/>
          </w:rPr>
          <w:instrText xml:space="preserve"> PAGEREF _Toc43903063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064" w:history="1">
        <w:r w:rsidR="00FF4076" w:rsidRPr="000E3530">
          <w:rPr>
            <w:rStyle w:val="Hypertextovodkaz"/>
          </w:rPr>
          <w:t>3.4</w:t>
        </w:r>
        <w:r w:rsidR="00FF4076">
          <w:rPr>
            <w:rFonts w:asciiTheme="minorHAnsi" w:eastAsiaTheme="minorEastAsia" w:hAnsiTheme="minorHAnsi" w:cstheme="minorBidi"/>
            <w:sz w:val="22"/>
            <w:lang w:eastAsia="cs-CZ"/>
          </w:rPr>
          <w:tab/>
        </w:r>
        <w:r w:rsidR="00FF4076" w:rsidRPr="000E3530">
          <w:rPr>
            <w:rStyle w:val="Hypertextovodkaz"/>
          </w:rPr>
          <w:t>Trestní prvostupňová agenda</w:t>
        </w:r>
        <w:r w:rsidR="00FF4076">
          <w:rPr>
            <w:webHidden/>
          </w:rPr>
          <w:tab/>
        </w:r>
        <w:r w:rsidR="00FF4076">
          <w:rPr>
            <w:webHidden/>
          </w:rPr>
          <w:fldChar w:fldCharType="begin"/>
        </w:r>
        <w:r w:rsidR="00FF4076">
          <w:rPr>
            <w:webHidden/>
          </w:rPr>
          <w:instrText xml:space="preserve"> PAGEREF _Toc43903064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65" w:history="1">
        <w:r w:rsidR="00FF4076" w:rsidRPr="000E3530">
          <w:rPr>
            <w:rStyle w:val="Hypertextovodkaz"/>
            <w:noProof/>
          </w:rPr>
          <w:t>3.4.1</w:t>
        </w:r>
        <w:r w:rsidR="00FF4076">
          <w:rPr>
            <w:rFonts w:asciiTheme="minorHAnsi" w:eastAsiaTheme="minorEastAsia" w:hAnsiTheme="minorHAnsi" w:cstheme="minorBidi"/>
            <w:noProof/>
            <w:sz w:val="22"/>
            <w:lang w:eastAsia="cs-CZ"/>
          </w:rPr>
          <w:tab/>
        </w:r>
        <w:r w:rsidR="00FF4076" w:rsidRPr="000E3530">
          <w:rPr>
            <w:rStyle w:val="Hypertextovodkaz"/>
            <w:noProof/>
          </w:rPr>
          <w:t>Délka řízení</w:t>
        </w:r>
        <w:r w:rsidR="00FF4076">
          <w:rPr>
            <w:noProof/>
            <w:webHidden/>
          </w:rPr>
          <w:tab/>
        </w:r>
        <w:r w:rsidR="00FF4076">
          <w:rPr>
            <w:noProof/>
            <w:webHidden/>
          </w:rPr>
          <w:fldChar w:fldCharType="begin"/>
        </w:r>
        <w:r w:rsidR="00FF4076">
          <w:rPr>
            <w:noProof/>
            <w:webHidden/>
          </w:rPr>
          <w:instrText xml:space="preserve"> PAGEREF _Toc43903065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66" w:history="1">
        <w:r w:rsidR="00FF4076" w:rsidRPr="000E3530">
          <w:rPr>
            <w:rStyle w:val="Hypertextovodkaz"/>
            <w:noProof/>
          </w:rPr>
          <w:t>3.4.2</w:t>
        </w:r>
        <w:r w:rsidR="00FF4076">
          <w:rPr>
            <w:rFonts w:asciiTheme="minorHAnsi" w:eastAsiaTheme="minorEastAsia" w:hAnsiTheme="minorHAnsi" w:cstheme="minorBidi"/>
            <w:noProof/>
            <w:sz w:val="22"/>
            <w:lang w:eastAsia="cs-CZ"/>
          </w:rPr>
          <w:tab/>
        </w:r>
        <w:r w:rsidR="00FF4076" w:rsidRPr="000E3530">
          <w:rPr>
            <w:rStyle w:val="Hypertextovodkaz"/>
            <w:noProof/>
          </w:rPr>
          <w:t>Vyřizování věcí</w:t>
        </w:r>
        <w:r w:rsidR="00FF4076">
          <w:rPr>
            <w:noProof/>
            <w:webHidden/>
          </w:rPr>
          <w:tab/>
        </w:r>
        <w:r w:rsidR="00FF4076">
          <w:rPr>
            <w:noProof/>
            <w:webHidden/>
          </w:rPr>
          <w:fldChar w:fldCharType="begin"/>
        </w:r>
        <w:r w:rsidR="00FF4076">
          <w:rPr>
            <w:noProof/>
            <w:webHidden/>
          </w:rPr>
          <w:instrText xml:space="preserve"> PAGEREF _Toc43903066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67" w:history="1">
        <w:r w:rsidR="00FF4076" w:rsidRPr="000E3530">
          <w:rPr>
            <w:rStyle w:val="Hypertextovodkaz"/>
            <w:noProof/>
          </w:rPr>
          <w:t>3.4.3</w:t>
        </w:r>
        <w:r w:rsidR="00FF4076">
          <w:rPr>
            <w:rFonts w:asciiTheme="minorHAnsi" w:eastAsiaTheme="minorEastAsia" w:hAnsiTheme="minorHAnsi" w:cstheme="minorBidi"/>
            <w:noProof/>
            <w:sz w:val="22"/>
            <w:lang w:eastAsia="cs-CZ"/>
          </w:rPr>
          <w:tab/>
        </w:r>
        <w:r w:rsidR="00FF4076" w:rsidRPr="000E3530">
          <w:rPr>
            <w:rStyle w:val="Hypertextovodkaz"/>
            <w:noProof/>
          </w:rPr>
          <w:t>Vyřizování v přepočtu na soudce</w:t>
        </w:r>
        <w:r w:rsidR="00FF4076">
          <w:rPr>
            <w:noProof/>
            <w:webHidden/>
          </w:rPr>
          <w:tab/>
        </w:r>
        <w:r w:rsidR="00FF4076">
          <w:rPr>
            <w:noProof/>
            <w:webHidden/>
          </w:rPr>
          <w:fldChar w:fldCharType="begin"/>
        </w:r>
        <w:r w:rsidR="00FF4076">
          <w:rPr>
            <w:noProof/>
            <w:webHidden/>
          </w:rPr>
          <w:instrText xml:space="preserve"> PAGEREF _Toc43903067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68" w:history="1">
        <w:r w:rsidR="00FF4076" w:rsidRPr="000E3530">
          <w:rPr>
            <w:rStyle w:val="Hypertextovodkaz"/>
            <w:noProof/>
          </w:rPr>
          <w:t>3.4.4</w:t>
        </w:r>
        <w:r w:rsidR="00FF4076">
          <w:rPr>
            <w:rFonts w:asciiTheme="minorHAnsi" w:eastAsiaTheme="minorEastAsia" w:hAnsiTheme="minorHAnsi" w:cstheme="minorBidi"/>
            <w:noProof/>
            <w:sz w:val="22"/>
            <w:lang w:eastAsia="cs-CZ"/>
          </w:rPr>
          <w:tab/>
        </w:r>
        <w:r w:rsidR="00FF4076" w:rsidRPr="000E3530">
          <w:rPr>
            <w:rStyle w:val="Hypertextovodkaz"/>
            <w:noProof/>
          </w:rPr>
          <w:t>Disposition time</w:t>
        </w:r>
        <w:r w:rsidR="00FF4076">
          <w:rPr>
            <w:noProof/>
            <w:webHidden/>
          </w:rPr>
          <w:tab/>
        </w:r>
        <w:r w:rsidR="00FF4076">
          <w:rPr>
            <w:noProof/>
            <w:webHidden/>
          </w:rPr>
          <w:fldChar w:fldCharType="begin"/>
        </w:r>
        <w:r w:rsidR="00FF4076">
          <w:rPr>
            <w:noProof/>
            <w:webHidden/>
          </w:rPr>
          <w:instrText xml:space="preserve"> PAGEREF _Toc43903068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69" w:history="1">
        <w:r w:rsidR="00FF4076" w:rsidRPr="000E3530">
          <w:rPr>
            <w:rStyle w:val="Hypertextovodkaz"/>
            <w:noProof/>
          </w:rPr>
          <w:t>3.4.5</w:t>
        </w:r>
        <w:r w:rsidR="00FF4076">
          <w:rPr>
            <w:rFonts w:asciiTheme="minorHAnsi" w:eastAsiaTheme="minorEastAsia" w:hAnsiTheme="minorHAnsi" w:cstheme="minorBidi"/>
            <w:noProof/>
            <w:sz w:val="22"/>
            <w:lang w:eastAsia="cs-CZ"/>
          </w:rPr>
          <w:tab/>
        </w:r>
        <w:r w:rsidR="00FF4076" w:rsidRPr="000E3530">
          <w:rPr>
            <w:rStyle w:val="Hypertextovodkaz"/>
            <w:noProof/>
          </w:rPr>
          <w:t>Další statistiky</w:t>
        </w:r>
        <w:r w:rsidR="00FF4076">
          <w:rPr>
            <w:noProof/>
            <w:webHidden/>
          </w:rPr>
          <w:tab/>
        </w:r>
        <w:r w:rsidR="00FF4076">
          <w:rPr>
            <w:noProof/>
            <w:webHidden/>
          </w:rPr>
          <w:fldChar w:fldCharType="begin"/>
        </w:r>
        <w:r w:rsidR="00FF4076">
          <w:rPr>
            <w:noProof/>
            <w:webHidden/>
          </w:rPr>
          <w:instrText xml:space="preserve"> PAGEREF _Toc43903069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070" w:history="1">
        <w:r w:rsidR="00FF4076" w:rsidRPr="000E3530">
          <w:rPr>
            <w:rStyle w:val="Hypertextovodkaz"/>
          </w:rPr>
          <w:t>3.5</w:t>
        </w:r>
        <w:r w:rsidR="00FF4076">
          <w:rPr>
            <w:rFonts w:asciiTheme="minorHAnsi" w:eastAsiaTheme="minorEastAsia" w:hAnsiTheme="minorHAnsi" w:cstheme="minorBidi"/>
            <w:sz w:val="22"/>
            <w:lang w:eastAsia="cs-CZ"/>
          </w:rPr>
          <w:tab/>
        </w:r>
        <w:r w:rsidR="00FF4076" w:rsidRPr="000E3530">
          <w:rPr>
            <w:rStyle w:val="Hypertextovodkaz"/>
          </w:rPr>
          <w:t>Trestní odvolací agenda</w:t>
        </w:r>
        <w:r w:rsidR="00FF4076">
          <w:rPr>
            <w:webHidden/>
          </w:rPr>
          <w:tab/>
        </w:r>
        <w:r w:rsidR="00FF4076">
          <w:rPr>
            <w:webHidden/>
          </w:rPr>
          <w:fldChar w:fldCharType="begin"/>
        </w:r>
        <w:r w:rsidR="00FF4076">
          <w:rPr>
            <w:webHidden/>
          </w:rPr>
          <w:instrText xml:space="preserve"> PAGEREF _Toc43903070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71" w:history="1">
        <w:r w:rsidR="00FF4076" w:rsidRPr="000E3530">
          <w:rPr>
            <w:rStyle w:val="Hypertextovodkaz"/>
            <w:noProof/>
          </w:rPr>
          <w:t>3.5.1</w:t>
        </w:r>
        <w:r w:rsidR="00FF4076">
          <w:rPr>
            <w:rFonts w:asciiTheme="minorHAnsi" w:eastAsiaTheme="minorEastAsia" w:hAnsiTheme="minorHAnsi" w:cstheme="minorBidi"/>
            <w:noProof/>
            <w:sz w:val="22"/>
            <w:lang w:eastAsia="cs-CZ"/>
          </w:rPr>
          <w:tab/>
        </w:r>
        <w:r w:rsidR="00FF4076" w:rsidRPr="000E3530">
          <w:rPr>
            <w:rStyle w:val="Hypertextovodkaz"/>
            <w:noProof/>
          </w:rPr>
          <w:t>Délka řízení</w:t>
        </w:r>
        <w:r w:rsidR="00FF4076">
          <w:rPr>
            <w:noProof/>
            <w:webHidden/>
          </w:rPr>
          <w:tab/>
        </w:r>
        <w:r w:rsidR="00FF4076">
          <w:rPr>
            <w:noProof/>
            <w:webHidden/>
          </w:rPr>
          <w:fldChar w:fldCharType="begin"/>
        </w:r>
        <w:r w:rsidR="00FF4076">
          <w:rPr>
            <w:noProof/>
            <w:webHidden/>
          </w:rPr>
          <w:instrText xml:space="preserve"> PAGEREF _Toc43903071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72" w:history="1">
        <w:r w:rsidR="00FF4076" w:rsidRPr="000E3530">
          <w:rPr>
            <w:rStyle w:val="Hypertextovodkaz"/>
            <w:noProof/>
          </w:rPr>
          <w:t>3.5.2</w:t>
        </w:r>
        <w:r w:rsidR="00FF4076">
          <w:rPr>
            <w:rFonts w:asciiTheme="minorHAnsi" w:eastAsiaTheme="minorEastAsia" w:hAnsiTheme="minorHAnsi" w:cstheme="minorBidi"/>
            <w:noProof/>
            <w:sz w:val="22"/>
            <w:lang w:eastAsia="cs-CZ"/>
          </w:rPr>
          <w:tab/>
        </w:r>
        <w:r w:rsidR="00FF4076" w:rsidRPr="000E3530">
          <w:rPr>
            <w:rStyle w:val="Hypertextovodkaz"/>
            <w:noProof/>
          </w:rPr>
          <w:t>Vyřizování věcí</w:t>
        </w:r>
        <w:r w:rsidR="00FF4076">
          <w:rPr>
            <w:noProof/>
            <w:webHidden/>
          </w:rPr>
          <w:tab/>
        </w:r>
        <w:r w:rsidR="00FF4076">
          <w:rPr>
            <w:noProof/>
            <w:webHidden/>
          </w:rPr>
          <w:fldChar w:fldCharType="begin"/>
        </w:r>
        <w:r w:rsidR="00FF4076">
          <w:rPr>
            <w:noProof/>
            <w:webHidden/>
          </w:rPr>
          <w:instrText xml:space="preserve"> PAGEREF _Toc43903072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73" w:history="1">
        <w:r w:rsidR="00FF4076" w:rsidRPr="000E3530">
          <w:rPr>
            <w:rStyle w:val="Hypertextovodkaz"/>
            <w:noProof/>
          </w:rPr>
          <w:t>3.5.3</w:t>
        </w:r>
        <w:r w:rsidR="00FF4076">
          <w:rPr>
            <w:rFonts w:asciiTheme="minorHAnsi" w:eastAsiaTheme="minorEastAsia" w:hAnsiTheme="minorHAnsi" w:cstheme="minorBidi"/>
            <w:noProof/>
            <w:sz w:val="22"/>
            <w:lang w:eastAsia="cs-CZ"/>
          </w:rPr>
          <w:tab/>
        </w:r>
        <w:r w:rsidR="00FF4076" w:rsidRPr="000E3530">
          <w:rPr>
            <w:rStyle w:val="Hypertextovodkaz"/>
            <w:noProof/>
          </w:rPr>
          <w:t>Vyřizování v přepočtu na soudce</w:t>
        </w:r>
        <w:r w:rsidR="00FF4076">
          <w:rPr>
            <w:noProof/>
            <w:webHidden/>
          </w:rPr>
          <w:tab/>
        </w:r>
        <w:r w:rsidR="00FF4076">
          <w:rPr>
            <w:noProof/>
            <w:webHidden/>
          </w:rPr>
          <w:fldChar w:fldCharType="begin"/>
        </w:r>
        <w:r w:rsidR="00FF4076">
          <w:rPr>
            <w:noProof/>
            <w:webHidden/>
          </w:rPr>
          <w:instrText xml:space="preserve"> PAGEREF _Toc43903073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74" w:history="1">
        <w:r w:rsidR="00FF4076" w:rsidRPr="000E3530">
          <w:rPr>
            <w:rStyle w:val="Hypertextovodkaz"/>
            <w:noProof/>
          </w:rPr>
          <w:t>3.5.4</w:t>
        </w:r>
        <w:r w:rsidR="00FF4076">
          <w:rPr>
            <w:rFonts w:asciiTheme="minorHAnsi" w:eastAsiaTheme="minorEastAsia" w:hAnsiTheme="minorHAnsi" w:cstheme="minorBidi"/>
            <w:noProof/>
            <w:sz w:val="22"/>
            <w:lang w:eastAsia="cs-CZ"/>
          </w:rPr>
          <w:tab/>
        </w:r>
        <w:r w:rsidR="00FF4076" w:rsidRPr="000E3530">
          <w:rPr>
            <w:rStyle w:val="Hypertextovodkaz"/>
            <w:noProof/>
          </w:rPr>
          <w:t>Disposition time</w:t>
        </w:r>
        <w:r w:rsidR="00FF4076">
          <w:rPr>
            <w:noProof/>
            <w:webHidden/>
          </w:rPr>
          <w:tab/>
        </w:r>
        <w:r w:rsidR="00FF4076">
          <w:rPr>
            <w:noProof/>
            <w:webHidden/>
          </w:rPr>
          <w:fldChar w:fldCharType="begin"/>
        </w:r>
        <w:r w:rsidR="00FF4076">
          <w:rPr>
            <w:noProof/>
            <w:webHidden/>
          </w:rPr>
          <w:instrText xml:space="preserve"> PAGEREF _Toc43903074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075" w:history="1">
        <w:r w:rsidR="00FF4076" w:rsidRPr="000E3530">
          <w:rPr>
            <w:rStyle w:val="Hypertextovodkaz"/>
          </w:rPr>
          <w:t>3.6</w:t>
        </w:r>
        <w:r w:rsidR="00FF4076">
          <w:rPr>
            <w:rFonts w:asciiTheme="minorHAnsi" w:eastAsiaTheme="minorEastAsia" w:hAnsiTheme="minorHAnsi" w:cstheme="minorBidi"/>
            <w:sz w:val="22"/>
            <w:lang w:eastAsia="cs-CZ"/>
          </w:rPr>
          <w:tab/>
        </w:r>
        <w:r w:rsidR="00FF4076" w:rsidRPr="000E3530">
          <w:rPr>
            <w:rStyle w:val="Hypertextovodkaz"/>
          </w:rPr>
          <w:t>Správní agenda</w:t>
        </w:r>
        <w:r w:rsidR="00FF4076">
          <w:rPr>
            <w:webHidden/>
          </w:rPr>
          <w:tab/>
        </w:r>
        <w:r w:rsidR="00FF4076">
          <w:rPr>
            <w:webHidden/>
          </w:rPr>
          <w:fldChar w:fldCharType="begin"/>
        </w:r>
        <w:r w:rsidR="00FF4076">
          <w:rPr>
            <w:webHidden/>
          </w:rPr>
          <w:instrText xml:space="preserve"> PAGEREF _Toc43903075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76" w:history="1">
        <w:r w:rsidR="00FF4076" w:rsidRPr="000E3530">
          <w:rPr>
            <w:rStyle w:val="Hypertextovodkaz"/>
            <w:noProof/>
          </w:rPr>
          <w:t>3.6.1</w:t>
        </w:r>
        <w:r w:rsidR="00FF4076">
          <w:rPr>
            <w:rFonts w:asciiTheme="minorHAnsi" w:eastAsiaTheme="minorEastAsia" w:hAnsiTheme="minorHAnsi" w:cstheme="minorBidi"/>
            <w:noProof/>
            <w:sz w:val="22"/>
            <w:lang w:eastAsia="cs-CZ"/>
          </w:rPr>
          <w:tab/>
        </w:r>
        <w:r w:rsidR="00FF4076" w:rsidRPr="000E3530">
          <w:rPr>
            <w:rStyle w:val="Hypertextovodkaz"/>
            <w:noProof/>
          </w:rPr>
          <w:t>Délka řízení</w:t>
        </w:r>
        <w:r w:rsidR="00FF4076">
          <w:rPr>
            <w:noProof/>
            <w:webHidden/>
          </w:rPr>
          <w:tab/>
        </w:r>
        <w:r w:rsidR="00FF4076">
          <w:rPr>
            <w:noProof/>
            <w:webHidden/>
          </w:rPr>
          <w:fldChar w:fldCharType="begin"/>
        </w:r>
        <w:r w:rsidR="00FF4076">
          <w:rPr>
            <w:noProof/>
            <w:webHidden/>
          </w:rPr>
          <w:instrText xml:space="preserve"> PAGEREF _Toc43903076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77" w:history="1">
        <w:r w:rsidR="00FF4076" w:rsidRPr="000E3530">
          <w:rPr>
            <w:rStyle w:val="Hypertextovodkaz"/>
            <w:noProof/>
          </w:rPr>
          <w:t>3.6.2</w:t>
        </w:r>
        <w:r w:rsidR="00FF4076">
          <w:rPr>
            <w:rFonts w:asciiTheme="minorHAnsi" w:eastAsiaTheme="minorEastAsia" w:hAnsiTheme="minorHAnsi" w:cstheme="minorBidi"/>
            <w:noProof/>
            <w:sz w:val="22"/>
            <w:lang w:eastAsia="cs-CZ"/>
          </w:rPr>
          <w:tab/>
        </w:r>
        <w:r w:rsidR="00FF4076" w:rsidRPr="000E3530">
          <w:rPr>
            <w:rStyle w:val="Hypertextovodkaz"/>
            <w:noProof/>
          </w:rPr>
          <w:t>Vyřizování věcí</w:t>
        </w:r>
        <w:r w:rsidR="00FF4076">
          <w:rPr>
            <w:noProof/>
            <w:webHidden/>
          </w:rPr>
          <w:tab/>
        </w:r>
        <w:r w:rsidR="00FF4076">
          <w:rPr>
            <w:noProof/>
            <w:webHidden/>
          </w:rPr>
          <w:fldChar w:fldCharType="begin"/>
        </w:r>
        <w:r w:rsidR="00FF4076">
          <w:rPr>
            <w:noProof/>
            <w:webHidden/>
          </w:rPr>
          <w:instrText xml:space="preserve"> PAGEREF _Toc43903077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78" w:history="1">
        <w:r w:rsidR="00FF4076" w:rsidRPr="000E3530">
          <w:rPr>
            <w:rStyle w:val="Hypertextovodkaz"/>
            <w:noProof/>
          </w:rPr>
          <w:t>3.6.3</w:t>
        </w:r>
        <w:r w:rsidR="00FF4076">
          <w:rPr>
            <w:rFonts w:asciiTheme="minorHAnsi" w:eastAsiaTheme="minorEastAsia" w:hAnsiTheme="minorHAnsi" w:cstheme="minorBidi"/>
            <w:noProof/>
            <w:sz w:val="22"/>
            <w:lang w:eastAsia="cs-CZ"/>
          </w:rPr>
          <w:tab/>
        </w:r>
        <w:r w:rsidR="00FF4076" w:rsidRPr="000E3530">
          <w:rPr>
            <w:rStyle w:val="Hypertextovodkaz"/>
            <w:noProof/>
          </w:rPr>
          <w:t>Vyřizování věcí v přepočtu na soudce</w:t>
        </w:r>
        <w:r w:rsidR="00FF4076">
          <w:rPr>
            <w:noProof/>
            <w:webHidden/>
          </w:rPr>
          <w:tab/>
        </w:r>
        <w:r w:rsidR="00FF4076">
          <w:rPr>
            <w:noProof/>
            <w:webHidden/>
          </w:rPr>
          <w:fldChar w:fldCharType="begin"/>
        </w:r>
        <w:r w:rsidR="00FF4076">
          <w:rPr>
            <w:noProof/>
            <w:webHidden/>
          </w:rPr>
          <w:instrText xml:space="preserve"> PAGEREF _Toc43903078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79" w:history="1">
        <w:r w:rsidR="00FF4076" w:rsidRPr="000E3530">
          <w:rPr>
            <w:rStyle w:val="Hypertextovodkaz"/>
            <w:noProof/>
          </w:rPr>
          <w:t>3.6.4</w:t>
        </w:r>
        <w:r w:rsidR="00FF4076">
          <w:rPr>
            <w:rFonts w:asciiTheme="minorHAnsi" w:eastAsiaTheme="minorEastAsia" w:hAnsiTheme="minorHAnsi" w:cstheme="minorBidi"/>
            <w:noProof/>
            <w:sz w:val="22"/>
            <w:lang w:eastAsia="cs-CZ"/>
          </w:rPr>
          <w:tab/>
        </w:r>
        <w:r w:rsidR="00FF4076" w:rsidRPr="000E3530">
          <w:rPr>
            <w:rStyle w:val="Hypertextovodkaz"/>
            <w:noProof/>
          </w:rPr>
          <w:t>Disposition time</w:t>
        </w:r>
        <w:r w:rsidR="00FF4076">
          <w:rPr>
            <w:noProof/>
            <w:webHidden/>
          </w:rPr>
          <w:tab/>
        </w:r>
        <w:r w:rsidR="00FF4076">
          <w:rPr>
            <w:noProof/>
            <w:webHidden/>
          </w:rPr>
          <w:fldChar w:fldCharType="begin"/>
        </w:r>
        <w:r w:rsidR="00FF4076">
          <w:rPr>
            <w:noProof/>
            <w:webHidden/>
          </w:rPr>
          <w:instrText xml:space="preserve"> PAGEREF _Toc43903079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080" w:history="1">
        <w:r w:rsidR="00FF4076" w:rsidRPr="000E3530">
          <w:rPr>
            <w:rStyle w:val="Hypertextovodkaz"/>
          </w:rPr>
          <w:t>3.7</w:t>
        </w:r>
        <w:r w:rsidR="00FF4076">
          <w:rPr>
            <w:rFonts w:asciiTheme="minorHAnsi" w:eastAsiaTheme="minorEastAsia" w:hAnsiTheme="minorHAnsi" w:cstheme="minorBidi"/>
            <w:sz w:val="22"/>
            <w:lang w:eastAsia="cs-CZ"/>
          </w:rPr>
          <w:tab/>
        </w:r>
        <w:r w:rsidR="00FF4076" w:rsidRPr="000E3530">
          <w:rPr>
            <w:rStyle w:val="Hypertextovodkaz"/>
          </w:rPr>
          <w:t>Insolvenční agenda</w:t>
        </w:r>
        <w:r w:rsidR="00FF4076">
          <w:rPr>
            <w:webHidden/>
          </w:rPr>
          <w:tab/>
        </w:r>
        <w:r w:rsidR="00FF4076">
          <w:rPr>
            <w:webHidden/>
          </w:rPr>
          <w:fldChar w:fldCharType="begin"/>
        </w:r>
        <w:r w:rsidR="00FF4076">
          <w:rPr>
            <w:webHidden/>
          </w:rPr>
          <w:instrText xml:space="preserve"> PAGEREF _Toc43903080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81" w:history="1">
        <w:r w:rsidR="00FF4076" w:rsidRPr="000E3530">
          <w:rPr>
            <w:rStyle w:val="Hypertextovodkaz"/>
            <w:noProof/>
          </w:rPr>
          <w:t>3.7.1</w:t>
        </w:r>
        <w:r w:rsidR="00FF4076">
          <w:rPr>
            <w:rFonts w:asciiTheme="minorHAnsi" w:eastAsiaTheme="minorEastAsia" w:hAnsiTheme="minorHAnsi" w:cstheme="minorBidi"/>
            <w:noProof/>
            <w:sz w:val="22"/>
            <w:lang w:eastAsia="cs-CZ"/>
          </w:rPr>
          <w:tab/>
        </w:r>
        <w:r w:rsidR="00FF4076" w:rsidRPr="000E3530">
          <w:rPr>
            <w:rStyle w:val="Hypertextovodkaz"/>
            <w:noProof/>
          </w:rPr>
          <w:t>Délka řízení</w:t>
        </w:r>
        <w:r w:rsidR="00FF4076">
          <w:rPr>
            <w:noProof/>
            <w:webHidden/>
          </w:rPr>
          <w:tab/>
        </w:r>
        <w:r w:rsidR="00FF4076">
          <w:rPr>
            <w:noProof/>
            <w:webHidden/>
          </w:rPr>
          <w:fldChar w:fldCharType="begin"/>
        </w:r>
        <w:r w:rsidR="00FF4076">
          <w:rPr>
            <w:noProof/>
            <w:webHidden/>
          </w:rPr>
          <w:instrText xml:space="preserve"> PAGEREF _Toc43903081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82" w:history="1">
        <w:r w:rsidR="00FF4076" w:rsidRPr="000E3530">
          <w:rPr>
            <w:rStyle w:val="Hypertextovodkaz"/>
            <w:noProof/>
          </w:rPr>
          <w:t>3.7.2</w:t>
        </w:r>
        <w:r w:rsidR="00FF4076">
          <w:rPr>
            <w:rFonts w:asciiTheme="minorHAnsi" w:eastAsiaTheme="minorEastAsia" w:hAnsiTheme="minorHAnsi" w:cstheme="minorBidi"/>
            <w:noProof/>
            <w:sz w:val="22"/>
            <w:lang w:eastAsia="cs-CZ"/>
          </w:rPr>
          <w:tab/>
        </w:r>
        <w:r w:rsidR="00FF4076" w:rsidRPr="000E3530">
          <w:rPr>
            <w:rStyle w:val="Hypertextovodkaz"/>
            <w:noProof/>
          </w:rPr>
          <w:t>Vyřizování věcí</w:t>
        </w:r>
        <w:r w:rsidR="00FF4076">
          <w:rPr>
            <w:noProof/>
            <w:webHidden/>
          </w:rPr>
          <w:tab/>
        </w:r>
        <w:r w:rsidR="00FF4076">
          <w:rPr>
            <w:noProof/>
            <w:webHidden/>
          </w:rPr>
          <w:fldChar w:fldCharType="begin"/>
        </w:r>
        <w:r w:rsidR="00FF4076">
          <w:rPr>
            <w:noProof/>
            <w:webHidden/>
          </w:rPr>
          <w:instrText xml:space="preserve"> PAGEREF _Toc43903082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83" w:history="1">
        <w:r w:rsidR="00FF4076" w:rsidRPr="000E3530">
          <w:rPr>
            <w:rStyle w:val="Hypertextovodkaz"/>
            <w:noProof/>
          </w:rPr>
          <w:t>3.7.3</w:t>
        </w:r>
        <w:r w:rsidR="00FF4076">
          <w:rPr>
            <w:rFonts w:asciiTheme="minorHAnsi" w:eastAsiaTheme="minorEastAsia" w:hAnsiTheme="minorHAnsi" w:cstheme="minorBidi"/>
            <w:noProof/>
            <w:sz w:val="22"/>
            <w:lang w:eastAsia="cs-CZ"/>
          </w:rPr>
          <w:tab/>
        </w:r>
        <w:r w:rsidR="00FF4076" w:rsidRPr="000E3530">
          <w:rPr>
            <w:rStyle w:val="Hypertextovodkaz"/>
            <w:noProof/>
          </w:rPr>
          <w:t>Vyřizování věcí v přepočtu na soudce</w:t>
        </w:r>
        <w:r w:rsidR="00FF4076">
          <w:rPr>
            <w:noProof/>
            <w:webHidden/>
          </w:rPr>
          <w:tab/>
        </w:r>
        <w:r w:rsidR="00FF4076">
          <w:rPr>
            <w:noProof/>
            <w:webHidden/>
          </w:rPr>
          <w:fldChar w:fldCharType="begin"/>
        </w:r>
        <w:r w:rsidR="00FF4076">
          <w:rPr>
            <w:noProof/>
            <w:webHidden/>
          </w:rPr>
          <w:instrText xml:space="preserve"> PAGEREF _Toc43903083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84" w:history="1">
        <w:r w:rsidR="00FF4076" w:rsidRPr="000E3530">
          <w:rPr>
            <w:rStyle w:val="Hypertextovodkaz"/>
            <w:noProof/>
          </w:rPr>
          <w:t>3.7.4</w:t>
        </w:r>
        <w:r w:rsidR="00FF4076">
          <w:rPr>
            <w:rFonts w:asciiTheme="minorHAnsi" w:eastAsiaTheme="minorEastAsia" w:hAnsiTheme="minorHAnsi" w:cstheme="minorBidi"/>
            <w:noProof/>
            <w:sz w:val="22"/>
            <w:lang w:eastAsia="cs-CZ"/>
          </w:rPr>
          <w:tab/>
        </w:r>
        <w:r w:rsidR="00FF4076" w:rsidRPr="000E3530">
          <w:rPr>
            <w:rStyle w:val="Hypertextovodkaz"/>
            <w:noProof/>
          </w:rPr>
          <w:t>Další statistiky</w:t>
        </w:r>
        <w:r w:rsidR="00FF4076">
          <w:rPr>
            <w:noProof/>
            <w:webHidden/>
          </w:rPr>
          <w:tab/>
        </w:r>
        <w:r w:rsidR="00FF4076">
          <w:rPr>
            <w:noProof/>
            <w:webHidden/>
          </w:rPr>
          <w:fldChar w:fldCharType="begin"/>
        </w:r>
        <w:r w:rsidR="00FF4076">
          <w:rPr>
            <w:noProof/>
            <w:webHidden/>
          </w:rPr>
          <w:instrText xml:space="preserve"> PAGEREF _Toc43903084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085" w:history="1">
        <w:r w:rsidR="00FF4076" w:rsidRPr="000E3530">
          <w:rPr>
            <w:rStyle w:val="Hypertextovodkaz"/>
          </w:rPr>
          <w:t>3.8</w:t>
        </w:r>
        <w:r w:rsidR="00FF4076">
          <w:rPr>
            <w:rFonts w:asciiTheme="minorHAnsi" w:eastAsiaTheme="minorEastAsia" w:hAnsiTheme="minorHAnsi" w:cstheme="minorBidi"/>
            <w:sz w:val="22"/>
            <w:lang w:eastAsia="cs-CZ"/>
          </w:rPr>
          <w:tab/>
        </w:r>
        <w:r w:rsidR="00FF4076" w:rsidRPr="000E3530">
          <w:rPr>
            <w:rStyle w:val="Hypertextovodkaz"/>
          </w:rPr>
          <w:t>Incidenční spory</w:t>
        </w:r>
        <w:r w:rsidR="00FF4076">
          <w:rPr>
            <w:webHidden/>
          </w:rPr>
          <w:tab/>
        </w:r>
        <w:r w:rsidR="00FF4076">
          <w:rPr>
            <w:webHidden/>
          </w:rPr>
          <w:fldChar w:fldCharType="begin"/>
        </w:r>
        <w:r w:rsidR="00FF4076">
          <w:rPr>
            <w:webHidden/>
          </w:rPr>
          <w:instrText xml:space="preserve"> PAGEREF _Toc43903085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86" w:history="1">
        <w:r w:rsidR="00FF4076" w:rsidRPr="000E3530">
          <w:rPr>
            <w:rStyle w:val="Hypertextovodkaz"/>
            <w:noProof/>
          </w:rPr>
          <w:t>3.8.1</w:t>
        </w:r>
        <w:r w:rsidR="00FF4076">
          <w:rPr>
            <w:rFonts w:asciiTheme="minorHAnsi" w:eastAsiaTheme="minorEastAsia" w:hAnsiTheme="minorHAnsi" w:cstheme="minorBidi"/>
            <w:noProof/>
            <w:sz w:val="22"/>
            <w:lang w:eastAsia="cs-CZ"/>
          </w:rPr>
          <w:tab/>
        </w:r>
        <w:r w:rsidR="00FF4076" w:rsidRPr="000E3530">
          <w:rPr>
            <w:rStyle w:val="Hypertextovodkaz"/>
            <w:noProof/>
          </w:rPr>
          <w:t>Délka řízení</w:t>
        </w:r>
        <w:r w:rsidR="00FF4076">
          <w:rPr>
            <w:noProof/>
            <w:webHidden/>
          </w:rPr>
          <w:tab/>
        </w:r>
        <w:r w:rsidR="00FF4076">
          <w:rPr>
            <w:noProof/>
            <w:webHidden/>
          </w:rPr>
          <w:fldChar w:fldCharType="begin"/>
        </w:r>
        <w:r w:rsidR="00FF4076">
          <w:rPr>
            <w:noProof/>
            <w:webHidden/>
          </w:rPr>
          <w:instrText xml:space="preserve"> PAGEREF _Toc43903086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87" w:history="1">
        <w:r w:rsidR="00FF4076" w:rsidRPr="000E3530">
          <w:rPr>
            <w:rStyle w:val="Hypertextovodkaz"/>
            <w:noProof/>
          </w:rPr>
          <w:t>3.8.2</w:t>
        </w:r>
        <w:r w:rsidR="00FF4076">
          <w:rPr>
            <w:rFonts w:asciiTheme="minorHAnsi" w:eastAsiaTheme="minorEastAsia" w:hAnsiTheme="minorHAnsi" w:cstheme="minorBidi"/>
            <w:noProof/>
            <w:sz w:val="22"/>
            <w:lang w:eastAsia="cs-CZ"/>
          </w:rPr>
          <w:tab/>
        </w:r>
        <w:r w:rsidR="00FF4076" w:rsidRPr="000E3530">
          <w:rPr>
            <w:rStyle w:val="Hypertextovodkaz"/>
            <w:noProof/>
          </w:rPr>
          <w:t>Vyřizování věcí</w:t>
        </w:r>
        <w:r w:rsidR="00FF4076">
          <w:rPr>
            <w:noProof/>
            <w:webHidden/>
          </w:rPr>
          <w:tab/>
        </w:r>
        <w:r w:rsidR="00FF4076">
          <w:rPr>
            <w:noProof/>
            <w:webHidden/>
          </w:rPr>
          <w:fldChar w:fldCharType="begin"/>
        </w:r>
        <w:r w:rsidR="00FF4076">
          <w:rPr>
            <w:noProof/>
            <w:webHidden/>
          </w:rPr>
          <w:instrText xml:space="preserve"> PAGEREF _Toc43903087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88" w:history="1">
        <w:r w:rsidR="00FF4076" w:rsidRPr="000E3530">
          <w:rPr>
            <w:rStyle w:val="Hypertextovodkaz"/>
            <w:noProof/>
          </w:rPr>
          <w:t>3.8.3</w:t>
        </w:r>
        <w:r w:rsidR="00FF4076">
          <w:rPr>
            <w:rFonts w:asciiTheme="minorHAnsi" w:eastAsiaTheme="minorEastAsia" w:hAnsiTheme="minorHAnsi" w:cstheme="minorBidi"/>
            <w:noProof/>
            <w:sz w:val="22"/>
            <w:lang w:eastAsia="cs-CZ"/>
          </w:rPr>
          <w:tab/>
        </w:r>
        <w:r w:rsidR="00FF4076" w:rsidRPr="000E3530">
          <w:rPr>
            <w:rStyle w:val="Hypertextovodkaz"/>
            <w:noProof/>
          </w:rPr>
          <w:t>Disposition time</w:t>
        </w:r>
        <w:r w:rsidR="00FF4076">
          <w:rPr>
            <w:noProof/>
            <w:webHidden/>
          </w:rPr>
          <w:tab/>
        </w:r>
        <w:r w:rsidR="00FF4076">
          <w:rPr>
            <w:noProof/>
            <w:webHidden/>
          </w:rPr>
          <w:fldChar w:fldCharType="begin"/>
        </w:r>
        <w:r w:rsidR="00FF4076">
          <w:rPr>
            <w:noProof/>
            <w:webHidden/>
          </w:rPr>
          <w:instrText xml:space="preserve"> PAGEREF _Toc43903088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1"/>
        <w:tabs>
          <w:tab w:val="left" w:pos="482"/>
        </w:tabs>
        <w:rPr>
          <w:rFonts w:asciiTheme="minorHAnsi" w:eastAsiaTheme="minorEastAsia" w:hAnsiTheme="minorHAnsi" w:cstheme="minorBidi"/>
          <w:noProof/>
          <w:sz w:val="22"/>
          <w:lang w:eastAsia="cs-CZ"/>
        </w:rPr>
      </w:pPr>
      <w:hyperlink w:anchor="_Toc43903089" w:history="1">
        <w:r w:rsidR="00FF4076" w:rsidRPr="000E3530">
          <w:rPr>
            <w:rStyle w:val="Hypertextovodkaz"/>
            <w:noProof/>
            <w:lang w:eastAsia="cs-CZ"/>
          </w:rPr>
          <w:t>4</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Vrchní soudy</w:t>
        </w:r>
        <w:r w:rsidR="00FF4076">
          <w:rPr>
            <w:noProof/>
            <w:webHidden/>
          </w:rPr>
          <w:tab/>
        </w:r>
        <w:r w:rsidR="00FF4076">
          <w:rPr>
            <w:noProof/>
            <w:webHidden/>
          </w:rPr>
          <w:fldChar w:fldCharType="begin"/>
        </w:r>
        <w:r w:rsidR="00FF4076">
          <w:rPr>
            <w:noProof/>
            <w:webHidden/>
          </w:rPr>
          <w:instrText xml:space="preserve"> PAGEREF _Toc43903089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090" w:history="1">
        <w:r w:rsidR="00FF4076" w:rsidRPr="000E3530">
          <w:rPr>
            <w:rStyle w:val="Hypertextovodkaz"/>
            <w:lang w:eastAsia="cs-CZ"/>
          </w:rPr>
          <w:t>4.1</w:t>
        </w:r>
        <w:r w:rsidR="00FF4076">
          <w:rPr>
            <w:rFonts w:asciiTheme="minorHAnsi" w:eastAsiaTheme="minorEastAsia" w:hAnsiTheme="minorHAnsi" w:cstheme="minorBidi"/>
            <w:sz w:val="22"/>
            <w:lang w:eastAsia="cs-CZ"/>
          </w:rPr>
          <w:tab/>
        </w:r>
        <w:r w:rsidR="00FF4076" w:rsidRPr="000E3530">
          <w:rPr>
            <w:rStyle w:val="Hypertextovodkaz"/>
            <w:lang w:eastAsia="cs-CZ"/>
          </w:rPr>
          <w:t>Personál</w:t>
        </w:r>
        <w:r w:rsidR="00FF4076">
          <w:rPr>
            <w:webHidden/>
          </w:rPr>
          <w:tab/>
        </w:r>
        <w:r w:rsidR="00FF4076">
          <w:rPr>
            <w:webHidden/>
          </w:rPr>
          <w:fldChar w:fldCharType="begin"/>
        </w:r>
        <w:r w:rsidR="00FF4076">
          <w:rPr>
            <w:webHidden/>
          </w:rPr>
          <w:instrText xml:space="preserve"> PAGEREF _Toc43903090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91" w:history="1">
        <w:r w:rsidR="00FF4076" w:rsidRPr="000E3530">
          <w:rPr>
            <w:rStyle w:val="Hypertextovodkaz"/>
            <w:noProof/>
            <w:lang w:eastAsia="cs-CZ"/>
          </w:rPr>
          <w:t>4.1.1</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Soudci</w:t>
        </w:r>
        <w:r w:rsidR="00FF4076">
          <w:rPr>
            <w:noProof/>
            <w:webHidden/>
          </w:rPr>
          <w:tab/>
        </w:r>
        <w:r w:rsidR="00FF4076">
          <w:rPr>
            <w:noProof/>
            <w:webHidden/>
          </w:rPr>
          <w:fldChar w:fldCharType="begin"/>
        </w:r>
        <w:r w:rsidR="00FF4076">
          <w:rPr>
            <w:noProof/>
            <w:webHidden/>
          </w:rPr>
          <w:instrText xml:space="preserve"> PAGEREF _Toc43903091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92" w:history="1">
        <w:r w:rsidR="00FF4076" w:rsidRPr="000E3530">
          <w:rPr>
            <w:rStyle w:val="Hypertextovodkaz"/>
            <w:noProof/>
            <w:lang w:eastAsia="cs-CZ"/>
          </w:rPr>
          <w:t>4.1.2</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Zaměstnanci ve výkonu</w:t>
        </w:r>
        <w:r w:rsidR="00FF4076">
          <w:rPr>
            <w:noProof/>
            <w:webHidden/>
          </w:rPr>
          <w:tab/>
        </w:r>
        <w:r w:rsidR="00FF4076">
          <w:rPr>
            <w:noProof/>
            <w:webHidden/>
          </w:rPr>
          <w:fldChar w:fldCharType="begin"/>
        </w:r>
        <w:r w:rsidR="00FF4076">
          <w:rPr>
            <w:noProof/>
            <w:webHidden/>
          </w:rPr>
          <w:instrText xml:space="preserve"> PAGEREF _Toc43903092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093" w:history="1">
        <w:r w:rsidR="00FF4076" w:rsidRPr="000E3530">
          <w:rPr>
            <w:rStyle w:val="Hypertextovodkaz"/>
          </w:rPr>
          <w:t>4.2</w:t>
        </w:r>
        <w:r w:rsidR="00FF4076">
          <w:rPr>
            <w:rFonts w:asciiTheme="minorHAnsi" w:eastAsiaTheme="minorEastAsia" w:hAnsiTheme="minorHAnsi" w:cstheme="minorBidi"/>
            <w:sz w:val="22"/>
            <w:lang w:eastAsia="cs-CZ"/>
          </w:rPr>
          <w:tab/>
        </w:r>
        <w:r w:rsidR="00FF4076" w:rsidRPr="000E3530">
          <w:rPr>
            <w:rStyle w:val="Hypertextovodkaz"/>
          </w:rPr>
          <w:t>Civilní a obchodní odvolací agenda</w:t>
        </w:r>
        <w:r w:rsidR="00FF4076">
          <w:rPr>
            <w:webHidden/>
          </w:rPr>
          <w:tab/>
        </w:r>
        <w:r w:rsidR="00FF4076">
          <w:rPr>
            <w:webHidden/>
          </w:rPr>
          <w:fldChar w:fldCharType="begin"/>
        </w:r>
        <w:r w:rsidR="00FF4076">
          <w:rPr>
            <w:webHidden/>
          </w:rPr>
          <w:instrText xml:space="preserve"> PAGEREF _Toc43903093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94" w:history="1">
        <w:r w:rsidR="00FF4076" w:rsidRPr="000E3530">
          <w:rPr>
            <w:rStyle w:val="Hypertextovodkaz"/>
            <w:noProof/>
            <w:lang w:eastAsia="cs-CZ"/>
          </w:rPr>
          <w:t>4.2.1</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Délka řízení</w:t>
        </w:r>
        <w:r w:rsidR="00FF4076">
          <w:rPr>
            <w:noProof/>
            <w:webHidden/>
          </w:rPr>
          <w:tab/>
        </w:r>
        <w:r w:rsidR="00FF4076">
          <w:rPr>
            <w:noProof/>
            <w:webHidden/>
          </w:rPr>
          <w:fldChar w:fldCharType="begin"/>
        </w:r>
        <w:r w:rsidR="00FF4076">
          <w:rPr>
            <w:noProof/>
            <w:webHidden/>
          </w:rPr>
          <w:instrText xml:space="preserve"> PAGEREF _Toc43903094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95" w:history="1">
        <w:r w:rsidR="00FF4076" w:rsidRPr="000E3530">
          <w:rPr>
            <w:rStyle w:val="Hypertextovodkaz"/>
            <w:noProof/>
            <w:lang w:eastAsia="cs-CZ"/>
          </w:rPr>
          <w:t>4.2.2</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Vyřizování věcí</w:t>
        </w:r>
        <w:r w:rsidR="00FF4076">
          <w:rPr>
            <w:noProof/>
            <w:webHidden/>
          </w:rPr>
          <w:tab/>
        </w:r>
        <w:r w:rsidR="00FF4076">
          <w:rPr>
            <w:noProof/>
            <w:webHidden/>
          </w:rPr>
          <w:fldChar w:fldCharType="begin"/>
        </w:r>
        <w:r w:rsidR="00FF4076">
          <w:rPr>
            <w:noProof/>
            <w:webHidden/>
          </w:rPr>
          <w:instrText xml:space="preserve"> PAGEREF _Toc43903095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96" w:history="1">
        <w:r w:rsidR="00FF4076" w:rsidRPr="000E3530">
          <w:rPr>
            <w:rStyle w:val="Hypertextovodkaz"/>
            <w:noProof/>
            <w:lang w:eastAsia="cs-CZ"/>
          </w:rPr>
          <w:t>4.2.3</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Vyřizování v přepočtu na soudce</w:t>
        </w:r>
        <w:r w:rsidR="00FF4076">
          <w:rPr>
            <w:noProof/>
            <w:webHidden/>
          </w:rPr>
          <w:tab/>
        </w:r>
        <w:r w:rsidR="00FF4076">
          <w:rPr>
            <w:noProof/>
            <w:webHidden/>
          </w:rPr>
          <w:fldChar w:fldCharType="begin"/>
        </w:r>
        <w:r w:rsidR="00FF4076">
          <w:rPr>
            <w:noProof/>
            <w:webHidden/>
          </w:rPr>
          <w:instrText xml:space="preserve"> PAGEREF _Toc43903096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97" w:history="1">
        <w:r w:rsidR="00FF4076" w:rsidRPr="000E3530">
          <w:rPr>
            <w:rStyle w:val="Hypertextovodkaz"/>
            <w:noProof/>
            <w:lang w:eastAsia="cs-CZ"/>
          </w:rPr>
          <w:t>4.2.4</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Disposition time</w:t>
        </w:r>
        <w:r w:rsidR="00FF4076">
          <w:rPr>
            <w:noProof/>
            <w:webHidden/>
          </w:rPr>
          <w:tab/>
        </w:r>
        <w:r w:rsidR="00FF4076">
          <w:rPr>
            <w:noProof/>
            <w:webHidden/>
          </w:rPr>
          <w:fldChar w:fldCharType="begin"/>
        </w:r>
        <w:r w:rsidR="00FF4076">
          <w:rPr>
            <w:noProof/>
            <w:webHidden/>
          </w:rPr>
          <w:instrText xml:space="preserve"> PAGEREF _Toc43903097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098" w:history="1">
        <w:r w:rsidR="00FF4076" w:rsidRPr="000E3530">
          <w:rPr>
            <w:rStyle w:val="Hypertextovodkaz"/>
            <w:lang w:eastAsia="cs-CZ"/>
          </w:rPr>
          <w:t>4.3</w:t>
        </w:r>
        <w:r w:rsidR="00FF4076">
          <w:rPr>
            <w:rFonts w:asciiTheme="minorHAnsi" w:eastAsiaTheme="minorEastAsia" w:hAnsiTheme="minorHAnsi" w:cstheme="minorBidi"/>
            <w:sz w:val="22"/>
            <w:lang w:eastAsia="cs-CZ"/>
          </w:rPr>
          <w:tab/>
        </w:r>
        <w:r w:rsidR="00FF4076" w:rsidRPr="000E3530">
          <w:rPr>
            <w:rStyle w:val="Hypertextovodkaz"/>
            <w:lang w:eastAsia="cs-CZ"/>
          </w:rPr>
          <w:t>Trestní odvolací agenda</w:t>
        </w:r>
        <w:r w:rsidR="00FF4076">
          <w:rPr>
            <w:webHidden/>
          </w:rPr>
          <w:tab/>
        </w:r>
        <w:r w:rsidR="00FF4076">
          <w:rPr>
            <w:webHidden/>
          </w:rPr>
          <w:fldChar w:fldCharType="begin"/>
        </w:r>
        <w:r w:rsidR="00FF4076">
          <w:rPr>
            <w:webHidden/>
          </w:rPr>
          <w:instrText xml:space="preserve"> PAGEREF _Toc43903098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099" w:history="1">
        <w:r w:rsidR="00FF4076" w:rsidRPr="000E3530">
          <w:rPr>
            <w:rStyle w:val="Hypertextovodkaz"/>
            <w:noProof/>
            <w:lang w:eastAsia="cs-CZ"/>
          </w:rPr>
          <w:t>4.3.1</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Délka řízení</w:t>
        </w:r>
        <w:r w:rsidR="00FF4076">
          <w:rPr>
            <w:noProof/>
            <w:webHidden/>
          </w:rPr>
          <w:tab/>
        </w:r>
        <w:r w:rsidR="00FF4076">
          <w:rPr>
            <w:noProof/>
            <w:webHidden/>
          </w:rPr>
          <w:fldChar w:fldCharType="begin"/>
        </w:r>
        <w:r w:rsidR="00FF4076">
          <w:rPr>
            <w:noProof/>
            <w:webHidden/>
          </w:rPr>
          <w:instrText xml:space="preserve"> PAGEREF _Toc43903099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100" w:history="1">
        <w:r w:rsidR="00FF4076" w:rsidRPr="000E3530">
          <w:rPr>
            <w:rStyle w:val="Hypertextovodkaz"/>
            <w:noProof/>
            <w:lang w:eastAsia="cs-CZ"/>
          </w:rPr>
          <w:t>4.3.2</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Vyřizování věcí</w:t>
        </w:r>
        <w:r w:rsidR="00FF4076">
          <w:rPr>
            <w:noProof/>
            <w:webHidden/>
          </w:rPr>
          <w:tab/>
        </w:r>
        <w:r w:rsidR="00FF4076">
          <w:rPr>
            <w:noProof/>
            <w:webHidden/>
          </w:rPr>
          <w:fldChar w:fldCharType="begin"/>
        </w:r>
        <w:r w:rsidR="00FF4076">
          <w:rPr>
            <w:noProof/>
            <w:webHidden/>
          </w:rPr>
          <w:instrText xml:space="preserve"> PAGEREF _Toc43903100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101" w:history="1">
        <w:r w:rsidR="00FF4076" w:rsidRPr="000E3530">
          <w:rPr>
            <w:rStyle w:val="Hypertextovodkaz"/>
            <w:noProof/>
            <w:lang w:eastAsia="cs-CZ"/>
          </w:rPr>
          <w:t>4.3.3</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Vyřizování věcí v přepočtu na soudce</w:t>
        </w:r>
        <w:r w:rsidR="00FF4076">
          <w:rPr>
            <w:noProof/>
            <w:webHidden/>
          </w:rPr>
          <w:tab/>
        </w:r>
        <w:r w:rsidR="00FF4076">
          <w:rPr>
            <w:noProof/>
            <w:webHidden/>
          </w:rPr>
          <w:fldChar w:fldCharType="begin"/>
        </w:r>
        <w:r w:rsidR="00FF4076">
          <w:rPr>
            <w:noProof/>
            <w:webHidden/>
          </w:rPr>
          <w:instrText xml:space="preserve"> PAGEREF _Toc43903101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102" w:history="1">
        <w:r w:rsidR="00FF4076" w:rsidRPr="000E3530">
          <w:rPr>
            <w:rStyle w:val="Hypertextovodkaz"/>
            <w:noProof/>
            <w:lang w:eastAsia="cs-CZ"/>
          </w:rPr>
          <w:t>4.3.4</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Disposition time</w:t>
        </w:r>
        <w:r w:rsidR="00FF4076">
          <w:rPr>
            <w:noProof/>
            <w:webHidden/>
          </w:rPr>
          <w:tab/>
        </w:r>
        <w:r w:rsidR="00FF4076">
          <w:rPr>
            <w:noProof/>
            <w:webHidden/>
          </w:rPr>
          <w:fldChar w:fldCharType="begin"/>
        </w:r>
        <w:r w:rsidR="00FF4076">
          <w:rPr>
            <w:noProof/>
            <w:webHidden/>
          </w:rPr>
          <w:instrText xml:space="preserve"> PAGEREF _Toc43903102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103" w:history="1">
        <w:r w:rsidR="00FF4076" w:rsidRPr="000E3530">
          <w:rPr>
            <w:rStyle w:val="Hypertextovodkaz"/>
          </w:rPr>
          <w:t>4.4</w:t>
        </w:r>
        <w:r w:rsidR="00FF4076">
          <w:rPr>
            <w:rFonts w:asciiTheme="minorHAnsi" w:eastAsiaTheme="minorEastAsia" w:hAnsiTheme="minorHAnsi" w:cstheme="minorBidi"/>
            <w:sz w:val="22"/>
            <w:lang w:eastAsia="cs-CZ"/>
          </w:rPr>
          <w:tab/>
        </w:r>
        <w:r w:rsidR="00FF4076" w:rsidRPr="000E3530">
          <w:rPr>
            <w:rStyle w:val="Hypertextovodkaz"/>
          </w:rPr>
          <w:t>Insolvenční agenda – II. stupeň</w:t>
        </w:r>
        <w:r w:rsidR="00FF4076">
          <w:rPr>
            <w:webHidden/>
          </w:rPr>
          <w:tab/>
        </w:r>
        <w:r w:rsidR="00FF4076">
          <w:rPr>
            <w:webHidden/>
          </w:rPr>
          <w:fldChar w:fldCharType="begin"/>
        </w:r>
        <w:r w:rsidR="00FF4076">
          <w:rPr>
            <w:webHidden/>
          </w:rPr>
          <w:instrText xml:space="preserve"> PAGEREF _Toc43903103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104" w:history="1">
        <w:r w:rsidR="00FF4076" w:rsidRPr="000E3530">
          <w:rPr>
            <w:rStyle w:val="Hypertextovodkaz"/>
            <w:noProof/>
            <w:lang w:eastAsia="cs-CZ"/>
          </w:rPr>
          <w:t>4.4.1</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Vyřizování věcí</w:t>
        </w:r>
        <w:r w:rsidR="00FF4076">
          <w:rPr>
            <w:noProof/>
            <w:webHidden/>
          </w:rPr>
          <w:tab/>
        </w:r>
        <w:r w:rsidR="00FF4076">
          <w:rPr>
            <w:noProof/>
            <w:webHidden/>
          </w:rPr>
          <w:fldChar w:fldCharType="begin"/>
        </w:r>
        <w:r w:rsidR="00FF4076">
          <w:rPr>
            <w:noProof/>
            <w:webHidden/>
          </w:rPr>
          <w:instrText xml:space="preserve"> PAGEREF _Toc43903104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105" w:history="1">
        <w:r w:rsidR="00FF4076" w:rsidRPr="000E3530">
          <w:rPr>
            <w:rStyle w:val="Hypertextovodkaz"/>
            <w:noProof/>
            <w:lang w:eastAsia="cs-CZ"/>
          </w:rPr>
          <w:t>4.4.2</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Disposition time</w:t>
        </w:r>
        <w:r w:rsidR="00FF4076">
          <w:rPr>
            <w:noProof/>
            <w:webHidden/>
          </w:rPr>
          <w:tab/>
        </w:r>
        <w:r w:rsidR="00FF4076">
          <w:rPr>
            <w:noProof/>
            <w:webHidden/>
          </w:rPr>
          <w:fldChar w:fldCharType="begin"/>
        </w:r>
        <w:r w:rsidR="00FF4076">
          <w:rPr>
            <w:noProof/>
            <w:webHidden/>
          </w:rPr>
          <w:instrText xml:space="preserve"> PAGEREF _Toc43903105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106" w:history="1">
        <w:r w:rsidR="00FF4076" w:rsidRPr="000E3530">
          <w:rPr>
            <w:rStyle w:val="Hypertextovodkaz"/>
          </w:rPr>
          <w:t>4.5</w:t>
        </w:r>
        <w:r w:rsidR="00FF4076">
          <w:rPr>
            <w:rFonts w:asciiTheme="minorHAnsi" w:eastAsiaTheme="minorEastAsia" w:hAnsiTheme="minorHAnsi" w:cstheme="minorBidi"/>
            <w:sz w:val="22"/>
            <w:lang w:eastAsia="cs-CZ"/>
          </w:rPr>
          <w:tab/>
        </w:r>
        <w:r w:rsidR="00FF4076" w:rsidRPr="000E3530">
          <w:rPr>
            <w:rStyle w:val="Hypertextovodkaz"/>
          </w:rPr>
          <w:t>Incidenční spory – II. stupeň</w:t>
        </w:r>
        <w:r w:rsidR="00FF4076">
          <w:rPr>
            <w:webHidden/>
          </w:rPr>
          <w:tab/>
        </w:r>
        <w:r w:rsidR="00FF4076">
          <w:rPr>
            <w:webHidden/>
          </w:rPr>
          <w:fldChar w:fldCharType="begin"/>
        </w:r>
        <w:r w:rsidR="00FF4076">
          <w:rPr>
            <w:webHidden/>
          </w:rPr>
          <w:instrText xml:space="preserve"> PAGEREF _Toc43903106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107" w:history="1">
        <w:r w:rsidR="00FF4076" w:rsidRPr="000E3530">
          <w:rPr>
            <w:rStyle w:val="Hypertextovodkaz"/>
            <w:noProof/>
          </w:rPr>
          <w:t>4.5.1</w:t>
        </w:r>
        <w:r w:rsidR="00FF4076">
          <w:rPr>
            <w:rFonts w:asciiTheme="minorHAnsi" w:eastAsiaTheme="minorEastAsia" w:hAnsiTheme="minorHAnsi" w:cstheme="minorBidi"/>
            <w:noProof/>
            <w:sz w:val="22"/>
            <w:lang w:eastAsia="cs-CZ"/>
          </w:rPr>
          <w:tab/>
        </w:r>
        <w:r w:rsidR="00FF4076" w:rsidRPr="000E3530">
          <w:rPr>
            <w:rStyle w:val="Hypertextovodkaz"/>
            <w:noProof/>
          </w:rPr>
          <w:t>Délka řízení</w:t>
        </w:r>
        <w:r w:rsidR="00FF4076">
          <w:rPr>
            <w:noProof/>
            <w:webHidden/>
          </w:rPr>
          <w:tab/>
        </w:r>
        <w:r w:rsidR="00FF4076">
          <w:rPr>
            <w:noProof/>
            <w:webHidden/>
          </w:rPr>
          <w:fldChar w:fldCharType="begin"/>
        </w:r>
        <w:r w:rsidR="00FF4076">
          <w:rPr>
            <w:noProof/>
            <w:webHidden/>
          </w:rPr>
          <w:instrText xml:space="preserve"> PAGEREF _Toc43903107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108" w:history="1">
        <w:r w:rsidR="00FF4076" w:rsidRPr="000E3530">
          <w:rPr>
            <w:rStyle w:val="Hypertextovodkaz"/>
            <w:noProof/>
            <w:lang w:eastAsia="cs-CZ"/>
          </w:rPr>
          <w:t>4.5.2</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Vyřizování věcí</w:t>
        </w:r>
        <w:r w:rsidR="00FF4076">
          <w:rPr>
            <w:noProof/>
            <w:webHidden/>
          </w:rPr>
          <w:tab/>
        </w:r>
        <w:r w:rsidR="00FF4076">
          <w:rPr>
            <w:noProof/>
            <w:webHidden/>
          </w:rPr>
          <w:fldChar w:fldCharType="begin"/>
        </w:r>
        <w:r w:rsidR="00FF4076">
          <w:rPr>
            <w:noProof/>
            <w:webHidden/>
          </w:rPr>
          <w:instrText xml:space="preserve"> PAGEREF _Toc43903108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109" w:history="1">
        <w:r w:rsidR="00FF4076" w:rsidRPr="000E3530">
          <w:rPr>
            <w:rStyle w:val="Hypertextovodkaz"/>
            <w:noProof/>
            <w:lang w:eastAsia="cs-CZ"/>
          </w:rPr>
          <w:t>4.5.3</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Disposition time</w:t>
        </w:r>
        <w:r w:rsidR="00FF4076">
          <w:rPr>
            <w:noProof/>
            <w:webHidden/>
          </w:rPr>
          <w:tab/>
        </w:r>
        <w:r w:rsidR="00FF4076">
          <w:rPr>
            <w:noProof/>
            <w:webHidden/>
          </w:rPr>
          <w:fldChar w:fldCharType="begin"/>
        </w:r>
        <w:r w:rsidR="00FF4076">
          <w:rPr>
            <w:noProof/>
            <w:webHidden/>
          </w:rPr>
          <w:instrText xml:space="preserve"> PAGEREF _Toc43903109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1"/>
        <w:tabs>
          <w:tab w:val="left" w:pos="482"/>
        </w:tabs>
        <w:rPr>
          <w:rFonts w:asciiTheme="minorHAnsi" w:eastAsiaTheme="minorEastAsia" w:hAnsiTheme="minorHAnsi" w:cstheme="minorBidi"/>
          <w:noProof/>
          <w:sz w:val="22"/>
          <w:lang w:eastAsia="cs-CZ"/>
        </w:rPr>
      </w:pPr>
      <w:hyperlink w:anchor="_Toc43903110" w:history="1">
        <w:r w:rsidR="00FF4076" w:rsidRPr="000E3530">
          <w:rPr>
            <w:rStyle w:val="Hypertextovodkaz"/>
            <w:noProof/>
            <w:lang w:eastAsia="cs-CZ"/>
          </w:rPr>
          <w:t>5</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Nejvyšší soud</w:t>
        </w:r>
        <w:r w:rsidR="00FF4076">
          <w:rPr>
            <w:noProof/>
            <w:webHidden/>
          </w:rPr>
          <w:tab/>
        </w:r>
        <w:r w:rsidR="00FF4076">
          <w:rPr>
            <w:noProof/>
            <w:webHidden/>
          </w:rPr>
          <w:fldChar w:fldCharType="begin"/>
        </w:r>
        <w:r w:rsidR="00FF4076">
          <w:rPr>
            <w:noProof/>
            <w:webHidden/>
          </w:rPr>
          <w:instrText xml:space="preserve"> PAGEREF _Toc43903110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111" w:history="1">
        <w:r w:rsidR="00FF4076" w:rsidRPr="000E3530">
          <w:rPr>
            <w:rStyle w:val="Hypertextovodkaz"/>
            <w:lang w:eastAsia="cs-CZ"/>
          </w:rPr>
          <w:t>5.1</w:t>
        </w:r>
        <w:r w:rsidR="00FF4076">
          <w:rPr>
            <w:rFonts w:asciiTheme="minorHAnsi" w:eastAsiaTheme="minorEastAsia" w:hAnsiTheme="minorHAnsi" w:cstheme="minorBidi"/>
            <w:sz w:val="22"/>
            <w:lang w:eastAsia="cs-CZ"/>
          </w:rPr>
          <w:tab/>
        </w:r>
        <w:r w:rsidR="00FF4076" w:rsidRPr="000E3530">
          <w:rPr>
            <w:rStyle w:val="Hypertextovodkaz"/>
            <w:lang w:eastAsia="cs-CZ"/>
          </w:rPr>
          <w:t>Personál</w:t>
        </w:r>
        <w:r w:rsidR="00FF4076">
          <w:rPr>
            <w:webHidden/>
          </w:rPr>
          <w:tab/>
        </w:r>
        <w:r w:rsidR="00FF4076">
          <w:rPr>
            <w:webHidden/>
          </w:rPr>
          <w:fldChar w:fldCharType="begin"/>
        </w:r>
        <w:r w:rsidR="00FF4076">
          <w:rPr>
            <w:webHidden/>
          </w:rPr>
          <w:instrText xml:space="preserve"> PAGEREF _Toc43903111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112" w:history="1">
        <w:r w:rsidR="00FF4076" w:rsidRPr="000E3530">
          <w:rPr>
            <w:rStyle w:val="Hypertextovodkaz"/>
            <w:noProof/>
            <w:lang w:eastAsia="cs-CZ"/>
          </w:rPr>
          <w:t>5.1.1</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Soudci</w:t>
        </w:r>
        <w:r w:rsidR="00FF4076">
          <w:rPr>
            <w:noProof/>
            <w:webHidden/>
          </w:rPr>
          <w:tab/>
        </w:r>
        <w:r w:rsidR="00FF4076">
          <w:rPr>
            <w:noProof/>
            <w:webHidden/>
          </w:rPr>
          <w:fldChar w:fldCharType="begin"/>
        </w:r>
        <w:r w:rsidR="00FF4076">
          <w:rPr>
            <w:noProof/>
            <w:webHidden/>
          </w:rPr>
          <w:instrText xml:space="preserve"> PAGEREF _Toc43903112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113" w:history="1">
        <w:r w:rsidR="00FF4076" w:rsidRPr="000E3530">
          <w:rPr>
            <w:rStyle w:val="Hypertextovodkaz"/>
            <w:noProof/>
            <w:lang w:eastAsia="cs-CZ"/>
          </w:rPr>
          <w:t>5.1.2</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Zaměstnanci ve výkonu</w:t>
        </w:r>
        <w:r w:rsidR="00FF4076">
          <w:rPr>
            <w:noProof/>
            <w:webHidden/>
          </w:rPr>
          <w:tab/>
        </w:r>
        <w:r w:rsidR="00FF4076">
          <w:rPr>
            <w:noProof/>
            <w:webHidden/>
          </w:rPr>
          <w:fldChar w:fldCharType="begin"/>
        </w:r>
        <w:r w:rsidR="00FF4076">
          <w:rPr>
            <w:noProof/>
            <w:webHidden/>
          </w:rPr>
          <w:instrText xml:space="preserve"> PAGEREF _Toc43903113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114" w:history="1">
        <w:r w:rsidR="00FF4076" w:rsidRPr="000E3530">
          <w:rPr>
            <w:rStyle w:val="Hypertextovodkaz"/>
            <w:lang w:eastAsia="cs-CZ"/>
          </w:rPr>
          <w:t>5.2</w:t>
        </w:r>
        <w:r w:rsidR="00FF4076">
          <w:rPr>
            <w:rFonts w:asciiTheme="minorHAnsi" w:eastAsiaTheme="minorEastAsia" w:hAnsiTheme="minorHAnsi" w:cstheme="minorBidi"/>
            <w:sz w:val="22"/>
            <w:lang w:eastAsia="cs-CZ"/>
          </w:rPr>
          <w:tab/>
        </w:r>
        <w:r w:rsidR="00FF4076" w:rsidRPr="000E3530">
          <w:rPr>
            <w:rStyle w:val="Hypertextovodkaz"/>
            <w:lang w:eastAsia="cs-CZ"/>
          </w:rPr>
          <w:t>Civilní dovolací agenda</w:t>
        </w:r>
        <w:r w:rsidR="00FF4076">
          <w:rPr>
            <w:webHidden/>
          </w:rPr>
          <w:tab/>
        </w:r>
        <w:r w:rsidR="00FF4076">
          <w:rPr>
            <w:webHidden/>
          </w:rPr>
          <w:fldChar w:fldCharType="begin"/>
        </w:r>
        <w:r w:rsidR="00FF4076">
          <w:rPr>
            <w:webHidden/>
          </w:rPr>
          <w:instrText xml:space="preserve"> PAGEREF _Toc43903114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115" w:history="1">
        <w:r w:rsidR="00FF4076" w:rsidRPr="000E3530">
          <w:rPr>
            <w:rStyle w:val="Hypertextovodkaz"/>
            <w:noProof/>
            <w:lang w:eastAsia="cs-CZ"/>
          </w:rPr>
          <w:t>5.2.1</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Vyřizování věcí</w:t>
        </w:r>
        <w:r w:rsidR="00FF4076">
          <w:rPr>
            <w:noProof/>
            <w:webHidden/>
          </w:rPr>
          <w:tab/>
        </w:r>
        <w:r w:rsidR="00FF4076">
          <w:rPr>
            <w:noProof/>
            <w:webHidden/>
          </w:rPr>
          <w:fldChar w:fldCharType="begin"/>
        </w:r>
        <w:r w:rsidR="00FF4076">
          <w:rPr>
            <w:noProof/>
            <w:webHidden/>
          </w:rPr>
          <w:instrText xml:space="preserve"> PAGEREF _Toc43903115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116" w:history="1">
        <w:r w:rsidR="00FF4076" w:rsidRPr="000E3530">
          <w:rPr>
            <w:rStyle w:val="Hypertextovodkaz"/>
          </w:rPr>
          <w:t>5.3</w:t>
        </w:r>
        <w:r w:rsidR="00FF4076">
          <w:rPr>
            <w:rFonts w:asciiTheme="minorHAnsi" w:eastAsiaTheme="minorEastAsia" w:hAnsiTheme="minorHAnsi" w:cstheme="minorBidi"/>
            <w:sz w:val="22"/>
            <w:lang w:eastAsia="cs-CZ"/>
          </w:rPr>
          <w:tab/>
        </w:r>
        <w:r w:rsidR="00FF4076" w:rsidRPr="000E3530">
          <w:rPr>
            <w:rStyle w:val="Hypertextovodkaz"/>
          </w:rPr>
          <w:t>Trestní dovolací agenda</w:t>
        </w:r>
        <w:r w:rsidR="00FF4076">
          <w:rPr>
            <w:webHidden/>
          </w:rPr>
          <w:tab/>
        </w:r>
        <w:r w:rsidR="00FF4076">
          <w:rPr>
            <w:webHidden/>
          </w:rPr>
          <w:fldChar w:fldCharType="begin"/>
        </w:r>
        <w:r w:rsidR="00FF4076">
          <w:rPr>
            <w:webHidden/>
          </w:rPr>
          <w:instrText xml:space="preserve"> PAGEREF _Toc43903116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117" w:history="1">
        <w:r w:rsidR="00FF4076" w:rsidRPr="000E3530">
          <w:rPr>
            <w:rStyle w:val="Hypertextovodkaz"/>
            <w:noProof/>
            <w:lang w:eastAsia="cs-CZ"/>
          </w:rPr>
          <w:t>5.3.1</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Vyřizování věcí</w:t>
        </w:r>
        <w:r w:rsidR="00FF4076">
          <w:rPr>
            <w:noProof/>
            <w:webHidden/>
          </w:rPr>
          <w:tab/>
        </w:r>
        <w:r w:rsidR="00FF4076">
          <w:rPr>
            <w:noProof/>
            <w:webHidden/>
          </w:rPr>
          <w:fldChar w:fldCharType="begin"/>
        </w:r>
        <w:r w:rsidR="00FF4076">
          <w:rPr>
            <w:noProof/>
            <w:webHidden/>
          </w:rPr>
          <w:instrText xml:space="preserve"> PAGEREF _Toc43903117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118" w:history="1">
        <w:r w:rsidR="00FF4076" w:rsidRPr="000E3530">
          <w:rPr>
            <w:rStyle w:val="Hypertextovodkaz"/>
          </w:rPr>
          <w:t>5.4</w:t>
        </w:r>
        <w:r w:rsidR="00FF4076">
          <w:rPr>
            <w:rFonts w:asciiTheme="minorHAnsi" w:eastAsiaTheme="minorEastAsia" w:hAnsiTheme="minorHAnsi" w:cstheme="minorBidi"/>
            <w:sz w:val="22"/>
            <w:lang w:eastAsia="cs-CZ"/>
          </w:rPr>
          <w:tab/>
        </w:r>
        <w:r w:rsidR="00FF4076" w:rsidRPr="000E3530">
          <w:rPr>
            <w:rStyle w:val="Hypertextovodkaz"/>
          </w:rPr>
          <w:t>Stížnosti pro porušení zákona</w:t>
        </w:r>
        <w:r w:rsidR="00FF4076">
          <w:rPr>
            <w:webHidden/>
          </w:rPr>
          <w:tab/>
        </w:r>
        <w:r w:rsidR="00FF4076">
          <w:rPr>
            <w:webHidden/>
          </w:rPr>
          <w:fldChar w:fldCharType="begin"/>
        </w:r>
        <w:r w:rsidR="00FF4076">
          <w:rPr>
            <w:webHidden/>
          </w:rPr>
          <w:instrText xml:space="preserve"> PAGEREF _Toc43903118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119" w:history="1">
        <w:r w:rsidR="00FF4076" w:rsidRPr="000E3530">
          <w:rPr>
            <w:rStyle w:val="Hypertextovodkaz"/>
            <w:noProof/>
            <w:lang w:eastAsia="cs-CZ"/>
          </w:rPr>
          <w:t>5.4.1</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Vyřizování věcí</w:t>
        </w:r>
        <w:r w:rsidR="00FF4076">
          <w:rPr>
            <w:noProof/>
            <w:webHidden/>
          </w:rPr>
          <w:tab/>
        </w:r>
        <w:r w:rsidR="00FF4076">
          <w:rPr>
            <w:noProof/>
            <w:webHidden/>
          </w:rPr>
          <w:fldChar w:fldCharType="begin"/>
        </w:r>
        <w:r w:rsidR="00FF4076">
          <w:rPr>
            <w:noProof/>
            <w:webHidden/>
          </w:rPr>
          <w:instrText xml:space="preserve"> PAGEREF _Toc43903119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120" w:history="1">
        <w:r w:rsidR="00FF4076" w:rsidRPr="000E3530">
          <w:rPr>
            <w:rStyle w:val="Hypertextovodkaz"/>
          </w:rPr>
          <w:t>5.5</w:t>
        </w:r>
        <w:r w:rsidR="00FF4076">
          <w:rPr>
            <w:rFonts w:asciiTheme="minorHAnsi" w:eastAsiaTheme="minorEastAsia" w:hAnsiTheme="minorHAnsi" w:cstheme="minorBidi"/>
            <w:sz w:val="22"/>
            <w:lang w:eastAsia="cs-CZ"/>
          </w:rPr>
          <w:tab/>
        </w:r>
        <w:r w:rsidR="00FF4076" w:rsidRPr="000E3530">
          <w:rPr>
            <w:rStyle w:val="Hypertextovodkaz"/>
          </w:rPr>
          <w:t>Insolvenční agenda</w:t>
        </w:r>
        <w:r w:rsidR="00FF4076">
          <w:rPr>
            <w:webHidden/>
          </w:rPr>
          <w:tab/>
        </w:r>
        <w:r w:rsidR="00FF4076">
          <w:rPr>
            <w:webHidden/>
          </w:rPr>
          <w:fldChar w:fldCharType="begin"/>
        </w:r>
        <w:r w:rsidR="00FF4076">
          <w:rPr>
            <w:webHidden/>
          </w:rPr>
          <w:instrText xml:space="preserve"> PAGEREF _Toc43903120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121" w:history="1">
        <w:r w:rsidR="00FF4076" w:rsidRPr="000E3530">
          <w:rPr>
            <w:rStyle w:val="Hypertextovodkaz"/>
            <w:noProof/>
          </w:rPr>
          <w:t>5.5.1</w:t>
        </w:r>
        <w:r w:rsidR="00FF4076">
          <w:rPr>
            <w:rFonts w:asciiTheme="minorHAnsi" w:eastAsiaTheme="minorEastAsia" w:hAnsiTheme="minorHAnsi" w:cstheme="minorBidi"/>
            <w:noProof/>
            <w:sz w:val="22"/>
            <w:lang w:eastAsia="cs-CZ"/>
          </w:rPr>
          <w:tab/>
        </w:r>
        <w:r w:rsidR="00FF4076" w:rsidRPr="000E3530">
          <w:rPr>
            <w:rStyle w:val="Hypertextovodkaz"/>
            <w:noProof/>
          </w:rPr>
          <w:t>Vyřizování věcí</w:t>
        </w:r>
        <w:r w:rsidR="00FF4076">
          <w:rPr>
            <w:noProof/>
            <w:webHidden/>
          </w:rPr>
          <w:tab/>
        </w:r>
        <w:r w:rsidR="00FF4076">
          <w:rPr>
            <w:noProof/>
            <w:webHidden/>
          </w:rPr>
          <w:fldChar w:fldCharType="begin"/>
        </w:r>
        <w:r w:rsidR="00FF4076">
          <w:rPr>
            <w:noProof/>
            <w:webHidden/>
          </w:rPr>
          <w:instrText xml:space="preserve"> PAGEREF _Toc43903121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1"/>
        <w:tabs>
          <w:tab w:val="left" w:pos="482"/>
        </w:tabs>
        <w:rPr>
          <w:rFonts w:asciiTheme="minorHAnsi" w:eastAsiaTheme="minorEastAsia" w:hAnsiTheme="minorHAnsi" w:cstheme="minorBidi"/>
          <w:noProof/>
          <w:sz w:val="22"/>
          <w:lang w:eastAsia="cs-CZ"/>
        </w:rPr>
      </w:pPr>
      <w:hyperlink w:anchor="_Toc43903122" w:history="1">
        <w:r w:rsidR="00FF4076" w:rsidRPr="000E3530">
          <w:rPr>
            <w:rStyle w:val="Hypertextovodkaz"/>
            <w:noProof/>
            <w:lang w:eastAsia="cs-CZ"/>
          </w:rPr>
          <w:t>6</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Nejvyšší správní soud</w:t>
        </w:r>
        <w:r w:rsidR="00FF4076">
          <w:rPr>
            <w:noProof/>
            <w:webHidden/>
          </w:rPr>
          <w:tab/>
        </w:r>
        <w:r w:rsidR="00FF4076">
          <w:rPr>
            <w:noProof/>
            <w:webHidden/>
          </w:rPr>
          <w:fldChar w:fldCharType="begin"/>
        </w:r>
        <w:r w:rsidR="00FF4076">
          <w:rPr>
            <w:noProof/>
            <w:webHidden/>
          </w:rPr>
          <w:instrText xml:space="preserve"> PAGEREF _Toc43903122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123" w:history="1">
        <w:r w:rsidR="00FF4076" w:rsidRPr="000E3530">
          <w:rPr>
            <w:rStyle w:val="Hypertextovodkaz"/>
            <w:lang w:eastAsia="cs-CZ"/>
          </w:rPr>
          <w:t>6.1</w:t>
        </w:r>
        <w:r w:rsidR="00FF4076">
          <w:rPr>
            <w:rFonts w:asciiTheme="minorHAnsi" w:eastAsiaTheme="minorEastAsia" w:hAnsiTheme="minorHAnsi" w:cstheme="minorBidi"/>
            <w:sz w:val="22"/>
            <w:lang w:eastAsia="cs-CZ"/>
          </w:rPr>
          <w:tab/>
        </w:r>
        <w:r w:rsidR="00FF4076" w:rsidRPr="000E3530">
          <w:rPr>
            <w:rStyle w:val="Hypertextovodkaz"/>
            <w:lang w:eastAsia="cs-CZ"/>
          </w:rPr>
          <w:t>Personál</w:t>
        </w:r>
        <w:r w:rsidR="00FF4076">
          <w:rPr>
            <w:webHidden/>
          </w:rPr>
          <w:tab/>
        </w:r>
        <w:r w:rsidR="00FF4076">
          <w:rPr>
            <w:webHidden/>
          </w:rPr>
          <w:fldChar w:fldCharType="begin"/>
        </w:r>
        <w:r w:rsidR="00FF4076">
          <w:rPr>
            <w:webHidden/>
          </w:rPr>
          <w:instrText xml:space="preserve"> PAGEREF _Toc43903123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124" w:history="1">
        <w:r w:rsidR="00FF4076" w:rsidRPr="000E3530">
          <w:rPr>
            <w:rStyle w:val="Hypertextovodkaz"/>
            <w:noProof/>
            <w:lang w:eastAsia="cs-CZ"/>
          </w:rPr>
          <w:t>6.1.1</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Soudci</w:t>
        </w:r>
        <w:r w:rsidR="00FF4076">
          <w:rPr>
            <w:noProof/>
            <w:webHidden/>
          </w:rPr>
          <w:tab/>
        </w:r>
        <w:r w:rsidR="00FF4076">
          <w:rPr>
            <w:noProof/>
            <w:webHidden/>
          </w:rPr>
          <w:fldChar w:fldCharType="begin"/>
        </w:r>
        <w:r w:rsidR="00FF4076">
          <w:rPr>
            <w:noProof/>
            <w:webHidden/>
          </w:rPr>
          <w:instrText xml:space="preserve"> PAGEREF _Toc43903124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125" w:history="1">
        <w:r w:rsidR="00FF4076" w:rsidRPr="000E3530">
          <w:rPr>
            <w:rStyle w:val="Hypertextovodkaz"/>
            <w:noProof/>
            <w:lang w:eastAsia="cs-CZ"/>
          </w:rPr>
          <w:t>6.1.2</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Zaměstnanci ve výkonu</w:t>
        </w:r>
        <w:r w:rsidR="00FF4076">
          <w:rPr>
            <w:noProof/>
            <w:webHidden/>
          </w:rPr>
          <w:tab/>
        </w:r>
        <w:r w:rsidR="00FF4076">
          <w:rPr>
            <w:noProof/>
            <w:webHidden/>
          </w:rPr>
          <w:fldChar w:fldCharType="begin"/>
        </w:r>
        <w:r w:rsidR="00FF4076">
          <w:rPr>
            <w:noProof/>
            <w:webHidden/>
          </w:rPr>
          <w:instrText xml:space="preserve"> PAGEREF _Toc43903125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126" w:history="1">
        <w:r w:rsidR="00FF4076" w:rsidRPr="000E3530">
          <w:rPr>
            <w:rStyle w:val="Hypertextovodkaz"/>
          </w:rPr>
          <w:t>6.2</w:t>
        </w:r>
        <w:r w:rsidR="00FF4076">
          <w:rPr>
            <w:rFonts w:asciiTheme="minorHAnsi" w:eastAsiaTheme="minorEastAsia" w:hAnsiTheme="minorHAnsi" w:cstheme="minorBidi"/>
            <w:sz w:val="22"/>
            <w:lang w:eastAsia="cs-CZ"/>
          </w:rPr>
          <w:tab/>
        </w:r>
        <w:r w:rsidR="00FF4076" w:rsidRPr="000E3530">
          <w:rPr>
            <w:rStyle w:val="Hypertextovodkaz"/>
          </w:rPr>
          <w:t>Řízení o kasačních stížnostech</w:t>
        </w:r>
        <w:r w:rsidR="00FF4076">
          <w:rPr>
            <w:webHidden/>
          </w:rPr>
          <w:tab/>
        </w:r>
        <w:r w:rsidR="00FF4076">
          <w:rPr>
            <w:webHidden/>
          </w:rPr>
          <w:fldChar w:fldCharType="begin"/>
        </w:r>
        <w:r w:rsidR="00FF4076">
          <w:rPr>
            <w:webHidden/>
          </w:rPr>
          <w:instrText xml:space="preserve"> PAGEREF _Toc43903126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127" w:history="1">
        <w:r w:rsidR="00FF4076" w:rsidRPr="000E3530">
          <w:rPr>
            <w:rStyle w:val="Hypertextovodkaz"/>
            <w:noProof/>
          </w:rPr>
          <w:t>6.2.1</w:t>
        </w:r>
        <w:r w:rsidR="00FF4076">
          <w:rPr>
            <w:rFonts w:asciiTheme="minorHAnsi" w:eastAsiaTheme="minorEastAsia" w:hAnsiTheme="minorHAnsi" w:cstheme="minorBidi"/>
            <w:noProof/>
            <w:sz w:val="22"/>
            <w:lang w:eastAsia="cs-CZ"/>
          </w:rPr>
          <w:tab/>
        </w:r>
        <w:r w:rsidR="00FF4076" w:rsidRPr="000E3530">
          <w:rPr>
            <w:rStyle w:val="Hypertextovodkaz"/>
            <w:noProof/>
          </w:rPr>
          <w:t>Vyřizování věcí</w:t>
        </w:r>
        <w:r w:rsidR="00FF4076">
          <w:rPr>
            <w:noProof/>
            <w:webHidden/>
          </w:rPr>
          <w:tab/>
        </w:r>
        <w:r w:rsidR="00FF4076">
          <w:rPr>
            <w:noProof/>
            <w:webHidden/>
          </w:rPr>
          <w:fldChar w:fldCharType="begin"/>
        </w:r>
        <w:r w:rsidR="00FF4076">
          <w:rPr>
            <w:noProof/>
            <w:webHidden/>
          </w:rPr>
          <w:instrText xml:space="preserve"> PAGEREF _Toc43903127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128" w:history="1">
        <w:r w:rsidR="00FF4076" w:rsidRPr="000E3530">
          <w:rPr>
            <w:rStyle w:val="Hypertextovodkaz"/>
            <w:lang w:eastAsia="cs-CZ"/>
          </w:rPr>
          <w:t>6.3</w:t>
        </w:r>
        <w:r w:rsidR="00FF4076">
          <w:rPr>
            <w:rFonts w:asciiTheme="minorHAnsi" w:eastAsiaTheme="minorEastAsia" w:hAnsiTheme="minorHAnsi" w:cstheme="minorBidi"/>
            <w:sz w:val="22"/>
            <w:lang w:eastAsia="cs-CZ"/>
          </w:rPr>
          <w:tab/>
        </w:r>
        <w:r w:rsidR="00FF4076" w:rsidRPr="000E3530">
          <w:rPr>
            <w:rStyle w:val="Hypertextovodkaz"/>
            <w:lang w:eastAsia="cs-CZ"/>
          </w:rPr>
          <w:t>Řízení ve věcech soudců</w:t>
        </w:r>
        <w:r w:rsidR="00FF4076">
          <w:rPr>
            <w:webHidden/>
          </w:rPr>
          <w:tab/>
        </w:r>
        <w:r w:rsidR="00FF4076">
          <w:rPr>
            <w:webHidden/>
          </w:rPr>
          <w:fldChar w:fldCharType="begin"/>
        </w:r>
        <w:r w:rsidR="00FF4076">
          <w:rPr>
            <w:webHidden/>
          </w:rPr>
          <w:instrText xml:space="preserve"> PAGEREF _Toc43903128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129" w:history="1">
        <w:r w:rsidR="00FF4076" w:rsidRPr="000E3530">
          <w:rPr>
            <w:rStyle w:val="Hypertextovodkaz"/>
            <w:noProof/>
            <w:lang w:eastAsia="cs-CZ"/>
          </w:rPr>
          <w:t>6.3.1</w:t>
        </w:r>
        <w:r w:rsidR="00FF4076">
          <w:rPr>
            <w:rFonts w:asciiTheme="minorHAnsi" w:eastAsiaTheme="minorEastAsia" w:hAnsiTheme="minorHAnsi" w:cstheme="minorBidi"/>
            <w:noProof/>
            <w:sz w:val="22"/>
            <w:lang w:eastAsia="cs-CZ"/>
          </w:rPr>
          <w:tab/>
        </w:r>
        <w:r w:rsidR="00FF4076" w:rsidRPr="000E3530">
          <w:rPr>
            <w:rStyle w:val="Hypertextovodkaz"/>
            <w:noProof/>
            <w:lang w:eastAsia="cs-CZ"/>
          </w:rPr>
          <w:t>Vyřizování věcí</w:t>
        </w:r>
        <w:r w:rsidR="00FF4076">
          <w:rPr>
            <w:noProof/>
            <w:webHidden/>
          </w:rPr>
          <w:tab/>
        </w:r>
        <w:r w:rsidR="00FF4076">
          <w:rPr>
            <w:noProof/>
            <w:webHidden/>
          </w:rPr>
          <w:fldChar w:fldCharType="begin"/>
        </w:r>
        <w:r w:rsidR="00FF4076">
          <w:rPr>
            <w:noProof/>
            <w:webHidden/>
          </w:rPr>
          <w:instrText xml:space="preserve"> PAGEREF _Toc43903129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1"/>
        <w:rPr>
          <w:rFonts w:asciiTheme="minorHAnsi" w:eastAsiaTheme="minorEastAsia" w:hAnsiTheme="minorHAnsi" w:cstheme="minorBidi"/>
          <w:noProof/>
          <w:sz w:val="22"/>
          <w:lang w:eastAsia="cs-CZ"/>
        </w:rPr>
      </w:pPr>
      <w:hyperlink w:anchor="_Toc43903130" w:history="1">
        <w:r w:rsidR="00FF4076" w:rsidRPr="000E3530">
          <w:rPr>
            <w:rStyle w:val="Hypertextovodkaz"/>
            <w:noProof/>
          </w:rPr>
          <w:t>Seznam grafů</w:t>
        </w:r>
        <w:r w:rsidR="00FF4076">
          <w:rPr>
            <w:noProof/>
            <w:webHidden/>
          </w:rPr>
          <w:tab/>
        </w:r>
        <w:r w:rsidR="00FF4076">
          <w:rPr>
            <w:noProof/>
            <w:webHidden/>
          </w:rPr>
          <w:fldChar w:fldCharType="begin"/>
        </w:r>
        <w:r w:rsidR="00FF4076">
          <w:rPr>
            <w:noProof/>
            <w:webHidden/>
          </w:rPr>
          <w:instrText xml:space="preserve"> PAGEREF _Toc43903130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1"/>
        <w:rPr>
          <w:rFonts w:asciiTheme="minorHAnsi" w:eastAsiaTheme="minorEastAsia" w:hAnsiTheme="minorHAnsi" w:cstheme="minorBidi"/>
          <w:noProof/>
          <w:sz w:val="22"/>
          <w:lang w:eastAsia="cs-CZ"/>
        </w:rPr>
      </w:pPr>
      <w:hyperlink w:anchor="_Toc43903131" w:history="1">
        <w:r w:rsidR="00FF4076" w:rsidRPr="000E3530">
          <w:rPr>
            <w:rStyle w:val="Hypertextovodkaz"/>
            <w:noProof/>
          </w:rPr>
          <w:t>Seznam tabulek</w:t>
        </w:r>
        <w:r w:rsidR="00FF4076">
          <w:rPr>
            <w:noProof/>
            <w:webHidden/>
          </w:rPr>
          <w:tab/>
        </w:r>
        <w:r w:rsidR="00FF4076">
          <w:rPr>
            <w:noProof/>
            <w:webHidden/>
          </w:rPr>
          <w:fldChar w:fldCharType="begin"/>
        </w:r>
        <w:r w:rsidR="00FF4076">
          <w:rPr>
            <w:noProof/>
            <w:webHidden/>
          </w:rPr>
          <w:instrText xml:space="preserve"> PAGEREF _Toc43903131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1"/>
        <w:rPr>
          <w:rFonts w:asciiTheme="minorHAnsi" w:eastAsiaTheme="minorEastAsia" w:hAnsiTheme="minorHAnsi" w:cstheme="minorBidi"/>
          <w:noProof/>
          <w:sz w:val="22"/>
          <w:lang w:eastAsia="cs-CZ"/>
        </w:rPr>
      </w:pPr>
      <w:hyperlink w:anchor="_Toc43903132" w:history="1">
        <w:r w:rsidR="00FF4076" w:rsidRPr="000E3530">
          <w:rPr>
            <w:rStyle w:val="Hypertextovodkaz"/>
            <w:noProof/>
          </w:rPr>
          <w:t>Přílohy</w:t>
        </w:r>
        <w:r w:rsidR="00FF4076">
          <w:rPr>
            <w:noProof/>
            <w:webHidden/>
          </w:rPr>
          <w:tab/>
        </w:r>
        <w:r w:rsidR="00FF4076">
          <w:rPr>
            <w:noProof/>
            <w:webHidden/>
          </w:rPr>
          <w:fldChar w:fldCharType="begin"/>
        </w:r>
        <w:r w:rsidR="00FF4076">
          <w:rPr>
            <w:noProof/>
            <w:webHidden/>
          </w:rPr>
          <w:instrText xml:space="preserve"> PAGEREF _Toc43903132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133" w:history="1">
        <w:r w:rsidR="00FF4076" w:rsidRPr="000E3530">
          <w:rPr>
            <w:rStyle w:val="Hypertextovodkaz"/>
          </w:rPr>
          <w:t>Příloha A – seznam použitých pojmů</w:t>
        </w:r>
        <w:r w:rsidR="00FF4076">
          <w:rPr>
            <w:webHidden/>
          </w:rPr>
          <w:tab/>
        </w:r>
        <w:r w:rsidR="00FF4076">
          <w:rPr>
            <w:webHidden/>
          </w:rPr>
          <w:fldChar w:fldCharType="begin"/>
        </w:r>
        <w:r w:rsidR="00FF4076">
          <w:rPr>
            <w:webHidden/>
          </w:rPr>
          <w:instrText xml:space="preserve"> PAGEREF _Toc43903133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134" w:history="1">
        <w:r w:rsidR="00FF4076" w:rsidRPr="000E3530">
          <w:rPr>
            <w:rStyle w:val="Hypertextovodkaz"/>
            <w:noProof/>
          </w:rPr>
          <w:t>Statistické pojmy a použité statistické ukazatele</w:t>
        </w:r>
        <w:r w:rsidR="00FF4076">
          <w:rPr>
            <w:noProof/>
            <w:webHidden/>
          </w:rPr>
          <w:tab/>
        </w:r>
        <w:r w:rsidR="00FF4076">
          <w:rPr>
            <w:noProof/>
            <w:webHidden/>
          </w:rPr>
          <w:fldChar w:fldCharType="begin"/>
        </w:r>
        <w:r w:rsidR="00FF4076">
          <w:rPr>
            <w:noProof/>
            <w:webHidden/>
          </w:rPr>
          <w:instrText xml:space="preserve"> PAGEREF _Toc43903134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135" w:history="1">
        <w:r w:rsidR="00FF4076" w:rsidRPr="000E3530">
          <w:rPr>
            <w:rStyle w:val="Hypertextovodkaz"/>
            <w:noProof/>
          </w:rPr>
          <w:t>Právní a ostatní pojmy</w:t>
        </w:r>
        <w:r w:rsidR="00FF4076">
          <w:rPr>
            <w:noProof/>
            <w:webHidden/>
          </w:rPr>
          <w:tab/>
        </w:r>
        <w:r w:rsidR="00FF4076">
          <w:rPr>
            <w:noProof/>
            <w:webHidden/>
          </w:rPr>
          <w:fldChar w:fldCharType="begin"/>
        </w:r>
        <w:r w:rsidR="00FF4076">
          <w:rPr>
            <w:noProof/>
            <w:webHidden/>
          </w:rPr>
          <w:instrText xml:space="preserve"> PAGEREF _Toc43903135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136" w:history="1">
        <w:r w:rsidR="00FF4076" w:rsidRPr="000E3530">
          <w:rPr>
            <w:rStyle w:val="Hypertextovodkaz"/>
          </w:rPr>
          <w:t>Příloha B – seznam zkr. soudních okresů a soudních obvodů hl. m. Prahy</w:t>
        </w:r>
        <w:r w:rsidR="00FF4076">
          <w:rPr>
            <w:webHidden/>
          </w:rPr>
          <w:tab/>
        </w:r>
        <w:r w:rsidR="00FF4076">
          <w:rPr>
            <w:webHidden/>
          </w:rPr>
          <w:fldChar w:fldCharType="begin"/>
        </w:r>
        <w:r w:rsidR="00FF4076">
          <w:rPr>
            <w:webHidden/>
          </w:rPr>
          <w:instrText xml:space="preserve"> PAGEREF _Toc43903136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137" w:history="1">
        <w:r w:rsidR="00FF4076" w:rsidRPr="000E3530">
          <w:rPr>
            <w:rStyle w:val="Hypertextovodkaz"/>
          </w:rPr>
          <w:t>Příloha C – seznam vybraných rejstříků soudů</w:t>
        </w:r>
        <w:r w:rsidR="00FF4076">
          <w:rPr>
            <w:webHidden/>
          </w:rPr>
          <w:tab/>
        </w:r>
        <w:r w:rsidR="00FF4076">
          <w:rPr>
            <w:webHidden/>
          </w:rPr>
          <w:fldChar w:fldCharType="begin"/>
        </w:r>
        <w:r w:rsidR="00FF4076">
          <w:rPr>
            <w:webHidden/>
          </w:rPr>
          <w:instrText xml:space="preserve"> PAGEREF _Toc43903137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138" w:history="1">
        <w:r w:rsidR="00FF4076" w:rsidRPr="000E3530">
          <w:rPr>
            <w:rStyle w:val="Hypertextovodkaz"/>
          </w:rPr>
          <w:t>Příloha D – přehledové listy s daty soudů</w:t>
        </w:r>
        <w:r w:rsidR="00FF4076">
          <w:rPr>
            <w:webHidden/>
          </w:rPr>
          <w:tab/>
        </w:r>
        <w:r w:rsidR="00FF4076">
          <w:rPr>
            <w:webHidden/>
          </w:rPr>
          <w:fldChar w:fldCharType="begin"/>
        </w:r>
        <w:r w:rsidR="00FF4076">
          <w:rPr>
            <w:webHidden/>
          </w:rPr>
          <w:instrText xml:space="preserve"> PAGEREF _Toc43903138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2"/>
        <w:rPr>
          <w:rFonts w:asciiTheme="minorHAnsi" w:eastAsiaTheme="minorEastAsia" w:hAnsiTheme="minorHAnsi" w:cstheme="minorBidi"/>
          <w:sz w:val="22"/>
          <w:lang w:eastAsia="cs-CZ"/>
        </w:rPr>
      </w:pPr>
      <w:hyperlink w:anchor="_Toc43903139" w:history="1">
        <w:r w:rsidR="00FF4076" w:rsidRPr="000E3530">
          <w:rPr>
            <w:rStyle w:val="Hypertextovodkaz"/>
          </w:rPr>
          <w:t>Příloha E – detailnější popis DEA</w:t>
        </w:r>
        <w:r w:rsidR="00FF4076">
          <w:rPr>
            <w:webHidden/>
          </w:rPr>
          <w:tab/>
        </w:r>
        <w:r w:rsidR="00FF4076">
          <w:rPr>
            <w:webHidden/>
          </w:rPr>
          <w:fldChar w:fldCharType="begin"/>
        </w:r>
        <w:r w:rsidR="00FF4076">
          <w:rPr>
            <w:webHidden/>
          </w:rPr>
          <w:instrText xml:space="preserve"> PAGEREF _Toc43903139 \h </w:instrText>
        </w:r>
        <w:r w:rsidR="00FF4076">
          <w:rPr>
            <w:webHidden/>
          </w:rPr>
        </w:r>
        <w:r w:rsidR="00FF4076">
          <w:rPr>
            <w:webHidden/>
          </w:rPr>
          <w:fldChar w:fldCharType="separate"/>
        </w:r>
        <w:r w:rsidR="006E7F27">
          <w:rPr>
            <w:webHidden/>
          </w:rPr>
          <w:t>2</w:t>
        </w:r>
        <w:r w:rsidR="00FF4076">
          <w:rPr>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140" w:history="1">
        <w:r w:rsidR="00FF4076" w:rsidRPr="000E3530">
          <w:rPr>
            <w:rStyle w:val="Hypertextovodkaz"/>
            <w:noProof/>
          </w:rPr>
          <w:t>Teorie a literatura</w:t>
        </w:r>
        <w:r w:rsidR="00FF4076">
          <w:rPr>
            <w:noProof/>
            <w:webHidden/>
          </w:rPr>
          <w:tab/>
        </w:r>
        <w:r w:rsidR="00FF4076">
          <w:rPr>
            <w:noProof/>
            <w:webHidden/>
          </w:rPr>
          <w:fldChar w:fldCharType="begin"/>
        </w:r>
        <w:r w:rsidR="00FF4076">
          <w:rPr>
            <w:noProof/>
            <w:webHidden/>
          </w:rPr>
          <w:instrText xml:space="preserve"> PAGEREF _Toc43903140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141" w:history="1">
        <w:r w:rsidR="00FF4076" w:rsidRPr="000E3530">
          <w:rPr>
            <w:rStyle w:val="Hypertextovodkaz"/>
            <w:noProof/>
          </w:rPr>
          <w:t>Metodika, specifikace modelu</w:t>
        </w:r>
        <w:r w:rsidR="00FF4076">
          <w:rPr>
            <w:noProof/>
            <w:webHidden/>
          </w:rPr>
          <w:tab/>
        </w:r>
        <w:r w:rsidR="00FF4076">
          <w:rPr>
            <w:noProof/>
            <w:webHidden/>
          </w:rPr>
          <w:fldChar w:fldCharType="begin"/>
        </w:r>
        <w:r w:rsidR="00FF4076">
          <w:rPr>
            <w:noProof/>
            <w:webHidden/>
          </w:rPr>
          <w:instrText xml:space="preserve"> PAGEREF _Toc43903141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FF4076" w:rsidRDefault="00FE0F08">
      <w:pPr>
        <w:pStyle w:val="Obsah3"/>
        <w:rPr>
          <w:rFonts w:asciiTheme="minorHAnsi" w:eastAsiaTheme="minorEastAsia" w:hAnsiTheme="minorHAnsi" w:cstheme="minorBidi"/>
          <w:noProof/>
          <w:sz w:val="22"/>
          <w:lang w:eastAsia="cs-CZ"/>
        </w:rPr>
      </w:pPr>
      <w:hyperlink w:anchor="_Toc43903142" w:history="1">
        <w:r w:rsidR="00FF4076" w:rsidRPr="000E3530">
          <w:rPr>
            <w:rStyle w:val="Hypertextovodkaz"/>
            <w:noProof/>
          </w:rPr>
          <w:t>Seznam literatury (DEA)</w:t>
        </w:r>
        <w:r w:rsidR="00FF4076">
          <w:rPr>
            <w:noProof/>
            <w:webHidden/>
          </w:rPr>
          <w:tab/>
        </w:r>
        <w:r w:rsidR="00FF4076">
          <w:rPr>
            <w:noProof/>
            <w:webHidden/>
          </w:rPr>
          <w:fldChar w:fldCharType="begin"/>
        </w:r>
        <w:r w:rsidR="00FF4076">
          <w:rPr>
            <w:noProof/>
            <w:webHidden/>
          </w:rPr>
          <w:instrText xml:space="preserve"> PAGEREF _Toc43903142 \h </w:instrText>
        </w:r>
        <w:r w:rsidR="00FF4076">
          <w:rPr>
            <w:noProof/>
            <w:webHidden/>
          </w:rPr>
        </w:r>
        <w:r w:rsidR="00FF4076">
          <w:rPr>
            <w:noProof/>
            <w:webHidden/>
          </w:rPr>
          <w:fldChar w:fldCharType="separate"/>
        </w:r>
        <w:r w:rsidR="006E7F27">
          <w:rPr>
            <w:noProof/>
            <w:webHidden/>
          </w:rPr>
          <w:t>2</w:t>
        </w:r>
        <w:r w:rsidR="00FF4076">
          <w:rPr>
            <w:noProof/>
            <w:webHidden/>
          </w:rPr>
          <w:fldChar w:fldCharType="end"/>
        </w:r>
      </w:hyperlink>
    </w:p>
    <w:p w:rsidR="00A4083A" w:rsidRPr="00F85178" w:rsidRDefault="00A4083A" w:rsidP="00A4083A">
      <w:r w:rsidRPr="00F85178">
        <w:fldChar w:fldCharType="end"/>
      </w:r>
    </w:p>
    <w:p w:rsidR="00A4083A" w:rsidRPr="00255AE3" w:rsidRDefault="00A4083A" w:rsidP="00A4083A">
      <w:pPr>
        <w:pStyle w:val="Nadpis1"/>
      </w:pPr>
      <w:bookmarkStart w:id="2" w:name="_Toc487791222"/>
      <w:bookmarkStart w:id="3" w:name="_Toc43903015"/>
      <w:r w:rsidRPr="00255AE3">
        <w:lastRenderedPageBreak/>
        <w:t>Úvod</w:t>
      </w:r>
      <w:bookmarkEnd w:id="2"/>
      <w:bookmarkEnd w:id="3"/>
    </w:p>
    <w:p w:rsidR="00A4083A" w:rsidRPr="001229BC" w:rsidRDefault="00A4083A" w:rsidP="00A4083A">
      <w:pPr>
        <w:pStyle w:val="OdstavecASR"/>
      </w:pPr>
      <w:r w:rsidRPr="00255AE3">
        <w:t xml:space="preserve">Cílem této výroční zprávy je seznámit odbornou i laickou veřejnost s činností české justice z pohledu statistik. Zpráva obsahuje vybraná statistická data za okresní, krajské a vrchní soudy, Nejvyšší </w:t>
      </w:r>
      <w:r w:rsidRPr="001229BC">
        <w:t>soud a Nejvyšší správní soud. Každému článku soudní soustavy se věnuje jedna část, která se následně dělí na kapitoly a podkapitoly. Každá kapitola se zabývá buď vybranou agendou soudu, nebo obsahuje údaje o personálu. Dílčí podkapitoly se pak zaměřují na určitý statistický ukazatel (délka řízení, vyřizování věcí apod.).</w:t>
      </w:r>
    </w:p>
    <w:p w:rsidR="00A4083A" w:rsidRPr="001229BC" w:rsidRDefault="00A4083A" w:rsidP="00A4083A">
      <w:pPr>
        <w:pStyle w:val="OdstavecASR"/>
      </w:pPr>
      <w:r w:rsidRPr="001229BC">
        <w:t>Kapitola 1.1 podrobněji vysvětluje účel této zprávy, seznamuje čtenáře s jejími základními východisky, předpoklady a určitými omezeními a přidává další poznámky, které je třeba mít při čtení dokumentu na mysli.</w:t>
      </w:r>
    </w:p>
    <w:p w:rsidR="00A4083A" w:rsidRPr="004D6F73" w:rsidRDefault="00A4083A" w:rsidP="00A4083A">
      <w:pPr>
        <w:pStyle w:val="OdstavecASR"/>
      </w:pPr>
      <w:r w:rsidRPr="001229BC">
        <w:t>Statistická výroční zpráva za rok 2019 je v mnoha ohledech (obsažená data, metodologie komentáře, grafická úprava apod.) velmi podobná zprávám předchozím</w:t>
      </w:r>
      <w:r>
        <w:t xml:space="preserve">, </w:t>
      </w:r>
      <w:r w:rsidRPr="001229BC">
        <w:t xml:space="preserve">určitých změn však doznala. Jako </w:t>
      </w:r>
      <w:r>
        <w:t xml:space="preserve">každý rok </w:t>
      </w:r>
      <w:r w:rsidRPr="001229BC">
        <w:t xml:space="preserve">byly doplněny nové ukazatele, upřesněna metodika některých výpočtů apod. Kapitola 1.2 vyjmenovává a stručně popisuje </w:t>
      </w:r>
      <w:r w:rsidRPr="004D6F73">
        <w:t>nejvýznamnější z těchto změn.</w:t>
      </w:r>
    </w:p>
    <w:p w:rsidR="00A4083A" w:rsidRPr="004D6F73" w:rsidRDefault="00A4083A" w:rsidP="00A4083A">
      <w:pPr>
        <w:pStyle w:val="Nadpis2"/>
      </w:pPr>
      <w:bookmarkStart w:id="4" w:name="_Ref482901858"/>
      <w:bookmarkStart w:id="5" w:name="_Ref482901954"/>
      <w:bookmarkStart w:id="6" w:name="_Toc487791223"/>
      <w:bookmarkStart w:id="7" w:name="_Toc517118504"/>
      <w:bookmarkStart w:id="8" w:name="_Toc43903016"/>
      <w:r w:rsidRPr="004D6F73">
        <w:t>Základní východiska, předpoklady, omezení a upřesňující poznámky</w:t>
      </w:r>
      <w:bookmarkEnd w:id="4"/>
      <w:bookmarkEnd w:id="5"/>
      <w:bookmarkEnd w:id="6"/>
      <w:bookmarkEnd w:id="7"/>
      <w:bookmarkEnd w:id="8"/>
    </w:p>
    <w:p w:rsidR="00A4083A" w:rsidRPr="004D6F73" w:rsidRDefault="00A4083A" w:rsidP="00A4083A">
      <w:pPr>
        <w:pStyle w:val="OdstavecASR"/>
      </w:pPr>
      <w:r w:rsidRPr="004D6F73">
        <w:t>Při čtení této zprávy je třeba pamatovat zejména na následující skutečnosti:</w:t>
      </w:r>
    </w:p>
    <w:p w:rsidR="00A4083A" w:rsidRPr="004D6F73" w:rsidRDefault="00A4083A" w:rsidP="00A4083A">
      <w:pPr>
        <w:pStyle w:val="Odstavecseseznamem"/>
        <w:numPr>
          <w:ilvl w:val="0"/>
          <w:numId w:val="2"/>
        </w:numPr>
      </w:pPr>
      <w:r w:rsidRPr="004D6F73">
        <w:t>Cílem zprávy je poskytnout čtenáři přístupný, ale poměrně detailní náhled na fungování české justice prostřednictvím statistik. Oproti ostatním veřejně dostupným zdrojům justičních statistik (Justiční statistické ročenky</w:t>
      </w:r>
      <w:r w:rsidRPr="004D6F73">
        <w:rPr>
          <w:rStyle w:val="Znakapoznpodarou"/>
        </w:rPr>
        <w:footnoteReference w:id="1"/>
      </w:r>
      <w:r w:rsidRPr="004D6F73">
        <w:t xml:space="preserve">, </w:t>
      </w:r>
      <w:hyperlink r:id="rId11" w:history="1">
        <w:r w:rsidRPr="004D6F73">
          <w:rPr>
            <w:rStyle w:val="Hypertextovodkaz"/>
          </w:rPr>
          <w:t>internetové stránky InfoData</w:t>
        </w:r>
      </w:hyperlink>
      <w:r w:rsidRPr="004D6F73">
        <w:t>, data publikovaná Českým statistickým úřadem) má tato zpráva mnoho výhod:</w:t>
      </w:r>
    </w:p>
    <w:p w:rsidR="00A4083A" w:rsidRPr="004D6F73" w:rsidRDefault="00A4083A" w:rsidP="00A4083A">
      <w:pPr>
        <w:pStyle w:val="Odstavecseseznamem"/>
        <w:numPr>
          <w:ilvl w:val="1"/>
          <w:numId w:val="2"/>
        </w:numPr>
      </w:pPr>
      <w:r w:rsidRPr="004D6F73">
        <w:t>Obsahuje množství dat, která nejsou jinak dostupná, například nejen průměrné, ale i mediánové délky řízení.</w:t>
      </w:r>
    </w:p>
    <w:p w:rsidR="00A4083A" w:rsidRPr="004D6F73" w:rsidRDefault="00A4083A" w:rsidP="00A4083A">
      <w:pPr>
        <w:pStyle w:val="Odstavecseseznamem"/>
        <w:numPr>
          <w:ilvl w:val="1"/>
          <w:numId w:val="2"/>
        </w:numPr>
      </w:pPr>
      <w:r w:rsidRPr="004D6F73">
        <w:t xml:space="preserve">V průběhu let docházelo ke změnám v legislativě a způsobu vedení statistik a některé zdroje (například InfoData) </w:t>
      </w:r>
      <w:r>
        <w:t xml:space="preserve">ne </w:t>
      </w:r>
      <w:r w:rsidRPr="004D6F73">
        <w:t>vždy detailně rozlišují rejstříky. Ostatní zdroje dat rovněž obsahují jisté, byť velmi malé, množství chybných pozorování. Data v této zprávě jsou vždy, když je to možné, očištěna</w:t>
      </w:r>
      <w:r>
        <w:t xml:space="preserve"> a</w:t>
      </w:r>
      <w:r w:rsidRPr="004D6F73">
        <w:t xml:space="preserve"> výše zmíněnými nedostatky tak netrpí.</w:t>
      </w:r>
    </w:p>
    <w:p w:rsidR="00A4083A" w:rsidRPr="004D6F73" w:rsidRDefault="00A4083A" w:rsidP="00A4083A">
      <w:pPr>
        <w:pStyle w:val="Odstavecseseznamem"/>
        <w:numPr>
          <w:ilvl w:val="1"/>
          <w:numId w:val="2"/>
        </w:numPr>
      </w:pPr>
      <w:r w:rsidRPr="004D6F73">
        <w:t>Data jsou zobrazena v přehledné podobě v různých typech grafů, případně tabulkách. Především sledování vývoje ukazatelů v čase nebo rozdílů mezi jednotlivými soudy je takto výrazně snadnější.</w:t>
      </w:r>
    </w:p>
    <w:p w:rsidR="00A4083A" w:rsidRPr="004D6F73" w:rsidRDefault="00A4083A" w:rsidP="00A4083A">
      <w:pPr>
        <w:pStyle w:val="Odstavecseseznamem"/>
        <w:numPr>
          <w:ilvl w:val="1"/>
          <w:numId w:val="2"/>
        </w:numPr>
      </w:pPr>
      <w:r w:rsidRPr="004D6F73">
        <w:t>Data jsou doplněna komentářem a vysvětlivkami.</w:t>
      </w:r>
    </w:p>
    <w:p w:rsidR="00A4083A" w:rsidRPr="004D6F73" w:rsidRDefault="00A4083A" w:rsidP="00A4083A">
      <w:pPr>
        <w:pStyle w:val="Odstavecseseznamem"/>
        <w:numPr>
          <w:ilvl w:val="0"/>
          <w:numId w:val="2"/>
        </w:numPr>
      </w:pPr>
      <w:r w:rsidRPr="004D6F73">
        <w:t>Zpráva sice poskytuje detailní náhled, nejedná se však o podrobnou analýzu dané problematiky. K takové analýze by byla třeba hlubší práce s daty a využití pokročilejších statistických a ekonometrických metod, které ale přesahují účel tohoto materiálu. Ve zprávě jsou téměř výhradně využita statistická data dostupná Ministerstvu spravedlnosti, velmi zřídka pak další „nestatistické“ informace z jiných zdrojů.</w:t>
      </w:r>
    </w:p>
    <w:p w:rsidR="00A4083A" w:rsidRPr="004D6F73" w:rsidRDefault="00A4083A" w:rsidP="00A4083A">
      <w:pPr>
        <w:pStyle w:val="Odstavecseseznamem"/>
        <w:numPr>
          <w:ilvl w:val="0"/>
          <w:numId w:val="2"/>
        </w:numPr>
      </w:pPr>
      <w:r w:rsidRPr="004D6F73">
        <w:t>Definitivní závěry nemohou být vyvozovány pouze na základě jednoho statistického ukazatele. Například vysoké délky řízení nemusí znamenat (a často také neznamenají), že soud pracuje špatně. Mohou ve skutečnosti ukazovat to, že soud z nějakého důvodu (</w:t>
      </w:r>
      <w:r w:rsidR="00B73FD3">
        <w:t>nízký</w:t>
      </w:r>
      <w:r w:rsidRPr="004D6F73">
        <w:t xml:space="preserve"> </w:t>
      </w:r>
      <w:r w:rsidRPr="004D6F73">
        <w:lastRenderedPageBreak/>
        <w:t>počet personálu, špatná organizace práce apod.) přestal zvládat vyřizovat svou agendu před několika lety, a ačkoliv již nyní pracuje dobře, potýká se s problémy, které vznikly dříve.</w:t>
      </w:r>
    </w:p>
    <w:p w:rsidR="00A4083A" w:rsidRPr="004D6F73" w:rsidRDefault="00A4083A" w:rsidP="00A4083A">
      <w:pPr>
        <w:pStyle w:val="Odstavecseseznamem"/>
        <w:numPr>
          <w:ilvl w:val="0"/>
          <w:numId w:val="2"/>
        </w:numPr>
      </w:pPr>
      <w:r w:rsidRPr="004D6F73">
        <w:t>Zpráva se zabývá pouze hlavními agendami soudů. Soudy ale vyřizují i množství vedlejších agend. Základní údaje o nich lze najít v jiných informačních zdrojích (InfoData, Statistická ročenka). Další rozcestník lze najít na internetových stránkách Ministerstva spravedlnosti</w:t>
      </w:r>
      <w:r>
        <w:t xml:space="preserve"> </w:t>
      </w:r>
      <w:r w:rsidRPr="004D6F73">
        <w:t>v části věnující se justiční statistice</w:t>
      </w:r>
      <w:r w:rsidRPr="004D6F73">
        <w:rPr>
          <w:rStyle w:val="Znakapoznpodarou"/>
        </w:rPr>
        <w:footnoteReference w:id="2"/>
      </w:r>
      <w:r w:rsidRPr="004D6F73">
        <w:t>.</w:t>
      </w:r>
    </w:p>
    <w:p w:rsidR="00A4083A" w:rsidRPr="004D6F73" w:rsidRDefault="00A4083A" w:rsidP="00A4083A">
      <w:pPr>
        <w:pStyle w:val="Odstavecseseznamem"/>
        <w:numPr>
          <w:ilvl w:val="0"/>
          <w:numId w:val="2"/>
        </w:numPr>
      </w:pPr>
      <w:r w:rsidRPr="004D6F73">
        <w:t xml:space="preserve">Soudní obvody neodpovídají novému samosprávnímu členění státu a vycházejí v základu ze správního členění z roku 1960. Na úrovni okresů se hranice často liší pouze mírně. Větší odlišnosti můžeme najít u okresů Brno-venkov, Břeclav, Žďár nad Sázavou, Praha-východ, Kolín, Ostrava-město, Frýdek-Místek, Nový Jičín, Plzeň-jih nebo Plzeň-město. Výrazně větší rozdíly jsou patrné na úrovni krajů, když existuje 14 samosprávných krajů, ale jen 8 krajů soudních. Tato zpráva se zaměřuje na </w:t>
      </w:r>
      <w:r>
        <w:t>soudnictví</w:t>
      </w:r>
      <w:r w:rsidRPr="004D6F73">
        <w:t xml:space="preserve"> a vychází tedy pouze ze soudního členění. Například pojmem </w:t>
      </w:r>
      <w:r w:rsidRPr="004D6F73">
        <w:rPr>
          <w:i/>
        </w:rPr>
        <w:t>kraj</w:t>
      </w:r>
      <w:r w:rsidRPr="004D6F73">
        <w:t xml:space="preserve"> se tedy myslí kraj podle soudního členění. Hlavní město Praha má podle soudního členění 10 obvodů.</w:t>
      </w:r>
    </w:p>
    <w:p w:rsidR="00A4083A" w:rsidRPr="00A46B53" w:rsidRDefault="00A4083A" w:rsidP="00A4083A">
      <w:pPr>
        <w:pStyle w:val="Odstavecseseznamem"/>
        <w:numPr>
          <w:ilvl w:val="0"/>
          <w:numId w:val="2"/>
        </w:numPr>
      </w:pPr>
      <w:r w:rsidRPr="004D6F73">
        <w:t>Ačkoliv je to na první pohled nelogické, ve statistikách týkajících se vyřizování věcí nutně neplatí, že (nevyřízené věci)</w:t>
      </w:r>
      <w:r w:rsidRPr="004D6F73">
        <w:rPr>
          <w:vertAlign w:val="subscript"/>
        </w:rPr>
        <w:t>t-1</w:t>
      </w:r>
      <w:r w:rsidRPr="004D6F73">
        <w:t xml:space="preserve"> + (příchozí věci)</w:t>
      </w:r>
      <w:r w:rsidRPr="004D6F73">
        <w:rPr>
          <w:vertAlign w:val="subscript"/>
        </w:rPr>
        <w:t>t</w:t>
      </w:r>
      <w:r w:rsidRPr="004D6F73">
        <w:t xml:space="preserve"> – (vyřízené věci)</w:t>
      </w:r>
      <w:r w:rsidRPr="004D6F73">
        <w:rPr>
          <w:vertAlign w:val="subscript"/>
        </w:rPr>
        <w:t xml:space="preserve">t </w:t>
      </w:r>
      <w:r w:rsidRPr="004D6F73">
        <w:t>= (nevyřízené věci)</w:t>
      </w:r>
      <w:r w:rsidRPr="004D6F73">
        <w:rPr>
          <w:vertAlign w:val="subscript"/>
        </w:rPr>
        <w:t>t</w:t>
      </w:r>
      <w:r w:rsidRPr="004D6F73">
        <w:t xml:space="preserve">. Tedy například, že počet nevyřízených </w:t>
      </w:r>
      <w:r w:rsidRPr="00A46B53">
        <w:t>věcí na konci roku 2008 + počet příchozích věcí v roce 2009 – počet vyřízených věcí v roce 2009 se rovná počtu nevyřízených věcí na konci roku 2009. Příčinou je oprava chybně vyznačených dat, která se projeví v novějších výkazech. Odchylky se nicméně pohybují v řádu jednotek a nemají žádný relevantní vliv.</w:t>
      </w:r>
    </w:p>
    <w:p w:rsidR="00A4083A" w:rsidRPr="00A46B53" w:rsidRDefault="00A4083A" w:rsidP="00A4083A">
      <w:pPr>
        <w:pStyle w:val="Odstavecseseznamem"/>
        <w:numPr>
          <w:ilvl w:val="0"/>
          <w:numId w:val="2"/>
        </w:numPr>
      </w:pPr>
      <w:r w:rsidRPr="00A46B53">
        <w:t>U grafů je třeba věnovat pozornost měřítku na ose </w:t>
      </w:r>
      <w:r w:rsidRPr="00A46B53">
        <w:rPr>
          <w:i/>
        </w:rPr>
        <w:t xml:space="preserve">y </w:t>
      </w:r>
      <w:r w:rsidRPr="00A46B53">
        <w:t>(svislá osa), měřítka se totiž liší. Stejně důležitý je rozsah osy. Ta totiž například nezačíná na hodnotě 0, ale na hodnotě vyšší. Na první pohled se tak mohou rozdíly zdát větší, než ve skutečnosti jsou. U kartogramů musíme sledovat velikost intervalů.</w:t>
      </w:r>
    </w:p>
    <w:p w:rsidR="00A4083A" w:rsidRPr="0041137D" w:rsidRDefault="00A4083A" w:rsidP="00A4083A">
      <w:pPr>
        <w:pStyle w:val="Odstavecseseznamem"/>
        <w:numPr>
          <w:ilvl w:val="0"/>
          <w:numId w:val="2"/>
        </w:numPr>
      </w:pPr>
      <w:r w:rsidRPr="0041137D">
        <w:t>U trestních agend je potřeba rozlišovat mezi počtem věcí a počtem osob. Z podstaty trestního řízení totiž vyplývá, že směřuje proti osobě, vůči které je vedeno. Jedna trestní věc může zahrnovat i více osob, počet osob tak může být výrazně vyšší než počet věcí. To platí především u krajských a vrchních soudů. Tato zpráva se zabývá pouze počtem věcí. Za zmínku stojí fakt, že počet stíhaných osob lze považovat za aproximaci složitosti věci. Více osob znamená zpravidla složitější věc.</w:t>
      </w:r>
    </w:p>
    <w:p w:rsidR="00A4083A" w:rsidRPr="001229BC" w:rsidRDefault="00A4083A" w:rsidP="00A4083A">
      <w:pPr>
        <w:pStyle w:val="Odstavecseseznamem"/>
        <w:numPr>
          <w:ilvl w:val="0"/>
          <w:numId w:val="2"/>
        </w:numPr>
      </w:pPr>
      <w:r w:rsidRPr="0041137D">
        <w:t xml:space="preserve">Mediánová délka řízení </w:t>
      </w:r>
      <w:r w:rsidRPr="001229BC">
        <w:t>má z trojice medián, průměr a percentil 90 pro účely této zprávy zřejmě nejlepší vypovídající hodnotu, protože eliminuje extrémní hodnoty. Proto v kartogramech využíváme mediánovou délku řízení a ne průměrnou délku řízení nebo devadesátý percentil.</w:t>
      </w:r>
    </w:p>
    <w:p w:rsidR="00A4083A" w:rsidRPr="001229BC" w:rsidRDefault="00A4083A" w:rsidP="00A4083A">
      <w:pPr>
        <w:pStyle w:val="Odstavecseseznamem"/>
        <w:numPr>
          <w:ilvl w:val="0"/>
          <w:numId w:val="2"/>
        </w:numPr>
      </w:pPr>
      <w:r w:rsidRPr="001229BC">
        <w:t>Seznam použitých pojmů, seznam zkratek soudních okresů a soudních obvodů hlavního města Prahy využitých v kartogramech a seznam vybraných rejstříků soudů naleznete v příloze této zprávy.</w:t>
      </w:r>
    </w:p>
    <w:p w:rsidR="00A4083A" w:rsidRPr="001229BC" w:rsidRDefault="00A4083A" w:rsidP="00A4083A">
      <w:pPr>
        <w:pStyle w:val="Odstavecseseznamem"/>
        <w:numPr>
          <w:ilvl w:val="0"/>
          <w:numId w:val="2"/>
        </w:numPr>
      </w:pPr>
      <w:r w:rsidRPr="001229BC">
        <w:t>Přesné číselné údaje o jednotlivých okresních soudech jsou v Příloze D. Lze je také dohledat na internetových stránkách Ministerstva spravedlnosti v části věnující se justiční statistice.</w:t>
      </w:r>
    </w:p>
    <w:p w:rsidR="00A4083A" w:rsidRPr="001229BC" w:rsidRDefault="00A4083A" w:rsidP="00A4083A">
      <w:pPr>
        <w:pStyle w:val="Odstavecseseznamem"/>
        <w:numPr>
          <w:ilvl w:val="0"/>
          <w:numId w:val="2"/>
        </w:numPr>
      </w:pPr>
      <w:r w:rsidRPr="001229BC">
        <w:t>Nově jsou ve zprávě využity dva různé ukazatele pro počty soudců</w:t>
      </w:r>
      <w:r>
        <w:t>.</w:t>
      </w:r>
    </w:p>
    <w:p w:rsidR="00A4083A" w:rsidRPr="001229BC" w:rsidRDefault="00A4083A" w:rsidP="00A4083A">
      <w:pPr>
        <w:pStyle w:val="Odstavecseseznamem"/>
        <w:numPr>
          <w:ilvl w:val="1"/>
          <w:numId w:val="2"/>
        </w:numPr>
      </w:pPr>
      <w:r w:rsidRPr="001229BC">
        <w:lastRenderedPageBreak/>
        <w:t>Stejně jako v minulých letech je využit evidenční počet soudců</w:t>
      </w:r>
      <w:r>
        <w:t>, a to</w:t>
      </w:r>
      <w:r w:rsidRPr="001229BC">
        <w:t xml:space="preserve"> v kapitolách o</w:t>
      </w:r>
      <w:r>
        <w:t> </w:t>
      </w:r>
      <w:r w:rsidRPr="001229BC">
        <w:t>personálu. Výhodou je především to, že data jsou sbírána pravidelně stejnou metodikou a jsou k dispozici za dlouhé časové období.</w:t>
      </w:r>
    </w:p>
    <w:p w:rsidR="00A4083A" w:rsidRPr="001229BC" w:rsidRDefault="00A4083A" w:rsidP="00A4083A">
      <w:pPr>
        <w:pStyle w:val="Odstavecseseznamem"/>
        <w:numPr>
          <w:ilvl w:val="1"/>
          <w:numId w:val="2"/>
        </w:numPr>
      </w:pPr>
      <w:r>
        <w:t xml:space="preserve">Nově jsou využita data o počtu </w:t>
      </w:r>
      <w:r w:rsidRPr="001229BC">
        <w:t>skutečných úvazků</w:t>
      </w:r>
      <w:r>
        <w:t xml:space="preserve">m, která </w:t>
      </w:r>
      <w:r w:rsidRPr="001229BC">
        <w:t>byla poprvé sbírána k 1.</w:t>
      </w:r>
      <w:r>
        <w:t> </w:t>
      </w:r>
      <w:r w:rsidRPr="001229BC">
        <w:t>1.</w:t>
      </w:r>
      <w:r>
        <w:t> </w:t>
      </w:r>
      <w:r w:rsidRPr="001229BC">
        <w:t>2020. Jejich velkou výhodou je fakt, že jsou přesnější</w:t>
      </w:r>
      <w:r>
        <w:t xml:space="preserve">, neboť je v nich </w:t>
      </w:r>
      <w:r w:rsidRPr="001229BC">
        <w:t>například vyčleněna opatrovnická agenda (</w:t>
      </w:r>
      <w:r>
        <w:t>a </w:t>
      </w:r>
      <w:r w:rsidRPr="001229BC">
        <w:t xml:space="preserve">není </w:t>
      </w:r>
      <w:r>
        <w:t xml:space="preserve">tedy </w:t>
      </w:r>
      <w:r w:rsidRPr="001229BC">
        <w:t>uveden</w:t>
      </w:r>
      <w:r>
        <w:t>a</w:t>
      </w:r>
      <w:r w:rsidRPr="001229BC">
        <w:t xml:space="preserve"> dohromady s</w:t>
      </w:r>
      <w:r>
        <w:t> </w:t>
      </w:r>
      <w:r w:rsidRPr="001229BC">
        <w:t>rejstříkem</w:t>
      </w:r>
      <w:r>
        <w:t> </w:t>
      </w:r>
      <w:r w:rsidRPr="001229BC">
        <w:t>C) a dále jsou zohledněny i </w:t>
      </w:r>
      <w:r>
        <w:t xml:space="preserve">nepřítomnosti soudců, např. </w:t>
      </w:r>
      <w:r w:rsidRPr="001229BC">
        <w:t xml:space="preserve">je dlouhodobá nemoc apod. Počty </w:t>
      </w:r>
      <w:r>
        <w:t xml:space="preserve">skutečných úvazků </w:t>
      </w:r>
      <w:r w:rsidRPr="001229BC">
        <w:t xml:space="preserve">jsou uvedeny s přesností na desetinu soudce. Tato data jsou pak tedy využita v kapitolách s přepočty </w:t>
      </w:r>
      <w:r>
        <w:t xml:space="preserve">věcí </w:t>
      </w:r>
      <w:r w:rsidRPr="001229BC">
        <w:t>na soudce.</w:t>
      </w:r>
    </w:p>
    <w:p w:rsidR="00A4083A" w:rsidRPr="00EE12ED" w:rsidRDefault="00A4083A" w:rsidP="00A4083A">
      <w:pPr>
        <w:rPr>
          <w:highlight w:val="yellow"/>
        </w:rPr>
      </w:pPr>
    </w:p>
    <w:p w:rsidR="00A4083A" w:rsidRPr="00FA1C45" w:rsidRDefault="00A4083A" w:rsidP="00A4083A">
      <w:pPr>
        <w:pStyle w:val="Odstavecseseznamem"/>
        <w:numPr>
          <w:ilvl w:val="1"/>
          <w:numId w:val="2"/>
        </w:numPr>
        <w:rPr>
          <w:highlight w:val="yellow"/>
        </w:rPr>
      </w:pPr>
      <w:r w:rsidRPr="00FA1C45">
        <w:rPr>
          <w:highlight w:val="yellow"/>
        </w:rPr>
        <w:br w:type="page"/>
      </w:r>
    </w:p>
    <w:p w:rsidR="00A4083A" w:rsidRPr="0041137D" w:rsidRDefault="00A4083A" w:rsidP="00A4083A">
      <w:pPr>
        <w:pStyle w:val="Nadpis2"/>
      </w:pPr>
      <w:bookmarkStart w:id="9" w:name="_Ref508884198"/>
      <w:bookmarkStart w:id="10" w:name="_Toc517118505"/>
      <w:bookmarkStart w:id="11" w:name="_Toc43903017"/>
      <w:r w:rsidRPr="0041137D">
        <w:lastRenderedPageBreak/>
        <w:t>Změny oproti verzi z minulého roku</w:t>
      </w:r>
      <w:bookmarkEnd w:id="9"/>
      <w:bookmarkEnd w:id="10"/>
      <w:bookmarkEnd w:id="11"/>
    </w:p>
    <w:p w:rsidR="00A4083A" w:rsidRPr="00EE12ED" w:rsidRDefault="00A4083A" w:rsidP="00A4083A">
      <w:pPr>
        <w:pStyle w:val="OdstavecASR"/>
      </w:pPr>
      <w:r w:rsidRPr="00EE12ED">
        <w:t xml:space="preserve">Statistická výroční zpráva za rok 2019 je v mnoha ohledech (obsažená data, metodologie komentáře, grafická úprava apod.) velmi podobná zprávě za rok 2018. </w:t>
      </w:r>
      <w:r>
        <w:t>U</w:t>
      </w:r>
      <w:r w:rsidRPr="00EE12ED">
        <w:t xml:space="preserve">rčitých změn </w:t>
      </w:r>
      <w:r>
        <w:t xml:space="preserve">však </w:t>
      </w:r>
      <w:r w:rsidRPr="00EE12ED">
        <w:t>doznala. Změny jsou následující:</w:t>
      </w:r>
    </w:p>
    <w:p w:rsidR="00A4083A" w:rsidRPr="001229BC" w:rsidRDefault="00A4083A" w:rsidP="00A4083A">
      <w:pPr>
        <w:pStyle w:val="Odstavecseseznamem"/>
        <w:numPr>
          <w:ilvl w:val="0"/>
          <w:numId w:val="3"/>
        </w:numPr>
      </w:pPr>
      <w:r w:rsidRPr="001229BC">
        <w:t xml:space="preserve">U některých agend uvádíme jiné </w:t>
      </w:r>
      <w:r w:rsidRPr="001229BC">
        <w:rPr>
          <w:i/>
        </w:rPr>
        <w:t>další statistiky</w:t>
      </w:r>
      <w:r w:rsidRPr="001229BC">
        <w:t xml:space="preserve"> než v roce 2018.</w:t>
      </w:r>
    </w:p>
    <w:p w:rsidR="00A4083A" w:rsidRPr="001229BC" w:rsidRDefault="00A4083A" w:rsidP="00A4083A">
      <w:pPr>
        <w:pStyle w:val="Odstavecseseznamem"/>
        <w:numPr>
          <w:ilvl w:val="0"/>
          <w:numId w:val="3"/>
        </w:numPr>
      </w:pPr>
      <w:r w:rsidRPr="001229BC">
        <w:t>Byla opět rozšířena část s daty o personálu, a to o detailnější data o přísedících a srovnání evidenčního a plánovaného počtu soudců za posledních 5 let u okresních a krajských soudů.</w:t>
      </w:r>
    </w:p>
    <w:p w:rsidR="00A4083A" w:rsidRPr="001229BC" w:rsidRDefault="00A4083A" w:rsidP="00A4083A">
      <w:pPr>
        <w:pStyle w:val="Odstavecseseznamem"/>
        <w:numPr>
          <w:ilvl w:val="0"/>
          <w:numId w:val="3"/>
        </w:numPr>
      </w:pPr>
      <w:r>
        <w:t>J</w:t>
      </w:r>
      <w:r w:rsidRPr="001229BC">
        <w:t xml:space="preserve">sou využity dva druhy dat o počtech soudců (viz výše). </w:t>
      </w:r>
      <w:r>
        <w:t xml:space="preserve">V důsledku toho je </w:t>
      </w:r>
      <w:r w:rsidRPr="001229BC">
        <w:t xml:space="preserve">přepočet na soudce nyní k dispozici i u opatrovnické agendy u okresních soudů a u většiny agend soudů krajských. </w:t>
      </w:r>
      <w:r>
        <w:t xml:space="preserve">Z téhož důvodu se </w:t>
      </w:r>
      <w:r w:rsidRPr="001229BC">
        <w:t>změnil</w:t>
      </w:r>
      <w:r>
        <w:t>y</w:t>
      </w:r>
      <w:r w:rsidRPr="001229BC">
        <w:t xml:space="preserve"> </w:t>
      </w:r>
      <w:r>
        <w:t xml:space="preserve">hodnoty </w:t>
      </w:r>
      <w:r w:rsidRPr="001229BC">
        <w:t>u</w:t>
      </w:r>
      <w:r>
        <w:t> </w:t>
      </w:r>
      <w:r w:rsidRPr="001229BC">
        <w:t>ostatních agend a není tedy k dispozici srovnání s předchozím rokem.</w:t>
      </w:r>
    </w:p>
    <w:p w:rsidR="00A4083A" w:rsidRDefault="00A4083A" w:rsidP="00A4083A">
      <w:pPr>
        <w:pStyle w:val="Odstavecseseznamem"/>
        <w:numPr>
          <w:ilvl w:val="0"/>
          <w:numId w:val="3"/>
        </w:numPr>
      </w:pPr>
      <w:r w:rsidRPr="001229BC">
        <w:t>U krajských a vrchních soudů byla doplněna část s daty o incidenčních sporech.</w:t>
      </w:r>
    </w:p>
    <w:p w:rsidR="00A4083A" w:rsidRPr="001229BC" w:rsidRDefault="00A4083A" w:rsidP="00A4083A">
      <w:pPr>
        <w:pStyle w:val="OdstavecASR"/>
      </w:pPr>
      <w:r w:rsidRPr="001229BC">
        <w:t>Zejména jsme však doplnili data za rok 2019</w:t>
      </w:r>
      <w:r>
        <w:t xml:space="preserve"> a</w:t>
      </w:r>
      <w:r w:rsidRPr="001229BC">
        <w:t xml:space="preserve"> upravili grafy i textovou část, kterou jsme také rozšířili.</w:t>
      </w:r>
    </w:p>
    <w:p w:rsidR="00A4083A" w:rsidRPr="00E142C0" w:rsidRDefault="00A4083A" w:rsidP="00A4083A">
      <w:pPr>
        <w:pStyle w:val="Nadpis1"/>
      </w:pPr>
      <w:bookmarkStart w:id="12" w:name="_Toc517118506"/>
      <w:bookmarkStart w:id="13" w:name="_Toc43903018"/>
      <w:r w:rsidRPr="00E142C0">
        <w:lastRenderedPageBreak/>
        <w:t>Okresní soudy</w:t>
      </w:r>
      <w:bookmarkEnd w:id="12"/>
      <w:bookmarkEnd w:id="13"/>
    </w:p>
    <w:p w:rsidR="00A4083A" w:rsidRPr="001229BC" w:rsidRDefault="00A4083A" w:rsidP="00A4083A">
      <w:pPr>
        <w:pStyle w:val="OdstavecASR"/>
      </w:pPr>
      <w:r w:rsidRPr="001229BC">
        <w:t>Tato část výroční zprávy obsahuje data, která se týkají všech okresních soudů (OS) v ČR. Jedná se o 75 okresních soudů, Městský soud v Brně a 10 obvodních soudů v Praze.</w:t>
      </w:r>
    </w:p>
    <w:p w:rsidR="00A4083A" w:rsidRPr="001229BC" w:rsidRDefault="00A4083A" w:rsidP="00A4083A">
      <w:pPr>
        <w:pStyle w:val="OdstavecASR"/>
      </w:pPr>
      <w:r w:rsidRPr="001229BC">
        <w:t>V první podkapitole uvádíme statistiky týkající se počtu soudců, počtu zaměstnanců ve výkonu a ve správě a počtu přísedících. Další podkapitoly se věnují jednotlivým soudním agendám. Okresní soudy jsou soudy prvoinstanční a vyřizují v zásadě tři hlavní typy agend – civilní, trestní a opatrovnickou.</w:t>
      </w:r>
    </w:p>
    <w:p w:rsidR="00A4083A" w:rsidRPr="001229BC" w:rsidRDefault="00A4083A" w:rsidP="00A4083A">
      <w:pPr>
        <w:pStyle w:val="OdstavecASR"/>
      </w:pPr>
      <w:r w:rsidRPr="001229BC">
        <w:t>Pro většinu agend (tedy ve většině podkapitol) uvádíme délky řízení ode dne nápadu do dne vyřízení soudem I. stupně (průměr, medián a percentil 90). Dále následují data týkající se vyřizování věcí: nápad + obživlé věci, vyřízené věci, nevyřízené věci a míra vyřizování v</w:t>
      </w:r>
      <w:r>
        <w:t xml:space="preserve"> % </w:t>
      </w:r>
      <w:r w:rsidRPr="001229BC">
        <w:t>(vyřízené věci/příchozí věci × 100</w:t>
      </w:r>
      <w:r>
        <w:t> %</w:t>
      </w:r>
      <w:r w:rsidRPr="001229BC">
        <w:t>). V závěru uvádíme i další zajímavé statistiky (např. míru odvolání). Údaje jsou většinou řazeny v časových řadách pro celou ČR, následují data za kraje v roce 2019 a kartogramy pro jednotlivé okresní soudy. V některých tabulkách s průřezovými daty po krajích je také menším písmem uvedena změna oproti roku 2018. U délky řízení je pomocí histogramu rovněž zobrazeno její rozdělení v roce 2019.</w:t>
      </w:r>
    </w:p>
    <w:p w:rsidR="00A4083A" w:rsidRPr="000722D9" w:rsidRDefault="00A4083A" w:rsidP="00A4083A">
      <w:pPr>
        <w:pStyle w:val="Nadpis2"/>
      </w:pPr>
      <w:bookmarkStart w:id="14" w:name="_Toc487791225"/>
      <w:bookmarkStart w:id="15" w:name="_Toc517118507"/>
      <w:bookmarkStart w:id="16" w:name="_Toc43903019"/>
      <w:r w:rsidRPr="000722D9">
        <w:t>Personál</w:t>
      </w:r>
      <w:bookmarkEnd w:id="14"/>
      <w:bookmarkEnd w:id="15"/>
      <w:bookmarkEnd w:id="16"/>
    </w:p>
    <w:p w:rsidR="00A4083A" w:rsidRPr="00700102" w:rsidRDefault="00A4083A" w:rsidP="00A4083A">
      <w:pPr>
        <w:pStyle w:val="OdstavecASR"/>
      </w:pPr>
      <w:r w:rsidRPr="00700102">
        <w:t>Podkapitolu dělíme na tři části. V první části se věnujeme soudcům, druhá se zaměřuje na další zaměstnance soudu a třetí pojednává o přísedících soudu. Všechny uvedené údaje jsou v osobách a data vyjadřují vždy stav k 1. 1. daného roku.</w:t>
      </w:r>
    </w:p>
    <w:p w:rsidR="00A4083A" w:rsidRPr="00700102" w:rsidRDefault="00A4083A" w:rsidP="00A4083A">
      <w:pPr>
        <w:pStyle w:val="Nadpis3"/>
        <w:spacing w:before="0"/>
        <w:rPr>
          <w:color w:val="auto"/>
        </w:rPr>
      </w:pPr>
      <w:bookmarkStart w:id="17" w:name="_Ref486090162"/>
      <w:bookmarkStart w:id="18" w:name="_Toc487791226"/>
      <w:bookmarkStart w:id="19" w:name="_Toc517118508"/>
      <w:bookmarkStart w:id="20" w:name="_Toc43903020"/>
      <w:r w:rsidRPr="00700102">
        <w:rPr>
          <w:color w:val="auto"/>
        </w:rPr>
        <w:t>Soudci</w:t>
      </w:r>
      <w:bookmarkEnd w:id="17"/>
      <w:bookmarkEnd w:id="18"/>
      <w:bookmarkEnd w:id="19"/>
      <w:bookmarkEnd w:id="20"/>
    </w:p>
    <w:p w:rsidR="00A4083A" w:rsidRPr="006C2B88" w:rsidRDefault="00A4083A" w:rsidP="00A4083A">
      <w:pPr>
        <w:pStyle w:val="Podnadpis"/>
        <w:rPr>
          <w:color w:val="auto"/>
        </w:rPr>
      </w:pPr>
      <w:bookmarkStart w:id="21" w:name="_Ref509212911"/>
      <w:bookmarkStart w:id="22" w:name="_Toc515871326"/>
      <w:bookmarkStart w:id="23" w:name="_Toc11135062"/>
      <w:bookmarkStart w:id="24" w:name="_Toc43841381"/>
      <w:r w:rsidRPr="00700102">
        <w:rPr>
          <w:color w:val="auto"/>
        </w:rPr>
        <w:t xml:space="preserve">Graf </w:t>
      </w:r>
      <w:r w:rsidRPr="00700102">
        <w:rPr>
          <w:color w:val="auto"/>
        </w:rPr>
        <w:fldChar w:fldCharType="begin"/>
      </w:r>
      <w:r w:rsidRPr="00700102">
        <w:rPr>
          <w:color w:val="auto"/>
        </w:rPr>
        <w:instrText xml:space="preserve"> SEQ Graf \* ARABIC </w:instrText>
      </w:r>
      <w:r w:rsidRPr="00700102">
        <w:rPr>
          <w:color w:val="auto"/>
        </w:rPr>
        <w:fldChar w:fldCharType="separate"/>
      </w:r>
      <w:r w:rsidR="006E7F27">
        <w:rPr>
          <w:noProof/>
          <w:color w:val="auto"/>
        </w:rPr>
        <w:t>1</w:t>
      </w:r>
      <w:r w:rsidRPr="00700102">
        <w:rPr>
          <w:color w:val="auto"/>
        </w:rPr>
        <w:fldChar w:fldCharType="end"/>
      </w:r>
      <w:bookmarkEnd w:id="21"/>
      <w:r w:rsidRPr="00700102">
        <w:rPr>
          <w:color w:val="auto"/>
        </w:rPr>
        <w:t>: OS – počet soudců v </w:t>
      </w:r>
      <w:r w:rsidRPr="006C2B88">
        <w:rPr>
          <w:color w:val="auto"/>
        </w:rPr>
        <w:t>letech 2008–201</w:t>
      </w:r>
      <w:bookmarkEnd w:id="22"/>
      <w:bookmarkEnd w:id="23"/>
      <w:r w:rsidRPr="006C2B88">
        <w:rPr>
          <w:color w:val="auto"/>
        </w:rPr>
        <w:t>9</w:t>
      </w:r>
      <w:bookmarkEnd w:id="24"/>
    </w:p>
    <w:p w:rsidR="00A4083A" w:rsidRPr="00700102" w:rsidRDefault="00A4083A" w:rsidP="00A4083A">
      <w:pPr>
        <w:pStyle w:val="OdstavecASR"/>
      </w:pPr>
      <w:r w:rsidRPr="00700102">
        <w:rPr>
          <w:noProof/>
          <w:lang w:eastAsia="cs-CZ"/>
        </w:rPr>
        <w:drawing>
          <wp:inline distT="0" distB="0" distL="0" distR="0" wp14:anchorId="024B20A5" wp14:editId="17300B3F">
            <wp:extent cx="5114925" cy="3743325"/>
            <wp:effectExtent l="0" t="0" r="0" b="9525"/>
            <wp:docPr id="126" name="Obráze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0722D9" w:rsidRDefault="00A4083A" w:rsidP="00A4083A">
      <w:pPr>
        <w:pStyle w:val="OdstavecASR"/>
      </w:pPr>
      <w:r w:rsidRPr="000722D9">
        <w:lastRenderedPageBreak/>
        <w:t xml:space="preserve">Z grafu je patrné, že počet soudců u OS je v ČR velmi stabilní. Od roku 2010 činí plánovaný počet všech soudců 3 063 nebo 3 062 soudců. Tento počet je pak rozdělen mezi všechny články soudní soustavy (OS, KS, VS, NS, NSS). Mírné změny v plánovaném počtu soudců u OS jsou tak způsobeny pouze přesouváním plánovaného počtu soudců mezi jednotlivými články soudní soustavy a vyplývají z výpočtu potřeby soudců a systemizace soudů, která se odvíjí od nápadu jednotlivých soudů (viz seznam použitých pojmů v příloze). V roce 2018 došlo k určitým změnám </w:t>
      </w:r>
      <w:r>
        <w:t>v </w:t>
      </w:r>
      <w:r w:rsidRPr="000722D9">
        <w:t xml:space="preserve">systemizaci – došlo k přehodnocení náročnosti vybraných rejstříků, protože </w:t>
      </w:r>
      <w:r w:rsidRPr="000722D9">
        <w:rPr>
          <w:lang w:eastAsia="cs-CZ"/>
        </w:rPr>
        <w:t>náročnost agendy v průměru rostla.</w:t>
      </w:r>
      <w:r w:rsidRPr="000722D9">
        <w:t xml:space="preserve"> Na druhou stranu ale stabiln</w:t>
      </w:r>
      <w:r>
        <w:t>ě a celkem rychle klesal nápad.</w:t>
      </w:r>
    </w:p>
    <w:p w:rsidR="00A4083A" w:rsidRPr="001229BC" w:rsidRDefault="00A4083A" w:rsidP="00A4083A">
      <w:pPr>
        <w:pStyle w:val="OdstavecASR"/>
      </w:pPr>
      <w:r w:rsidRPr="001229BC">
        <w:t xml:space="preserve">Změna v systemizaci ale neměla vliv na celkový plánovaný počet soudců, protože ten je omezen rozpočtem. Aby se změny začaly projevovat v celkovém plánovaném počtu soudců, musel by tento počet vycházet nižší než je rozpočtové omezení (3 063 soudců). Proto došlo pouze k mírné změně v plánovaném rozložení soudců mezi jednotlivé soudy. </w:t>
      </w:r>
      <w:r>
        <w:t>Z</w:t>
      </w:r>
      <w:r w:rsidRPr="001229BC">
        <w:t xml:space="preserve"> grafu </w:t>
      </w:r>
      <w:r>
        <w:t>vyplývá</w:t>
      </w:r>
      <w:r w:rsidRPr="001229BC">
        <w:t>, že ani rok po změně v systemizaci soudů prakticky nedošlo k žádným změnám.</w:t>
      </w:r>
    </w:p>
    <w:p w:rsidR="00A4083A" w:rsidRPr="001229BC" w:rsidRDefault="00A4083A" w:rsidP="00A4083A">
      <w:pPr>
        <w:pStyle w:val="OdstavecASR"/>
        <w:rPr>
          <w:lang w:eastAsia="cs-CZ"/>
        </w:rPr>
      </w:pPr>
      <w:r w:rsidRPr="001229BC">
        <w:t>Evidenční počet soudců je také velmi stabilní a o několik desítek přesahuje plánovaný počet soudců. Změny v evidenčním počtu soudců jsou dány především načasováním jednotlivých jmenovacích etap.</w:t>
      </w:r>
    </w:p>
    <w:p w:rsidR="00A4083A" w:rsidRPr="001229BC" w:rsidRDefault="00A4083A" w:rsidP="00A4083A">
      <w:pPr>
        <w:pStyle w:val="OdstavecASR"/>
      </w:pPr>
      <w:r w:rsidRPr="001229BC">
        <w:t>Za povšimnutí stojí výrazný pokles v počtu soudkyň (soudců) na MD/RD mezi roky 2009 a 2017. Od roku 2009 se zmenšil více než o polovinu. V datech níže ve zprávě vidíme, že soudci u OS v průměru stárnou (snižuje se podíl soudců a soudkyň ve věku 30 až 40 let). To pak logicky vedlo také ke snižování počtu soudkyň na MD/RD. Z toho také plyne, že počet soudců, kteří u soudů v daném období skutečně působili, velmi mírně vzrostl.</w:t>
      </w:r>
    </w:p>
    <w:p w:rsidR="00A4083A" w:rsidRPr="001229BC" w:rsidRDefault="00A4083A" w:rsidP="00A4083A">
      <w:r w:rsidRPr="001229BC">
        <w:t>Výše uvedený trend se změnil až v roce 2018, kdy počet soudkyň na MD/RD oproti roku 2017 vzrostl a vrátil se na úroveň z let 2015 a 2016. Tento závěr pak platí i pro rok 2019.</w:t>
      </w:r>
    </w:p>
    <w:p w:rsidR="00A4083A" w:rsidRPr="00CA0A79" w:rsidRDefault="00A4083A" w:rsidP="00A4083A">
      <w:pPr>
        <w:pStyle w:val="Podnadpis"/>
        <w:rPr>
          <w:color w:val="auto"/>
        </w:rPr>
      </w:pPr>
      <w:bookmarkStart w:id="25" w:name="_Toc515871327"/>
      <w:bookmarkStart w:id="26" w:name="_Toc11135063"/>
      <w:bookmarkStart w:id="27" w:name="_Toc43841382"/>
      <w:r w:rsidRPr="00CA0A79">
        <w:rPr>
          <w:color w:val="auto"/>
        </w:rPr>
        <w:t xml:space="preserve">Graf </w:t>
      </w:r>
      <w:r w:rsidRPr="00CA0A79">
        <w:rPr>
          <w:noProof/>
          <w:color w:val="auto"/>
        </w:rPr>
        <w:fldChar w:fldCharType="begin"/>
      </w:r>
      <w:r w:rsidRPr="00CA0A79">
        <w:rPr>
          <w:noProof/>
          <w:color w:val="auto"/>
        </w:rPr>
        <w:instrText xml:space="preserve"> SEQ Graf \* ARABIC </w:instrText>
      </w:r>
      <w:r w:rsidRPr="00CA0A79">
        <w:rPr>
          <w:noProof/>
          <w:color w:val="auto"/>
        </w:rPr>
        <w:fldChar w:fldCharType="separate"/>
      </w:r>
      <w:r w:rsidR="006E7F27">
        <w:rPr>
          <w:noProof/>
          <w:color w:val="auto"/>
        </w:rPr>
        <w:t>2</w:t>
      </w:r>
      <w:r w:rsidRPr="00CA0A79">
        <w:rPr>
          <w:noProof/>
          <w:color w:val="auto"/>
        </w:rPr>
        <w:fldChar w:fldCharType="end"/>
      </w:r>
      <w:r w:rsidRPr="00CA0A79">
        <w:rPr>
          <w:color w:val="auto"/>
        </w:rPr>
        <w:t>: OS – evidenční počet soudců dle soudních úseků v letech 2008–201</w:t>
      </w:r>
      <w:bookmarkEnd w:id="25"/>
      <w:bookmarkEnd w:id="26"/>
      <w:r w:rsidRPr="00CA0A79">
        <w:rPr>
          <w:color w:val="auto"/>
        </w:rPr>
        <w:t>9</w:t>
      </w:r>
      <w:bookmarkEnd w:id="27"/>
    </w:p>
    <w:p w:rsidR="00A4083A" w:rsidRPr="00FA1C45" w:rsidRDefault="00A4083A" w:rsidP="00A4083A">
      <w:pPr>
        <w:spacing w:line="240" w:lineRule="auto"/>
        <w:jc w:val="left"/>
        <w:rPr>
          <w:rStyle w:val="OdstavecASRChar"/>
          <w:highlight w:val="yellow"/>
        </w:rPr>
      </w:pPr>
      <w:r w:rsidRPr="008E4082">
        <w:rPr>
          <w:rStyle w:val="OdstavecASRChar"/>
          <w:noProof/>
          <w:lang w:eastAsia="cs-CZ"/>
        </w:rPr>
        <w:drawing>
          <wp:inline distT="0" distB="0" distL="0" distR="0" wp14:anchorId="292C374C" wp14:editId="20522D10">
            <wp:extent cx="5114925" cy="3743325"/>
            <wp:effectExtent l="0" t="0" r="0"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Default="00A4083A" w:rsidP="00A4083A">
      <w:pPr>
        <w:pStyle w:val="OdstavecASR"/>
      </w:pPr>
      <w:r w:rsidRPr="001229BC">
        <w:lastRenderedPageBreak/>
        <w:t>V grafu výše vidíme, že poměr velikosti soudních úseků je velmi stabilní – počet soudců na civilním úseku je asi třikrát větší než počet soudců na úseku trestním. Ještě je třeba upozornit, že do civilního úseku v tomto kontextu spadají i soudci, kteří vyřizují opatrovnickou agendu. V podkapitolách o</w:t>
      </w:r>
      <w:r>
        <w:t> </w:t>
      </w:r>
      <w:r w:rsidRPr="001229BC">
        <w:t xml:space="preserve">vyřizování věcí na soudce již jsou tito soudci </w:t>
      </w:r>
      <w:r>
        <w:t>uvedeni zvlášť</w:t>
      </w:r>
      <w:r w:rsidRPr="001229BC">
        <w:t>.</w:t>
      </w:r>
    </w:p>
    <w:p w:rsidR="00A4083A" w:rsidRPr="001229BC" w:rsidRDefault="00A4083A" w:rsidP="00A4083A">
      <w:pPr>
        <w:pStyle w:val="OdstavecASR"/>
      </w:pPr>
      <w:r w:rsidRPr="001229BC">
        <w:t>Z tabulky níže je patrné, že největší počet soudců okresních soudů působí v Severomoravském kraji, nejmenší počet pak v kraji Jihočeském. Jak již bylo řečeno, plánovaný počet soudců se odvíjí od nápadu. Nápad se pak odvíjí od velkého množství faktorů, jako je počet obyvatel, zločinnost, nezaměstnanost a další. U okresních soudů je evidenční počet soudců dlouhodobě vyšší než počet plánovaný.</w:t>
      </w:r>
    </w:p>
    <w:p w:rsidR="00A4083A" w:rsidRPr="001229BC" w:rsidRDefault="00A4083A" w:rsidP="00A4083A">
      <w:pPr>
        <w:pStyle w:val="Podnadpis"/>
        <w:rPr>
          <w:color w:val="auto"/>
        </w:rPr>
      </w:pPr>
      <w:bookmarkStart w:id="28" w:name="_Toc11133203"/>
      <w:bookmarkStart w:id="29" w:name="_Toc43931174"/>
      <w:r w:rsidRPr="001229BC">
        <w:rPr>
          <w:color w:val="auto"/>
        </w:rPr>
        <w:t xml:space="preserve">Tabulka </w:t>
      </w:r>
      <w:r w:rsidRPr="001229BC">
        <w:rPr>
          <w:noProof/>
          <w:color w:val="auto"/>
        </w:rPr>
        <w:fldChar w:fldCharType="begin"/>
      </w:r>
      <w:r w:rsidRPr="001229BC">
        <w:rPr>
          <w:noProof/>
          <w:color w:val="auto"/>
        </w:rPr>
        <w:instrText xml:space="preserve"> SEQ Tabulka \* ARABIC </w:instrText>
      </w:r>
      <w:r w:rsidRPr="001229BC">
        <w:rPr>
          <w:noProof/>
          <w:color w:val="auto"/>
        </w:rPr>
        <w:fldChar w:fldCharType="separate"/>
      </w:r>
      <w:r w:rsidR="006E7F27">
        <w:rPr>
          <w:noProof/>
          <w:color w:val="auto"/>
        </w:rPr>
        <w:t>1</w:t>
      </w:r>
      <w:r w:rsidRPr="001229BC">
        <w:rPr>
          <w:noProof/>
          <w:color w:val="auto"/>
        </w:rPr>
        <w:fldChar w:fldCharType="end"/>
      </w:r>
      <w:r w:rsidRPr="001229BC">
        <w:rPr>
          <w:color w:val="auto"/>
        </w:rPr>
        <w:t>: OS – počet soudců dle krajů</w:t>
      </w:r>
      <w:bookmarkEnd w:id="28"/>
      <w:bookmarkEnd w:id="29"/>
    </w:p>
    <w:tbl>
      <w:tblPr>
        <w:tblW w:w="8160" w:type="dxa"/>
        <w:tblCellMar>
          <w:left w:w="70" w:type="dxa"/>
          <w:right w:w="70" w:type="dxa"/>
        </w:tblCellMar>
        <w:tblLook w:val="04A0" w:firstRow="1" w:lastRow="0" w:firstColumn="1" w:lastColumn="0" w:noHBand="0" w:noVBand="1"/>
      </w:tblPr>
      <w:tblGrid>
        <w:gridCol w:w="2480"/>
        <w:gridCol w:w="1600"/>
        <w:gridCol w:w="1506"/>
        <w:gridCol w:w="1585"/>
        <w:gridCol w:w="989"/>
      </w:tblGrid>
      <w:tr w:rsidR="00A4083A" w:rsidRPr="001229BC" w:rsidTr="00A41C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Nadřízený soud</w:t>
            </w:r>
          </w:p>
        </w:tc>
        <w:tc>
          <w:tcPr>
            <w:tcW w:w="1600" w:type="dxa"/>
            <w:vMerge w:val="restart"/>
            <w:tcBorders>
              <w:top w:val="double" w:sz="6" w:space="0" w:color="auto"/>
              <w:left w:val="nil"/>
              <w:bottom w:val="double" w:sz="6" w:space="0" w:color="000000"/>
              <w:right w:val="nil"/>
            </w:tcBorders>
            <w:shd w:val="clear" w:color="auto" w:fill="auto"/>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Plánovaný počet soudců</w:t>
            </w:r>
          </w:p>
        </w:tc>
        <w:tc>
          <w:tcPr>
            <w:tcW w:w="4080" w:type="dxa"/>
            <w:gridSpan w:val="3"/>
            <w:tcBorders>
              <w:top w:val="double" w:sz="6" w:space="0" w:color="auto"/>
              <w:left w:val="nil"/>
              <w:bottom w:val="nil"/>
              <w:right w:val="nil"/>
            </w:tcBorders>
            <w:shd w:val="clear" w:color="auto" w:fill="auto"/>
            <w:noWrap/>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Evidenční počet soudců</w:t>
            </w:r>
          </w:p>
        </w:tc>
      </w:tr>
      <w:tr w:rsidR="00A4083A" w:rsidRPr="001229BC" w:rsidTr="00A41CAB">
        <w:trPr>
          <w:trHeight w:val="330"/>
        </w:trPr>
        <w:tc>
          <w:tcPr>
            <w:tcW w:w="2480" w:type="dxa"/>
            <w:vMerge/>
            <w:tcBorders>
              <w:top w:val="double" w:sz="6" w:space="0" w:color="auto"/>
              <w:left w:val="nil"/>
              <w:bottom w:val="double" w:sz="6" w:space="0" w:color="000000"/>
              <w:right w:val="nil"/>
            </w:tcBorders>
            <w:vAlign w:val="center"/>
            <w:hideMark/>
          </w:tcPr>
          <w:p w:rsidR="00A4083A" w:rsidRPr="001229BC" w:rsidRDefault="00A4083A" w:rsidP="00A41CAB">
            <w:pPr>
              <w:spacing w:line="240" w:lineRule="auto"/>
              <w:jc w:val="left"/>
              <w:rPr>
                <w:rFonts w:eastAsia="Times New Roman"/>
                <w:b/>
                <w:bCs/>
                <w:szCs w:val="24"/>
                <w:lang w:eastAsia="cs-CZ"/>
              </w:rPr>
            </w:pPr>
          </w:p>
        </w:tc>
        <w:tc>
          <w:tcPr>
            <w:tcW w:w="1600" w:type="dxa"/>
            <w:vMerge/>
            <w:tcBorders>
              <w:top w:val="double" w:sz="6" w:space="0" w:color="auto"/>
              <w:left w:val="nil"/>
              <w:bottom w:val="double" w:sz="6" w:space="0" w:color="000000"/>
              <w:right w:val="nil"/>
            </w:tcBorders>
            <w:vAlign w:val="center"/>
            <w:hideMark/>
          </w:tcPr>
          <w:p w:rsidR="00A4083A" w:rsidRPr="001229BC" w:rsidRDefault="00A4083A" w:rsidP="00A41CAB">
            <w:pPr>
              <w:spacing w:line="240" w:lineRule="auto"/>
              <w:jc w:val="left"/>
              <w:rPr>
                <w:rFonts w:eastAsia="Times New Roman"/>
                <w:b/>
                <w:bCs/>
                <w:szCs w:val="24"/>
                <w:lang w:eastAsia="cs-CZ"/>
              </w:rPr>
            </w:pPr>
          </w:p>
        </w:tc>
        <w:tc>
          <w:tcPr>
            <w:tcW w:w="1506" w:type="dxa"/>
            <w:tcBorders>
              <w:top w:val="nil"/>
              <w:left w:val="nil"/>
              <w:bottom w:val="double" w:sz="6" w:space="0" w:color="auto"/>
              <w:right w:val="nil"/>
            </w:tcBorders>
            <w:shd w:val="clear" w:color="auto" w:fill="auto"/>
            <w:noWrap/>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Civilní úsek</w:t>
            </w:r>
          </w:p>
        </w:tc>
        <w:tc>
          <w:tcPr>
            <w:tcW w:w="1585" w:type="dxa"/>
            <w:tcBorders>
              <w:top w:val="nil"/>
              <w:left w:val="nil"/>
              <w:bottom w:val="double" w:sz="6" w:space="0" w:color="auto"/>
              <w:right w:val="nil"/>
            </w:tcBorders>
            <w:shd w:val="clear" w:color="auto" w:fill="auto"/>
            <w:noWrap/>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Trestní úsek</w:t>
            </w:r>
          </w:p>
        </w:tc>
        <w:tc>
          <w:tcPr>
            <w:tcW w:w="989" w:type="dxa"/>
            <w:tcBorders>
              <w:top w:val="nil"/>
              <w:left w:val="nil"/>
              <w:bottom w:val="double" w:sz="6" w:space="0" w:color="auto"/>
              <w:right w:val="nil"/>
            </w:tcBorders>
            <w:shd w:val="clear" w:color="auto" w:fill="auto"/>
            <w:noWrap/>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Celkem</w:t>
            </w:r>
          </w:p>
        </w:tc>
      </w:tr>
      <w:tr w:rsidR="00A4083A" w:rsidRPr="001229BC"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MS Praha</w:t>
            </w:r>
          </w:p>
        </w:tc>
        <w:tc>
          <w:tcPr>
            <w:tcW w:w="1600" w:type="dxa"/>
            <w:tcBorders>
              <w:top w:val="single" w:sz="4" w:space="0" w:color="auto"/>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287</w:t>
            </w:r>
          </w:p>
        </w:tc>
        <w:tc>
          <w:tcPr>
            <w:tcW w:w="1506" w:type="dxa"/>
            <w:tcBorders>
              <w:top w:val="single" w:sz="4" w:space="0" w:color="auto"/>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245</w:t>
            </w:r>
          </w:p>
        </w:tc>
        <w:tc>
          <w:tcPr>
            <w:tcW w:w="1585" w:type="dxa"/>
            <w:tcBorders>
              <w:top w:val="single" w:sz="4" w:space="0" w:color="auto"/>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69</w:t>
            </w:r>
          </w:p>
        </w:tc>
        <w:tc>
          <w:tcPr>
            <w:tcW w:w="989" w:type="dxa"/>
            <w:tcBorders>
              <w:top w:val="single" w:sz="4" w:space="0" w:color="auto"/>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314</w:t>
            </w:r>
          </w:p>
        </w:tc>
      </w:tr>
      <w:tr w:rsidR="00A4083A" w:rsidRPr="001229BC"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Praha</w:t>
            </w:r>
          </w:p>
        </w:tc>
        <w:tc>
          <w:tcPr>
            <w:tcW w:w="160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209</w:t>
            </w:r>
          </w:p>
        </w:tc>
        <w:tc>
          <w:tcPr>
            <w:tcW w:w="150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165</w:t>
            </w:r>
          </w:p>
        </w:tc>
        <w:tc>
          <w:tcPr>
            <w:tcW w:w="1585"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48</w:t>
            </w:r>
          </w:p>
        </w:tc>
        <w:tc>
          <w:tcPr>
            <w:tcW w:w="989"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213</w:t>
            </w:r>
          </w:p>
        </w:tc>
      </w:tr>
      <w:tr w:rsidR="00A4083A" w:rsidRPr="001229BC"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Č. Budějovice</w:t>
            </w:r>
          </w:p>
        </w:tc>
        <w:tc>
          <w:tcPr>
            <w:tcW w:w="160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100</w:t>
            </w:r>
          </w:p>
        </w:tc>
        <w:tc>
          <w:tcPr>
            <w:tcW w:w="150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72</w:t>
            </w:r>
          </w:p>
        </w:tc>
        <w:tc>
          <w:tcPr>
            <w:tcW w:w="1585"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31</w:t>
            </w:r>
          </w:p>
        </w:tc>
        <w:tc>
          <w:tcPr>
            <w:tcW w:w="989"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103</w:t>
            </w:r>
          </w:p>
        </w:tc>
      </w:tr>
      <w:tr w:rsidR="00A4083A" w:rsidRPr="001229BC"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Plzeň</w:t>
            </w:r>
          </w:p>
        </w:tc>
        <w:tc>
          <w:tcPr>
            <w:tcW w:w="160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160</w:t>
            </w:r>
          </w:p>
        </w:tc>
        <w:tc>
          <w:tcPr>
            <w:tcW w:w="150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118</w:t>
            </w:r>
          </w:p>
        </w:tc>
        <w:tc>
          <w:tcPr>
            <w:tcW w:w="1585"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44</w:t>
            </w:r>
          </w:p>
        </w:tc>
        <w:tc>
          <w:tcPr>
            <w:tcW w:w="989"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162</w:t>
            </w:r>
          </w:p>
        </w:tc>
      </w:tr>
      <w:tr w:rsidR="00A4083A" w:rsidRPr="001229BC"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Ústí n. Labem</w:t>
            </w:r>
          </w:p>
        </w:tc>
        <w:tc>
          <w:tcPr>
            <w:tcW w:w="160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266</w:t>
            </w:r>
          </w:p>
        </w:tc>
        <w:tc>
          <w:tcPr>
            <w:tcW w:w="150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193</w:t>
            </w:r>
          </w:p>
        </w:tc>
        <w:tc>
          <w:tcPr>
            <w:tcW w:w="1585"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85</w:t>
            </w:r>
          </w:p>
        </w:tc>
        <w:tc>
          <w:tcPr>
            <w:tcW w:w="989"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278</w:t>
            </w:r>
          </w:p>
        </w:tc>
      </w:tr>
      <w:tr w:rsidR="00A4083A" w:rsidRPr="001229BC"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Hr. Králové</w:t>
            </w:r>
          </w:p>
        </w:tc>
        <w:tc>
          <w:tcPr>
            <w:tcW w:w="160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166</w:t>
            </w:r>
          </w:p>
        </w:tc>
        <w:tc>
          <w:tcPr>
            <w:tcW w:w="150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127</w:t>
            </w:r>
          </w:p>
        </w:tc>
        <w:tc>
          <w:tcPr>
            <w:tcW w:w="1585"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40</w:t>
            </w:r>
          </w:p>
        </w:tc>
        <w:tc>
          <w:tcPr>
            <w:tcW w:w="989"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167</w:t>
            </w:r>
          </w:p>
        </w:tc>
      </w:tr>
      <w:tr w:rsidR="00A4083A" w:rsidRPr="001229BC"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Brno</w:t>
            </w:r>
          </w:p>
        </w:tc>
        <w:tc>
          <w:tcPr>
            <w:tcW w:w="160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284</w:t>
            </w:r>
          </w:p>
        </w:tc>
        <w:tc>
          <w:tcPr>
            <w:tcW w:w="150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228</w:t>
            </w:r>
          </w:p>
        </w:tc>
        <w:tc>
          <w:tcPr>
            <w:tcW w:w="1585"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63</w:t>
            </w:r>
          </w:p>
        </w:tc>
        <w:tc>
          <w:tcPr>
            <w:tcW w:w="989"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291</w:t>
            </w:r>
          </w:p>
        </w:tc>
      </w:tr>
      <w:tr w:rsidR="00A4083A" w:rsidRPr="001229BC"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Ostrava</w:t>
            </w:r>
          </w:p>
        </w:tc>
        <w:tc>
          <w:tcPr>
            <w:tcW w:w="1600"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311</w:t>
            </w:r>
          </w:p>
        </w:tc>
        <w:tc>
          <w:tcPr>
            <w:tcW w:w="1506"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239</w:t>
            </w:r>
          </w:p>
        </w:tc>
        <w:tc>
          <w:tcPr>
            <w:tcW w:w="1585"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82</w:t>
            </w:r>
          </w:p>
        </w:tc>
        <w:tc>
          <w:tcPr>
            <w:tcW w:w="989"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321</w:t>
            </w:r>
          </w:p>
        </w:tc>
      </w:tr>
      <w:tr w:rsidR="00A4083A" w:rsidRPr="001229BC"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b/>
                <w:bCs/>
                <w:szCs w:val="24"/>
                <w:lang w:eastAsia="cs-CZ"/>
              </w:rPr>
            </w:pPr>
            <w:r w:rsidRPr="001229BC">
              <w:rPr>
                <w:rFonts w:eastAsia="Times New Roman"/>
                <w:b/>
                <w:bCs/>
                <w:szCs w:val="24"/>
                <w:lang w:eastAsia="cs-CZ"/>
              </w:rPr>
              <w:t>Celkem ČR</w:t>
            </w:r>
          </w:p>
        </w:tc>
        <w:tc>
          <w:tcPr>
            <w:tcW w:w="1600"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1 783</w:t>
            </w:r>
          </w:p>
        </w:tc>
        <w:tc>
          <w:tcPr>
            <w:tcW w:w="1506"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1 387</w:t>
            </w:r>
          </w:p>
        </w:tc>
        <w:tc>
          <w:tcPr>
            <w:tcW w:w="1585"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462</w:t>
            </w:r>
          </w:p>
        </w:tc>
        <w:tc>
          <w:tcPr>
            <w:tcW w:w="989"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1 849</w:t>
            </w:r>
          </w:p>
        </w:tc>
      </w:tr>
    </w:tbl>
    <w:p w:rsidR="00A4083A" w:rsidRPr="001229BC" w:rsidRDefault="00A4083A" w:rsidP="00A4083A">
      <w:pPr>
        <w:pStyle w:val="OdstavecASR"/>
      </w:pPr>
    </w:p>
    <w:p w:rsidR="00A4083A" w:rsidRDefault="00A4083A" w:rsidP="00A4083A">
      <w:pPr>
        <w:pStyle w:val="OdstavecASR"/>
      </w:pPr>
      <w:r w:rsidRPr="001229BC">
        <w:t>Počet soudců se oproti předchozímu roku nepatrně zvýšil, posíleny byly především soudy spadající pod KS Praha.</w:t>
      </w:r>
    </w:p>
    <w:p w:rsidR="00A4083A" w:rsidRPr="001229BC" w:rsidRDefault="00A4083A" w:rsidP="00A4083A">
      <w:pPr>
        <w:pStyle w:val="OdstavecASR"/>
      </w:pPr>
      <w:r w:rsidRPr="001229BC">
        <w:t>Největšími okresními soudy zůstávají OS Ostrava (80 soudců), MS Brno (79 soudců) a OS pro Prahu 4 (50 soudců). Naopak nejmenší jsou okresní soudy v Prachaticích, Pelhřimově, Jeseníku a Rokycanech (všechny po 7 soudcích). Velikost jednotlivých soudů lze přibližně vyčíst z kartogramu.</w:t>
      </w:r>
    </w:p>
    <w:p w:rsidR="00A4083A" w:rsidRPr="00D427F3" w:rsidRDefault="00A4083A" w:rsidP="00A4083A">
      <w:pPr>
        <w:pStyle w:val="Podnadpis"/>
        <w:rPr>
          <w:color w:val="auto"/>
        </w:rPr>
      </w:pPr>
      <w:bookmarkStart w:id="30" w:name="_Ref41044837"/>
      <w:bookmarkStart w:id="31" w:name="_Toc515871328"/>
      <w:bookmarkStart w:id="32" w:name="_Toc11135064"/>
      <w:bookmarkStart w:id="33" w:name="_Toc43841383"/>
      <w:r w:rsidRPr="00D427F3">
        <w:rPr>
          <w:color w:val="auto"/>
        </w:rPr>
        <w:lastRenderedPageBreak/>
        <w:t xml:space="preserve">Graf </w:t>
      </w:r>
      <w:r w:rsidRPr="00D427F3">
        <w:rPr>
          <w:color w:val="auto"/>
        </w:rPr>
        <w:fldChar w:fldCharType="begin"/>
      </w:r>
      <w:r w:rsidRPr="00D427F3">
        <w:rPr>
          <w:color w:val="auto"/>
        </w:rPr>
        <w:instrText xml:space="preserve"> SEQ Graf \* ARABIC </w:instrText>
      </w:r>
      <w:r w:rsidRPr="00D427F3">
        <w:rPr>
          <w:color w:val="auto"/>
        </w:rPr>
        <w:fldChar w:fldCharType="separate"/>
      </w:r>
      <w:r w:rsidR="006E7F27">
        <w:rPr>
          <w:noProof/>
          <w:color w:val="auto"/>
        </w:rPr>
        <w:t>3</w:t>
      </w:r>
      <w:r w:rsidRPr="00D427F3">
        <w:rPr>
          <w:color w:val="auto"/>
        </w:rPr>
        <w:fldChar w:fldCharType="end"/>
      </w:r>
      <w:bookmarkEnd w:id="30"/>
      <w:r w:rsidRPr="00D427F3">
        <w:rPr>
          <w:color w:val="auto"/>
        </w:rPr>
        <w:t>: OS – evidenční počet soudců u jednotlivých soudů</w:t>
      </w:r>
      <w:bookmarkEnd w:id="31"/>
      <w:bookmarkEnd w:id="32"/>
      <w:bookmarkEnd w:id="33"/>
    </w:p>
    <w:p w:rsidR="00A4083A" w:rsidRPr="00040C87" w:rsidRDefault="00A4083A" w:rsidP="00A4083A">
      <w:pPr>
        <w:pStyle w:val="OdstavecASR"/>
      </w:pPr>
      <w:r w:rsidRPr="00774044">
        <w:rPr>
          <w:noProof/>
          <w:lang w:eastAsia="cs-CZ"/>
        </w:rPr>
        <w:drawing>
          <wp:anchor distT="0" distB="0" distL="114300" distR="114300" simplePos="0" relativeHeight="251662336" behindDoc="0" locked="0" layoutInCell="1" allowOverlap="1" wp14:anchorId="0B97791C" wp14:editId="4D0DE6C9">
            <wp:simplePos x="0" y="0"/>
            <wp:positionH relativeFrom="margin">
              <wp:posOffset>4492625</wp:posOffset>
            </wp:positionH>
            <wp:positionV relativeFrom="paragraph">
              <wp:posOffset>99762</wp:posOffset>
            </wp:positionV>
            <wp:extent cx="1210402" cy="885825"/>
            <wp:effectExtent l="0" t="0" r="8890" b="0"/>
            <wp:wrapNone/>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0402" cy="885825"/>
                    </a:xfrm>
                    <a:prstGeom prst="rect">
                      <a:avLst/>
                    </a:prstGeom>
                    <a:noFill/>
                    <a:ln>
                      <a:noFill/>
                    </a:ln>
                  </pic:spPr>
                </pic:pic>
              </a:graphicData>
            </a:graphic>
          </wp:anchor>
        </w:drawing>
      </w:r>
      <w:r w:rsidRPr="001A46DF">
        <w:rPr>
          <w:noProof/>
          <w:lang w:eastAsia="cs-CZ"/>
        </w:rPr>
        <w:drawing>
          <wp:inline distT="0" distB="0" distL="0" distR="0" wp14:anchorId="295B8F07" wp14:editId="388AC97F">
            <wp:extent cx="5759450" cy="3328623"/>
            <wp:effectExtent l="0" t="0" r="0" b="5715"/>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3328623"/>
                    </a:xfrm>
                    <a:prstGeom prst="rect">
                      <a:avLst/>
                    </a:prstGeom>
                    <a:noFill/>
                    <a:ln>
                      <a:noFill/>
                    </a:ln>
                  </pic:spPr>
                </pic:pic>
              </a:graphicData>
            </a:graphic>
          </wp:inline>
        </w:drawing>
      </w:r>
      <w:r w:rsidRPr="00040C87">
        <w:t>V kartogramu vidíme, že největší soudy jsou především ve větších městech. Relativně velké soudy se nachází v Severočeském a Severomoravském kraji. Velké jsou také některé obvodní soudy v Praze (již zmíněný OS pro Prahu 4, dále OS pro Prahu 1 a OS pro Prahu 5).</w:t>
      </w:r>
    </w:p>
    <w:p w:rsidR="00A4083A" w:rsidRPr="008716B7" w:rsidRDefault="00A4083A" w:rsidP="00A4083A">
      <w:pPr>
        <w:pStyle w:val="Podnadpis"/>
        <w:rPr>
          <w:color w:val="auto"/>
        </w:rPr>
      </w:pPr>
      <w:bookmarkStart w:id="34" w:name="_Toc515871329"/>
      <w:bookmarkStart w:id="35" w:name="_Toc11135065"/>
      <w:bookmarkStart w:id="36" w:name="_Toc43841384"/>
      <w:r w:rsidRPr="008716B7">
        <w:rPr>
          <w:color w:val="auto"/>
        </w:rPr>
        <w:t xml:space="preserve">Graf </w:t>
      </w:r>
      <w:r w:rsidRPr="008716B7">
        <w:rPr>
          <w:noProof/>
          <w:color w:val="auto"/>
        </w:rPr>
        <w:fldChar w:fldCharType="begin"/>
      </w:r>
      <w:r w:rsidRPr="008716B7">
        <w:rPr>
          <w:noProof/>
          <w:color w:val="auto"/>
        </w:rPr>
        <w:instrText xml:space="preserve"> SEQ Graf \* ARABIC </w:instrText>
      </w:r>
      <w:r w:rsidRPr="008716B7">
        <w:rPr>
          <w:noProof/>
          <w:color w:val="auto"/>
        </w:rPr>
        <w:fldChar w:fldCharType="separate"/>
      </w:r>
      <w:r w:rsidR="006E7F27">
        <w:rPr>
          <w:noProof/>
          <w:color w:val="auto"/>
        </w:rPr>
        <w:t>4</w:t>
      </w:r>
      <w:r w:rsidRPr="008716B7">
        <w:rPr>
          <w:noProof/>
          <w:color w:val="auto"/>
        </w:rPr>
        <w:fldChar w:fldCharType="end"/>
      </w:r>
      <w:r w:rsidRPr="008716B7">
        <w:rPr>
          <w:color w:val="auto"/>
        </w:rPr>
        <w:t xml:space="preserve">: </w:t>
      </w:r>
      <w:bookmarkStart w:id="37" w:name="_Toc485734466"/>
      <w:bookmarkStart w:id="38" w:name="_Toc487792737"/>
      <w:r w:rsidRPr="008716B7">
        <w:rPr>
          <w:color w:val="auto"/>
        </w:rPr>
        <w:t>OS – evidenční počet soudců dle pohlaví v letech 2008–</w:t>
      </w:r>
      <w:bookmarkEnd w:id="34"/>
      <w:bookmarkEnd w:id="35"/>
      <w:bookmarkEnd w:id="37"/>
      <w:bookmarkEnd w:id="38"/>
      <w:r w:rsidRPr="008716B7">
        <w:rPr>
          <w:color w:val="auto"/>
        </w:rPr>
        <w:t>201</w:t>
      </w:r>
      <w:r>
        <w:rPr>
          <w:color w:val="auto"/>
        </w:rPr>
        <w:t>9</w:t>
      </w:r>
      <w:bookmarkEnd w:id="36"/>
    </w:p>
    <w:p w:rsidR="00A4083A" w:rsidRDefault="00A4083A" w:rsidP="00A4083A">
      <w:pPr>
        <w:pStyle w:val="OdstavecASR"/>
        <w:rPr>
          <w:highlight w:val="yellow"/>
        </w:rPr>
      </w:pPr>
      <w:r w:rsidRPr="008716B7">
        <w:rPr>
          <w:noProof/>
          <w:lang w:eastAsia="cs-CZ"/>
        </w:rPr>
        <w:drawing>
          <wp:inline distT="0" distB="0" distL="0" distR="0" wp14:anchorId="3F60F1B1" wp14:editId="0524E401">
            <wp:extent cx="5114925" cy="3743325"/>
            <wp:effectExtent l="0" t="0" r="0" b="9525"/>
            <wp:docPr id="125" name="Obráze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1229BC" w:rsidRDefault="00A4083A" w:rsidP="00A4083A">
      <w:pPr>
        <w:pStyle w:val="OdstavecASR"/>
      </w:pPr>
      <w:r w:rsidRPr="001229BC">
        <w:t>Zajímavý je také údaj o podílu žen mezi soudci. Jak ukazuje graf je i podíl soudkyň celkem stabilní, a to přibližně v rozpětí 65 až 67</w:t>
      </w:r>
      <w:r>
        <w:t> %</w:t>
      </w:r>
      <w:r w:rsidRPr="001229BC">
        <w:t>. V letech 2011 až 2018 lze nicméně vidět velmi mírný rostoucí trend, protože počty mužů od roku 2011</w:t>
      </w:r>
      <w:r w:rsidRPr="00CA0A79">
        <w:t xml:space="preserve"> </w:t>
      </w:r>
      <w:r w:rsidRPr="001229BC">
        <w:t xml:space="preserve">klesají. Tento trend se zastavil až v roce 2019, kdy velmi </w:t>
      </w:r>
      <w:r w:rsidRPr="001229BC">
        <w:lastRenderedPageBreak/>
        <w:t xml:space="preserve">mírně stoupl počet mužů i žen. Můžeme tedy říct, že podíl žen se od roku 2011 zvýšil, ale velmi mírně. Tabulka </w:t>
      </w:r>
      <w:r w:rsidRPr="001229BC">
        <w:rPr>
          <w:noProof/>
        </w:rPr>
        <w:t>2</w:t>
      </w:r>
      <w:r w:rsidRPr="001229BC">
        <w:t xml:space="preserve"> uvádí evidenční počty soudců a soudkyň podle soudních krajů. Podíl žen u soudů spadajících pod MS Praha a KS Praha je vyšší než ve zbytku ČR.</w:t>
      </w:r>
    </w:p>
    <w:p w:rsidR="00A4083A" w:rsidRPr="001229BC" w:rsidRDefault="00A4083A" w:rsidP="00A4083A">
      <w:pPr>
        <w:pStyle w:val="OdstavecASR"/>
        <w:rPr>
          <w:highlight w:val="yellow"/>
        </w:rPr>
      </w:pPr>
    </w:p>
    <w:p w:rsidR="00A4083A" w:rsidRPr="001229BC" w:rsidRDefault="00A4083A" w:rsidP="00A4083A">
      <w:pPr>
        <w:pStyle w:val="Podnadpis"/>
        <w:rPr>
          <w:color w:val="auto"/>
        </w:rPr>
      </w:pPr>
      <w:bookmarkStart w:id="39" w:name="_Ref511985934"/>
      <w:bookmarkStart w:id="40" w:name="_Toc515871437"/>
      <w:bookmarkStart w:id="41" w:name="_Toc11133204"/>
      <w:bookmarkStart w:id="42" w:name="_Toc43931175"/>
      <w:r w:rsidRPr="001229BC">
        <w:rPr>
          <w:color w:val="auto"/>
        </w:rPr>
        <w:t xml:space="preserve">Tabulka </w:t>
      </w:r>
      <w:r w:rsidRPr="001229BC">
        <w:rPr>
          <w:color w:val="auto"/>
        </w:rPr>
        <w:fldChar w:fldCharType="begin"/>
      </w:r>
      <w:r w:rsidRPr="001229BC">
        <w:rPr>
          <w:color w:val="auto"/>
        </w:rPr>
        <w:instrText xml:space="preserve"> SEQ Tabulka \* ARABIC </w:instrText>
      </w:r>
      <w:r w:rsidRPr="001229BC">
        <w:rPr>
          <w:color w:val="auto"/>
        </w:rPr>
        <w:fldChar w:fldCharType="separate"/>
      </w:r>
      <w:r w:rsidR="006E7F27">
        <w:rPr>
          <w:noProof/>
          <w:color w:val="auto"/>
        </w:rPr>
        <w:t>2</w:t>
      </w:r>
      <w:r w:rsidRPr="001229BC">
        <w:rPr>
          <w:noProof/>
          <w:color w:val="auto"/>
        </w:rPr>
        <w:fldChar w:fldCharType="end"/>
      </w:r>
      <w:bookmarkEnd w:id="39"/>
      <w:r w:rsidRPr="001229BC">
        <w:rPr>
          <w:color w:val="auto"/>
        </w:rPr>
        <w:t>: OS – evidenční počet soudců dle pohlaví a krajů</w:t>
      </w:r>
      <w:bookmarkEnd w:id="40"/>
      <w:bookmarkEnd w:id="41"/>
      <w:bookmarkEnd w:id="42"/>
    </w:p>
    <w:tbl>
      <w:tblPr>
        <w:tblW w:w="6800" w:type="dxa"/>
        <w:tblCellMar>
          <w:left w:w="70" w:type="dxa"/>
          <w:right w:w="70" w:type="dxa"/>
        </w:tblCellMar>
        <w:tblLook w:val="04A0" w:firstRow="1" w:lastRow="0" w:firstColumn="1" w:lastColumn="0" w:noHBand="0" w:noVBand="1"/>
      </w:tblPr>
      <w:tblGrid>
        <w:gridCol w:w="2480"/>
        <w:gridCol w:w="1154"/>
        <w:gridCol w:w="1566"/>
        <w:gridCol w:w="1600"/>
      </w:tblGrid>
      <w:tr w:rsidR="00A4083A" w:rsidRPr="001229BC" w:rsidTr="00A41C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Nadřízený soud</w:t>
            </w:r>
          </w:p>
        </w:tc>
        <w:tc>
          <w:tcPr>
            <w:tcW w:w="2720" w:type="dxa"/>
            <w:gridSpan w:val="2"/>
            <w:tcBorders>
              <w:top w:val="double" w:sz="6" w:space="0" w:color="auto"/>
              <w:left w:val="nil"/>
              <w:bottom w:val="nil"/>
              <w:right w:val="nil"/>
            </w:tcBorders>
            <w:shd w:val="clear" w:color="auto" w:fill="auto"/>
            <w:noWrap/>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Evidenční počet</w:t>
            </w:r>
          </w:p>
        </w:tc>
        <w:tc>
          <w:tcPr>
            <w:tcW w:w="1600" w:type="dxa"/>
            <w:vMerge w:val="restart"/>
            <w:tcBorders>
              <w:top w:val="double" w:sz="6" w:space="0" w:color="auto"/>
              <w:left w:val="nil"/>
              <w:bottom w:val="double" w:sz="6" w:space="0" w:color="000000"/>
              <w:right w:val="nil"/>
            </w:tcBorders>
            <w:shd w:val="clear" w:color="auto" w:fill="auto"/>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Podíl žen v</w:t>
            </w:r>
            <w:r>
              <w:rPr>
                <w:rFonts w:eastAsia="Times New Roman"/>
                <w:b/>
                <w:bCs/>
                <w:szCs w:val="24"/>
                <w:lang w:eastAsia="cs-CZ"/>
              </w:rPr>
              <w:t> %</w:t>
            </w:r>
          </w:p>
        </w:tc>
      </w:tr>
      <w:tr w:rsidR="00A4083A" w:rsidRPr="001229BC" w:rsidTr="00A41CAB">
        <w:trPr>
          <w:trHeight w:val="330"/>
        </w:trPr>
        <w:tc>
          <w:tcPr>
            <w:tcW w:w="2480" w:type="dxa"/>
            <w:vMerge/>
            <w:tcBorders>
              <w:top w:val="double" w:sz="6" w:space="0" w:color="auto"/>
              <w:left w:val="nil"/>
              <w:bottom w:val="double" w:sz="6" w:space="0" w:color="000000"/>
              <w:right w:val="nil"/>
            </w:tcBorders>
            <w:vAlign w:val="center"/>
            <w:hideMark/>
          </w:tcPr>
          <w:p w:rsidR="00A4083A" w:rsidRPr="001229BC" w:rsidRDefault="00A4083A" w:rsidP="00A41CAB">
            <w:pPr>
              <w:spacing w:line="240" w:lineRule="auto"/>
              <w:jc w:val="left"/>
              <w:rPr>
                <w:rFonts w:eastAsia="Times New Roman"/>
                <w:b/>
                <w:bCs/>
                <w:szCs w:val="24"/>
                <w:lang w:eastAsia="cs-CZ"/>
              </w:rPr>
            </w:pPr>
          </w:p>
        </w:tc>
        <w:tc>
          <w:tcPr>
            <w:tcW w:w="1154" w:type="dxa"/>
            <w:tcBorders>
              <w:top w:val="nil"/>
              <w:left w:val="nil"/>
              <w:bottom w:val="double" w:sz="6" w:space="0" w:color="auto"/>
              <w:right w:val="nil"/>
            </w:tcBorders>
            <w:shd w:val="clear" w:color="auto" w:fill="auto"/>
            <w:noWrap/>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Žen</w:t>
            </w:r>
          </w:p>
        </w:tc>
        <w:tc>
          <w:tcPr>
            <w:tcW w:w="1566" w:type="dxa"/>
            <w:tcBorders>
              <w:top w:val="nil"/>
              <w:left w:val="nil"/>
              <w:bottom w:val="double" w:sz="6" w:space="0" w:color="auto"/>
              <w:right w:val="nil"/>
            </w:tcBorders>
            <w:shd w:val="clear" w:color="auto" w:fill="auto"/>
            <w:noWrap/>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Mužů</w:t>
            </w:r>
          </w:p>
        </w:tc>
        <w:tc>
          <w:tcPr>
            <w:tcW w:w="1600" w:type="dxa"/>
            <w:vMerge/>
            <w:tcBorders>
              <w:top w:val="double" w:sz="6" w:space="0" w:color="auto"/>
              <w:left w:val="nil"/>
              <w:bottom w:val="double" w:sz="6" w:space="0" w:color="000000"/>
              <w:right w:val="nil"/>
            </w:tcBorders>
            <w:vAlign w:val="center"/>
            <w:hideMark/>
          </w:tcPr>
          <w:p w:rsidR="00A4083A" w:rsidRPr="001229BC" w:rsidRDefault="00A4083A" w:rsidP="00A41CAB">
            <w:pPr>
              <w:spacing w:line="240" w:lineRule="auto"/>
              <w:jc w:val="left"/>
              <w:rPr>
                <w:rFonts w:eastAsia="Times New Roman"/>
                <w:b/>
                <w:bCs/>
                <w:szCs w:val="24"/>
                <w:lang w:eastAsia="cs-CZ"/>
              </w:rPr>
            </w:pPr>
          </w:p>
        </w:tc>
      </w:tr>
      <w:tr w:rsidR="00A4083A" w:rsidRPr="001229BC"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MS Praha</w:t>
            </w:r>
          </w:p>
        </w:tc>
        <w:tc>
          <w:tcPr>
            <w:tcW w:w="1154" w:type="dxa"/>
            <w:tcBorders>
              <w:top w:val="single" w:sz="4" w:space="0" w:color="auto"/>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236</w:t>
            </w:r>
          </w:p>
        </w:tc>
        <w:tc>
          <w:tcPr>
            <w:tcW w:w="1566" w:type="dxa"/>
            <w:tcBorders>
              <w:top w:val="single" w:sz="4" w:space="0" w:color="auto"/>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78</w:t>
            </w:r>
          </w:p>
        </w:tc>
        <w:tc>
          <w:tcPr>
            <w:tcW w:w="1600" w:type="dxa"/>
            <w:tcBorders>
              <w:top w:val="single" w:sz="4" w:space="0" w:color="auto"/>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75,16</w:t>
            </w:r>
          </w:p>
        </w:tc>
      </w:tr>
      <w:tr w:rsidR="00A4083A" w:rsidRPr="001229BC"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Praha</w:t>
            </w:r>
          </w:p>
        </w:tc>
        <w:tc>
          <w:tcPr>
            <w:tcW w:w="1154"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156</w:t>
            </w:r>
          </w:p>
        </w:tc>
        <w:tc>
          <w:tcPr>
            <w:tcW w:w="156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57</w:t>
            </w:r>
          </w:p>
        </w:tc>
        <w:tc>
          <w:tcPr>
            <w:tcW w:w="160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73,24</w:t>
            </w:r>
          </w:p>
        </w:tc>
      </w:tr>
      <w:tr w:rsidR="00A4083A" w:rsidRPr="001229BC"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Č. Budějovice</w:t>
            </w:r>
          </w:p>
        </w:tc>
        <w:tc>
          <w:tcPr>
            <w:tcW w:w="1154"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64</w:t>
            </w:r>
          </w:p>
        </w:tc>
        <w:tc>
          <w:tcPr>
            <w:tcW w:w="156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39</w:t>
            </w:r>
          </w:p>
        </w:tc>
        <w:tc>
          <w:tcPr>
            <w:tcW w:w="160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62,14</w:t>
            </w:r>
          </w:p>
        </w:tc>
      </w:tr>
      <w:tr w:rsidR="00A4083A" w:rsidRPr="001229BC"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Plzeň</w:t>
            </w:r>
          </w:p>
        </w:tc>
        <w:tc>
          <w:tcPr>
            <w:tcW w:w="1154"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96</w:t>
            </w:r>
          </w:p>
        </w:tc>
        <w:tc>
          <w:tcPr>
            <w:tcW w:w="156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66</w:t>
            </w:r>
          </w:p>
        </w:tc>
        <w:tc>
          <w:tcPr>
            <w:tcW w:w="160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59,26</w:t>
            </w:r>
          </w:p>
        </w:tc>
      </w:tr>
      <w:tr w:rsidR="00A4083A" w:rsidRPr="001229BC"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Ústí n. Labem</w:t>
            </w:r>
          </w:p>
        </w:tc>
        <w:tc>
          <w:tcPr>
            <w:tcW w:w="1154"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179</w:t>
            </w:r>
          </w:p>
        </w:tc>
        <w:tc>
          <w:tcPr>
            <w:tcW w:w="156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99</w:t>
            </w:r>
          </w:p>
        </w:tc>
        <w:tc>
          <w:tcPr>
            <w:tcW w:w="160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64,39</w:t>
            </w:r>
          </w:p>
        </w:tc>
      </w:tr>
      <w:tr w:rsidR="00A4083A" w:rsidRPr="001229BC"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Hr. Králové</w:t>
            </w:r>
          </w:p>
        </w:tc>
        <w:tc>
          <w:tcPr>
            <w:tcW w:w="1154"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109</w:t>
            </w:r>
          </w:p>
        </w:tc>
        <w:tc>
          <w:tcPr>
            <w:tcW w:w="156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58</w:t>
            </w:r>
          </w:p>
        </w:tc>
        <w:tc>
          <w:tcPr>
            <w:tcW w:w="160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65,27</w:t>
            </w:r>
          </w:p>
        </w:tc>
      </w:tr>
      <w:tr w:rsidR="00A4083A" w:rsidRPr="001229BC"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Brno</w:t>
            </w:r>
          </w:p>
        </w:tc>
        <w:tc>
          <w:tcPr>
            <w:tcW w:w="1154"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182</w:t>
            </w:r>
          </w:p>
        </w:tc>
        <w:tc>
          <w:tcPr>
            <w:tcW w:w="156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109</w:t>
            </w:r>
          </w:p>
        </w:tc>
        <w:tc>
          <w:tcPr>
            <w:tcW w:w="160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62,54</w:t>
            </w:r>
          </w:p>
        </w:tc>
      </w:tr>
      <w:tr w:rsidR="00A4083A" w:rsidRPr="001229BC"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Ostrava</w:t>
            </w:r>
          </w:p>
        </w:tc>
        <w:tc>
          <w:tcPr>
            <w:tcW w:w="1154"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216</w:t>
            </w:r>
          </w:p>
        </w:tc>
        <w:tc>
          <w:tcPr>
            <w:tcW w:w="1566"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105</w:t>
            </w:r>
          </w:p>
        </w:tc>
        <w:tc>
          <w:tcPr>
            <w:tcW w:w="1600"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67,29</w:t>
            </w:r>
          </w:p>
        </w:tc>
      </w:tr>
      <w:tr w:rsidR="00A4083A" w:rsidRPr="001229BC"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b/>
                <w:bCs/>
                <w:szCs w:val="24"/>
                <w:lang w:eastAsia="cs-CZ"/>
              </w:rPr>
            </w:pPr>
            <w:r w:rsidRPr="001229BC">
              <w:rPr>
                <w:rFonts w:eastAsia="Times New Roman"/>
                <w:b/>
                <w:bCs/>
                <w:szCs w:val="24"/>
                <w:lang w:eastAsia="cs-CZ"/>
              </w:rPr>
              <w:t>Celkem ČR</w:t>
            </w:r>
          </w:p>
        </w:tc>
        <w:tc>
          <w:tcPr>
            <w:tcW w:w="1154"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1238</w:t>
            </w:r>
          </w:p>
        </w:tc>
        <w:tc>
          <w:tcPr>
            <w:tcW w:w="1566"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611</w:t>
            </w:r>
          </w:p>
        </w:tc>
        <w:tc>
          <w:tcPr>
            <w:tcW w:w="1600"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66,96</w:t>
            </w:r>
          </w:p>
        </w:tc>
      </w:tr>
    </w:tbl>
    <w:p w:rsidR="00A4083A" w:rsidRPr="001229BC" w:rsidRDefault="00A4083A" w:rsidP="00A4083A">
      <w:pPr>
        <w:spacing w:line="240" w:lineRule="auto"/>
        <w:jc w:val="left"/>
        <w:rPr>
          <w:highlight w:val="yellow"/>
        </w:rPr>
      </w:pPr>
    </w:p>
    <w:p w:rsidR="00A4083A" w:rsidRDefault="00A4083A" w:rsidP="00A4083A">
      <w:pPr>
        <w:pStyle w:val="OdstavecASR"/>
      </w:pPr>
      <w:r w:rsidRPr="001229BC">
        <w:t>Podíl žen mezi soudci OS zůstal oproti roku 2018 prakticky konstantní.</w:t>
      </w:r>
    </w:p>
    <w:p w:rsidR="00A4083A" w:rsidRPr="001229BC" w:rsidRDefault="00A4083A" w:rsidP="00A4083A">
      <w:pPr>
        <w:pStyle w:val="OdstavecASR"/>
      </w:pPr>
      <w:r w:rsidRPr="001229BC">
        <w:t xml:space="preserve">V kontextu podílu žen mezi soudci se dále </w:t>
      </w:r>
      <w:r>
        <w:t xml:space="preserve">můžeme sledovat jejich </w:t>
      </w:r>
      <w:r w:rsidRPr="001229BC">
        <w:t>podíl mezi předsedy a místopředsedy soudů. Data jsou v tabulce níže.</w:t>
      </w:r>
    </w:p>
    <w:p w:rsidR="00A4083A" w:rsidRPr="001229BC" w:rsidRDefault="00A4083A" w:rsidP="00A4083A">
      <w:pPr>
        <w:pStyle w:val="Podnadpis"/>
        <w:rPr>
          <w:color w:val="auto"/>
          <w:highlight w:val="yellow"/>
        </w:rPr>
      </w:pPr>
      <w:bookmarkStart w:id="43" w:name="_Toc11133205"/>
      <w:bookmarkStart w:id="44" w:name="_Toc43931176"/>
      <w:r w:rsidRPr="001229BC">
        <w:rPr>
          <w:color w:val="auto"/>
        </w:rPr>
        <w:t xml:space="preserve">Tabulka </w:t>
      </w:r>
      <w:r w:rsidRPr="001229BC">
        <w:rPr>
          <w:noProof/>
          <w:color w:val="auto"/>
        </w:rPr>
        <w:fldChar w:fldCharType="begin"/>
      </w:r>
      <w:r w:rsidRPr="001229BC">
        <w:rPr>
          <w:noProof/>
          <w:color w:val="auto"/>
        </w:rPr>
        <w:instrText xml:space="preserve"> SEQ Tabulka \* ARABIC </w:instrText>
      </w:r>
      <w:r w:rsidRPr="001229BC">
        <w:rPr>
          <w:noProof/>
          <w:color w:val="auto"/>
        </w:rPr>
        <w:fldChar w:fldCharType="separate"/>
      </w:r>
      <w:r w:rsidR="006E7F27">
        <w:rPr>
          <w:noProof/>
          <w:color w:val="auto"/>
        </w:rPr>
        <w:t>3</w:t>
      </w:r>
      <w:r w:rsidRPr="001229BC">
        <w:rPr>
          <w:noProof/>
          <w:color w:val="auto"/>
        </w:rPr>
        <w:fldChar w:fldCharType="end"/>
      </w:r>
      <w:r w:rsidRPr="001229BC">
        <w:rPr>
          <w:color w:val="auto"/>
        </w:rPr>
        <w:t>: OS – předsedové a místopředsedové soudů</w:t>
      </w:r>
      <w:bookmarkEnd w:id="43"/>
      <w:bookmarkEnd w:id="44"/>
    </w:p>
    <w:tbl>
      <w:tblPr>
        <w:tblW w:w="8460" w:type="dxa"/>
        <w:tblCellMar>
          <w:left w:w="70" w:type="dxa"/>
          <w:right w:w="70" w:type="dxa"/>
        </w:tblCellMar>
        <w:tblLook w:val="04A0" w:firstRow="1" w:lastRow="0" w:firstColumn="1" w:lastColumn="0" w:noHBand="0" w:noVBand="1"/>
      </w:tblPr>
      <w:tblGrid>
        <w:gridCol w:w="2220"/>
        <w:gridCol w:w="851"/>
        <w:gridCol w:w="1229"/>
        <w:gridCol w:w="1040"/>
        <w:gridCol w:w="851"/>
        <w:gridCol w:w="1229"/>
        <w:gridCol w:w="1040"/>
      </w:tblGrid>
      <w:tr w:rsidR="00A4083A" w:rsidRPr="001229BC" w:rsidTr="00A41CAB">
        <w:trPr>
          <w:trHeight w:val="330"/>
        </w:trPr>
        <w:tc>
          <w:tcPr>
            <w:tcW w:w="2220" w:type="dxa"/>
            <w:tcBorders>
              <w:top w:val="nil"/>
              <w:left w:val="nil"/>
              <w:bottom w:val="nil"/>
              <w:right w:val="nil"/>
            </w:tcBorders>
            <w:shd w:val="clear" w:color="auto" w:fill="auto"/>
            <w:noWrap/>
            <w:vAlign w:val="bottom"/>
            <w:hideMark/>
          </w:tcPr>
          <w:p w:rsidR="00A4083A" w:rsidRPr="001229BC" w:rsidRDefault="00A4083A" w:rsidP="00A41CAB">
            <w:pPr>
              <w:spacing w:line="240" w:lineRule="auto"/>
              <w:rPr>
                <w:rFonts w:eastAsia="Times New Roman"/>
                <w:b/>
                <w:bCs/>
                <w:szCs w:val="24"/>
                <w:highlight w:val="yellow"/>
                <w:lang w:eastAsia="cs-CZ"/>
              </w:rPr>
            </w:pPr>
          </w:p>
        </w:tc>
        <w:tc>
          <w:tcPr>
            <w:tcW w:w="851" w:type="dxa"/>
            <w:tcBorders>
              <w:top w:val="nil"/>
              <w:left w:val="nil"/>
              <w:bottom w:val="nil"/>
              <w:right w:val="nil"/>
            </w:tcBorders>
            <w:shd w:val="clear" w:color="auto" w:fill="auto"/>
            <w:noWrap/>
            <w:vAlign w:val="bottom"/>
            <w:hideMark/>
          </w:tcPr>
          <w:p w:rsidR="00A4083A" w:rsidRPr="001229BC" w:rsidRDefault="00A4083A" w:rsidP="00A41CAB">
            <w:pPr>
              <w:spacing w:line="240" w:lineRule="auto"/>
              <w:jc w:val="left"/>
              <w:rPr>
                <w:rFonts w:ascii="Times New Roman" w:eastAsia="Times New Roman" w:hAnsi="Times New Roman"/>
                <w:sz w:val="20"/>
                <w:szCs w:val="20"/>
                <w:highlight w:val="yellow"/>
                <w:lang w:eastAsia="cs-CZ"/>
              </w:rPr>
            </w:pPr>
          </w:p>
        </w:tc>
        <w:tc>
          <w:tcPr>
            <w:tcW w:w="1229" w:type="dxa"/>
            <w:tcBorders>
              <w:top w:val="nil"/>
              <w:left w:val="nil"/>
              <w:bottom w:val="nil"/>
              <w:right w:val="nil"/>
            </w:tcBorders>
            <w:shd w:val="clear" w:color="auto" w:fill="auto"/>
            <w:noWrap/>
            <w:vAlign w:val="bottom"/>
            <w:hideMark/>
          </w:tcPr>
          <w:p w:rsidR="00A4083A" w:rsidRPr="001229BC" w:rsidRDefault="00A4083A" w:rsidP="00A41CAB">
            <w:pPr>
              <w:spacing w:line="240" w:lineRule="auto"/>
              <w:jc w:val="left"/>
              <w:rPr>
                <w:rFonts w:ascii="Times New Roman" w:eastAsia="Times New Roman" w:hAnsi="Times New Roman"/>
                <w:sz w:val="20"/>
                <w:szCs w:val="20"/>
                <w:highlight w:val="yellow"/>
                <w:lang w:eastAsia="cs-CZ"/>
              </w:rPr>
            </w:pPr>
          </w:p>
        </w:tc>
        <w:tc>
          <w:tcPr>
            <w:tcW w:w="1040" w:type="dxa"/>
            <w:tcBorders>
              <w:top w:val="nil"/>
              <w:left w:val="nil"/>
              <w:bottom w:val="nil"/>
              <w:right w:val="nil"/>
            </w:tcBorders>
            <w:shd w:val="clear" w:color="auto" w:fill="auto"/>
            <w:noWrap/>
            <w:vAlign w:val="bottom"/>
            <w:hideMark/>
          </w:tcPr>
          <w:p w:rsidR="00A4083A" w:rsidRPr="001229BC" w:rsidRDefault="00A4083A" w:rsidP="00A41CAB">
            <w:pPr>
              <w:spacing w:line="240" w:lineRule="auto"/>
              <w:jc w:val="left"/>
              <w:rPr>
                <w:rFonts w:ascii="Times New Roman" w:eastAsia="Times New Roman" w:hAnsi="Times New Roman"/>
                <w:sz w:val="20"/>
                <w:szCs w:val="20"/>
                <w:highlight w:val="yellow"/>
                <w:lang w:eastAsia="cs-CZ"/>
              </w:rPr>
            </w:pPr>
          </w:p>
        </w:tc>
        <w:tc>
          <w:tcPr>
            <w:tcW w:w="851" w:type="dxa"/>
            <w:tcBorders>
              <w:top w:val="nil"/>
              <w:left w:val="nil"/>
              <w:bottom w:val="nil"/>
              <w:right w:val="nil"/>
            </w:tcBorders>
            <w:shd w:val="clear" w:color="auto" w:fill="auto"/>
            <w:noWrap/>
            <w:vAlign w:val="bottom"/>
            <w:hideMark/>
          </w:tcPr>
          <w:p w:rsidR="00A4083A" w:rsidRPr="001229BC" w:rsidRDefault="00A4083A" w:rsidP="00A41CAB">
            <w:pPr>
              <w:spacing w:line="240" w:lineRule="auto"/>
              <w:jc w:val="left"/>
              <w:rPr>
                <w:rFonts w:ascii="Times New Roman" w:eastAsia="Times New Roman" w:hAnsi="Times New Roman"/>
                <w:sz w:val="20"/>
                <w:szCs w:val="20"/>
                <w:highlight w:val="yellow"/>
                <w:lang w:eastAsia="cs-CZ"/>
              </w:rPr>
            </w:pPr>
          </w:p>
        </w:tc>
        <w:tc>
          <w:tcPr>
            <w:tcW w:w="1229" w:type="dxa"/>
            <w:tcBorders>
              <w:top w:val="nil"/>
              <w:left w:val="nil"/>
              <w:bottom w:val="nil"/>
              <w:right w:val="nil"/>
            </w:tcBorders>
            <w:shd w:val="clear" w:color="auto" w:fill="auto"/>
            <w:noWrap/>
            <w:vAlign w:val="bottom"/>
            <w:hideMark/>
          </w:tcPr>
          <w:p w:rsidR="00A4083A" w:rsidRPr="001229BC" w:rsidRDefault="00A4083A" w:rsidP="00A41CAB">
            <w:pPr>
              <w:spacing w:line="240" w:lineRule="auto"/>
              <w:jc w:val="left"/>
              <w:rPr>
                <w:rFonts w:ascii="Times New Roman" w:eastAsia="Times New Roman" w:hAnsi="Times New Roman"/>
                <w:sz w:val="20"/>
                <w:szCs w:val="20"/>
                <w:highlight w:val="yellow"/>
                <w:lang w:eastAsia="cs-CZ"/>
              </w:rPr>
            </w:pPr>
          </w:p>
        </w:tc>
        <w:tc>
          <w:tcPr>
            <w:tcW w:w="1040" w:type="dxa"/>
            <w:tcBorders>
              <w:top w:val="nil"/>
              <w:left w:val="nil"/>
              <w:bottom w:val="nil"/>
              <w:right w:val="nil"/>
            </w:tcBorders>
            <w:shd w:val="clear" w:color="auto" w:fill="auto"/>
            <w:noWrap/>
            <w:vAlign w:val="bottom"/>
            <w:hideMark/>
          </w:tcPr>
          <w:p w:rsidR="00A4083A" w:rsidRPr="001229BC" w:rsidRDefault="00A4083A" w:rsidP="00A41CAB">
            <w:pPr>
              <w:spacing w:line="240" w:lineRule="auto"/>
              <w:jc w:val="left"/>
              <w:rPr>
                <w:rFonts w:ascii="Times New Roman" w:eastAsia="Times New Roman" w:hAnsi="Times New Roman"/>
                <w:sz w:val="20"/>
                <w:szCs w:val="20"/>
                <w:highlight w:val="yellow"/>
                <w:lang w:eastAsia="cs-CZ"/>
              </w:rPr>
            </w:pPr>
          </w:p>
        </w:tc>
      </w:tr>
      <w:tr w:rsidR="00A4083A" w:rsidRPr="001229BC" w:rsidTr="00A41CAB">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Nadřízený soud</w:t>
            </w:r>
          </w:p>
        </w:tc>
        <w:tc>
          <w:tcPr>
            <w:tcW w:w="2080" w:type="dxa"/>
            <w:gridSpan w:val="2"/>
            <w:tcBorders>
              <w:top w:val="double" w:sz="6" w:space="0" w:color="auto"/>
              <w:left w:val="nil"/>
              <w:bottom w:val="nil"/>
              <w:right w:val="nil"/>
            </w:tcBorders>
            <w:shd w:val="clear" w:color="auto" w:fill="auto"/>
            <w:noWrap/>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Předsedové</w:t>
            </w:r>
          </w:p>
        </w:tc>
        <w:tc>
          <w:tcPr>
            <w:tcW w:w="1040" w:type="dxa"/>
            <w:vMerge w:val="restart"/>
            <w:tcBorders>
              <w:top w:val="double" w:sz="6" w:space="0" w:color="auto"/>
              <w:left w:val="nil"/>
              <w:bottom w:val="double" w:sz="6" w:space="0" w:color="000000"/>
              <w:right w:val="nil"/>
            </w:tcBorders>
            <w:shd w:val="clear" w:color="auto" w:fill="auto"/>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Podíl žen v</w:t>
            </w:r>
            <w:r>
              <w:rPr>
                <w:rFonts w:eastAsia="Times New Roman"/>
                <w:b/>
                <w:bCs/>
                <w:szCs w:val="24"/>
                <w:lang w:eastAsia="cs-CZ"/>
              </w:rPr>
              <w:t> %</w:t>
            </w:r>
          </w:p>
        </w:tc>
        <w:tc>
          <w:tcPr>
            <w:tcW w:w="2080" w:type="dxa"/>
            <w:gridSpan w:val="2"/>
            <w:tcBorders>
              <w:top w:val="double" w:sz="6" w:space="0" w:color="auto"/>
              <w:left w:val="nil"/>
              <w:bottom w:val="nil"/>
              <w:right w:val="nil"/>
            </w:tcBorders>
            <w:shd w:val="clear" w:color="auto" w:fill="auto"/>
            <w:noWrap/>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Místopředsedové</w:t>
            </w:r>
          </w:p>
        </w:tc>
        <w:tc>
          <w:tcPr>
            <w:tcW w:w="1040" w:type="dxa"/>
            <w:vMerge w:val="restart"/>
            <w:tcBorders>
              <w:top w:val="double" w:sz="6" w:space="0" w:color="auto"/>
              <w:left w:val="nil"/>
              <w:bottom w:val="double" w:sz="6" w:space="0" w:color="000000"/>
              <w:right w:val="nil"/>
            </w:tcBorders>
            <w:shd w:val="clear" w:color="auto" w:fill="auto"/>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Podíl žen v</w:t>
            </w:r>
            <w:r>
              <w:rPr>
                <w:rFonts w:eastAsia="Times New Roman"/>
                <w:b/>
                <w:bCs/>
                <w:szCs w:val="24"/>
                <w:lang w:eastAsia="cs-CZ"/>
              </w:rPr>
              <w:t> %</w:t>
            </w:r>
          </w:p>
        </w:tc>
      </w:tr>
      <w:tr w:rsidR="00A4083A" w:rsidRPr="001229BC" w:rsidTr="00A41CAB">
        <w:trPr>
          <w:trHeight w:val="330"/>
        </w:trPr>
        <w:tc>
          <w:tcPr>
            <w:tcW w:w="2220" w:type="dxa"/>
            <w:vMerge/>
            <w:tcBorders>
              <w:top w:val="double" w:sz="6" w:space="0" w:color="auto"/>
              <w:left w:val="nil"/>
              <w:bottom w:val="double" w:sz="6" w:space="0" w:color="000000"/>
              <w:right w:val="nil"/>
            </w:tcBorders>
            <w:vAlign w:val="center"/>
            <w:hideMark/>
          </w:tcPr>
          <w:p w:rsidR="00A4083A" w:rsidRPr="001229BC" w:rsidRDefault="00A4083A" w:rsidP="00A41CAB">
            <w:pPr>
              <w:spacing w:line="240" w:lineRule="auto"/>
              <w:jc w:val="left"/>
              <w:rPr>
                <w:rFonts w:eastAsia="Times New Roman"/>
                <w:b/>
                <w:bCs/>
                <w:szCs w:val="24"/>
                <w:lang w:eastAsia="cs-CZ"/>
              </w:rPr>
            </w:pPr>
          </w:p>
        </w:tc>
        <w:tc>
          <w:tcPr>
            <w:tcW w:w="851" w:type="dxa"/>
            <w:tcBorders>
              <w:top w:val="nil"/>
              <w:left w:val="nil"/>
              <w:bottom w:val="double" w:sz="6" w:space="0" w:color="auto"/>
              <w:right w:val="nil"/>
            </w:tcBorders>
            <w:shd w:val="clear" w:color="auto" w:fill="auto"/>
            <w:noWrap/>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Žen</w:t>
            </w:r>
          </w:p>
        </w:tc>
        <w:tc>
          <w:tcPr>
            <w:tcW w:w="1229" w:type="dxa"/>
            <w:tcBorders>
              <w:top w:val="nil"/>
              <w:left w:val="nil"/>
              <w:bottom w:val="double" w:sz="6" w:space="0" w:color="auto"/>
              <w:right w:val="nil"/>
            </w:tcBorders>
            <w:shd w:val="clear" w:color="auto" w:fill="auto"/>
            <w:noWrap/>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Mužů</w:t>
            </w:r>
          </w:p>
        </w:tc>
        <w:tc>
          <w:tcPr>
            <w:tcW w:w="1040" w:type="dxa"/>
            <w:vMerge/>
            <w:tcBorders>
              <w:top w:val="double" w:sz="6" w:space="0" w:color="auto"/>
              <w:left w:val="nil"/>
              <w:bottom w:val="double" w:sz="6" w:space="0" w:color="000000"/>
              <w:right w:val="nil"/>
            </w:tcBorders>
            <w:vAlign w:val="center"/>
            <w:hideMark/>
          </w:tcPr>
          <w:p w:rsidR="00A4083A" w:rsidRPr="001229BC" w:rsidRDefault="00A4083A" w:rsidP="00A41CAB">
            <w:pPr>
              <w:spacing w:line="240" w:lineRule="auto"/>
              <w:jc w:val="left"/>
              <w:rPr>
                <w:rFonts w:eastAsia="Times New Roman"/>
                <w:b/>
                <w:bCs/>
                <w:szCs w:val="24"/>
                <w:lang w:eastAsia="cs-CZ"/>
              </w:rPr>
            </w:pPr>
          </w:p>
        </w:tc>
        <w:tc>
          <w:tcPr>
            <w:tcW w:w="851" w:type="dxa"/>
            <w:tcBorders>
              <w:top w:val="nil"/>
              <w:left w:val="nil"/>
              <w:bottom w:val="double" w:sz="6" w:space="0" w:color="auto"/>
              <w:right w:val="nil"/>
            </w:tcBorders>
            <w:shd w:val="clear" w:color="auto" w:fill="auto"/>
            <w:noWrap/>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Žen</w:t>
            </w:r>
          </w:p>
        </w:tc>
        <w:tc>
          <w:tcPr>
            <w:tcW w:w="1229" w:type="dxa"/>
            <w:tcBorders>
              <w:top w:val="nil"/>
              <w:left w:val="nil"/>
              <w:bottom w:val="double" w:sz="6" w:space="0" w:color="auto"/>
              <w:right w:val="nil"/>
            </w:tcBorders>
            <w:shd w:val="clear" w:color="auto" w:fill="auto"/>
            <w:noWrap/>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Mužů</w:t>
            </w:r>
          </w:p>
        </w:tc>
        <w:tc>
          <w:tcPr>
            <w:tcW w:w="1040" w:type="dxa"/>
            <w:vMerge/>
            <w:tcBorders>
              <w:top w:val="double" w:sz="6" w:space="0" w:color="auto"/>
              <w:left w:val="nil"/>
              <w:bottom w:val="double" w:sz="6" w:space="0" w:color="000000"/>
              <w:right w:val="nil"/>
            </w:tcBorders>
            <w:vAlign w:val="center"/>
            <w:hideMark/>
          </w:tcPr>
          <w:p w:rsidR="00A4083A" w:rsidRPr="001229BC" w:rsidRDefault="00A4083A" w:rsidP="00A41CAB">
            <w:pPr>
              <w:spacing w:line="240" w:lineRule="auto"/>
              <w:jc w:val="left"/>
              <w:rPr>
                <w:rFonts w:eastAsia="Times New Roman"/>
                <w:b/>
                <w:bCs/>
                <w:szCs w:val="24"/>
                <w:lang w:eastAsia="cs-CZ"/>
              </w:rPr>
            </w:pPr>
          </w:p>
        </w:tc>
      </w:tr>
      <w:tr w:rsidR="00A4083A" w:rsidRPr="001229BC" w:rsidTr="00A41CAB">
        <w:trPr>
          <w:trHeight w:val="330"/>
        </w:trPr>
        <w:tc>
          <w:tcPr>
            <w:tcW w:w="2220" w:type="dxa"/>
            <w:tcBorders>
              <w:top w:val="single" w:sz="4" w:space="0" w:color="auto"/>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MS Praha</w:t>
            </w:r>
          </w:p>
        </w:tc>
        <w:tc>
          <w:tcPr>
            <w:tcW w:w="851" w:type="dxa"/>
            <w:tcBorders>
              <w:top w:val="single" w:sz="4" w:space="0" w:color="auto"/>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4</w:t>
            </w:r>
          </w:p>
        </w:tc>
        <w:tc>
          <w:tcPr>
            <w:tcW w:w="1229" w:type="dxa"/>
            <w:tcBorders>
              <w:top w:val="single" w:sz="4" w:space="0" w:color="auto"/>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6</w:t>
            </w:r>
          </w:p>
        </w:tc>
        <w:tc>
          <w:tcPr>
            <w:tcW w:w="1040" w:type="dxa"/>
            <w:tcBorders>
              <w:top w:val="single" w:sz="4" w:space="0" w:color="auto"/>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40,00</w:t>
            </w:r>
          </w:p>
        </w:tc>
        <w:tc>
          <w:tcPr>
            <w:tcW w:w="851" w:type="dxa"/>
            <w:tcBorders>
              <w:top w:val="single" w:sz="4" w:space="0" w:color="auto"/>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19</w:t>
            </w:r>
          </w:p>
        </w:tc>
        <w:tc>
          <w:tcPr>
            <w:tcW w:w="1229" w:type="dxa"/>
            <w:tcBorders>
              <w:top w:val="single" w:sz="4" w:space="0" w:color="auto"/>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7</w:t>
            </w:r>
          </w:p>
        </w:tc>
        <w:tc>
          <w:tcPr>
            <w:tcW w:w="1040" w:type="dxa"/>
            <w:tcBorders>
              <w:top w:val="single" w:sz="4" w:space="0" w:color="auto"/>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73,08</w:t>
            </w:r>
          </w:p>
        </w:tc>
      </w:tr>
      <w:tr w:rsidR="00A4083A" w:rsidRPr="001229BC"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Praha</w:t>
            </w:r>
          </w:p>
        </w:tc>
        <w:tc>
          <w:tcPr>
            <w:tcW w:w="851"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8</w:t>
            </w:r>
          </w:p>
        </w:tc>
        <w:tc>
          <w:tcPr>
            <w:tcW w:w="1229"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3</w:t>
            </w:r>
          </w:p>
        </w:tc>
        <w:tc>
          <w:tcPr>
            <w:tcW w:w="104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72,73</w:t>
            </w:r>
          </w:p>
        </w:tc>
        <w:tc>
          <w:tcPr>
            <w:tcW w:w="851"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6</w:t>
            </w:r>
          </w:p>
        </w:tc>
        <w:tc>
          <w:tcPr>
            <w:tcW w:w="1229"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9</w:t>
            </w:r>
          </w:p>
        </w:tc>
        <w:tc>
          <w:tcPr>
            <w:tcW w:w="104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40,00</w:t>
            </w:r>
          </w:p>
        </w:tc>
      </w:tr>
      <w:tr w:rsidR="00A4083A" w:rsidRPr="001229BC"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Č. Budějovice</w:t>
            </w:r>
          </w:p>
        </w:tc>
        <w:tc>
          <w:tcPr>
            <w:tcW w:w="851"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4</w:t>
            </w:r>
          </w:p>
        </w:tc>
        <w:tc>
          <w:tcPr>
            <w:tcW w:w="1229"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3</w:t>
            </w:r>
          </w:p>
        </w:tc>
        <w:tc>
          <w:tcPr>
            <w:tcW w:w="104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57,14</w:t>
            </w:r>
          </w:p>
        </w:tc>
        <w:tc>
          <w:tcPr>
            <w:tcW w:w="851"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3</w:t>
            </w:r>
          </w:p>
        </w:tc>
        <w:tc>
          <w:tcPr>
            <w:tcW w:w="1229"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5</w:t>
            </w:r>
          </w:p>
        </w:tc>
        <w:tc>
          <w:tcPr>
            <w:tcW w:w="104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37,50</w:t>
            </w:r>
          </w:p>
        </w:tc>
      </w:tr>
      <w:tr w:rsidR="00A4083A" w:rsidRPr="001229BC"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Plzeň</w:t>
            </w:r>
          </w:p>
        </w:tc>
        <w:tc>
          <w:tcPr>
            <w:tcW w:w="851"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3</w:t>
            </w:r>
          </w:p>
        </w:tc>
        <w:tc>
          <w:tcPr>
            <w:tcW w:w="1229"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7</w:t>
            </w:r>
          </w:p>
        </w:tc>
        <w:tc>
          <w:tcPr>
            <w:tcW w:w="104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30,00</w:t>
            </w:r>
          </w:p>
        </w:tc>
        <w:tc>
          <w:tcPr>
            <w:tcW w:w="851"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4</w:t>
            </w:r>
          </w:p>
        </w:tc>
        <w:tc>
          <w:tcPr>
            <w:tcW w:w="1229"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8</w:t>
            </w:r>
          </w:p>
        </w:tc>
        <w:tc>
          <w:tcPr>
            <w:tcW w:w="104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33,33</w:t>
            </w:r>
          </w:p>
        </w:tc>
      </w:tr>
      <w:tr w:rsidR="00A4083A" w:rsidRPr="001229BC"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Ústí n. Labem</w:t>
            </w:r>
          </w:p>
        </w:tc>
        <w:tc>
          <w:tcPr>
            <w:tcW w:w="851"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5</w:t>
            </w:r>
          </w:p>
        </w:tc>
        <w:tc>
          <w:tcPr>
            <w:tcW w:w="1229"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5</w:t>
            </w:r>
          </w:p>
        </w:tc>
        <w:tc>
          <w:tcPr>
            <w:tcW w:w="104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50,00</w:t>
            </w:r>
          </w:p>
        </w:tc>
        <w:tc>
          <w:tcPr>
            <w:tcW w:w="851"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11</w:t>
            </w:r>
          </w:p>
        </w:tc>
        <w:tc>
          <w:tcPr>
            <w:tcW w:w="1229"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7</w:t>
            </w:r>
          </w:p>
        </w:tc>
        <w:tc>
          <w:tcPr>
            <w:tcW w:w="104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61,11</w:t>
            </w:r>
          </w:p>
        </w:tc>
      </w:tr>
      <w:tr w:rsidR="00A4083A" w:rsidRPr="001229BC"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Hr. Králové</w:t>
            </w:r>
          </w:p>
        </w:tc>
        <w:tc>
          <w:tcPr>
            <w:tcW w:w="851"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7</w:t>
            </w:r>
          </w:p>
        </w:tc>
        <w:tc>
          <w:tcPr>
            <w:tcW w:w="1229"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4</w:t>
            </w:r>
          </w:p>
        </w:tc>
        <w:tc>
          <w:tcPr>
            <w:tcW w:w="104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63,64</w:t>
            </w:r>
          </w:p>
        </w:tc>
        <w:tc>
          <w:tcPr>
            <w:tcW w:w="851"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7</w:t>
            </w:r>
          </w:p>
        </w:tc>
        <w:tc>
          <w:tcPr>
            <w:tcW w:w="1229"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4</w:t>
            </w:r>
          </w:p>
        </w:tc>
        <w:tc>
          <w:tcPr>
            <w:tcW w:w="104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63,64</w:t>
            </w:r>
          </w:p>
        </w:tc>
      </w:tr>
      <w:tr w:rsidR="00A4083A" w:rsidRPr="001229BC"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Brno</w:t>
            </w:r>
          </w:p>
        </w:tc>
        <w:tc>
          <w:tcPr>
            <w:tcW w:w="851"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4</w:t>
            </w:r>
          </w:p>
        </w:tc>
        <w:tc>
          <w:tcPr>
            <w:tcW w:w="1229"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9</w:t>
            </w:r>
          </w:p>
        </w:tc>
        <w:tc>
          <w:tcPr>
            <w:tcW w:w="104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30,77</w:t>
            </w:r>
          </w:p>
        </w:tc>
        <w:tc>
          <w:tcPr>
            <w:tcW w:w="851"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4</w:t>
            </w:r>
          </w:p>
        </w:tc>
        <w:tc>
          <w:tcPr>
            <w:tcW w:w="1229"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8</w:t>
            </w:r>
          </w:p>
        </w:tc>
        <w:tc>
          <w:tcPr>
            <w:tcW w:w="104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33,33</w:t>
            </w:r>
          </w:p>
        </w:tc>
      </w:tr>
      <w:tr w:rsidR="00A4083A" w:rsidRPr="001229BC" w:rsidTr="00A41CAB">
        <w:trPr>
          <w:trHeight w:val="330"/>
        </w:trPr>
        <w:tc>
          <w:tcPr>
            <w:tcW w:w="2220"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Ostrava</w:t>
            </w:r>
          </w:p>
        </w:tc>
        <w:tc>
          <w:tcPr>
            <w:tcW w:w="851"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4</w:t>
            </w:r>
          </w:p>
        </w:tc>
        <w:tc>
          <w:tcPr>
            <w:tcW w:w="1229"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6</w:t>
            </w:r>
          </w:p>
        </w:tc>
        <w:tc>
          <w:tcPr>
            <w:tcW w:w="1040"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40,00</w:t>
            </w:r>
          </w:p>
        </w:tc>
        <w:tc>
          <w:tcPr>
            <w:tcW w:w="851"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9</w:t>
            </w:r>
          </w:p>
        </w:tc>
        <w:tc>
          <w:tcPr>
            <w:tcW w:w="1229"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8</w:t>
            </w:r>
          </w:p>
        </w:tc>
        <w:tc>
          <w:tcPr>
            <w:tcW w:w="1040"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52,94</w:t>
            </w:r>
          </w:p>
        </w:tc>
      </w:tr>
      <w:tr w:rsidR="00A4083A" w:rsidRPr="001229BC" w:rsidTr="00A41CAB">
        <w:trPr>
          <w:trHeight w:val="345"/>
        </w:trPr>
        <w:tc>
          <w:tcPr>
            <w:tcW w:w="2220"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b/>
                <w:bCs/>
                <w:szCs w:val="24"/>
                <w:lang w:eastAsia="cs-CZ"/>
              </w:rPr>
            </w:pPr>
            <w:r w:rsidRPr="001229BC">
              <w:rPr>
                <w:rFonts w:eastAsia="Times New Roman"/>
                <w:b/>
                <w:bCs/>
                <w:szCs w:val="24"/>
                <w:lang w:eastAsia="cs-CZ"/>
              </w:rPr>
              <w:t>Celkem ČR</w:t>
            </w:r>
          </w:p>
        </w:tc>
        <w:tc>
          <w:tcPr>
            <w:tcW w:w="851"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39</w:t>
            </w:r>
          </w:p>
        </w:tc>
        <w:tc>
          <w:tcPr>
            <w:tcW w:w="1229"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43</w:t>
            </w:r>
          </w:p>
        </w:tc>
        <w:tc>
          <w:tcPr>
            <w:tcW w:w="1040"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47,56</w:t>
            </w:r>
          </w:p>
        </w:tc>
        <w:tc>
          <w:tcPr>
            <w:tcW w:w="851"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63</w:t>
            </w:r>
          </w:p>
        </w:tc>
        <w:tc>
          <w:tcPr>
            <w:tcW w:w="1229"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56</w:t>
            </w:r>
          </w:p>
        </w:tc>
        <w:tc>
          <w:tcPr>
            <w:tcW w:w="1040"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52,94</w:t>
            </w:r>
          </w:p>
        </w:tc>
      </w:tr>
    </w:tbl>
    <w:p w:rsidR="00A4083A" w:rsidRPr="001229BC" w:rsidRDefault="00A4083A" w:rsidP="00A4083A">
      <w:pPr>
        <w:pStyle w:val="OdstavecASR"/>
      </w:pPr>
    </w:p>
    <w:p w:rsidR="00A4083A" w:rsidRPr="001229BC" w:rsidRDefault="00A4083A" w:rsidP="00A4083A">
      <w:pPr>
        <w:pStyle w:val="OdstavecASR"/>
        <w:rPr>
          <w:highlight w:val="yellow"/>
        </w:rPr>
      </w:pPr>
      <w:r w:rsidRPr="001229BC">
        <w:t xml:space="preserve">Na vysvětlenou je třeba uvést, že součet počtu předsedů a předsedkyň není roven počtu okresních soudů (86), protože ne všude je funkce předsedy obsazená. Z tabulky </w:t>
      </w:r>
      <w:r>
        <w:t xml:space="preserve">můžeme </w:t>
      </w:r>
      <w:r w:rsidRPr="001229BC">
        <w:t xml:space="preserve">vyčíst, že počet žen a mužů na místech předsedů a místopředsedů je mnohem vyrovnanější, než je </w:t>
      </w:r>
      <w:r>
        <w:t xml:space="preserve">tomu </w:t>
      </w:r>
      <w:r w:rsidRPr="001229BC">
        <w:t xml:space="preserve">u celkového počtu soudců. V roce 2018 ženy představovaly přesně polovinu předsedů. V roce 2019 to je o něco méně. Místopředsedkyň je o něco málo více než místopředsedů soudů. V jednotlivých krajích je </w:t>
      </w:r>
      <w:r w:rsidRPr="001229BC">
        <w:lastRenderedPageBreak/>
        <w:t xml:space="preserve">oproti roku 2018 </w:t>
      </w:r>
      <w:r>
        <w:t xml:space="preserve">došlo k </w:t>
      </w:r>
      <w:r w:rsidRPr="001229BC">
        <w:t>poměrně výrazn</w:t>
      </w:r>
      <w:r>
        <w:t>ým</w:t>
      </w:r>
      <w:r w:rsidRPr="001229BC">
        <w:t xml:space="preserve"> procentuální</w:t>
      </w:r>
      <w:r>
        <w:t>m</w:t>
      </w:r>
      <w:r w:rsidRPr="001229BC">
        <w:t xml:space="preserve"> změn</w:t>
      </w:r>
      <w:r>
        <w:t>ám</w:t>
      </w:r>
      <w:r w:rsidRPr="001229BC">
        <w:t>. Vzhledem k malému počtu předsedů a místopředsedů je to ovšem logické.</w:t>
      </w:r>
    </w:p>
    <w:p w:rsidR="00A4083A" w:rsidRPr="001229BC" w:rsidRDefault="00A4083A" w:rsidP="00A4083A">
      <w:pPr>
        <w:pStyle w:val="OdstavecASR"/>
      </w:pPr>
      <w:r w:rsidRPr="001229BC">
        <w:t>Dalším sledovaným ukazatelem je věková struktura soudců. Na grafu níže vidíme její vývoj v letech 2008 až 2019. V tabulce pak jsou průřezová data okresních soudů po krajích za rok 2019.</w:t>
      </w:r>
    </w:p>
    <w:p w:rsidR="00A4083A" w:rsidRPr="001229BC" w:rsidRDefault="00A4083A" w:rsidP="00A4083A">
      <w:pPr>
        <w:pStyle w:val="Podnadpis"/>
        <w:rPr>
          <w:color w:val="auto"/>
        </w:rPr>
      </w:pPr>
      <w:bookmarkStart w:id="45" w:name="_Toc11135066"/>
      <w:bookmarkStart w:id="46" w:name="_Toc43841385"/>
      <w:r w:rsidRPr="001229BC">
        <w:rPr>
          <w:color w:val="auto"/>
        </w:rPr>
        <w:t xml:space="preserve">Graf </w:t>
      </w:r>
      <w:r w:rsidRPr="001229BC">
        <w:rPr>
          <w:noProof/>
          <w:color w:val="auto"/>
        </w:rPr>
        <w:fldChar w:fldCharType="begin"/>
      </w:r>
      <w:r w:rsidRPr="001229BC">
        <w:rPr>
          <w:noProof/>
          <w:color w:val="auto"/>
        </w:rPr>
        <w:instrText xml:space="preserve"> SEQ Graf \* ARABIC </w:instrText>
      </w:r>
      <w:r w:rsidRPr="001229BC">
        <w:rPr>
          <w:noProof/>
          <w:color w:val="auto"/>
        </w:rPr>
        <w:fldChar w:fldCharType="separate"/>
      </w:r>
      <w:r w:rsidR="006E7F27">
        <w:rPr>
          <w:noProof/>
          <w:color w:val="auto"/>
        </w:rPr>
        <w:t>5</w:t>
      </w:r>
      <w:r w:rsidRPr="001229BC">
        <w:rPr>
          <w:noProof/>
          <w:color w:val="auto"/>
        </w:rPr>
        <w:fldChar w:fldCharType="end"/>
      </w:r>
      <w:r w:rsidRPr="001229BC">
        <w:rPr>
          <w:color w:val="auto"/>
        </w:rPr>
        <w:t>: OS – věková struktura soudců v letech 2008–201</w:t>
      </w:r>
      <w:bookmarkEnd w:id="45"/>
      <w:r w:rsidRPr="001229BC">
        <w:rPr>
          <w:color w:val="auto"/>
        </w:rPr>
        <w:t>9</w:t>
      </w:r>
      <w:bookmarkEnd w:id="46"/>
    </w:p>
    <w:p w:rsidR="00A4083A" w:rsidRPr="001229BC" w:rsidRDefault="00A4083A" w:rsidP="00A4083A">
      <w:pPr>
        <w:pStyle w:val="OdstavecASR"/>
        <w:rPr>
          <w:rStyle w:val="OdstavecASRChar"/>
        </w:rPr>
      </w:pPr>
      <w:r w:rsidRPr="001229BC">
        <w:rPr>
          <w:rStyle w:val="OdstavecASRChar"/>
          <w:noProof/>
          <w:lang w:eastAsia="cs-CZ"/>
        </w:rPr>
        <w:drawing>
          <wp:inline distT="0" distB="0" distL="0" distR="0" wp14:anchorId="734B9F86" wp14:editId="3733DB7B">
            <wp:extent cx="5114925" cy="3743325"/>
            <wp:effectExtent l="0" t="0" r="0" b="9525"/>
            <wp:docPr id="120" name="Obráze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1229BC" w:rsidRDefault="00A4083A" w:rsidP="00A4083A">
      <w:pPr>
        <w:pStyle w:val="OdstavecASR"/>
      </w:pPr>
      <w:r w:rsidRPr="001229BC">
        <w:t>Z grafu je patrný pokračující trend z minulých let, tedy že soudci okresních soudů v ČR v průměru dále stárnou. Především soudci z věkové kategorie 30 až 40 let se postupně přesouvají (stárnou) do věkové kategorie 41 až 50 let.</w:t>
      </w:r>
    </w:p>
    <w:p w:rsidR="00A4083A" w:rsidRPr="001229BC" w:rsidRDefault="00A4083A" w:rsidP="00A4083A">
      <w:pPr>
        <w:rPr>
          <w:rStyle w:val="OdstavecASRChar"/>
        </w:rPr>
      </w:pPr>
      <w:r w:rsidRPr="001229BC">
        <w:t>V roce 2007 byl podíl soudců ve věku 30 až 40 let 49</w:t>
      </w:r>
      <w:r>
        <w:t> %</w:t>
      </w:r>
      <w:r w:rsidRPr="001229BC">
        <w:t>, v roce 2018 byl tento podíl již pouze necelých 26</w:t>
      </w:r>
      <w:r>
        <w:t> %</w:t>
      </w:r>
      <w:r w:rsidRPr="001229BC">
        <w:t>. Naopak podíl soudců ve věku 41 až 50 let byl v roce 2007 25</w:t>
      </w:r>
      <w:r>
        <w:t> % </w:t>
      </w:r>
      <w:r w:rsidRPr="001229BC">
        <w:t>a přibližně 42</w:t>
      </w:r>
      <w:r>
        <w:t> % </w:t>
      </w:r>
      <w:r w:rsidRPr="001229BC">
        <w:t>v roce 2018. Příčin tohoto posunu je zřejmě několik:</w:t>
      </w:r>
    </w:p>
    <w:p w:rsidR="00A4083A" w:rsidRPr="001229BC" w:rsidRDefault="00A4083A" w:rsidP="00A4083A">
      <w:pPr>
        <w:pStyle w:val="Odstavecseseznamem"/>
        <w:numPr>
          <w:ilvl w:val="0"/>
          <w:numId w:val="14"/>
        </w:numPr>
      </w:pPr>
      <w:r w:rsidRPr="001229BC">
        <w:t xml:space="preserve">Ve sledovaném období je již celkový počet soudců velmi stabilní. </w:t>
      </w:r>
      <w:r>
        <w:t>A</w:t>
      </w:r>
      <w:r w:rsidRPr="001229BC">
        <w:t xml:space="preserve">ž do roku 2006 se </w:t>
      </w:r>
      <w:r>
        <w:t xml:space="preserve">ale </w:t>
      </w:r>
      <w:r w:rsidRPr="001229BC">
        <w:t xml:space="preserve">počet soudců rychle zvyšoval, počet nově jmenovaných soudců za rok byl tedy výrazně vyšší než v posledních letech. </w:t>
      </w:r>
      <w:r>
        <w:t>K </w:t>
      </w:r>
      <w:r w:rsidRPr="001229BC">
        <w:t xml:space="preserve">okresním soudům byli </w:t>
      </w:r>
      <w:r>
        <w:t xml:space="preserve">přitom </w:t>
      </w:r>
      <w:r w:rsidRPr="001229BC">
        <w:t>většinou jmenováni mladí soudci. Právě tato rozsáhlá generace soudců se ve sledovaném období postupně přesouvá do vyšší věkové skupiny.</w:t>
      </w:r>
    </w:p>
    <w:p w:rsidR="00A4083A" w:rsidRPr="001229BC" w:rsidRDefault="00A4083A" w:rsidP="00A4083A">
      <w:pPr>
        <w:pStyle w:val="Odstavecseseznamem"/>
        <w:numPr>
          <w:ilvl w:val="0"/>
          <w:numId w:val="14"/>
        </w:numPr>
      </w:pPr>
      <w:r w:rsidRPr="001229BC">
        <w:t>Malou roli mohlo po určitou dobu hrát také to, že v roce 2003 byl stanoven minimální věk pro jmenování soudcem 30 let.</w:t>
      </w:r>
    </w:p>
    <w:p w:rsidR="00A4083A" w:rsidRPr="001229BC" w:rsidRDefault="00A4083A" w:rsidP="00A4083A">
      <w:pPr>
        <w:pStyle w:val="Odstavecseseznamem"/>
        <w:numPr>
          <w:ilvl w:val="0"/>
          <w:numId w:val="14"/>
        </w:numPr>
      </w:pPr>
      <w:r w:rsidRPr="001229BC">
        <w:t>V průběhu let docházelo ke změnám a zpřísňování podmínek pro jmenování soudcem a ke zpřesnění administrativně technického postupu. V důsledku těchto změn se zvyšuje průměrný věk, ve kterém je soudce jmenován.</w:t>
      </w:r>
    </w:p>
    <w:p w:rsidR="00A4083A" w:rsidRPr="001229BC" w:rsidRDefault="00A4083A" w:rsidP="00A4083A">
      <w:r w:rsidRPr="001229BC">
        <w:t>Toto „stárnutí“ soudcovské populace se víceméně zastavilo až v roce 2019.</w:t>
      </w:r>
    </w:p>
    <w:p w:rsidR="00A4083A" w:rsidRPr="001229BC" w:rsidRDefault="00A4083A" w:rsidP="00A4083A">
      <w:pPr>
        <w:pStyle w:val="OdstavecASR"/>
      </w:pPr>
      <w:r w:rsidRPr="001229BC">
        <w:lastRenderedPageBreak/>
        <w:t>V další tabulce vidíme, že věkové složení soudců se liší i mezi jednotlivými kraji. Zaujme například Severočeský kraj s velmi vysokým podílem soudců mezi 30 a 40 lety. To může souviset s posilováním soudů v Severočeském kraji v posledních letech nově jmenovanými mladými soudci. V letošním roce ho nicméně „přeskočil“ kraj Středočeský. Naopak v průměru nejstarší jsou soudci v Západočeském kraji, kde je téměř šestina soudců ve věku mezi 61 a 70 lety.</w:t>
      </w:r>
    </w:p>
    <w:p w:rsidR="00A4083A" w:rsidRPr="001229BC" w:rsidRDefault="00A4083A" w:rsidP="00A4083A">
      <w:pPr>
        <w:pStyle w:val="OdstavecASR"/>
      </w:pPr>
      <w:r w:rsidRPr="001229BC">
        <w:t xml:space="preserve">V souvislosti s věkem soudců je třeba ještě poznamenat, že vliv na věkovou strukturu má také překládání soudců ke krajským soudům. K tomuto přeložení dochází nejčastěji kolem čtyřicátého až čtyřicátého pátého roku věku. Přeložení dříve než v 35 a později než v 50 </w:t>
      </w:r>
      <w:r>
        <w:t xml:space="preserve">letech </w:t>
      </w:r>
      <w:r w:rsidRPr="001229BC">
        <w:t>jsou vzácná.</w:t>
      </w:r>
    </w:p>
    <w:p w:rsidR="00A4083A" w:rsidRPr="001229BC" w:rsidRDefault="00A4083A" w:rsidP="00A4083A">
      <w:pPr>
        <w:pStyle w:val="Podnadpis"/>
        <w:rPr>
          <w:color w:val="auto"/>
        </w:rPr>
      </w:pPr>
      <w:bookmarkStart w:id="47" w:name="_Toc515871438"/>
      <w:bookmarkStart w:id="48" w:name="_Toc11133206"/>
      <w:bookmarkStart w:id="49" w:name="_Toc43931177"/>
      <w:r w:rsidRPr="001229BC">
        <w:rPr>
          <w:color w:val="auto"/>
        </w:rPr>
        <w:t xml:space="preserve">Tabulka </w:t>
      </w:r>
      <w:r w:rsidRPr="001229BC">
        <w:rPr>
          <w:color w:val="auto"/>
        </w:rPr>
        <w:fldChar w:fldCharType="begin"/>
      </w:r>
      <w:r w:rsidRPr="001229BC">
        <w:rPr>
          <w:color w:val="auto"/>
        </w:rPr>
        <w:instrText xml:space="preserve"> SEQ Tabulka \* ARABIC </w:instrText>
      </w:r>
      <w:r w:rsidRPr="001229BC">
        <w:rPr>
          <w:color w:val="auto"/>
        </w:rPr>
        <w:fldChar w:fldCharType="separate"/>
      </w:r>
      <w:r w:rsidR="006E7F27">
        <w:rPr>
          <w:noProof/>
          <w:color w:val="auto"/>
        </w:rPr>
        <w:t>4</w:t>
      </w:r>
      <w:r w:rsidRPr="001229BC">
        <w:rPr>
          <w:noProof/>
          <w:color w:val="auto"/>
        </w:rPr>
        <w:fldChar w:fldCharType="end"/>
      </w:r>
      <w:r w:rsidRPr="001229BC">
        <w:rPr>
          <w:color w:val="auto"/>
        </w:rPr>
        <w:t>: OS – věková struktura soudců dle krajů</w:t>
      </w:r>
      <w:bookmarkEnd w:id="47"/>
      <w:bookmarkEnd w:id="48"/>
      <w:bookmarkEnd w:id="49"/>
    </w:p>
    <w:tbl>
      <w:tblPr>
        <w:tblW w:w="7921" w:type="dxa"/>
        <w:tblCellMar>
          <w:left w:w="70" w:type="dxa"/>
          <w:right w:w="70" w:type="dxa"/>
        </w:tblCellMar>
        <w:tblLook w:val="04A0" w:firstRow="1" w:lastRow="0" w:firstColumn="1" w:lastColumn="0" w:noHBand="0" w:noVBand="1"/>
      </w:tblPr>
      <w:tblGrid>
        <w:gridCol w:w="2480"/>
        <w:gridCol w:w="1376"/>
        <w:gridCol w:w="1355"/>
        <w:gridCol w:w="1355"/>
        <w:gridCol w:w="1355"/>
      </w:tblGrid>
      <w:tr w:rsidR="00A4083A" w:rsidRPr="001229BC" w:rsidTr="00A41C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Nadřízený soud</w:t>
            </w:r>
          </w:p>
        </w:tc>
        <w:tc>
          <w:tcPr>
            <w:tcW w:w="5441" w:type="dxa"/>
            <w:gridSpan w:val="4"/>
            <w:tcBorders>
              <w:top w:val="double" w:sz="6" w:space="0" w:color="auto"/>
              <w:left w:val="nil"/>
              <w:bottom w:val="nil"/>
              <w:right w:val="nil"/>
            </w:tcBorders>
            <w:shd w:val="clear" w:color="auto" w:fill="auto"/>
            <w:noWrap/>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Podíl na celkovém počtu soudců dle věku</w:t>
            </w:r>
          </w:p>
        </w:tc>
      </w:tr>
      <w:tr w:rsidR="00A4083A" w:rsidRPr="001229BC" w:rsidTr="00A41CAB">
        <w:trPr>
          <w:trHeight w:val="330"/>
        </w:trPr>
        <w:tc>
          <w:tcPr>
            <w:tcW w:w="2480" w:type="dxa"/>
            <w:vMerge/>
            <w:tcBorders>
              <w:top w:val="double" w:sz="6" w:space="0" w:color="auto"/>
              <w:left w:val="nil"/>
              <w:bottom w:val="double" w:sz="6" w:space="0" w:color="000000"/>
              <w:right w:val="nil"/>
            </w:tcBorders>
            <w:vAlign w:val="center"/>
            <w:hideMark/>
          </w:tcPr>
          <w:p w:rsidR="00A4083A" w:rsidRPr="001229BC" w:rsidRDefault="00A4083A" w:rsidP="00A41CAB">
            <w:pPr>
              <w:spacing w:line="240" w:lineRule="auto"/>
              <w:jc w:val="left"/>
              <w:rPr>
                <w:rFonts w:eastAsia="Times New Roman"/>
                <w:b/>
                <w:bCs/>
                <w:szCs w:val="24"/>
                <w:lang w:eastAsia="cs-CZ"/>
              </w:rPr>
            </w:pPr>
          </w:p>
        </w:tc>
        <w:tc>
          <w:tcPr>
            <w:tcW w:w="1376" w:type="dxa"/>
            <w:tcBorders>
              <w:top w:val="nil"/>
              <w:left w:val="nil"/>
              <w:bottom w:val="double" w:sz="6" w:space="0" w:color="auto"/>
              <w:right w:val="nil"/>
            </w:tcBorders>
            <w:shd w:val="clear" w:color="auto" w:fill="auto"/>
            <w:noWrap/>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30 až 40 let</w:t>
            </w:r>
          </w:p>
        </w:tc>
        <w:tc>
          <w:tcPr>
            <w:tcW w:w="1355" w:type="dxa"/>
            <w:tcBorders>
              <w:top w:val="nil"/>
              <w:left w:val="nil"/>
              <w:bottom w:val="double" w:sz="6" w:space="0" w:color="auto"/>
              <w:right w:val="nil"/>
            </w:tcBorders>
            <w:shd w:val="clear" w:color="auto" w:fill="auto"/>
            <w:noWrap/>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41 až 50 let</w:t>
            </w:r>
          </w:p>
        </w:tc>
        <w:tc>
          <w:tcPr>
            <w:tcW w:w="1355" w:type="dxa"/>
            <w:tcBorders>
              <w:top w:val="nil"/>
              <w:left w:val="nil"/>
              <w:bottom w:val="double" w:sz="6" w:space="0" w:color="auto"/>
              <w:right w:val="nil"/>
            </w:tcBorders>
            <w:shd w:val="clear" w:color="auto" w:fill="auto"/>
            <w:noWrap/>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51 až 60 let</w:t>
            </w:r>
          </w:p>
        </w:tc>
        <w:tc>
          <w:tcPr>
            <w:tcW w:w="1355" w:type="dxa"/>
            <w:tcBorders>
              <w:top w:val="nil"/>
              <w:left w:val="nil"/>
              <w:bottom w:val="double" w:sz="6" w:space="0" w:color="auto"/>
              <w:right w:val="nil"/>
            </w:tcBorders>
            <w:shd w:val="clear" w:color="auto" w:fill="auto"/>
            <w:noWrap/>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61 až 70 let</w:t>
            </w:r>
          </w:p>
        </w:tc>
      </w:tr>
      <w:tr w:rsidR="00A4083A" w:rsidRPr="001229BC"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MS Praha</w:t>
            </w:r>
          </w:p>
        </w:tc>
        <w:tc>
          <w:tcPr>
            <w:tcW w:w="1376" w:type="dxa"/>
            <w:tcBorders>
              <w:top w:val="single" w:sz="4" w:space="0" w:color="auto"/>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19,11</w:t>
            </w:r>
          </w:p>
        </w:tc>
        <w:tc>
          <w:tcPr>
            <w:tcW w:w="1355" w:type="dxa"/>
            <w:tcBorders>
              <w:top w:val="single" w:sz="4" w:space="0" w:color="auto"/>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42,68</w:t>
            </w:r>
          </w:p>
        </w:tc>
        <w:tc>
          <w:tcPr>
            <w:tcW w:w="1355" w:type="dxa"/>
            <w:tcBorders>
              <w:top w:val="single" w:sz="4" w:space="0" w:color="auto"/>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25,80</w:t>
            </w:r>
          </w:p>
        </w:tc>
        <w:tc>
          <w:tcPr>
            <w:tcW w:w="1355" w:type="dxa"/>
            <w:tcBorders>
              <w:top w:val="single" w:sz="4" w:space="0" w:color="auto"/>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12,42</w:t>
            </w:r>
          </w:p>
        </w:tc>
      </w:tr>
      <w:tr w:rsidR="00A4083A" w:rsidRPr="001229BC"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Praha</w:t>
            </w:r>
          </w:p>
        </w:tc>
        <w:tc>
          <w:tcPr>
            <w:tcW w:w="137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35,21</w:t>
            </w:r>
          </w:p>
        </w:tc>
        <w:tc>
          <w:tcPr>
            <w:tcW w:w="1355"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34,74</w:t>
            </w:r>
          </w:p>
        </w:tc>
        <w:tc>
          <w:tcPr>
            <w:tcW w:w="1355"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16,90</w:t>
            </w:r>
          </w:p>
        </w:tc>
        <w:tc>
          <w:tcPr>
            <w:tcW w:w="1355"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13,15</w:t>
            </w:r>
          </w:p>
        </w:tc>
      </w:tr>
      <w:tr w:rsidR="00A4083A" w:rsidRPr="001229BC"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Č. Budějovice</w:t>
            </w:r>
          </w:p>
        </w:tc>
        <w:tc>
          <w:tcPr>
            <w:tcW w:w="137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21,36</w:t>
            </w:r>
          </w:p>
        </w:tc>
        <w:tc>
          <w:tcPr>
            <w:tcW w:w="1355"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44,66</w:t>
            </w:r>
          </w:p>
        </w:tc>
        <w:tc>
          <w:tcPr>
            <w:tcW w:w="1355"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24,27</w:t>
            </w:r>
          </w:p>
        </w:tc>
        <w:tc>
          <w:tcPr>
            <w:tcW w:w="1355"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9,71</w:t>
            </w:r>
          </w:p>
        </w:tc>
      </w:tr>
      <w:tr w:rsidR="00A4083A" w:rsidRPr="001229BC"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Plzeň</w:t>
            </w:r>
          </w:p>
        </w:tc>
        <w:tc>
          <w:tcPr>
            <w:tcW w:w="137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20,37</w:t>
            </w:r>
          </w:p>
        </w:tc>
        <w:tc>
          <w:tcPr>
            <w:tcW w:w="1355"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51,85</w:t>
            </w:r>
          </w:p>
        </w:tc>
        <w:tc>
          <w:tcPr>
            <w:tcW w:w="1355"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14,20</w:t>
            </w:r>
          </w:p>
        </w:tc>
        <w:tc>
          <w:tcPr>
            <w:tcW w:w="1355"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13,58</w:t>
            </w:r>
          </w:p>
        </w:tc>
      </w:tr>
      <w:tr w:rsidR="00A4083A" w:rsidRPr="001229BC"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Ústí n. Labem</w:t>
            </w:r>
          </w:p>
        </w:tc>
        <w:tc>
          <w:tcPr>
            <w:tcW w:w="137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33,09</w:t>
            </w:r>
          </w:p>
        </w:tc>
        <w:tc>
          <w:tcPr>
            <w:tcW w:w="1355"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36,33</w:t>
            </w:r>
          </w:p>
        </w:tc>
        <w:tc>
          <w:tcPr>
            <w:tcW w:w="1355"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20,86</w:t>
            </w:r>
          </w:p>
        </w:tc>
        <w:tc>
          <w:tcPr>
            <w:tcW w:w="1355"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9,71</w:t>
            </w:r>
          </w:p>
        </w:tc>
      </w:tr>
      <w:tr w:rsidR="00A4083A" w:rsidRPr="001229BC"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Hr. Králové</w:t>
            </w:r>
          </w:p>
        </w:tc>
        <w:tc>
          <w:tcPr>
            <w:tcW w:w="137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20,96</w:t>
            </w:r>
          </w:p>
        </w:tc>
        <w:tc>
          <w:tcPr>
            <w:tcW w:w="1355"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42,51</w:t>
            </w:r>
          </w:p>
        </w:tc>
        <w:tc>
          <w:tcPr>
            <w:tcW w:w="1355"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27,54</w:t>
            </w:r>
          </w:p>
        </w:tc>
        <w:tc>
          <w:tcPr>
            <w:tcW w:w="1355"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8,98</w:t>
            </w:r>
          </w:p>
        </w:tc>
      </w:tr>
      <w:tr w:rsidR="00A4083A" w:rsidRPr="001229BC"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Brno</w:t>
            </w:r>
          </w:p>
        </w:tc>
        <w:tc>
          <w:tcPr>
            <w:tcW w:w="137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24,74</w:t>
            </w:r>
          </w:p>
        </w:tc>
        <w:tc>
          <w:tcPr>
            <w:tcW w:w="1355"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44,33</w:t>
            </w:r>
          </w:p>
        </w:tc>
        <w:tc>
          <w:tcPr>
            <w:tcW w:w="1355"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19,93</w:t>
            </w:r>
          </w:p>
        </w:tc>
        <w:tc>
          <w:tcPr>
            <w:tcW w:w="1355"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11,00</w:t>
            </w:r>
          </w:p>
        </w:tc>
      </w:tr>
      <w:tr w:rsidR="00A4083A" w:rsidRPr="001229BC"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Ostrava</w:t>
            </w:r>
          </w:p>
        </w:tc>
        <w:tc>
          <w:tcPr>
            <w:tcW w:w="1376"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22,74</w:t>
            </w:r>
          </w:p>
        </w:tc>
        <w:tc>
          <w:tcPr>
            <w:tcW w:w="1355"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45,79</w:t>
            </w:r>
          </w:p>
        </w:tc>
        <w:tc>
          <w:tcPr>
            <w:tcW w:w="1355"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21,81</w:t>
            </w:r>
          </w:p>
        </w:tc>
        <w:tc>
          <w:tcPr>
            <w:tcW w:w="1355"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9,66</w:t>
            </w:r>
          </w:p>
        </w:tc>
      </w:tr>
      <w:tr w:rsidR="00A4083A" w:rsidRPr="001229BC"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b/>
                <w:bCs/>
                <w:szCs w:val="24"/>
                <w:lang w:eastAsia="cs-CZ"/>
              </w:rPr>
            </w:pPr>
            <w:r w:rsidRPr="001229BC">
              <w:rPr>
                <w:rFonts w:eastAsia="Times New Roman"/>
                <w:b/>
                <w:bCs/>
                <w:szCs w:val="24"/>
                <w:lang w:eastAsia="cs-CZ"/>
              </w:rPr>
              <w:t>Celkem ČR</w:t>
            </w:r>
          </w:p>
        </w:tc>
        <w:tc>
          <w:tcPr>
            <w:tcW w:w="1376"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24,99</w:t>
            </w:r>
          </w:p>
        </w:tc>
        <w:tc>
          <w:tcPr>
            <w:tcW w:w="1355"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42,51</w:t>
            </w:r>
          </w:p>
        </w:tc>
        <w:tc>
          <w:tcPr>
            <w:tcW w:w="1355"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21,47</w:t>
            </w:r>
          </w:p>
        </w:tc>
        <w:tc>
          <w:tcPr>
            <w:tcW w:w="1355"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11,03</w:t>
            </w:r>
          </w:p>
        </w:tc>
      </w:tr>
    </w:tbl>
    <w:p w:rsidR="00A4083A" w:rsidRPr="001229BC" w:rsidRDefault="00A4083A" w:rsidP="00A4083A">
      <w:pPr>
        <w:pStyle w:val="OdstavecASR"/>
      </w:pPr>
    </w:p>
    <w:p w:rsidR="00A4083A" w:rsidRPr="001229BC" w:rsidRDefault="00A4083A" w:rsidP="00A4083A">
      <w:pPr>
        <w:pStyle w:val="OdstavecASR"/>
      </w:pPr>
      <w:r w:rsidRPr="001229BC">
        <w:t xml:space="preserve">Posledním ukazatelem, na který se v této části </w:t>
      </w:r>
      <w:r>
        <w:t>zaměříme</w:t>
      </w:r>
      <w:r w:rsidRPr="001229BC">
        <w:t>, bude srovnání plánovaného a</w:t>
      </w:r>
      <w:r>
        <w:t> </w:t>
      </w:r>
      <w:r w:rsidRPr="001229BC">
        <w:t xml:space="preserve">evidenčního počtu soudců v jednotlivých krajích za posledních 5 let. Tento ukazatel může pomoci identifikovat, zda je v nějakých krajích dlouhodobý rozdíl mezi evidenčním a plánovaným počtem soudců. Průměry </w:t>
      </w:r>
      <w:r>
        <w:t xml:space="preserve">najdeme </w:t>
      </w:r>
      <w:r w:rsidRPr="001229BC">
        <w:t>v následující tabulce:</w:t>
      </w:r>
    </w:p>
    <w:p w:rsidR="00A4083A" w:rsidRPr="001229BC" w:rsidRDefault="00A4083A" w:rsidP="00A4083A">
      <w:pPr>
        <w:pStyle w:val="Podnadpis"/>
        <w:rPr>
          <w:color w:val="auto"/>
        </w:rPr>
      </w:pPr>
      <w:bookmarkStart w:id="50" w:name="_Toc43931178"/>
      <w:r w:rsidRPr="001229BC">
        <w:rPr>
          <w:color w:val="auto"/>
        </w:rPr>
        <w:t xml:space="preserve">Tabulka </w:t>
      </w:r>
      <w:r w:rsidRPr="001229BC">
        <w:rPr>
          <w:color w:val="auto"/>
        </w:rPr>
        <w:fldChar w:fldCharType="begin"/>
      </w:r>
      <w:r w:rsidRPr="001229BC">
        <w:rPr>
          <w:color w:val="auto"/>
        </w:rPr>
        <w:instrText xml:space="preserve"> SEQ Tabulka \* ARABIC </w:instrText>
      </w:r>
      <w:r w:rsidRPr="001229BC">
        <w:rPr>
          <w:color w:val="auto"/>
        </w:rPr>
        <w:fldChar w:fldCharType="separate"/>
      </w:r>
      <w:r w:rsidR="006E7F27">
        <w:rPr>
          <w:noProof/>
          <w:color w:val="auto"/>
        </w:rPr>
        <w:t>5</w:t>
      </w:r>
      <w:r w:rsidRPr="001229BC">
        <w:rPr>
          <w:color w:val="auto"/>
        </w:rPr>
        <w:fldChar w:fldCharType="end"/>
      </w:r>
      <w:r w:rsidRPr="001229BC">
        <w:rPr>
          <w:color w:val="auto"/>
        </w:rPr>
        <w:t>: OS – srovnání evidenční a plánovaného počtu soudců za 5 let</w:t>
      </w:r>
      <w:bookmarkEnd w:id="50"/>
    </w:p>
    <w:tbl>
      <w:tblPr>
        <w:tblW w:w="7920" w:type="dxa"/>
        <w:tblCellMar>
          <w:left w:w="70" w:type="dxa"/>
          <w:right w:w="70" w:type="dxa"/>
        </w:tblCellMar>
        <w:tblLook w:val="04A0" w:firstRow="1" w:lastRow="0" w:firstColumn="1" w:lastColumn="0" w:noHBand="0" w:noVBand="1"/>
      </w:tblPr>
      <w:tblGrid>
        <w:gridCol w:w="2220"/>
        <w:gridCol w:w="1502"/>
        <w:gridCol w:w="1738"/>
        <w:gridCol w:w="2460"/>
      </w:tblGrid>
      <w:tr w:rsidR="00A4083A" w:rsidRPr="001229BC" w:rsidTr="00A41CAB">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Nadřízený soud</w:t>
            </w:r>
          </w:p>
        </w:tc>
        <w:tc>
          <w:tcPr>
            <w:tcW w:w="3240" w:type="dxa"/>
            <w:gridSpan w:val="2"/>
            <w:tcBorders>
              <w:top w:val="double" w:sz="6" w:space="0" w:color="auto"/>
              <w:left w:val="nil"/>
              <w:bottom w:val="nil"/>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Průměrný počet soudců</w:t>
            </w:r>
          </w:p>
        </w:tc>
        <w:tc>
          <w:tcPr>
            <w:tcW w:w="2460" w:type="dxa"/>
            <w:vMerge w:val="restart"/>
            <w:tcBorders>
              <w:top w:val="double" w:sz="6" w:space="0" w:color="auto"/>
              <w:left w:val="nil"/>
              <w:bottom w:val="double" w:sz="6" w:space="0" w:color="000000"/>
              <w:right w:val="nil"/>
            </w:tcBorders>
            <w:shd w:val="clear" w:color="auto" w:fill="auto"/>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Nadstav/podstav v</w:t>
            </w:r>
            <w:r>
              <w:rPr>
                <w:rFonts w:eastAsia="Times New Roman"/>
                <w:b/>
                <w:bCs/>
                <w:szCs w:val="24"/>
                <w:lang w:eastAsia="cs-CZ"/>
              </w:rPr>
              <w:t> %</w:t>
            </w:r>
          </w:p>
        </w:tc>
      </w:tr>
      <w:tr w:rsidR="00A4083A" w:rsidRPr="001229BC" w:rsidTr="00A41CAB">
        <w:trPr>
          <w:trHeight w:val="330"/>
        </w:trPr>
        <w:tc>
          <w:tcPr>
            <w:tcW w:w="2220" w:type="dxa"/>
            <w:vMerge/>
            <w:tcBorders>
              <w:top w:val="double" w:sz="6" w:space="0" w:color="auto"/>
              <w:left w:val="nil"/>
              <w:bottom w:val="double" w:sz="6" w:space="0" w:color="000000"/>
              <w:right w:val="nil"/>
            </w:tcBorders>
            <w:vAlign w:val="center"/>
            <w:hideMark/>
          </w:tcPr>
          <w:p w:rsidR="00A4083A" w:rsidRPr="001229BC" w:rsidRDefault="00A4083A" w:rsidP="00A41CAB">
            <w:pPr>
              <w:spacing w:line="240" w:lineRule="auto"/>
              <w:jc w:val="left"/>
              <w:rPr>
                <w:rFonts w:eastAsia="Times New Roman"/>
                <w:b/>
                <w:bCs/>
                <w:szCs w:val="24"/>
                <w:lang w:eastAsia="cs-CZ"/>
              </w:rPr>
            </w:pPr>
          </w:p>
        </w:tc>
        <w:tc>
          <w:tcPr>
            <w:tcW w:w="1502"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Evidenční</w:t>
            </w:r>
          </w:p>
        </w:tc>
        <w:tc>
          <w:tcPr>
            <w:tcW w:w="1738"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Plánovaný</w:t>
            </w:r>
          </w:p>
        </w:tc>
        <w:tc>
          <w:tcPr>
            <w:tcW w:w="2460" w:type="dxa"/>
            <w:vMerge/>
            <w:tcBorders>
              <w:top w:val="double" w:sz="6" w:space="0" w:color="auto"/>
              <w:left w:val="nil"/>
              <w:bottom w:val="double" w:sz="6" w:space="0" w:color="000000"/>
              <w:right w:val="nil"/>
            </w:tcBorders>
            <w:vAlign w:val="center"/>
            <w:hideMark/>
          </w:tcPr>
          <w:p w:rsidR="00A4083A" w:rsidRPr="001229BC" w:rsidRDefault="00A4083A" w:rsidP="00A41CAB">
            <w:pPr>
              <w:spacing w:line="240" w:lineRule="auto"/>
              <w:jc w:val="left"/>
              <w:rPr>
                <w:rFonts w:eastAsia="Times New Roman"/>
                <w:b/>
                <w:bCs/>
                <w:szCs w:val="24"/>
                <w:lang w:eastAsia="cs-CZ"/>
              </w:rPr>
            </w:pPr>
          </w:p>
        </w:tc>
      </w:tr>
      <w:tr w:rsidR="00A4083A" w:rsidRPr="001229BC" w:rsidTr="00A41CAB">
        <w:trPr>
          <w:trHeight w:val="330"/>
        </w:trPr>
        <w:tc>
          <w:tcPr>
            <w:tcW w:w="222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MS Praha</w:t>
            </w:r>
          </w:p>
        </w:tc>
        <w:tc>
          <w:tcPr>
            <w:tcW w:w="1502"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311,8</w:t>
            </w:r>
          </w:p>
        </w:tc>
        <w:tc>
          <w:tcPr>
            <w:tcW w:w="1738"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284,8</w:t>
            </w:r>
          </w:p>
        </w:tc>
        <w:tc>
          <w:tcPr>
            <w:tcW w:w="246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9,48</w:t>
            </w:r>
          </w:p>
        </w:tc>
      </w:tr>
      <w:tr w:rsidR="00A4083A" w:rsidRPr="001229BC"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Praha</w:t>
            </w:r>
          </w:p>
        </w:tc>
        <w:tc>
          <w:tcPr>
            <w:tcW w:w="1502"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197,8</w:t>
            </w:r>
          </w:p>
        </w:tc>
        <w:tc>
          <w:tcPr>
            <w:tcW w:w="1738"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200,8</w:t>
            </w:r>
          </w:p>
        </w:tc>
        <w:tc>
          <w:tcPr>
            <w:tcW w:w="246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-1,49</w:t>
            </w:r>
          </w:p>
        </w:tc>
      </w:tr>
      <w:tr w:rsidR="00A4083A" w:rsidRPr="001229BC"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Č. Budějovice</w:t>
            </w:r>
          </w:p>
        </w:tc>
        <w:tc>
          <w:tcPr>
            <w:tcW w:w="1502"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103</w:t>
            </w:r>
          </w:p>
        </w:tc>
        <w:tc>
          <w:tcPr>
            <w:tcW w:w="1738"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102,6</w:t>
            </w:r>
          </w:p>
        </w:tc>
        <w:tc>
          <w:tcPr>
            <w:tcW w:w="246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0,39</w:t>
            </w:r>
          </w:p>
        </w:tc>
      </w:tr>
      <w:tr w:rsidR="00A4083A" w:rsidRPr="001229BC"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Plzeň</w:t>
            </w:r>
          </w:p>
        </w:tc>
        <w:tc>
          <w:tcPr>
            <w:tcW w:w="1502"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161,4</w:t>
            </w:r>
          </w:p>
        </w:tc>
        <w:tc>
          <w:tcPr>
            <w:tcW w:w="1738"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161,2</w:t>
            </w:r>
          </w:p>
        </w:tc>
        <w:tc>
          <w:tcPr>
            <w:tcW w:w="246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0,12</w:t>
            </w:r>
          </w:p>
        </w:tc>
      </w:tr>
      <w:tr w:rsidR="00A4083A" w:rsidRPr="001229BC"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Ústí n. Labem</w:t>
            </w:r>
          </w:p>
        </w:tc>
        <w:tc>
          <w:tcPr>
            <w:tcW w:w="1502"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273,8</w:t>
            </w:r>
          </w:p>
        </w:tc>
        <w:tc>
          <w:tcPr>
            <w:tcW w:w="1738"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265</w:t>
            </w:r>
          </w:p>
        </w:tc>
        <w:tc>
          <w:tcPr>
            <w:tcW w:w="246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3,32</w:t>
            </w:r>
          </w:p>
        </w:tc>
      </w:tr>
      <w:tr w:rsidR="00A4083A" w:rsidRPr="001229BC"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Hr. Králové</w:t>
            </w:r>
          </w:p>
        </w:tc>
        <w:tc>
          <w:tcPr>
            <w:tcW w:w="1502"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168</w:t>
            </w:r>
          </w:p>
        </w:tc>
        <w:tc>
          <w:tcPr>
            <w:tcW w:w="1738"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168,2</w:t>
            </w:r>
          </w:p>
        </w:tc>
        <w:tc>
          <w:tcPr>
            <w:tcW w:w="246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-0,12</w:t>
            </w:r>
          </w:p>
        </w:tc>
      </w:tr>
      <w:tr w:rsidR="00A4083A" w:rsidRPr="001229BC"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Brno</w:t>
            </w:r>
          </w:p>
        </w:tc>
        <w:tc>
          <w:tcPr>
            <w:tcW w:w="1502"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285</w:t>
            </w:r>
          </w:p>
        </w:tc>
        <w:tc>
          <w:tcPr>
            <w:tcW w:w="1738"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278,6</w:t>
            </w:r>
          </w:p>
        </w:tc>
        <w:tc>
          <w:tcPr>
            <w:tcW w:w="246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2,30</w:t>
            </w:r>
          </w:p>
        </w:tc>
      </w:tr>
      <w:tr w:rsidR="00A4083A" w:rsidRPr="001229BC" w:rsidTr="00A41CAB">
        <w:trPr>
          <w:trHeight w:val="330"/>
        </w:trPr>
        <w:tc>
          <w:tcPr>
            <w:tcW w:w="2220"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Ostrava</w:t>
            </w:r>
          </w:p>
        </w:tc>
        <w:tc>
          <w:tcPr>
            <w:tcW w:w="1502"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320,2</w:t>
            </w:r>
          </w:p>
        </w:tc>
        <w:tc>
          <w:tcPr>
            <w:tcW w:w="1738"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313,8</w:t>
            </w:r>
          </w:p>
        </w:tc>
        <w:tc>
          <w:tcPr>
            <w:tcW w:w="2460"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2,04</w:t>
            </w:r>
          </w:p>
        </w:tc>
      </w:tr>
      <w:tr w:rsidR="00A4083A" w:rsidRPr="001229BC" w:rsidTr="00A41CAB">
        <w:trPr>
          <w:trHeight w:val="345"/>
        </w:trPr>
        <w:tc>
          <w:tcPr>
            <w:tcW w:w="2220"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b/>
                <w:bCs/>
                <w:szCs w:val="24"/>
                <w:lang w:eastAsia="cs-CZ"/>
              </w:rPr>
            </w:pPr>
            <w:r w:rsidRPr="001229BC">
              <w:rPr>
                <w:rFonts w:eastAsia="Times New Roman"/>
                <w:b/>
                <w:bCs/>
                <w:szCs w:val="24"/>
                <w:lang w:eastAsia="cs-CZ"/>
              </w:rPr>
              <w:t>Celkem ČR</w:t>
            </w:r>
          </w:p>
        </w:tc>
        <w:tc>
          <w:tcPr>
            <w:tcW w:w="1502"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1 821</w:t>
            </w:r>
          </w:p>
        </w:tc>
        <w:tc>
          <w:tcPr>
            <w:tcW w:w="1738"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1 775</w:t>
            </w:r>
          </w:p>
        </w:tc>
        <w:tc>
          <w:tcPr>
            <w:tcW w:w="2460"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2,59</w:t>
            </w:r>
          </w:p>
        </w:tc>
      </w:tr>
    </w:tbl>
    <w:p w:rsidR="00A4083A" w:rsidRPr="001229BC" w:rsidRDefault="00A4083A" w:rsidP="00A4083A">
      <w:pPr>
        <w:spacing w:line="240" w:lineRule="auto"/>
        <w:jc w:val="left"/>
        <w:rPr>
          <w:highlight w:val="yellow"/>
        </w:rPr>
      </w:pPr>
    </w:p>
    <w:p w:rsidR="00A4083A" w:rsidRPr="001229BC" w:rsidRDefault="00A4083A" w:rsidP="00A4083A">
      <w:pPr>
        <w:pStyle w:val="OdstavecASR"/>
      </w:pPr>
      <w:r w:rsidRPr="001229BC">
        <w:t xml:space="preserve">V tabulce vidíme, že dlouhodobě jsou okresní soudy v „plusu“ oproti plánovanému počtu. To </w:t>
      </w:r>
      <w:r>
        <w:t xml:space="preserve">je </w:t>
      </w:r>
      <w:r w:rsidRPr="001229BC">
        <w:t>koneckonců lze vidět i na grafu výše. Zdaleka nejvíce jsou v plusu obvodní soudy v</w:t>
      </w:r>
      <w:r>
        <w:t> </w:t>
      </w:r>
      <w:r w:rsidRPr="001229BC">
        <w:t>Praze</w:t>
      </w:r>
      <w:r>
        <w:t xml:space="preserve">, což </w:t>
      </w:r>
      <w:r>
        <w:lastRenderedPageBreak/>
        <w:t xml:space="preserve">vyplývá z faktu, že </w:t>
      </w:r>
      <w:r w:rsidRPr="001229BC">
        <w:t xml:space="preserve">tyto soudy mají specifickou agendu, a </w:t>
      </w:r>
      <w:r>
        <w:t xml:space="preserve">obecná </w:t>
      </w:r>
      <w:r w:rsidRPr="001229BC">
        <w:t xml:space="preserve">měřítka tak dle systemizační komise </w:t>
      </w:r>
      <w:r>
        <w:t xml:space="preserve">ve vztahu k nim </w:t>
      </w:r>
      <w:r w:rsidRPr="001229BC">
        <w:t>zcela neodráží realitu. Dlouhodobě mají vyšší počet evidenčních soudců Severočeský kraj, Jihomoravský kraj a Severomoravský kraj. Rozdíl není velký, ale projevit se může. Zde se odráží posilování vybraných soudů v těchto krajích z důvodu velkého počtu nevyřízených věcí a vysokých délek řízení. Na závěr je třeba upozornit, že v systemizaci (v</w:t>
      </w:r>
      <w:r>
        <w:t> </w:t>
      </w:r>
      <w:r w:rsidRPr="001229BC">
        <w:t>plánovaném počtu soudců) nejsou promítnuty všechny faktory (například počet nevyřízených věcí nebo počet věcí přerušených</w:t>
      </w:r>
      <w:r w:rsidRPr="001229BC">
        <w:rPr>
          <w:rStyle w:val="Znakapoznpodarou"/>
        </w:rPr>
        <w:footnoteReference w:id="3"/>
      </w:r>
      <w:r w:rsidRPr="001229BC">
        <w:t>).</w:t>
      </w:r>
    </w:p>
    <w:p w:rsidR="00A4083A" w:rsidRPr="001229BC" w:rsidRDefault="00A4083A" w:rsidP="00A4083A">
      <w:pPr>
        <w:pStyle w:val="Nadpis3"/>
        <w:rPr>
          <w:color w:val="auto"/>
        </w:rPr>
      </w:pPr>
      <w:bookmarkStart w:id="51" w:name="_Ref3374388"/>
      <w:bookmarkStart w:id="52" w:name="_Ref10813793"/>
      <w:bookmarkStart w:id="53" w:name="_Toc43903021"/>
      <w:r w:rsidRPr="001229BC">
        <w:rPr>
          <w:color w:val="auto"/>
        </w:rPr>
        <w:t>Zaměstnanci ve výkonu</w:t>
      </w:r>
      <w:bookmarkEnd w:id="51"/>
      <w:r w:rsidRPr="001229BC">
        <w:rPr>
          <w:color w:val="auto"/>
        </w:rPr>
        <w:t xml:space="preserve"> a ve správě</w:t>
      </w:r>
      <w:bookmarkEnd w:id="52"/>
      <w:bookmarkEnd w:id="53"/>
    </w:p>
    <w:p w:rsidR="00A4083A" w:rsidRPr="001229BC" w:rsidRDefault="00A4083A" w:rsidP="00A4083A">
      <w:pPr>
        <w:pStyle w:val="OdstavecASR"/>
      </w:pPr>
      <w:r w:rsidRPr="001229BC">
        <w:t>Vzhledem k většímu počtu kategorií zaměstnanců ve výkonu uvádíme pro zachování přehlednosti, v tabulce níže pouze jejich počty k 1. 1. 2019, a to po krajích a pouze pro vybrané kategorie.</w:t>
      </w:r>
    </w:p>
    <w:p w:rsidR="00A4083A" w:rsidRPr="001229BC" w:rsidRDefault="00A4083A" w:rsidP="00A4083A">
      <w:pPr>
        <w:pStyle w:val="Podnadpis"/>
        <w:rPr>
          <w:color w:val="auto"/>
        </w:rPr>
      </w:pPr>
      <w:bookmarkStart w:id="54" w:name="_Toc515871439"/>
      <w:bookmarkStart w:id="55" w:name="_Toc11133207"/>
      <w:bookmarkStart w:id="56" w:name="_Toc43931179"/>
      <w:r w:rsidRPr="001229BC">
        <w:rPr>
          <w:color w:val="auto"/>
        </w:rPr>
        <w:t xml:space="preserve">Tabulka </w:t>
      </w:r>
      <w:r w:rsidRPr="001229BC">
        <w:rPr>
          <w:color w:val="auto"/>
        </w:rPr>
        <w:fldChar w:fldCharType="begin"/>
      </w:r>
      <w:r w:rsidRPr="001229BC">
        <w:rPr>
          <w:color w:val="auto"/>
        </w:rPr>
        <w:instrText xml:space="preserve"> SEQ Tabulka \* ARABIC </w:instrText>
      </w:r>
      <w:r w:rsidRPr="001229BC">
        <w:rPr>
          <w:color w:val="auto"/>
        </w:rPr>
        <w:fldChar w:fldCharType="separate"/>
      </w:r>
      <w:r w:rsidR="006E7F27">
        <w:rPr>
          <w:noProof/>
          <w:color w:val="auto"/>
        </w:rPr>
        <w:t>6</w:t>
      </w:r>
      <w:r w:rsidRPr="001229BC">
        <w:rPr>
          <w:noProof/>
          <w:color w:val="auto"/>
        </w:rPr>
        <w:fldChar w:fldCharType="end"/>
      </w:r>
      <w:r w:rsidRPr="001229BC">
        <w:rPr>
          <w:color w:val="auto"/>
        </w:rPr>
        <w:t>: OS – evidenční počet zaměstnanců ve výkonu dle krajů</w:t>
      </w:r>
      <w:bookmarkEnd w:id="54"/>
      <w:bookmarkEnd w:id="55"/>
      <w:bookmarkEnd w:id="56"/>
    </w:p>
    <w:tbl>
      <w:tblPr>
        <w:tblW w:w="8001" w:type="dxa"/>
        <w:tblCellMar>
          <w:left w:w="70" w:type="dxa"/>
          <w:right w:w="70" w:type="dxa"/>
        </w:tblCellMar>
        <w:tblLook w:val="04A0" w:firstRow="1" w:lastRow="0" w:firstColumn="1" w:lastColumn="0" w:noHBand="0" w:noVBand="1"/>
      </w:tblPr>
      <w:tblGrid>
        <w:gridCol w:w="2080"/>
        <w:gridCol w:w="809"/>
        <w:gridCol w:w="574"/>
        <w:gridCol w:w="601"/>
        <w:gridCol w:w="757"/>
        <w:gridCol w:w="588"/>
        <w:gridCol w:w="757"/>
        <w:gridCol w:w="511"/>
        <w:gridCol w:w="1324"/>
      </w:tblGrid>
      <w:tr w:rsidR="00A4083A" w:rsidRPr="0070134F" w:rsidTr="00A41CAB">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Nadřízený soud</w:t>
            </w:r>
          </w:p>
        </w:tc>
        <w:tc>
          <w:tcPr>
            <w:tcW w:w="5921" w:type="dxa"/>
            <w:gridSpan w:val="8"/>
            <w:tcBorders>
              <w:top w:val="double" w:sz="6" w:space="0" w:color="auto"/>
              <w:left w:val="nil"/>
              <w:bottom w:val="nil"/>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Počet osob</w:t>
            </w:r>
          </w:p>
        </w:tc>
      </w:tr>
      <w:tr w:rsidR="00A4083A" w:rsidRPr="0070134F" w:rsidTr="00A41CAB">
        <w:trPr>
          <w:trHeight w:val="330"/>
        </w:trPr>
        <w:tc>
          <w:tcPr>
            <w:tcW w:w="2080" w:type="dxa"/>
            <w:vMerge/>
            <w:tcBorders>
              <w:top w:val="double" w:sz="6" w:space="0" w:color="auto"/>
              <w:left w:val="nil"/>
              <w:bottom w:val="double" w:sz="6" w:space="0" w:color="000000"/>
              <w:right w:val="nil"/>
            </w:tcBorders>
            <w:vAlign w:val="center"/>
            <w:hideMark/>
          </w:tcPr>
          <w:p w:rsidR="00A4083A" w:rsidRPr="0070134F" w:rsidRDefault="00A4083A" w:rsidP="00A41CAB">
            <w:pPr>
              <w:spacing w:line="240" w:lineRule="auto"/>
              <w:jc w:val="left"/>
              <w:rPr>
                <w:rFonts w:eastAsia="Times New Roman"/>
                <w:b/>
                <w:bCs/>
                <w:color w:val="000000"/>
                <w:szCs w:val="24"/>
                <w:lang w:eastAsia="cs-CZ"/>
              </w:rPr>
            </w:pPr>
          </w:p>
        </w:tc>
        <w:tc>
          <w:tcPr>
            <w:tcW w:w="809"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VSÚ</w:t>
            </w:r>
          </w:p>
        </w:tc>
        <w:tc>
          <w:tcPr>
            <w:tcW w:w="574"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ST</w:t>
            </w:r>
          </w:p>
        </w:tc>
        <w:tc>
          <w:tcPr>
            <w:tcW w:w="601"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A</w:t>
            </w:r>
          </w:p>
        </w:tc>
        <w:tc>
          <w:tcPr>
            <w:tcW w:w="757"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VK</w:t>
            </w:r>
          </w:p>
        </w:tc>
        <w:tc>
          <w:tcPr>
            <w:tcW w:w="588"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PÚ</w:t>
            </w:r>
          </w:p>
        </w:tc>
        <w:tc>
          <w:tcPr>
            <w:tcW w:w="757"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Z</w:t>
            </w:r>
          </w:p>
        </w:tc>
        <w:tc>
          <w:tcPr>
            <w:tcW w:w="511"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SV</w:t>
            </w:r>
          </w:p>
        </w:tc>
        <w:tc>
          <w:tcPr>
            <w:tcW w:w="1324"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Celkem</w:t>
            </w:r>
          </w:p>
        </w:tc>
      </w:tr>
      <w:tr w:rsidR="00A4083A" w:rsidRPr="0070134F" w:rsidTr="00A41CAB">
        <w:trPr>
          <w:trHeight w:val="330"/>
        </w:trPr>
        <w:tc>
          <w:tcPr>
            <w:tcW w:w="2080" w:type="dxa"/>
            <w:tcBorders>
              <w:top w:val="single" w:sz="4" w:space="0" w:color="auto"/>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left"/>
              <w:rPr>
                <w:rFonts w:eastAsia="Times New Roman"/>
                <w:color w:val="000000"/>
                <w:szCs w:val="24"/>
                <w:lang w:eastAsia="cs-CZ"/>
              </w:rPr>
            </w:pPr>
            <w:r w:rsidRPr="0070134F">
              <w:rPr>
                <w:rFonts w:eastAsia="Times New Roman"/>
                <w:color w:val="000000"/>
                <w:szCs w:val="24"/>
                <w:lang w:eastAsia="cs-CZ"/>
              </w:rPr>
              <w:t>MS Praha</w:t>
            </w:r>
          </w:p>
        </w:tc>
        <w:tc>
          <w:tcPr>
            <w:tcW w:w="809" w:type="dxa"/>
            <w:tcBorders>
              <w:top w:val="single" w:sz="4" w:space="0" w:color="auto"/>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111</w:t>
            </w:r>
          </w:p>
        </w:tc>
        <w:tc>
          <w:tcPr>
            <w:tcW w:w="574" w:type="dxa"/>
            <w:tcBorders>
              <w:top w:val="single" w:sz="4" w:space="0" w:color="auto"/>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31</w:t>
            </w:r>
          </w:p>
        </w:tc>
        <w:tc>
          <w:tcPr>
            <w:tcW w:w="601" w:type="dxa"/>
            <w:tcBorders>
              <w:top w:val="single" w:sz="4" w:space="0" w:color="auto"/>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134</w:t>
            </w:r>
          </w:p>
        </w:tc>
        <w:tc>
          <w:tcPr>
            <w:tcW w:w="757" w:type="dxa"/>
            <w:tcBorders>
              <w:top w:val="single" w:sz="4" w:space="0" w:color="auto"/>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253</w:t>
            </w:r>
          </w:p>
        </w:tc>
        <w:tc>
          <w:tcPr>
            <w:tcW w:w="588" w:type="dxa"/>
            <w:tcBorders>
              <w:top w:val="single" w:sz="4" w:space="0" w:color="auto"/>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51</w:t>
            </w:r>
          </w:p>
        </w:tc>
        <w:tc>
          <w:tcPr>
            <w:tcW w:w="757" w:type="dxa"/>
            <w:tcBorders>
              <w:top w:val="single" w:sz="4" w:space="0" w:color="auto"/>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106</w:t>
            </w:r>
          </w:p>
        </w:tc>
        <w:tc>
          <w:tcPr>
            <w:tcW w:w="511" w:type="dxa"/>
            <w:tcBorders>
              <w:top w:val="single" w:sz="4" w:space="0" w:color="auto"/>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12</w:t>
            </w:r>
          </w:p>
        </w:tc>
        <w:tc>
          <w:tcPr>
            <w:tcW w:w="1324" w:type="dxa"/>
            <w:tcBorders>
              <w:top w:val="single" w:sz="4" w:space="0" w:color="auto"/>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698</w:t>
            </w:r>
          </w:p>
        </w:tc>
      </w:tr>
      <w:tr w:rsidR="00A4083A" w:rsidRPr="0070134F" w:rsidTr="00A41CAB">
        <w:trPr>
          <w:trHeight w:val="315"/>
        </w:trPr>
        <w:tc>
          <w:tcPr>
            <w:tcW w:w="2080"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left"/>
              <w:rPr>
                <w:rFonts w:eastAsia="Times New Roman"/>
                <w:color w:val="000000"/>
                <w:szCs w:val="24"/>
                <w:lang w:eastAsia="cs-CZ"/>
              </w:rPr>
            </w:pPr>
            <w:r w:rsidRPr="0070134F">
              <w:rPr>
                <w:rFonts w:eastAsia="Times New Roman"/>
                <w:color w:val="000000"/>
                <w:szCs w:val="24"/>
                <w:lang w:eastAsia="cs-CZ"/>
              </w:rPr>
              <w:t>KS Praha</w:t>
            </w:r>
          </w:p>
        </w:tc>
        <w:tc>
          <w:tcPr>
            <w:tcW w:w="809"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116</w:t>
            </w:r>
          </w:p>
        </w:tc>
        <w:tc>
          <w:tcPr>
            <w:tcW w:w="574"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16</w:t>
            </w:r>
          </w:p>
        </w:tc>
        <w:tc>
          <w:tcPr>
            <w:tcW w:w="601"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49</w:t>
            </w:r>
          </w:p>
        </w:tc>
        <w:tc>
          <w:tcPr>
            <w:tcW w:w="757"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72</w:t>
            </w:r>
          </w:p>
        </w:tc>
        <w:tc>
          <w:tcPr>
            <w:tcW w:w="588"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48</w:t>
            </w:r>
          </w:p>
        </w:tc>
        <w:tc>
          <w:tcPr>
            <w:tcW w:w="757"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147</w:t>
            </w:r>
          </w:p>
        </w:tc>
        <w:tc>
          <w:tcPr>
            <w:tcW w:w="511"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9</w:t>
            </w:r>
          </w:p>
        </w:tc>
        <w:tc>
          <w:tcPr>
            <w:tcW w:w="1324"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457</w:t>
            </w:r>
          </w:p>
        </w:tc>
      </w:tr>
      <w:tr w:rsidR="00A4083A" w:rsidRPr="0070134F" w:rsidTr="00A41CAB">
        <w:trPr>
          <w:trHeight w:val="315"/>
        </w:trPr>
        <w:tc>
          <w:tcPr>
            <w:tcW w:w="2080"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left"/>
              <w:rPr>
                <w:rFonts w:eastAsia="Times New Roman"/>
                <w:color w:val="000000"/>
                <w:szCs w:val="24"/>
                <w:lang w:eastAsia="cs-CZ"/>
              </w:rPr>
            </w:pPr>
            <w:r w:rsidRPr="0070134F">
              <w:rPr>
                <w:rFonts w:eastAsia="Times New Roman"/>
                <w:color w:val="000000"/>
                <w:szCs w:val="24"/>
                <w:lang w:eastAsia="cs-CZ"/>
              </w:rPr>
              <w:t>KS Č. Budějovice</w:t>
            </w:r>
          </w:p>
        </w:tc>
        <w:tc>
          <w:tcPr>
            <w:tcW w:w="809"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65</w:t>
            </w:r>
          </w:p>
        </w:tc>
        <w:tc>
          <w:tcPr>
            <w:tcW w:w="574"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10</w:t>
            </w:r>
          </w:p>
        </w:tc>
        <w:tc>
          <w:tcPr>
            <w:tcW w:w="601"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29</w:t>
            </w:r>
          </w:p>
        </w:tc>
        <w:tc>
          <w:tcPr>
            <w:tcW w:w="757"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79</w:t>
            </w:r>
          </w:p>
        </w:tc>
        <w:tc>
          <w:tcPr>
            <w:tcW w:w="588"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34</w:t>
            </w:r>
          </w:p>
        </w:tc>
        <w:tc>
          <w:tcPr>
            <w:tcW w:w="757"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77</w:t>
            </w:r>
          </w:p>
        </w:tc>
        <w:tc>
          <w:tcPr>
            <w:tcW w:w="511"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10</w:t>
            </w:r>
          </w:p>
        </w:tc>
        <w:tc>
          <w:tcPr>
            <w:tcW w:w="1324"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304</w:t>
            </w:r>
          </w:p>
        </w:tc>
      </w:tr>
      <w:tr w:rsidR="00A4083A" w:rsidRPr="0070134F" w:rsidTr="00A41CAB">
        <w:trPr>
          <w:trHeight w:val="315"/>
        </w:trPr>
        <w:tc>
          <w:tcPr>
            <w:tcW w:w="2080"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left"/>
              <w:rPr>
                <w:rFonts w:eastAsia="Times New Roman"/>
                <w:color w:val="000000"/>
                <w:szCs w:val="24"/>
                <w:lang w:eastAsia="cs-CZ"/>
              </w:rPr>
            </w:pPr>
            <w:r w:rsidRPr="0070134F">
              <w:rPr>
                <w:rFonts w:eastAsia="Times New Roman"/>
                <w:color w:val="000000"/>
                <w:szCs w:val="24"/>
                <w:lang w:eastAsia="cs-CZ"/>
              </w:rPr>
              <w:t>KS Plzeň</w:t>
            </w:r>
          </w:p>
        </w:tc>
        <w:tc>
          <w:tcPr>
            <w:tcW w:w="809"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87</w:t>
            </w:r>
          </w:p>
        </w:tc>
        <w:tc>
          <w:tcPr>
            <w:tcW w:w="574"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11</w:t>
            </w:r>
          </w:p>
        </w:tc>
        <w:tc>
          <w:tcPr>
            <w:tcW w:w="601"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29</w:t>
            </w:r>
          </w:p>
        </w:tc>
        <w:tc>
          <w:tcPr>
            <w:tcW w:w="757"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131</w:t>
            </w:r>
          </w:p>
        </w:tc>
        <w:tc>
          <w:tcPr>
            <w:tcW w:w="588"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43</w:t>
            </w:r>
          </w:p>
        </w:tc>
        <w:tc>
          <w:tcPr>
            <w:tcW w:w="757"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98</w:t>
            </w:r>
          </w:p>
        </w:tc>
        <w:tc>
          <w:tcPr>
            <w:tcW w:w="511"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6</w:t>
            </w:r>
          </w:p>
        </w:tc>
        <w:tc>
          <w:tcPr>
            <w:tcW w:w="1324"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405</w:t>
            </w:r>
          </w:p>
        </w:tc>
      </w:tr>
      <w:tr w:rsidR="00A4083A" w:rsidRPr="0070134F" w:rsidTr="00A41CAB">
        <w:trPr>
          <w:trHeight w:val="315"/>
        </w:trPr>
        <w:tc>
          <w:tcPr>
            <w:tcW w:w="2080"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left"/>
              <w:rPr>
                <w:rFonts w:eastAsia="Times New Roman"/>
                <w:color w:val="000000"/>
                <w:szCs w:val="24"/>
                <w:lang w:eastAsia="cs-CZ"/>
              </w:rPr>
            </w:pPr>
            <w:r w:rsidRPr="0070134F">
              <w:rPr>
                <w:rFonts w:eastAsia="Times New Roman"/>
                <w:color w:val="000000"/>
                <w:szCs w:val="24"/>
                <w:lang w:eastAsia="cs-CZ"/>
              </w:rPr>
              <w:t>KS Ústí n. Labem</w:t>
            </w:r>
          </w:p>
        </w:tc>
        <w:tc>
          <w:tcPr>
            <w:tcW w:w="809"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152</w:t>
            </w:r>
          </w:p>
        </w:tc>
        <w:tc>
          <w:tcPr>
            <w:tcW w:w="574"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27</w:t>
            </w:r>
          </w:p>
        </w:tc>
        <w:tc>
          <w:tcPr>
            <w:tcW w:w="601"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46</w:t>
            </w:r>
          </w:p>
        </w:tc>
        <w:tc>
          <w:tcPr>
            <w:tcW w:w="757"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201</w:t>
            </w:r>
          </w:p>
        </w:tc>
        <w:tc>
          <w:tcPr>
            <w:tcW w:w="588"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62</w:t>
            </w:r>
          </w:p>
        </w:tc>
        <w:tc>
          <w:tcPr>
            <w:tcW w:w="757"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141</w:t>
            </w:r>
          </w:p>
        </w:tc>
        <w:tc>
          <w:tcPr>
            <w:tcW w:w="511"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12</w:t>
            </w:r>
          </w:p>
        </w:tc>
        <w:tc>
          <w:tcPr>
            <w:tcW w:w="1324"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641</w:t>
            </w:r>
          </w:p>
        </w:tc>
      </w:tr>
      <w:tr w:rsidR="00A4083A" w:rsidRPr="0070134F" w:rsidTr="00A41CAB">
        <w:trPr>
          <w:trHeight w:val="315"/>
        </w:trPr>
        <w:tc>
          <w:tcPr>
            <w:tcW w:w="2080"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left"/>
              <w:rPr>
                <w:rFonts w:eastAsia="Times New Roman"/>
                <w:color w:val="000000"/>
                <w:szCs w:val="24"/>
                <w:lang w:eastAsia="cs-CZ"/>
              </w:rPr>
            </w:pPr>
            <w:r w:rsidRPr="0070134F">
              <w:rPr>
                <w:rFonts w:eastAsia="Times New Roman"/>
                <w:color w:val="000000"/>
                <w:szCs w:val="24"/>
                <w:lang w:eastAsia="cs-CZ"/>
              </w:rPr>
              <w:t>KS Hr. Králové</w:t>
            </w:r>
          </w:p>
        </w:tc>
        <w:tc>
          <w:tcPr>
            <w:tcW w:w="809"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105</w:t>
            </w:r>
          </w:p>
        </w:tc>
        <w:tc>
          <w:tcPr>
            <w:tcW w:w="574"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22</w:t>
            </w:r>
          </w:p>
        </w:tc>
        <w:tc>
          <w:tcPr>
            <w:tcW w:w="601"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11</w:t>
            </w:r>
          </w:p>
        </w:tc>
        <w:tc>
          <w:tcPr>
            <w:tcW w:w="757"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107</w:t>
            </w:r>
          </w:p>
        </w:tc>
        <w:tc>
          <w:tcPr>
            <w:tcW w:w="588"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39</w:t>
            </w:r>
          </w:p>
        </w:tc>
        <w:tc>
          <w:tcPr>
            <w:tcW w:w="757"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109</w:t>
            </w:r>
          </w:p>
        </w:tc>
        <w:tc>
          <w:tcPr>
            <w:tcW w:w="511"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12</w:t>
            </w:r>
          </w:p>
        </w:tc>
        <w:tc>
          <w:tcPr>
            <w:tcW w:w="1324"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405</w:t>
            </w:r>
          </w:p>
        </w:tc>
      </w:tr>
      <w:tr w:rsidR="00A4083A" w:rsidRPr="0070134F" w:rsidTr="00A41CAB">
        <w:trPr>
          <w:trHeight w:val="315"/>
        </w:trPr>
        <w:tc>
          <w:tcPr>
            <w:tcW w:w="2080"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left"/>
              <w:rPr>
                <w:rFonts w:eastAsia="Times New Roman"/>
                <w:color w:val="000000"/>
                <w:szCs w:val="24"/>
                <w:lang w:eastAsia="cs-CZ"/>
              </w:rPr>
            </w:pPr>
            <w:r w:rsidRPr="0070134F">
              <w:rPr>
                <w:rFonts w:eastAsia="Times New Roman"/>
                <w:color w:val="000000"/>
                <w:szCs w:val="24"/>
                <w:lang w:eastAsia="cs-CZ"/>
              </w:rPr>
              <w:t>KS Brno</w:t>
            </w:r>
          </w:p>
        </w:tc>
        <w:tc>
          <w:tcPr>
            <w:tcW w:w="809"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177</w:t>
            </w:r>
          </w:p>
        </w:tc>
        <w:tc>
          <w:tcPr>
            <w:tcW w:w="574"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6</w:t>
            </w:r>
          </w:p>
        </w:tc>
        <w:tc>
          <w:tcPr>
            <w:tcW w:w="601"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75</w:t>
            </w:r>
          </w:p>
        </w:tc>
        <w:tc>
          <w:tcPr>
            <w:tcW w:w="757"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215</w:t>
            </w:r>
          </w:p>
        </w:tc>
        <w:tc>
          <w:tcPr>
            <w:tcW w:w="588"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67</w:t>
            </w:r>
          </w:p>
        </w:tc>
        <w:tc>
          <w:tcPr>
            <w:tcW w:w="757"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190</w:t>
            </w:r>
          </w:p>
        </w:tc>
        <w:tc>
          <w:tcPr>
            <w:tcW w:w="511"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14</w:t>
            </w:r>
          </w:p>
        </w:tc>
        <w:tc>
          <w:tcPr>
            <w:tcW w:w="1324" w:type="dxa"/>
            <w:tcBorders>
              <w:top w:val="nil"/>
              <w:left w:val="nil"/>
              <w:bottom w:val="single" w:sz="4"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744</w:t>
            </w:r>
          </w:p>
        </w:tc>
      </w:tr>
      <w:tr w:rsidR="00A4083A" w:rsidRPr="0070134F" w:rsidTr="00A41CAB">
        <w:trPr>
          <w:trHeight w:val="330"/>
        </w:trPr>
        <w:tc>
          <w:tcPr>
            <w:tcW w:w="2080"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left"/>
              <w:rPr>
                <w:rFonts w:eastAsia="Times New Roman"/>
                <w:color w:val="000000"/>
                <w:szCs w:val="24"/>
                <w:lang w:eastAsia="cs-CZ"/>
              </w:rPr>
            </w:pPr>
            <w:r w:rsidRPr="0070134F">
              <w:rPr>
                <w:rFonts w:eastAsia="Times New Roman"/>
                <w:color w:val="000000"/>
                <w:szCs w:val="24"/>
                <w:lang w:eastAsia="cs-CZ"/>
              </w:rPr>
              <w:t>KS Ostrava</w:t>
            </w:r>
          </w:p>
        </w:tc>
        <w:tc>
          <w:tcPr>
            <w:tcW w:w="809"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199</w:t>
            </w:r>
          </w:p>
        </w:tc>
        <w:tc>
          <w:tcPr>
            <w:tcW w:w="574"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14</w:t>
            </w:r>
          </w:p>
        </w:tc>
        <w:tc>
          <w:tcPr>
            <w:tcW w:w="601"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33</w:t>
            </w:r>
          </w:p>
        </w:tc>
        <w:tc>
          <w:tcPr>
            <w:tcW w:w="757"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200</w:t>
            </w:r>
          </w:p>
        </w:tc>
        <w:tc>
          <w:tcPr>
            <w:tcW w:w="588"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68</w:t>
            </w:r>
          </w:p>
        </w:tc>
        <w:tc>
          <w:tcPr>
            <w:tcW w:w="757"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199</w:t>
            </w:r>
          </w:p>
        </w:tc>
        <w:tc>
          <w:tcPr>
            <w:tcW w:w="511"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color w:val="000000"/>
                <w:szCs w:val="24"/>
                <w:lang w:eastAsia="cs-CZ"/>
              </w:rPr>
            </w:pPr>
            <w:r w:rsidRPr="0070134F">
              <w:rPr>
                <w:rFonts w:eastAsia="Times New Roman"/>
                <w:color w:val="000000"/>
                <w:szCs w:val="24"/>
                <w:lang w:eastAsia="cs-CZ"/>
              </w:rPr>
              <w:t>14</w:t>
            </w:r>
          </w:p>
        </w:tc>
        <w:tc>
          <w:tcPr>
            <w:tcW w:w="1324"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727</w:t>
            </w:r>
          </w:p>
        </w:tc>
      </w:tr>
      <w:tr w:rsidR="00A4083A" w:rsidRPr="0070134F" w:rsidTr="00A41CAB">
        <w:trPr>
          <w:trHeight w:val="345"/>
        </w:trPr>
        <w:tc>
          <w:tcPr>
            <w:tcW w:w="2080"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left"/>
              <w:rPr>
                <w:rFonts w:eastAsia="Times New Roman"/>
                <w:b/>
                <w:bCs/>
                <w:color w:val="000000"/>
                <w:szCs w:val="24"/>
                <w:lang w:eastAsia="cs-CZ"/>
              </w:rPr>
            </w:pPr>
            <w:r w:rsidRPr="0070134F">
              <w:rPr>
                <w:rFonts w:eastAsia="Times New Roman"/>
                <w:b/>
                <w:bCs/>
                <w:color w:val="000000"/>
                <w:szCs w:val="24"/>
                <w:lang w:eastAsia="cs-CZ"/>
              </w:rPr>
              <w:t>Celkem ČR</w:t>
            </w:r>
          </w:p>
        </w:tc>
        <w:tc>
          <w:tcPr>
            <w:tcW w:w="809"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1</w:t>
            </w:r>
            <w:r w:rsidR="006C7321">
              <w:rPr>
                <w:rFonts w:eastAsia="Times New Roman"/>
                <w:b/>
                <w:bCs/>
                <w:color w:val="000000"/>
                <w:szCs w:val="24"/>
                <w:lang w:eastAsia="cs-CZ"/>
              </w:rPr>
              <w:t xml:space="preserve"> </w:t>
            </w:r>
            <w:r w:rsidRPr="0070134F">
              <w:rPr>
                <w:rFonts w:eastAsia="Times New Roman"/>
                <w:b/>
                <w:bCs/>
                <w:color w:val="000000"/>
                <w:szCs w:val="24"/>
                <w:lang w:eastAsia="cs-CZ"/>
              </w:rPr>
              <w:t>012</w:t>
            </w:r>
          </w:p>
        </w:tc>
        <w:tc>
          <w:tcPr>
            <w:tcW w:w="574"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137</w:t>
            </w:r>
          </w:p>
        </w:tc>
        <w:tc>
          <w:tcPr>
            <w:tcW w:w="601"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406</w:t>
            </w:r>
          </w:p>
        </w:tc>
        <w:tc>
          <w:tcPr>
            <w:tcW w:w="757"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1</w:t>
            </w:r>
            <w:r w:rsidR="006C7321">
              <w:rPr>
                <w:rFonts w:eastAsia="Times New Roman"/>
                <w:b/>
                <w:bCs/>
                <w:color w:val="000000"/>
                <w:szCs w:val="24"/>
                <w:lang w:eastAsia="cs-CZ"/>
              </w:rPr>
              <w:t xml:space="preserve"> </w:t>
            </w:r>
            <w:r w:rsidRPr="0070134F">
              <w:rPr>
                <w:rFonts w:eastAsia="Times New Roman"/>
                <w:b/>
                <w:bCs/>
                <w:color w:val="000000"/>
                <w:szCs w:val="24"/>
                <w:lang w:eastAsia="cs-CZ"/>
              </w:rPr>
              <w:t>258</w:t>
            </w:r>
          </w:p>
        </w:tc>
        <w:tc>
          <w:tcPr>
            <w:tcW w:w="588"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412</w:t>
            </w:r>
          </w:p>
        </w:tc>
        <w:tc>
          <w:tcPr>
            <w:tcW w:w="757"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1</w:t>
            </w:r>
            <w:r w:rsidR="006C7321">
              <w:rPr>
                <w:rFonts w:eastAsia="Times New Roman"/>
                <w:b/>
                <w:bCs/>
                <w:color w:val="000000"/>
                <w:szCs w:val="24"/>
                <w:lang w:eastAsia="cs-CZ"/>
              </w:rPr>
              <w:t xml:space="preserve"> </w:t>
            </w:r>
            <w:r w:rsidRPr="0070134F">
              <w:rPr>
                <w:rFonts w:eastAsia="Times New Roman"/>
                <w:b/>
                <w:bCs/>
                <w:color w:val="000000"/>
                <w:szCs w:val="24"/>
                <w:lang w:eastAsia="cs-CZ"/>
              </w:rPr>
              <w:t>067</w:t>
            </w:r>
          </w:p>
        </w:tc>
        <w:tc>
          <w:tcPr>
            <w:tcW w:w="511"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89</w:t>
            </w:r>
          </w:p>
        </w:tc>
        <w:tc>
          <w:tcPr>
            <w:tcW w:w="1324" w:type="dxa"/>
            <w:tcBorders>
              <w:top w:val="nil"/>
              <w:left w:val="nil"/>
              <w:bottom w:val="double" w:sz="6" w:space="0" w:color="auto"/>
              <w:right w:val="nil"/>
            </w:tcBorders>
            <w:shd w:val="clear" w:color="auto" w:fill="auto"/>
            <w:noWrap/>
            <w:vAlign w:val="bottom"/>
            <w:hideMark/>
          </w:tcPr>
          <w:p w:rsidR="00A4083A" w:rsidRPr="0070134F" w:rsidRDefault="00A4083A" w:rsidP="00A41CAB">
            <w:pPr>
              <w:spacing w:line="240" w:lineRule="auto"/>
              <w:jc w:val="center"/>
              <w:rPr>
                <w:rFonts w:eastAsia="Times New Roman"/>
                <w:b/>
                <w:bCs/>
                <w:color w:val="000000"/>
                <w:szCs w:val="24"/>
                <w:lang w:eastAsia="cs-CZ"/>
              </w:rPr>
            </w:pPr>
            <w:r w:rsidRPr="0070134F">
              <w:rPr>
                <w:rFonts w:eastAsia="Times New Roman"/>
                <w:b/>
                <w:bCs/>
                <w:color w:val="000000"/>
                <w:szCs w:val="24"/>
                <w:lang w:eastAsia="cs-CZ"/>
              </w:rPr>
              <w:t>4</w:t>
            </w:r>
            <w:r w:rsidR="006C7321">
              <w:rPr>
                <w:rFonts w:eastAsia="Times New Roman"/>
                <w:b/>
                <w:bCs/>
                <w:color w:val="000000"/>
                <w:szCs w:val="24"/>
                <w:lang w:eastAsia="cs-CZ"/>
              </w:rPr>
              <w:t xml:space="preserve"> </w:t>
            </w:r>
            <w:r w:rsidRPr="0070134F">
              <w:rPr>
                <w:rFonts w:eastAsia="Times New Roman"/>
                <w:b/>
                <w:bCs/>
                <w:color w:val="000000"/>
                <w:szCs w:val="24"/>
                <w:lang w:eastAsia="cs-CZ"/>
              </w:rPr>
              <w:t>381</w:t>
            </w:r>
          </w:p>
        </w:tc>
      </w:tr>
    </w:tbl>
    <w:p w:rsidR="00A4083A" w:rsidRPr="001229BC" w:rsidRDefault="00A4083A" w:rsidP="00A4083A">
      <w:pPr>
        <w:pStyle w:val="OdstavecASR"/>
        <w:rPr>
          <w:highlight w:val="yellow"/>
        </w:rPr>
      </w:pPr>
    </w:p>
    <w:p w:rsidR="00A4083A" w:rsidRPr="001229BC" w:rsidRDefault="00A4083A" w:rsidP="00A4083A">
      <w:pPr>
        <w:pStyle w:val="OdstavecASR"/>
      </w:pPr>
      <w:r w:rsidRPr="001229BC">
        <w:t>Plánovaný počet zaměstnanců ve výkonu se stejně jako plánovaný počet soudců odvíjí od systemizace. Evidenční počet zaměstnanců se odvíjí od plánovaného počtu zaměstnanců ve výkonu, ale závisí také na situaci na trhu práce a personální politice jednotlivých soudů. Z toho ve výsledku plyne skutečnost, že poměr počtu soudců k počtu zaměstnanců ve výkonu je sice u všech soudů podobný, ale zdaleka ne totožný.</w:t>
      </w:r>
    </w:p>
    <w:p w:rsidR="00A4083A" w:rsidRDefault="00A4083A" w:rsidP="00A4083A">
      <w:pPr>
        <w:pStyle w:val="OdstavecASR"/>
      </w:pPr>
      <w:r w:rsidRPr="001229BC">
        <w:t>K 1. 1. 2018 pracovalo u okresních soudů celkem 4 433 zaměstnanců ve výkonu. V roce 2019 se tento počet takřka nezměnil, došlo k meziročnímu poklesu o 52 zaměstnanců (1,2</w:t>
      </w:r>
      <w:r>
        <w:t> %</w:t>
      </w:r>
      <w:r w:rsidRPr="001229BC">
        <w:t>).</w:t>
      </w:r>
    </w:p>
    <w:p w:rsidR="00A4083A" w:rsidRPr="001229BC" w:rsidRDefault="00A4083A" w:rsidP="00A4083A">
      <w:pPr>
        <w:pStyle w:val="OdstavecASR"/>
      </w:pPr>
      <w:r w:rsidRPr="001229BC">
        <w:t>Pro úplnost následuje krátké shrnutí pravomocí a pracovní náplně jednotlivých pracovníků soudu:</w:t>
      </w:r>
    </w:p>
    <w:p w:rsidR="00A4083A" w:rsidRPr="001229BC" w:rsidRDefault="00A4083A" w:rsidP="00A4083A">
      <w:pPr>
        <w:pStyle w:val="Odstavecseseznamem"/>
        <w:numPr>
          <w:ilvl w:val="0"/>
          <w:numId w:val="5"/>
        </w:numPr>
      </w:pPr>
      <w:r w:rsidRPr="001229BC">
        <w:rPr>
          <w:b/>
        </w:rPr>
        <w:t xml:space="preserve">Vyšší soudní úředník (VSÚ) </w:t>
      </w:r>
      <w:r w:rsidRPr="001229BC">
        <w:t>– může namísto soudce provádět jednodušší úkony včetně některých rozhodnutí, nemůže ale vést jednání a zejména vydávat rozsudky. Nerozhoduje nezávisle, ale je povinen dbát pokynů soudce, kterému musí také věc předat, je-li právně nebo skutkově složitá. Může jím být pouze absolvent studia na Justiční akademii v Kroměříži nebo absolvent vysokoškolského bakalářského nebo magisterského studijního programu v oblasti práva.</w:t>
      </w:r>
    </w:p>
    <w:p w:rsidR="00A4083A" w:rsidRPr="002E6449" w:rsidRDefault="00A4083A" w:rsidP="00A4083A">
      <w:pPr>
        <w:pStyle w:val="Odstavecseseznamem"/>
        <w:numPr>
          <w:ilvl w:val="0"/>
          <w:numId w:val="5"/>
        </w:numPr>
        <w:rPr>
          <w:b/>
        </w:rPr>
      </w:pPr>
      <w:r w:rsidRPr="002E6449">
        <w:rPr>
          <w:b/>
        </w:rPr>
        <w:lastRenderedPageBreak/>
        <w:t xml:space="preserve">Soudní tajemník (ST) </w:t>
      </w:r>
      <w:r w:rsidRPr="002E6449">
        <w:t>– může jím být pouze osoba s úspěšně složenou maturitní zkouškou. Může provádět jednoduché úkony, ke kterým je pověřen předsedou soudu.</w:t>
      </w:r>
    </w:p>
    <w:p w:rsidR="00A4083A" w:rsidRPr="002E6449" w:rsidRDefault="00A4083A" w:rsidP="00A4083A">
      <w:pPr>
        <w:pStyle w:val="Odstavecseseznamem"/>
        <w:numPr>
          <w:ilvl w:val="0"/>
          <w:numId w:val="5"/>
        </w:numPr>
        <w:rPr>
          <w:b/>
        </w:rPr>
      </w:pPr>
      <w:r w:rsidRPr="002E6449">
        <w:rPr>
          <w:b/>
        </w:rPr>
        <w:t xml:space="preserve">Asistent soudce (A) </w:t>
      </w:r>
      <w:r w:rsidRPr="002E6449">
        <w:t>– samostatně vykonává jednotlivé úkony v soudním řízení z pověření soudce, jehož je asistentem, například zpracovává koncepty rozhodnutí. Je jmenován předsedou soudu k návrhu příslušného soudce. Může jím být pouze absolvent vysokoškolského magisterského studijního programu v oblasti práva.</w:t>
      </w:r>
    </w:p>
    <w:p w:rsidR="00A4083A" w:rsidRPr="004E0FAF" w:rsidRDefault="00A4083A" w:rsidP="00A4083A">
      <w:pPr>
        <w:pStyle w:val="Odstavecseseznamem"/>
        <w:numPr>
          <w:ilvl w:val="0"/>
          <w:numId w:val="5"/>
        </w:numPr>
        <w:rPr>
          <w:b/>
        </w:rPr>
      </w:pPr>
      <w:r w:rsidRPr="002E6449">
        <w:rPr>
          <w:b/>
        </w:rPr>
        <w:t xml:space="preserve">Vedoucí kanceláře (VK) </w:t>
      </w:r>
      <w:r w:rsidRPr="002E6449">
        <w:t>– vede rejstříky a řídí práci zapisovatelek většinou ve více soudních odděleních</w:t>
      </w:r>
      <w:r w:rsidRPr="004E0FAF">
        <w:t>. Zahrnuje i rejstříkové vedoucí a referentky soudní kanceláře.</w:t>
      </w:r>
    </w:p>
    <w:p w:rsidR="00A4083A" w:rsidRPr="002E6449" w:rsidRDefault="00A4083A" w:rsidP="00A4083A">
      <w:pPr>
        <w:pStyle w:val="Odstavecseseznamem"/>
        <w:numPr>
          <w:ilvl w:val="0"/>
          <w:numId w:val="5"/>
        </w:numPr>
        <w:rPr>
          <w:b/>
        </w:rPr>
      </w:pPr>
      <w:r w:rsidRPr="002E6449">
        <w:rPr>
          <w:b/>
        </w:rPr>
        <w:t xml:space="preserve">Protokolující úředník (PÚ) </w:t>
      </w:r>
      <w:r w:rsidRPr="002E6449">
        <w:t>– pořizuje zvukový záznam o průběhu hlavního líčení a na jeho podkladě vypracuje protokol.</w:t>
      </w:r>
    </w:p>
    <w:p w:rsidR="00A4083A" w:rsidRPr="002E6449" w:rsidRDefault="00A4083A" w:rsidP="00A4083A">
      <w:pPr>
        <w:pStyle w:val="Odstavecseseznamem"/>
        <w:numPr>
          <w:ilvl w:val="0"/>
          <w:numId w:val="5"/>
        </w:numPr>
        <w:rPr>
          <w:b/>
        </w:rPr>
      </w:pPr>
      <w:r w:rsidRPr="002E6449">
        <w:rPr>
          <w:b/>
        </w:rPr>
        <w:t xml:space="preserve">Zapisovatelka (Z) </w:t>
      </w:r>
      <w:r w:rsidRPr="002E6449">
        <w:t>– munduje (zpracovává) spisy a sepisuje protokol o jednání v jednací síni dle diktátu soudce, popř. přepisu zvukového nebo zvukově-obrazového záznamu o průběhu jednání.</w:t>
      </w:r>
    </w:p>
    <w:p w:rsidR="00A4083A" w:rsidRPr="002E6449" w:rsidRDefault="00A4083A" w:rsidP="00A4083A">
      <w:pPr>
        <w:pStyle w:val="Odstavecseseznamem"/>
        <w:numPr>
          <w:ilvl w:val="0"/>
          <w:numId w:val="5"/>
        </w:numPr>
      </w:pPr>
      <w:r w:rsidRPr="002E6449">
        <w:rPr>
          <w:b/>
        </w:rPr>
        <w:t xml:space="preserve">Soudní vykonavatel (SV) </w:t>
      </w:r>
      <w:r w:rsidRPr="002E6449">
        <w:t>– vynucuje splnění povinnosti na povinné osobě, které byla tato povinnost uložena vykonatelným exekučním titulem. Také je oprávněn provádět úkony spojené s odebráním dítěte v řízení péče o nezletilé.</w:t>
      </w:r>
    </w:p>
    <w:p w:rsidR="00A4083A" w:rsidRPr="001229BC" w:rsidRDefault="00A4083A" w:rsidP="00A4083A">
      <w:pPr>
        <w:pStyle w:val="OdstavecASR"/>
      </w:pPr>
      <w:r w:rsidRPr="002E6449">
        <w:t xml:space="preserve">Dalšími zaměstnanci soudů jsou tzv. zaměstnanci ve správě. Zatímco zaměstnanci ve výkonu se </w:t>
      </w:r>
      <w:r w:rsidRPr="001229BC">
        <w:t>bezprostředně podílejí na vyřizování soudní agendy a výkonu soudnictví, zaměstnanci ve správě zajišťují provoz soudu</w:t>
      </w:r>
      <w:r>
        <w:t xml:space="preserve">, který </w:t>
      </w:r>
      <w:r w:rsidRPr="001229BC">
        <w:t xml:space="preserve">zahrnuje </w:t>
      </w:r>
      <w:r>
        <w:t xml:space="preserve">širokou </w:t>
      </w:r>
      <w:r w:rsidRPr="001229BC">
        <w:t>škálu funkcí. Celou správu soudu řídí ředitel správy. Dalšími zaměstnanci ve správě jsou například pracovníci sekretariátu, dozorčí úředníci, účetní, ekonomové, informatici nebo řidiči. Celkem je rozlišováno 40 kategorií zaměstnanců ve správě. K 1.</w:t>
      </w:r>
      <w:r>
        <w:t> </w:t>
      </w:r>
      <w:r w:rsidRPr="001229BC">
        <w:t>1.</w:t>
      </w:r>
      <w:r>
        <w:t> </w:t>
      </w:r>
      <w:r w:rsidRPr="001229BC">
        <w:t>2019 pracovalo ve správě u okresních soudů celkem 1 670 osob, tedy o 33 osob více než k 1.</w:t>
      </w:r>
      <w:r>
        <w:t> </w:t>
      </w:r>
      <w:r w:rsidRPr="001229BC">
        <w:t>1.</w:t>
      </w:r>
      <w:r>
        <w:t> </w:t>
      </w:r>
      <w:r w:rsidRPr="001229BC">
        <w:t>2018.</w:t>
      </w:r>
    </w:p>
    <w:p w:rsidR="00A4083A" w:rsidRPr="001229BC" w:rsidRDefault="00A4083A" w:rsidP="00A4083A">
      <w:pPr>
        <w:pStyle w:val="Nadpis3"/>
        <w:rPr>
          <w:color w:val="auto"/>
        </w:rPr>
      </w:pPr>
      <w:bookmarkStart w:id="57" w:name="_Toc43903022"/>
      <w:r w:rsidRPr="001229BC">
        <w:rPr>
          <w:color w:val="auto"/>
        </w:rPr>
        <w:t>Přísedící soudu</w:t>
      </w:r>
      <w:bookmarkEnd w:id="57"/>
    </w:p>
    <w:p w:rsidR="00A4083A" w:rsidRPr="001229BC" w:rsidRDefault="00A4083A" w:rsidP="00A4083A">
      <w:r w:rsidRPr="001229BC">
        <w:t>Kromě soudců a zaměstnanců ve výkonu se na rozhodovací činnosti soudu podílejí také tzv. přísedící. Přísedícím se může stát každý svéprávný a bezúhonný občan České republiky, kterému je nejméně 30 let. V trestním řízení rozhodují přísedící v prvním stupni ve věcech, kde zákon stanoví trest odnětí svobody, jehož dolní hranice je minimálně pět let. Jde tedy o řízení u okresních soudů nebo prvostupňové řízení u soudu krajských. V civilním řízení rozhodují přísedící v pracovněprávních sporech u okresních soudů.</w:t>
      </w:r>
    </w:p>
    <w:p w:rsidR="00A4083A" w:rsidRDefault="00A4083A" w:rsidP="00A4083A">
      <w:r w:rsidRPr="001229BC">
        <w:t xml:space="preserve">V letošním roce jsou k dispozici počty přísedících dle krajů, pohlaví a věku, což umožňuje jejich bližší prozkoumání. Na rozdíl od ostatních dat v této kapitole </w:t>
      </w:r>
      <w:r>
        <w:t xml:space="preserve">se jedná o data </w:t>
      </w:r>
      <w:r w:rsidRPr="001229BC">
        <w:t>k 1. 1.</w:t>
      </w:r>
      <w:r>
        <w:t> </w:t>
      </w:r>
      <w:r w:rsidRPr="001229BC">
        <w:t>2020.</w:t>
      </w:r>
    </w:p>
    <w:p w:rsidR="00A4083A" w:rsidRDefault="00A4083A" w:rsidP="00A4083A">
      <w:bookmarkStart w:id="58" w:name="_Toc11133208"/>
      <w:r w:rsidRPr="001229BC">
        <w:t>V tabulce je uveden počet přísedících podle krajů a pohlaví. Počet přísedících do určité míry samozřejmě odpovídá velikosti jednotlivých soudních krajů. Hrají zde roli ale i jiné faktory, v první řadě samozřejmě složení agendy. Z tabulky je rovněž patrné, že funkce přísedícího je populárnější mezi ženami než mezi muži.</w:t>
      </w:r>
    </w:p>
    <w:p w:rsidR="00A4083A" w:rsidRDefault="00A4083A" w:rsidP="00A4083A"/>
    <w:p w:rsidR="00A4083A" w:rsidRDefault="00A4083A" w:rsidP="00A4083A">
      <w:pPr>
        <w:spacing w:line="240" w:lineRule="auto"/>
        <w:jc w:val="left"/>
      </w:pPr>
      <w:r>
        <w:br w:type="page"/>
      </w:r>
    </w:p>
    <w:p w:rsidR="00A4083A" w:rsidRPr="001229BC" w:rsidRDefault="00A4083A" w:rsidP="00A4083A">
      <w:pPr>
        <w:pStyle w:val="Podnadpis"/>
        <w:rPr>
          <w:color w:val="auto"/>
        </w:rPr>
      </w:pPr>
      <w:bookmarkStart w:id="59" w:name="_Toc43931180"/>
      <w:r w:rsidRPr="001229BC">
        <w:rPr>
          <w:color w:val="auto"/>
        </w:rPr>
        <w:lastRenderedPageBreak/>
        <w:t xml:space="preserve">Tabulka </w:t>
      </w:r>
      <w:r w:rsidRPr="001229BC">
        <w:rPr>
          <w:noProof/>
          <w:color w:val="auto"/>
        </w:rPr>
        <w:fldChar w:fldCharType="begin"/>
      </w:r>
      <w:r w:rsidRPr="001229BC">
        <w:rPr>
          <w:noProof/>
          <w:color w:val="auto"/>
        </w:rPr>
        <w:instrText xml:space="preserve"> SEQ Tabulka \* ARABIC </w:instrText>
      </w:r>
      <w:r w:rsidRPr="001229BC">
        <w:rPr>
          <w:noProof/>
          <w:color w:val="auto"/>
        </w:rPr>
        <w:fldChar w:fldCharType="separate"/>
      </w:r>
      <w:r w:rsidR="006E7F27">
        <w:rPr>
          <w:noProof/>
          <w:color w:val="auto"/>
        </w:rPr>
        <w:t>7</w:t>
      </w:r>
      <w:r w:rsidRPr="001229BC">
        <w:rPr>
          <w:noProof/>
          <w:color w:val="auto"/>
        </w:rPr>
        <w:fldChar w:fldCharType="end"/>
      </w:r>
      <w:r w:rsidRPr="001229BC">
        <w:rPr>
          <w:color w:val="auto"/>
        </w:rPr>
        <w:t>: OS – počet přísedících dle krajů</w:t>
      </w:r>
      <w:bookmarkEnd w:id="58"/>
      <w:r w:rsidRPr="001229BC">
        <w:rPr>
          <w:color w:val="auto"/>
        </w:rPr>
        <w:t xml:space="preserve"> a pohlaví</w:t>
      </w:r>
      <w:bookmarkEnd w:id="59"/>
    </w:p>
    <w:tbl>
      <w:tblPr>
        <w:tblW w:w="6540" w:type="dxa"/>
        <w:tblCellMar>
          <w:left w:w="70" w:type="dxa"/>
          <w:right w:w="70" w:type="dxa"/>
        </w:tblCellMar>
        <w:tblLook w:val="04A0" w:firstRow="1" w:lastRow="0" w:firstColumn="1" w:lastColumn="0" w:noHBand="0" w:noVBand="1"/>
      </w:tblPr>
      <w:tblGrid>
        <w:gridCol w:w="2220"/>
        <w:gridCol w:w="1836"/>
        <w:gridCol w:w="1404"/>
        <w:gridCol w:w="1080"/>
      </w:tblGrid>
      <w:tr w:rsidR="00A4083A" w:rsidRPr="001229BC" w:rsidTr="00A41CAB">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Nadřízený soud</w:t>
            </w:r>
          </w:p>
        </w:tc>
        <w:tc>
          <w:tcPr>
            <w:tcW w:w="3240" w:type="dxa"/>
            <w:gridSpan w:val="2"/>
            <w:tcBorders>
              <w:top w:val="double" w:sz="6" w:space="0" w:color="auto"/>
              <w:left w:val="nil"/>
              <w:bottom w:val="nil"/>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Počet přísedících</w:t>
            </w:r>
          </w:p>
        </w:tc>
        <w:tc>
          <w:tcPr>
            <w:tcW w:w="1080" w:type="dxa"/>
            <w:vMerge w:val="restart"/>
            <w:tcBorders>
              <w:top w:val="double" w:sz="6" w:space="0" w:color="auto"/>
              <w:left w:val="nil"/>
              <w:bottom w:val="double" w:sz="6" w:space="0" w:color="000000"/>
              <w:right w:val="nil"/>
            </w:tcBorders>
            <w:shd w:val="clear" w:color="auto" w:fill="auto"/>
            <w:vAlign w:val="center"/>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Podíl žen v</w:t>
            </w:r>
            <w:r>
              <w:rPr>
                <w:rFonts w:eastAsia="Times New Roman"/>
                <w:b/>
                <w:bCs/>
                <w:szCs w:val="24"/>
                <w:lang w:eastAsia="cs-CZ"/>
              </w:rPr>
              <w:t> %</w:t>
            </w:r>
          </w:p>
        </w:tc>
      </w:tr>
      <w:tr w:rsidR="00A4083A" w:rsidRPr="001229BC" w:rsidTr="00A41CAB">
        <w:trPr>
          <w:trHeight w:val="330"/>
        </w:trPr>
        <w:tc>
          <w:tcPr>
            <w:tcW w:w="2220" w:type="dxa"/>
            <w:vMerge/>
            <w:tcBorders>
              <w:top w:val="double" w:sz="6" w:space="0" w:color="auto"/>
              <w:left w:val="nil"/>
              <w:bottom w:val="double" w:sz="6" w:space="0" w:color="000000"/>
              <w:right w:val="nil"/>
            </w:tcBorders>
            <w:vAlign w:val="center"/>
            <w:hideMark/>
          </w:tcPr>
          <w:p w:rsidR="00A4083A" w:rsidRPr="001229BC" w:rsidRDefault="00A4083A" w:rsidP="00A41CAB">
            <w:pPr>
              <w:spacing w:line="240" w:lineRule="auto"/>
              <w:jc w:val="left"/>
              <w:rPr>
                <w:rFonts w:eastAsia="Times New Roman"/>
                <w:b/>
                <w:bCs/>
                <w:szCs w:val="24"/>
                <w:lang w:eastAsia="cs-CZ"/>
              </w:rPr>
            </w:pPr>
          </w:p>
        </w:tc>
        <w:tc>
          <w:tcPr>
            <w:tcW w:w="1836"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Mužů</w:t>
            </w:r>
          </w:p>
        </w:tc>
        <w:tc>
          <w:tcPr>
            <w:tcW w:w="1404"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Žen</w:t>
            </w:r>
          </w:p>
        </w:tc>
        <w:tc>
          <w:tcPr>
            <w:tcW w:w="1080" w:type="dxa"/>
            <w:vMerge/>
            <w:tcBorders>
              <w:top w:val="double" w:sz="6" w:space="0" w:color="auto"/>
              <w:left w:val="nil"/>
              <w:bottom w:val="double" w:sz="6" w:space="0" w:color="000000"/>
              <w:right w:val="nil"/>
            </w:tcBorders>
            <w:vAlign w:val="center"/>
            <w:hideMark/>
          </w:tcPr>
          <w:p w:rsidR="00A4083A" w:rsidRPr="001229BC" w:rsidRDefault="00A4083A" w:rsidP="00A41CAB">
            <w:pPr>
              <w:spacing w:line="240" w:lineRule="auto"/>
              <w:jc w:val="left"/>
              <w:rPr>
                <w:rFonts w:eastAsia="Times New Roman"/>
                <w:b/>
                <w:bCs/>
                <w:szCs w:val="24"/>
                <w:lang w:eastAsia="cs-CZ"/>
              </w:rPr>
            </w:pPr>
          </w:p>
        </w:tc>
      </w:tr>
      <w:tr w:rsidR="00A4083A" w:rsidRPr="001229BC" w:rsidTr="00A41CAB">
        <w:trPr>
          <w:trHeight w:val="330"/>
        </w:trPr>
        <w:tc>
          <w:tcPr>
            <w:tcW w:w="222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MS Praha</w:t>
            </w:r>
          </w:p>
        </w:tc>
        <w:tc>
          <w:tcPr>
            <w:tcW w:w="183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165</w:t>
            </w:r>
          </w:p>
        </w:tc>
        <w:tc>
          <w:tcPr>
            <w:tcW w:w="1404"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293</w:t>
            </w:r>
          </w:p>
        </w:tc>
        <w:tc>
          <w:tcPr>
            <w:tcW w:w="1080" w:type="dxa"/>
            <w:tcBorders>
              <w:top w:val="single" w:sz="4" w:space="0" w:color="auto"/>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63,97</w:t>
            </w:r>
          </w:p>
        </w:tc>
      </w:tr>
      <w:tr w:rsidR="00A4083A" w:rsidRPr="001229BC"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Praha</w:t>
            </w:r>
          </w:p>
        </w:tc>
        <w:tc>
          <w:tcPr>
            <w:tcW w:w="183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138</w:t>
            </w:r>
          </w:p>
        </w:tc>
        <w:tc>
          <w:tcPr>
            <w:tcW w:w="1404"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266</w:t>
            </w:r>
          </w:p>
        </w:tc>
        <w:tc>
          <w:tcPr>
            <w:tcW w:w="108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65,84</w:t>
            </w:r>
          </w:p>
        </w:tc>
      </w:tr>
      <w:tr w:rsidR="00A4083A" w:rsidRPr="001229BC"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Č. Budějovice</w:t>
            </w:r>
          </w:p>
        </w:tc>
        <w:tc>
          <w:tcPr>
            <w:tcW w:w="183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95</w:t>
            </w:r>
          </w:p>
        </w:tc>
        <w:tc>
          <w:tcPr>
            <w:tcW w:w="1404"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146</w:t>
            </w:r>
          </w:p>
        </w:tc>
        <w:tc>
          <w:tcPr>
            <w:tcW w:w="108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60,58</w:t>
            </w:r>
          </w:p>
        </w:tc>
      </w:tr>
      <w:tr w:rsidR="00A4083A" w:rsidRPr="001229BC"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Plzeň</w:t>
            </w:r>
          </w:p>
        </w:tc>
        <w:tc>
          <w:tcPr>
            <w:tcW w:w="183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167</w:t>
            </w:r>
          </w:p>
        </w:tc>
        <w:tc>
          <w:tcPr>
            <w:tcW w:w="1404"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274</w:t>
            </w:r>
          </w:p>
        </w:tc>
        <w:tc>
          <w:tcPr>
            <w:tcW w:w="108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62,13</w:t>
            </w:r>
          </w:p>
        </w:tc>
      </w:tr>
      <w:tr w:rsidR="00A4083A" w:rsidRPr="001229BC"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Ústí n. Labem</w:t>
            </w:r>
          </w:p>
        </w:tc>
        <w:tc>
          <w:tcPr>
            <w:tcW w:w="183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176</w:t>
            </w:r>
          </w:p>
        </w:tc>
        <w:tc>
          <w:tcPr>
            <w:tcW w:w="1404"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390</w:t>
            </w:r>
          </w:p>
        </w:tc>
        <w:tc>
          <w:tcPr>
            <w:tcW w:w="108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68,90</w:t>
            </w:r>
          </w:p>
        </w:tc>
      </w:tr>
      <w:tr w:rsidR="00A4083A" w:rsidRPr="001229BC"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Hr. Králové</w:t>
            </w:r>
          </w:p>
        </w:tc>
        <w:tc>
          <w:tcPr>
            <w:tcW w:w="183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180</w:t>
            </w:r>
          </w:p>
        </w:tc>
        <w:tc>
          <w:tcPr>
            <w:tcW w:w="1404"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279</w:t>
            </w:r>
          </w:p>
        </w:tc>
        <w:tc>
          <w:tcPr>
            <w:tcW w:w="108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60,78</w:t>
            </w:r>
          </w:p>
        </w:tc>
      </w:tr>
      <w:tr w:rsidR="00A4083A" w:rsidRPr="001229BC"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Brno</w:t>
            </w:r>
          </w:p>
        </w:tc>
        <w:tc>
          <w:tcPr>
            <w:tcW w:w="1836"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270</w:t>
            </w:r>
          </w:p>
        </w:tc>
        <w:tc>
          <w:tcPr>
            <w:tcW w:w="1404"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467</w:t>
            </w:r>
          </w:p>
        </w:tc>
        <w:tc>
          <w:tcPr>
            <w:tcW w:w="1080" w:type="dxa"/>
            <w:tcBorders>
              <w:top w:val="nil"/>
              <w:left w:val="nil"/>
              <w:bottom w:val="single" w:sz="4"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63,36</w:t>
            </w:r>
          </w:p>
        </w:tc>
      </w:tr>
      <w:tr w:rsidR="00A4083A" w:rsidRPr="001229BC" w:rsidTr="00A41CAB">
        <w:trPr>
          <w:trHeight w:val="330"/>
        </w:trPr>
        <w:tc>
          <w:tcPr>
            <w:tcW w:w="2220"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szCs w:val="24"/>
                <w:lang w:eastAsia="cs-CZ"/>
              </w:rPr>
            </w:pPr>
            <w:r w:rsidRPr="001229BC">
              <w:rPr>
                <w:rFonts w:eastAsia="Times New Roman"/>
                <w:szCs w:val="24"/>
                <w:lang w:eastAsia="cs-CZ"/>
              </w:rPr>
              <w:t>KS Ostrava</w:t>
            </w:r>
          </w:p>
        </w:tc>
        <w:tc>
          <w:tcPr>
            <w:tcW w:w="1836"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416</w:t>
            </w:r>
          </w:p>
        </w:tc>
        <w:tc>
          <w:tcPr>
            <w:tcW w:w="1404"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625</w:t>
            </w:r>
          </w:p>
        </w:tc>
        <w:tc>
          <w:tcPr>
            <w:tcW w:w="1080"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szCs w:val="24"/>
                <w:lang w:eastAsia="cs-CZ"/>
              </w:rPr>
            </w:pPr>
            <w:r w:rsidRPr="001229BC">
              <w:rPr>
                <w:rFonts w:eastAsia="Times New Roman"/>
                <w:szCs w:val="24"/>
                <w:lang w:eastAsia="cs-CZ"/>
              </w:rPr>
              <w:t>60,04</w:t>
            </w:r>
          </w:p>
        </w:tc>
      </w:tr>
      <w:tr w:rsidR="00A4083A" w:rsidRPr="001229BC" w:rsidTr="00A41CAB">
        <w:trPr>
          <w:trHeight w:val="345"/>
        </w:trPr>
        <w:tc>
          <w:tcPr>
            <w:tcW w:w="2220"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left"/>
              <w:rPr>
                <w:rFonts w:eastAsia="Times New Roman"/>
                <w:b/>
                <w:bCs/>
                <w:szCs w:val="24"/>
                <w:lang w:eastAsia="cs-CZ"/>
              </w:rPr>
            </w:pPr>
            <w:r w:rsidRPr="001229BC">
              <w:rPr>
                <w:rFonts w:eastAsia="Times New Roman"/>
                <w:b/>
                <w:bCs/>
                <w:szCs w:val="24"/>
                <w:lang w:eastAsia="cs-CZ"/>
              </w:rPr>
              <w:t>Celkem ČR</w:t>
            </w:r>
          </w:p>
        </w:tc>
        <w:tc>
          <w:tcPr>
            <w:tcW w:w="1836"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1 607</w:t>
            </w:r>
          </w:p>
        </w:tc>
        <w:tc>
          <w:tcPr>
            <w:tcW w:w="1404"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2 740</w:t>
            </w:r>
          </w:p>
        </w:tc>
        <w:tc>
          <w:tcPr>
            <w:tcW w:w="1080" w:type="dxa"/>
            <w:tcBorders>
              <w:top w:val="nil"/>
              <w:left w:val="nil"/>
              <w:bottom w:val="double" w:sz="6" w:space="0" w:color="auto"/>
              <w:right w:val="nil"/>
            </w:tcBorders>
            <w:shd w:val="clear" w:color="auto" w:fill="auto"/>
            <w:noWrap/>
            <w:vAlign w:val="bottom"/>
            <w:hideMark/>
          </w:tcPr>
          <w:p w:rsidR="00A4083A" w:rsidRPr="001229BC" w:rsidRDefault="00A4083A" w:rsidP="00A41CAB">
            <w:pPr>
              <w:spacing w:line="240" w:lineRule="auto"/>
              <w:jc w:val="center"/>
              <w:rPr>
                <w:rFonts w:eastAsia="Times New Roman"/>
                <w:b/>
                <w:bCs/>
                <w:szCs w:val="24"/>
                <w:lang w:eastAsia="cs-CZ"/>
              </w:rPr>
            </w:pPr>
            <w:r w:rsidRPr="001229BC">
              <w:rPr>
                <w:rFonts w:eastAsia="Times New Roman"/>
                <w:b/>
                <w:bCs/>
                <w:szCs w:val="24"/>
                <w:lang w:eastAsia="cs-CZ"/>
              </w:rPr>
              <w:t>63,03</w:t>
            </w:r>
          </w:p>
        </w:tc>
      </w:tr>
    </w:tbl>
    <w:p w:rsidR="00A4083A" w:rsidRPr="001229BC" w:rsidRDefault="00A4083A" w:rsidP="00A4083A">
      <w:pPr>
        <w:rPr>
          <w:highlight w:val="yellow"/>
        </w:rPr>
      </w:pPr>
    </w:p>
    <w:p w:rsidR="00A4083A" w:rsidRDefault="00A4083A" w:rsidP="00A4083A">
      <w:r w:rsidRPr="001229BC">
        <w:t xml:space="preserve">Další tabulka se zabývá věkovou strukturou. </w:t>
      </w:r>
      <w:r>
        <w:t>Vyplývá z ní</w:t>
      </w:r>
      <w:r w:rsidRPr="001229BC">
        <w:t>, že post přísedící/ho je mnohem populárnější u vyšších věkových skupin. Více než 63</w:t>
      </w:r>
      <w:r>
        <w:t> % </w:t>
      </w:r>
      <w:r w:rsidRPr="001229BC">
        <w:t>přísedících tvoří lidé ve věku 60</w:t>
      </w:r>
      <w:r>
        <w:t> </w:t>
      </w:r>
      <w:r w:rsidRPr="001229BC">
        <w:t>let a více, tedy ve většině případů v důchodovém věku. Naopak, přísedících ve věku do 39</w:t>
      </w:r>
      <w:r>
        <w:t> </w:t>
      </w:r>
      <w:r w:rsidRPr="001229BC">
        <w:t>let tvoří pouze 4,32</w:t>
      </w:r>
      <w:r>
        <w:t> %</w:t>
      </w:r>
      <w:r w:rsidRPr="001229BC">
        <w:t>. Obvykle je tento jev přisuzován tomu, že finanční odměna za vykonávání funkce přísedícího je obvykle považována za nízkou. Lidé v produktivním věku pravděpodobně preferují jiný výdělek nebo jinak trávený čas. Seniorům se nicméně takovýto přivýdělek a čas stráveným tímto způsobem může zdát zajímavější. Mezi jednotlivými kraji jsou určité, ale ne nijak závratné rozdíly. V průměru nejstarší jsou přísedící v Jihočeském kraji – pouze asi 2</w:t>
      </w:r>
      <w:r>
        <w:t> % </w:t>
      </w:r>
      <w:r w:rsidRPr="001229BC">
        <w:t xml:space="preserve">z nich jsou ve věku do </w:t>
      </w:r>
      <w:r w:rsidRPr="00D17312">
        <w:t>39 let a 72</w:t>
      </w:r>
      <w:r>
        <w:t> % </w:t>
      </w:r>
      <w:r w:rsidRPr="00D17312">
        <w:t xml:space="preserve">je ve věku 60 let a více. Je </w:t>
      </w:r>
      <w:r>
        <w:t xml:space="preserve">nicméně </w:t>
      </w:r>
      <w:r w:rsidRPr="00D17312">
        <w:t>třeba zmínit, že Jihočeský kraj je nejmenší, a</w:t>
      </w:r>
      <w:r>
        <w:t> </w:t>
      </w:r>
      <w:r w:rsidRPr="00D17312">
        <w:t>tudíž ze statistického pohledu nejvíce podléhá výchylkám.</w:t>
      </w:r>
    </w:p>
    <w:p w:rsidR="00A4083A" w:rsidRPr="00D17312" w:rsidRDefault="00A4083A" w:rsidP="00A4083A">
      <w:pPr>
        <w:pStyle w:val="Podnadpis"/>
        <w:rPr>
          <w:color w:val="auto"/>
        </w:rPr>
      </w:pPr>
      <w:bookmarkStart w:id="60" w:name="_Toc43931181"/>
      <w:r w:rsidRPr="00D17312">
        <w:rPr>
          <w:color w:val="auto"/>
        </w:rPr>
        <w:t xml:space="preserve">Tabulka </w:t>
      </w:r>
      <w:r w:rsidRPr="00D17312">
        <w:rPr>
          <w:noProof/>
          <w:color w:val="auto"/>
        </w:rPr>
        <w:fldChar w:fldCharType="begin"/>
      </w:r>
      <w:r w:rsidRPr="00D17312">
        <w:rPr>
          <w:noProof/>
          <w:color w:val="auto"/>
        </w:rPr>
        <w:instrText xml:space="preserve"> SEQ Tabulka \* ARABIC </w:instrText>
      </w:r>
      <w:r w:rsidRPr="00D17312">
        <w:rPr>
          <w:noProof/>
          <w:color w:val="auto"/>
        </w:rPr>
        <w:fldChar w:fldCharType="separate"/>
      </w:r>
      <w:r w:rsidR="006E7F27">
        <w:rPr>
          <w:noProof/>
          <w:color w:val="auto"/>
        </w:rPr>
        <w:t>8</w:t>
      </w:r>
      <w:r w:rsidRPr="00D17312">
        <w:rPr>
          <w:noProof/>
          <w:color w:val="auto"/>
        </w:rPr>
        <w:fldChar w:fldCharType="end"/>
      </w:r>
      <w:r w:rsidRPr="00D17312">
        <w:rPr>
          <w:color w:val="auto"/>
        </w:rPr>
        <w:t>: OS – počet přísedících dle krajů a věku</w:t>
      </w:r>
      <w:bookmarkEnd w:id="60"/>
    </w:p>
    <w:tbl>
      <w:tblPr>
        <w:tblW w:w="7620" w:type="dxa"/>
        <w:tblCellMar>
          <w:left w:w="70" w:type="dxa"/>
          <w:right w:w="70" w:type="dxa"/>
        </w:tblCellMar>
        <w:tblLook w:val="04A0" w:firstRow="1" w:lastRow="0" w:firstColumn="1" w:lastColumn="0" w:noHBand="0" w:noVBand="1"/>
      </w:tblPr>
      <w:tblGrid>
        <w:gridCol w:w="2220"/>
        <w:gridCol w:w="1136"/>
        <w:gridCol w:w="944"/>
        <w:gridCol w:w="943"/>
        <w:gridCol w:w="943"/>
        <w:gridCol w:w="1434"/>
      </w:tblGrid>
      <w:tr w:rsidR="00A4083A" w:rsidRPr="00D17312" w:rsidTr="00A41CAB">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Nadřízený soud</w:t>
            </w:r>
          </w:p>
        </w:tc>
        <w:tc>
          <w:tcPr>
            <w:tcW w:w="5400" w:type="dxa"/>
            <w:gridSpan w:val="5"/>
            <w:tcBorders>
              <w:top w:val="double" w:sz="6" w:space="0" w:color="auto"/>
              <w:left w:val="nil"/>
              <w:bottom w:val="nil"/>
              <w:right w:val="nil"/>
            </w:tcBorders>
            <w:shd w:val="clear" w:color="auto" w:fill="auto"/>
            <w:noWrap/>
            <w:vAlign w:val="bottom"/>
            <w:hideMark/>
          </w:tcPr>
          <w:p w:rsidR="00A4083A" w:rsidRPr="00D17312" w:rsidRDefault="00A4083A" w:rsidP="00A41CAB">
            <w:pPr>
              <w:spacing w:line="240" w:lineRule="auto"/>
              <w:jc w:val="center"/>
              <w:rPr>
                <w:rFonts w:ascii="Times New Roman" w:eastAsia="Times New Roman" w:hAnsi="Times New Roman"/>
                <w:b/>
                <w:bCs/>
                <w:szCs w:val="24"/>
                <w:lang w:eastAsia="cs-CZ"/>
              </w:rPr>
            </w:pPr>
            <w:r w:rsidRPr="00D17312">
              <w:rPr>
                <w:rFonts w:ascii="Times New Roman" w:eastAsia="Times New Roman" w:hAnsi="Times New Roman"/>
                <w:b/>
                <w:bCs/>
                <w:szCs w:val="24"/>
                <w:lang w:eastAsia="cs-CZ"/>
              </w:rPr>
              <w:t>Věková skupina</w:t>
            </w:r>
          </w:p>
        </w:tc>
      </w:tr>
      <w:tr w:rsidR="00A4083A" w:rsidRPr="00D17312" w:rsidTr="00A41CAB">
        <w:trPr>
          <w:trHeight w:val="330"/>
        </w:trPr>
        <w:tc>
          <w:tcPr>
            <w:tcW w:w="222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13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ascii="Times New Roman" w:eastAsia="Times New Roman" w:hAnsi="Times New Roman"/>
                <w:b/>
                <w:bCs/>
                <w:szCs w:val="24"/>
                <w:lang w:eastAsia="cs-CZ"/>
              </w:rPr>
            </w:pPr>
            <w:r w:rsidRPr="00D17312">
              <w:rPr>
                <w:rFonts w:ascii="Times New Roman" w:eastAsia="Times New Roman" w:hAnsi="Times New Roman"/>
                <w:b/>
                <w:bCs/>
                <w:szCs w:val="24"/>
                <w:lang w:eastAsia="cs-CZ"/>
              </w:rPr>
              <w:t>30–39</w:t>
            </w:r>
          </w:p>
        </w:tc>
        <w:tc>
          <w:tcPr>
            <w:tcW w:w="944"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ascii="Times New Roman" w:eastAsia="Times New Roman" w:hAnsi="Times New Roman"/>
                <w:b/>
                <w:bCs/>
                <w:szCs w:val="24"/>
                <w:lang w:eastAsia="cs-CZ"/>
              </w:rPr>
            </w:pPr>
            <w:r w:rsidRPr="00D17312">
              <w:rPr>
                <w:rFonts w:ascii="Times New Roman" w:eastAsia="Times New Roman" w:hAnsi="Times New Roman"/>
                <w:b/>
                <w:bCs/>
                <w:szCs w:val="24"/>
                <w:lang w:eastAsia="cs-CZ"/>
              </w:rPr>
              <w:t>40-49</w:t>
            </w:r>
          </w:p>
        </w:tc>
        <w:tc>
          <w:tcPr>
            <w:tcW w:w="94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ascii="Times New Roman" w:eastAsia="Times New Roman" w:hAnsi="Times New Roman"/>
                <w:b/>
                <w:bCs/>
                <w:szCs w:val="24"/>
                <w:lang w:eastAsia="cs-CZ"/>
              </w:rPr>
            </w:pPr>
            <w:r w:rsidRPr="00D17312">
              <w:rPr>
                <w:rFonts w:ascii="Times New Roman" w:eastAsia="Times New Roman" w:hAnsi="Times New Roman"/>
                <w:b/>
                <w:bCs/>
                <w:szCs w:val="24"/>
                <w:lang w:eastAsia="cs-CZ"/>
              </w:rPr>
              <w:t>50-59</w:t>
            </w:r>
          </w:p>
        </w:tc>
        <w:tc>
          <w:tcPr>
            <w:tcW w:w="94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ascii="Times New Roman" w:eastAsia="Times New Roman" w:hAnsi="Times New Roman"/>
                <w:b/>
                <w:bCs/>
                <w:szCs w:val="24"/>
                <w:lang w:eastAsia="cs-CZ"/>
              </w:rPr>
            </w:pPr>
            <w:r w:rsidRPr="00D17312">
              <w:rPr>
                <w:rFonts w:ascii="Times New Roman" w:eastAsia="Times New Roman" w:hAnsi="Times New Roman"/>
                <w:b/>
                <w:bCs/>
                <w:szCs w:val="24"/>
                <w:lang w:eastAsia="cs-CZ"/>
              </w:rPr>
              <w:t>60-69</w:t>
            </w:r>
          </w:p>
        </w:tc>
        <w:tc>
          <w:tcPr>
            <w:tcW w:w="1434"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ascii="Times New Roman" w:eastAsia="Times New Roman" w:hAnsi="Times New Roman"/>
                <w:b/>
                <w:bCs/>
                <w:szCs w:val="24"/>
                <w:lang w:eastAsia="cs-CZ"/>
              </w:rPr>
            </w:pPr>
            <w:r w:rsidRPr="00D17312">
              <w:rPr>
                <w:rFonts w:ascii="Times New Roman" w:eastAsia="Times New Roman" w:hAnsi="Times New Roman"/>
                <w:b/>
                <w:bCs/>
                <w:szCs w:val="24"/>
                <w:lang w:eastAsia="cs-CZ"/>
              </w:rPr>
              <w:t>70 a více</w:t>
            </w:r>
          </w:p>
        </w:tc>
      </w:tr>
      <w:tr w:rsidR="00A4083A" w:rsidRPr="00D17312" w:rsidTr="00A41CAB">
        <w:trPr>
          <w:trHeight w:val="330"/>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1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34</w:t>
            </w:r>
          </w:p>
        </w:tc>
        <w:tc>
          <w:tcPr>
            <w:tcW w:w="94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67</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69</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106</w:t>
            </w:r>
          </w:p>
        </w:tc>
        <w:tc>
          <w:tcPr>
            <w:tcW w:w="143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182</w:t>
            </w:r>
          </w:p>
        </w:tc>
      </w:tr>
      <w:tr w:rsidR="00A4083A" w:rsidRPr="00D17312"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1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w:t>
            </w:r>
          </w:p>
        </w:tc>
        <w:tc>
          <w:tcPr>
            <w:tcW w:w="94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51</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73</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130</w:t>
            </w:r>
          </w:p>
        </w:tc>
        <w:tc>
          <w:tcPr>
            <w:tcW w:w="143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134</w:t>
            </w:r>
          </w:p>
        </w:tc>
      </w:tr>
      <w:tr w:rsidR="00A4083A" w:rsidRPr="00D17312"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1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w:t>
            </w:r>
          </w:p>
        </w:tc>
        <w:tc>
          <w:tcPr>
            <w:tcW w:w="94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44</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90</w:t>
            </w:r>
          </w:p>
        </w:tc>
        <w:tc>
          <w:tcPr>
            <w:tcW w:w="143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84</w:t>
            </w:r>
          </w:p>
        </w:tc>
      </w:tr>
      <w:tr w:rsidR="00A4083A" w:rsidRPr="00D17312"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1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w:t>
            </w:r>
          </w:p>
        </w:tc>
        <w:tc>
          <w:tcPr>
            <w:tcW w:w="94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53</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97</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137</w:t>
            </w:r>
          </w:p>
        </w:tc>
        <w:tc>
          <w:tcPr>
            <w:tcW w:w="143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137</w:t>
            </w:r>
          </w:p>
        </w:tc>
      </w:tr>
      <w:tr w:rsidR="00A4083A" w:rsidRPr="00D17312"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1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21</w:t>
            </w:r>
          </w:p>
        </w:tc>
        <w:tc>
          <w:tcPr>
            <w:tcW w:w="94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88</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106</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155</w:t>
            </w:r>
          </w:p>
        </w:tc>
        <w:tc>
          <w:tcPr>
            <w:tcW w:w="143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196</w:t>
            </w:r>
          </w:p>
        </w:tc>
      </w:tr>
      <w:tr w:rsidR="00A4083A" w:rsidRPr="00D17312"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1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w:t>
            </w:r>
          </w:p>
        </w:tc>
        <w:tc>
          <w:tcPr>
            <w:tcW w:w="94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51</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73</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167</w:t>
            </w:r>
          </w:p>
        </w:tc>
        <w:tc>
          <w:tcPr>
            <w:tcW w:w="143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154</w:t>
            </w:r>
          </w:p>
        </w:tc>
      </w:tr>
      <w:tr w:rsidR="00A4083A" w:rsidRPr="00D17312"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1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38</w:t>
            </w:r>
          </w:p>
        </w:tc>
        <w:tc>
          <w:tcPr>
            <w:tcW w:w="94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120</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134</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232</w:t>
            </w:r>
          </w:p>
        </w:tc>
        <w:tc>
          <w:tcPr>
            <w:tcW w:w="143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213</w:t>
            </w:r>
          </w:p>
        </w:tc>
      </w:tr>
      <w:tr w:rsidR="00A4083A" w:rsidRPr="00D17312" w:rsidTr="00A41CAB">
        <w:trPr>
          <w:trHeight w:val="330"/>
        </w:trPr>
        <w:tc>
          <w:tcPr>
            <w:tcW w:w="22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13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43</w:t>
            </w:r>
          </w:p>
        </w:tc>
        <w:tc>
          <w:tcPr>
            <w:tcW w:w="944"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142</w:t>
            </w:r>
          </w:p>
        </w:tc>
        <w:tc>
          <w:tcPr>
            <w:tcW w:w="94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214</w:t>
            </w:r>
          </w:p>
        </w:tc>
        <w:tc>
          <w:tcPr>
            <w:tcW w:w="94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336</w:t>
            </w:r>
          </w:p>
        </w:tc>
        <w:tc>
          <w:tcPr>
            <w:tcW w:w="1434"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306</w:t>
            </w:r>
          </w:p>
        </w:tc>
      </w:tr>
      <w:tr w:rsidR="00A4083A" w:rsidRPr="00D17312" w:rsidTr="00A41CAB">
        <w:trPr>
          <w:trHeight w:val="345"/>
        </w:trPr>
        <w:tc>
          <w:tcPr>
            <w:tcW w:w="22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13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188</w:t>
            </w:r>
          </w:p>
        </w:tc>
        <w:tc>
          <w:tcPr>
            <w:tcW w:w="944"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590</w:t>
            </w:r>
          </w:p>
        </w:tc>
        <w:tc>
          <w:tcPr>
            <w:tcW w:w="94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810</w:t>
            </w:r>
          </w:p>
        </w:tc>
        <w:tc>
          <w:tcPr>
            <w:tcW w:w="94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1 353</w:t>
            </w:r>
          </w:p>
        </w:tc>
        <w:tc>
          <w:tcPr>
            <w:tcW w:w="1434"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1 406</w:t>
            </w:r>
          </w:p>
        </w:tc>
      </w:tr>
    </w:tbl>
    <w:p w:rsidR="00A4083A" w:rsidRPr="00D17312" w:rsidRDefault="00A4083A" w:rsidP="00A4083A"/>
    <w:p w:rsidR="00A4083A" w:rsidRDefault="00A4083A" w:rsidP="00A4083A">
      <w:pPr>
        <w:spacing w:line="240" w:lineRule="auto"/>
        <w:jc w:val="left"/>
      </w:pPr>
      <w:r>
        <w:br w:type="page"/>
      </w:r>
    </w:p>
    <w:p w:rsidR="00A4083A" w:rsidRPr="00D17312" w:rsidRDefault="00A4083A" w:rsidP="00A4083A">
      <w:pPr>
        <w:pStyle w:val="Nadpis2"/>
      </w:pPr>
      <w:bookmarkStart w:id="61" w:name="_Ref9425277"/>
      <w:bookmarkStart w:id="62" w:name="_Ref10553155"/>
      <w:bookmarkStart w:id="63" w:name="_Ref10553167"/>
      <w:bookmarkStart w:id="64" w:name="_Toc43903023"/>
      <w:r w:rsidRPr="00D17312">
        <w:lastRenderedPageBreak/>
        <w:t>Civilní agenda</w:t>
      </w:r>
      <w:bookmarkEnd w:id="61"/>
      <w:bookmarkEnd w:id="62"/>
      <w:bookmarkEnd w:id="63"/>
      <w:bookmarkEnd w:id="64"/>
    </w:p>
    <w:p w:rsidR="00A4083A" w:rsidRPr="00D17312" w:rsidRDefault="00A4083A" w:rsidP="00A4083A">
      <w:pPr>
        <w:pStyle w:val="OdstavecASR"/>
      </w:pPr>
      <w:r w:rsidRPr="00D17312">
        <w:t>Soudy na civilním úseku vedou značné množství různých druhů řízení (dědické řízení, exekuční řízení, výkony soudních rozhodnutí a další). Zdaleka nejvýznamnější a nejrozsáhlejší je ale prvostupňové civilní (občanskoprávní) řízení, označené jako rejstřík (agenda) C. Tato část Výroční statistické zprávy se zaměřuje právě na tuto agendu. Statistiky týkající se vedlejších agend jsou dostupné z jiných zdrojů (např. na internetových stránkách InfoData nebo ve statistických ročenkách).</w:t>
      </w:r>
    </w:p>
    <w:p w:rsidR="00A4083A" w:rsidRPr="00D17312" w:rsidRDefault="00A4083A" w:rsidP="00A4083A">
      <w:pPr>
        <w:pStyle w:val="OdstavecASR"/>
      </w:pPr>
      <w:r w:rsidRPr="00D17312">
        <w:t>Po úvaze byla data očištěna i o rozkazní řízení (hlavně agendy označené jako EPR a dříve EC), a to především proto, aby se předešlo zkreslení dat a trendů v časových řadách. V roce 2009 byl totiž zaveden elektronický platební rozkaz a po jeho zavedení došlo ke značným změnám ve vedení statistik. Počet věcí zanesených do statistických listů především v letech 2009–2013 tak prudce vzrostl právě o rozkazní věci. Rozkazní řízení je do značné míry automatizované, výrazně jednodušší (probíhá zcela nebo téměř zcela bez intervence soudce) a rychlejší na vyřízení. Z toho plynou i kratší délky řízení. V letech, kdy jich bylo do statistických listů zaneseno relativně více, pak došlo k poklesu vykazované délky řízení. Rozkaznímu řízení se věnuje další kapitola.</w:t>
      </w:r>
    </w:p>
    <w:p w:rsidR="00A4083A" w:rsidRPr="00D17312" w:rsidRDefault="00A4083A" w:rsidP="00A4083A">
      <w:pPr>
        <w:pStyle w:val="OdstavecASR"/>
      </w:pPr>
      <w:r w:rsidRPr="00D17312">
        <w:t xml:space="preserve">Z výše zmíněného důvodu se zde uvedené údaje týkající se průměrné délky řízení liší od údajů z jiných zdrojů (internetové stránky InfoData, statistické ročenky). Údaje prezentované </w:t>
      </w:r>
      <w:r>
        <w:t xml:space="preserve">jak </w:t>
      </w:r>
      <w:r w:rsidRPr="00D17312">
        <w:t>v této zprávě</w:t>
      </w:r>
      <w:r>
        <w:t xml:space="preserve">, tak </w:t>
      </w:r>
      <w:r w:rsidRPr="00D17312">
        <w:t>na serveru InfoData</w:t>
      </w:r>
      <w:r>
        <w:t>,</w:t>
      </w:r>
      <w:r w:rsidRPr="00D17312">
        <w:t xml:space="preserve"> jsou správné, ale vycház</w:t>
      </w:r>
      <w:r>
        <w:t>ejí</w:t>
      </w:r>
      <w:r w:rsidRPr="00D17312">
        <w:t xml:space="preserve"> z jiných dat. Zde uvedené délky řízení jsou přirozeně vyšší, protože v nich není zahrnuto rozkazní řízení.</w:t>
      </w:r>
    </w:p>
    <w:p w:rsidR="00A4083A" w:rsidRPr="00D17312" w:rsidRDefault="00A4083A" w:rsidP="00A4083A">
      <w:pPr>
        <w:pStyle w:val="Nadpis3"/>
        <w:rPr>
          <w:color w:val="auto"/>
        </w:rPr>
      </w:pPr>
      <w:bookmarkStart w:id="65" w:name="_Ref513277229"/>
      <w:bookmarkStart w:id="66" w:name="_Toc517118511"/>
      <w:bookmarkStart w:id="67" w:name="_Toc43903024"/>
      <w:r w:rsidRPr="00D17312">
        <w:rPr>
          <w:color w:val="auto"/>
        </w:rPr>
        <w:t>Délka řízení</w:t>
      </w:r>
      <w:bookmarkEnd w:id="65"/>
      <w:bookmarkEnd w:id="66"/>
      <w:bookmarkEnd w:id="67"/>
    </w:p>
    <w:p w:rsidR="00A4083A" w:rsidRPr="00D17312" w:rsidRDefault="00A4083A" w:rsidP="00A4083A">
      <w:pPr>
        <w:pStyle w:val="OdstavecASR"/>
      </w:pPr>
      <w:r w:rsidRPr="00D17312">
        <w:t>Délku řízení zjišťujeme ze statistických listů (SL). Uvádíme ji v kalendářních dnech ode dne nápadu do dne konečného vyřízení věci soudem I. stupně. Je třeba nezapomenout, že do vzorku se započítávají jen ta řízení, která v daném roce skončila, nikoliv ta, která stále probíhala. Je proto typickým jevem, že pokud dojde k přetížení soudu, neprojeví se to v průměrné délce řízení</w:t>
      </w:r>
      <w:r w:rsidRPr="009A72C1">
        <w:t xml:space="preserve"> </w:t>
      </w:r>
      <w:r w:rsidRPr="00D17312">
        <w:t xml:space="preserve">okamžitě, protože soud bude mít tendenci přednostně vyřizovat jednodušší věci a složitější věci budou stárnout, ale protože nebudou vyřízeny, nevstoupí do výpočtu; to se paradoxně stane naopak až ve chvíli, kdy se soudu začne dařit situaci řešit a vyřizovat nahromaděné nedodělky. Prudký nárůst délky řízení u některého soudu může tak často naopak být důkazem odblokování situace (po něm </w:t>
      </w:r>
      <w:r>
        <w:t xml:space="preserve">pak </w:t>
      </w:r>
      <w:r w:rsidRPr="00D17312">
        <w:t>následuje v dalších letech neméně prudký pokles). Pro rozlišení takových situací je třeba doplnit pohled o další statistické údaje, zejména trend počtu nevyřízených věcí a tzv. disposition time (viz dále).</w:t>
      </w:r>
    </w:p>
    <w:p w:rsidR="00A4083A" w:rsidRPr="00D17312" w:rsidRDefault="00A4083A" w:rsidP="00A4083A">
      <w:pPr>
        <w:pStyle w:val="OdstavecASR"/>
      </w:pPr>
      <w:r w:rsidRPr="00D17312">
        <w:t xml:space="preserve">Graf 6 sleduje změny v průměru (jedná se o nejběžněji uváděný údaj), mediánu (není ovlivněn extrémy a v tomto případě tak má lepší vypovídající hodnotu) a percentilu 90 (ukazuje, jak dlouho soudům trvají nejdelší věci). Na rozdíl od neočištěných dat nevykazují očištěná data v letech 2009–2011 výrazný, ale pouze velmi mírný pokles délky řízení. Je ale patrný nárůst délek řízení v letech 2012 a 2013, který je následován poklesem. Jako velmi pozitivní se jeví jasný klesající trend v letech 2014–2019 v délce řízení (průměr, medián i percentil 90). Výše uvedený trend se postupně zpomaloval. V roce 2018 klesl medián již jen o 5 dnů a průměr o 22 dnů a v roce 2019 poklesl medián o 6 dnů a průměr o 13 dnů. Pokles 90. percentilu se také značně zpomalil, je ale stále velmi výrazný. Je tedy zřejmé, že řízení se zrychlilo především u nejdéle trvajících sporů. Pokud porovnáme rok 2014 a rok 2019, je vidět, že pokles v délkách řízení je opravdu signifikantní – </w:t>
      </w:r>
      <w:r w:rsidRPr="00D17312">
        <w:lastRenderedPageBreak/>
        <w:t>medián k</w:t>
      </w:r>
      <w:r>
        <w:t>lesl o 37 %, průměr o 39 % a percentil 90 o 56 %</w:t>
      </w:r>
      <w:r w:rsidRPr="00D17312">
        <w:t>. Tvrzení, že se situace v této agendě dále zlepšuje, potvrzují také snižující se počty nevyřízených věcí (graf 10).</w:t>
      </w:r>
    </w:p>
    <w:p w:rsidR="00A4083A" w:rsidRPr="00D17312" w:rsidRDefault="00A4083A" w:rsidP="00A4083A">
      <w:pPr>
        <w:pStyle w:val="Podnadpis"/>
        <w:rPr>
          <w:color w:val="auto"/>
        </w:rPr>
      </w:pPr>
      <w:bookmarkStart w:id="68" w:name="_Toc11135067"/>
      <w:bookmarkStart w:id="69" w:name="_Toc43841386"/>
      <w:r w:rsidRPr="00D17312">
        <w:rPr>
          <w:color w:val="auto"/>
        </w:rPr>
        <w:t xml:space="preserve">Graf </w:t>
      </w:r>
      <w:r w:rsidRPr="00D17312">
        <w:rPr>
          <w:noProof/>
          <w:color w:val="auto"/>
        </w:rPr>
        <w:fldChar w:fldCharType="begin"/>
      </w:r>
      <w:r w:rsidRPr="00D17312">
        <w:rPr>
          <w:noProof/>
          <w:color w:val="auto"/>
        </w:rPr>
        <w:instrText xml:space="preserve"> SEQ Graf \* ARABIC </w:instrText>
      </w:r>
      <w:r w:rsidRPr="00D17312">
        <w:rPr>
          <w:noProof/>
          <w:color w:val="auto"/>
        </w:rPr>
        <w:fldChar w:fldCharType="separate"/>
      </w:r>
      <w:r w:rsidR="006E7F27">
        <w:rPr>
          <w:noProof/>
          <w:color w:val="auto"/>
        </w:rPr>
        <w:t>6</w:t>
      </w:r>
      <w:r w:rsidRPr="00D17312">
        <w:rPr>
          <w:noProof/>
          <w:color w:val="auto"/>
        </w:rPr>
        <w:fldChar w:fldCharType="end"/>
      </w:r>
      <w:r w:rsidRPr="00D17312">
        <w:rPr>
          <w:color w:val="auto"/>
        </w:rPr>
        <w:t>: OS – délka civilního řízení v letech 2008–201</w:t>
      </w:r>
      <w:bookmarkEnd w:id="68"/>
      <w:r w:rsidRPr="00D17312">
        <w:rPr>
          <w:color w:val="auto"/>
        </w:rPr>
        <w:t>9</w:t>
      </w:r>
      <w:bookmarkEnd w:id="69"/>
    </w:p>
    <w:p w:rsidR="00A4083A" w:rsidRPr="00D17312" w:rsidRDefault="00A4083A" w:rsidP="00A4083A">
      <w:pPr>
        <w:keepNext/>
        <w:spacing w:line="240" w:lineRule="auto"/>
        <w:jc w:val="left"/>
      </w:pPr>
      <w:r w:rsidRPr="00D17312">
        <w:rPr>
          <w:noProof/>
          <w:lang w:eastAsia="cs-CZ"/>
        </w:rPr>
        <w:drawing>
          <wp:inline distT="0" distB="0" distL="0" distR="0" wp14:anchorId="5B77C4A4" wp14:editId="1CBFA1F2">
            <wp:extent cx="5114925" cy="3743325"/>
            <wp:effectExtent l="0" t="0" r="0"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spacing w:line="240" w:lineRule="auto"/>
        <w:jc w:val="left"/>
        <w:rPr>
          <w:highlight w:val="yellow"/>
        </w:rPr>
      </w:pPr>
    </w:p>
    <w:p w:rsidR="00A4083A" w:rsidRPr="00D17312" w:rsidRDefault="00A4083A" w:rsidP="00A4083A">
      <w:pPr>
        <w:pStyle w:val="Podnadpis"/>
        <w:rPr>
          <w:color w:val="auto"/>
        </w:rPr>
      </w:pPr>
      <w:bookmarkStart w:id="70" w:name="_Toc11133209"/>
      <w:bookmarkStart w:id="71" w:name="_Toc43931182"/>
      <w:r w:rsidRPr="00D17312">
        <w:rPr>
          <w:color w:val="auto"/>
        </w:rPr>
        <w:t xml:space="preserve">Tabulka </w:t>
      </w:r>
      <w:r w:rsidRPr="00D17312">
        <w:rPr>
          <w:noProof/>
          <w:color w:val="auto"/>
        </w:rPr>
        <w:fldChar w:fldCharType="begin"/>
      </w:r>
      <w:r w:rsidRPr="00D17312">
        <w:rPr>
          <w:noProof/>
          <w:color w:val="auto"/>
        </w:rPr>
        <w:instrText xml:space="preserve"> SEQ Tabulka \* ARABIC </w:instrText>
      </w:r>
      <w:r w:rsidRPr="00D17312">
        <w:rPr>
          <w:noProof/>
          <w:color w:val="auto"/>
        </w:rPr>
        <w:fldChar w:fldCharType="separate"/>
      </w:r>
      <w:r w:rsidR="006E7F27">
        <w:rPr>
          <w:noProof/>
          <w:color w:val="auto"/>
        </w:rPr>
        <w:t>9</w:t>
      </w:r>
      <w:r w:rsidRPr="00D17312">
        <w:rPr>
          <w:noProof/>
          <w:color w:val="auto"/>
        </w:rPr>
        <w:fldChar w:fldCharType="end"/>
      </w:r>
      <w:r w:rsidRPr="00D17312">
        <w:rPr>
          <w:color w:val="auto"/>
        </w:rPr>
        <w:t xml:space="preserve">: </w:t>
      </w:r>
      <w:bookmarkStart w:id="72" w:name="_Ref509210728"/>
      <w:r w:rsidRPr="00D17312">
        <w:rPr>
          <w:color w:val="auto"/>
        </w:rPr>
        <w:t>OS – délky civilního řízení dle krajů</w:t>
      </w:r>
      <w:bookmarkEnd w:id="70"/>
      <w:bookmarkEnd w:id="72"/>
      <w:bookmarkEnd w:id="71"/>
    </w:p>
    <w:tbl>
      <w:tblPr>
        <w:tblW w:w="6380" w:type="dxa"/>
        <w:tblCellMar>
          <w:left w:w="70" w:type="dxa"/>
          <w:right w:w="70" w:type="dxa"/>
        </w:tblCellMar>
        <w:tblLook w:val="04A0" w:firstRow="1" w:lastRow="0" w:firstColumn="1" w:lastColumn="0" w:noHBand="0" w:noVBand="1"/>
      </w:tblPr>
      <w:tblGrid>
        <w:gridCol w:w="2480"/>
        <w:gridCol w:w="1094"/>
        <w:gridCol w:w="1119"/>
        <w:gridCol w:w="1687"/>
      </w:tblGrid>
      <w:tr w:rsidR="00A4083A" w:rsidRPr="00B42569" w:rsidTr="00A41C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B42569" w:rsidRDefault="00A4083A" w:rsidP="00A41CAB">
            <w:pPr>
              <w:spacing w:line="240" w:lineRule="auto"/>
              <w:jc w:val="center"/>
              <w:rPr>
                <w:rFonts w:eastAsia="Times New Roman"/>
                <w:b/>
                <w:bCs/>
                <w:color w:val="000000"/>
                <w:szCs w:val="24"/>
                <w:lang w:eastAsia="cs-CZ"/>
              </w:rPr>
            </w:pPr>
            <w:r w:rsidRPr="00B42569">
              <w:rPr>
                <w:rFonts w:eastAsia="Times New Roman"/>
                <w:b/>
                <w:bCs/>
                <w:color w:val="000000"/>
                <w:szCs w:val="24"/>
                <w:lang w:eastAsia="cs-CZ"/>
              </w:rPr>
              <w:t>Nadřízený soud</w:t>
            </w:r>
          </w:p>
        </w:tc>
        <w:tc>
          <w:tcPr>
            <w:tcW w:w="3900" w:type="dxa"/>
            <w:gridSpan w:val="3"/>
            <w:tcBorders>
              <w:top w:val="double" w:sz="6" w:space="0" w:color="auto"/>
              <w:left w:val="nil"/>
              <w:bottom w:val="nil"/>
              <w:right w:val="nil"/>
            </w:tcBorders>
            <w:shd w:val="clear" w:color="auto" w:fill="auto"/>
            <w:noWrap/>
            <w:vAlign w:val="center"/>
            <w:hideMark/>
          </w:tcPr>
          <w:p w:rsidR="00A4083A" w:rsidRPr="00B42569" w:rsidRDefault="00A4083A" w:rsidP="00A41CAB">
            <w:pPr>
              <w:spacing w:line="240" w:lineRule="auto"/>
              <w:jc w:val="center"/>
              <w:rPr>
                <w:rFonts w:eastAsia="Times New Roman"/>
                <w:b/>
                <w:bCs/>
                <w:color w:val="000000"/>
                <w:szCs w:val="24"/>
                <w:lang w:eastAsia="cs-CZ"/>
              </w:rPr>
            </w:pPr>
            <w:r w:rsidRPr="00B42569">
              <w:rPr>
                <w:rFonts w:eastAsia="Times New Roman"/>
                <w:b/>
                <w:bCs/>
                <w:color w:val="000000"/>
                <w:szCs w:val="24"/>
                <w:lang w:eastAsia="cs-CZ"/>
              </w:rPr>
              <w:t>Délka řízení</w:t>
            </w:r>
          </w:p>
        </w:tc>
      </w:tr>
      <w:tr w:rsidR="00A4083A" w:rsidRPr="00B42569" w:rsidTr="00A41CAB">
        <w:trPr>
          <w:trHeight w:val="330"/>
        </w:trPr>
        <w:tc>
          <w:tcPr>
            <w:tcW w:w="2480" w:type="dxa"/>
            <w:vMerge/>
            <w:tcBorders>
              <w:top w:val="double" w:sz="6" w:space="0" w:color="auto"/>
              <w:left w:val="nil"/>
              <w:bottom w:val="double" w:sz="6" w:space="0" w:color="000000"/>
              <w:right w:val="nil"/>
            </w:tcBorders>
            <w:vAlign w:val="center"/>
            <w:hideMark/>
          </w:tcPr>
          <w:p w:rsidR="00A4083A" w:rsidRPr="00B42569" w:rsidRDefault="00A4083A" w:rsidP="00A41CAB">
            <w:pPr>
              <w:spacing w:line="240" w:lineRule="auto"/>
              <w:jc w:val="left"/>
              <w:rPr>
                <w:rFonts w:eastAsia="Times New Roman"/>
                <w:b/>
                <w:bCs/>
                <w:color w:val="000000"/>
                <w:szCs w:val="24"/>
                <w:lang w:eastAsia="cs-CZ"/>
              </w:rPr>
            </w:pPr>
          </w:p>
        </w:tc>
        <w:tc>
          <w:tcPr>
            <w:tcW w:w="1094" w:type="dxa"/>
            <w:tcBorders>
              <w:top w:val="nil"/>
              <w:left w:val="nil"/>
              <w:bottom w:val="double" w:sz="6" w:space="0" w:color="auto"/>
              <w:right w:val="nil"/>
            </w:tcBorders>
            <w:shd w:val="clear" w:color="auto" w:fill="auto"/>
            <w:noWrap/>
            <w:vAlign w:val="center"/>
            <w:hideMark/>
          </w:tcPr>
          <w:p w:rsidR="00A4083A" w:rsidRPr="00B42569" w:rsidRDefault="00A4083A" w:rsidP="00A41CAB">
            <w:pPr>
              <w:spacing w:line="240" w:lineRule="auto"/>
              <w:jc w:val="center"/>
              <w:rPr>
                <w:rFonts w:eastAsia="Times New Roman"/>
                <w:b/>
                <w:bCs/>
                <w:color w:val="000000"/>
                <w:szCs w:val="24"/>
                <w:lang w:eastAsia="cs-CZ"/>
              </w:rPr>
            </w:pPr>
            <w:r w:rsidRPr="00B42569">
              <w:rPr>
                <w:rFonts w:eastAsia="Times New Roman"/>
                <w:b/>
                <w:bCs/>
                <w:color w:val="000000"/>
                <w:szCs w:val="24"/>
                <w:lang w:eastAsia="cs-CZ"/>
              </w:rPr>
              <w:t>Průměr</w:t>
            </w:r>
          </w:p>
        </w:tc>
        <w:tc>
          <w:tcPr>
            <w:tcW w:w="1119" w:type="dxa"/>
            <w:tcBorders>
              <w:top w:val="nil"/>
              <w:left w:val="nil"/>
              <w:bottom w:val="double" w:sz="6" w:space="0" w:color="auto"/>
              <w:right w:val="nil"/>
            </w:tcBorders>
            <w:shd w:val="clear" w:color="auto" w:fill="auto"/>
            <w:noWrap/>
            <w:vAlign w:val="center"/>
            <w:hideMark/>
          </w:tcPr>
          <w:p w:rsidR="00A4083A" w:rsidRPr="00B42569" w:rsidRDefault="00A4083A" w:rsidP="00A41CAB">
            <w:pPr>
              <w:spacing w:line="240" w:lineRule="auto"/>
              <w:jc w:val="center"/>
              <w:rPr>
                <w:rFonts w:eastAsia="Times New Roman"/>
                <w:b/>
                <w:bCs/>
                <w:color w:val="000000"/>
                <w:szCs w:val="24"/>
                <w:lang w:eastAsia="cs-CZ"/>
              </w:rPr>
            </w:pPr>
            <w:r w:rsidRPr="00B42569">
              <w:rPr>
                <w:rFonts w:eastAsia="Times New Roman"/>
                <w:b/>
                <w:bCs/>
                <w:color w:val="000000"/>
                <w:szCs w:val="24"/>
                <w:lang w:eastAsia="cs-CZ"/>
              </w:rPr>
              <w:t>Medián</w:t>
            </w:r>
          </w:p>
        </w:tc>
        <w:tc>
          <w:tcPr>
            <w:tcW w:w="1687" w:type="dxa"/>
            <w:tcBorders>
              <w:top w:val="nil"/>
              <w:left w:val="nil"/>
              <w:bottom w:val="double" w:sz="6" w:space="0" w:color="auto"/>
              <w:right w:val="nil"/>
            </w:tcBorders>
            <w:shd w:val="clear" w:color="auto" w:fill="auto"/>
            <w:noWrap/>
            <w:vAlign w:val="center"/>
            <w:hideMark/>
          </w:tcPr>
          <w:p w:rsidR="00A4083A" w:rsidRPr="00B42569" w:rsidRDefault="00A4083A" w:rsidP="00A41CAB">
            <w:pPr>
              <w:spacing w:line="240" w:lineRule="auto"/>
              <w:jc w:val="center"/>
              <w:rPr>
                <w:rFonts w:eastAsia="Times New Roman"/>
                <w:b/>
                <w:bCs/>
                <w:color w:val="000000"/>
                <w:szCs w:val="24"/>
                <w:lang w:eastAsia="cs-CZ"/>
              </w:rPr>
            </w:pPr>
            <w:r w:rsidRPr="00B42569">
              <w:rPr>
                <w:rFonts w:eastAsia="Times New Roman"/>
                <w:b/>
                <w:bCs/>
                <w:color w:val="000000"/>
                <w:szCs w:val="24"/>
                <w:lang w:eastAsia="cs-CZ"/>
              </w:rPr>
              <w:t>Percentil 90</w:t>
            </w:r>
          </w:p>
        </w:tc>
      </w:tr>
      <w:tr w:rsidR="00A4083A" w:rsidRPr="00B42569"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left"/>
              <w:rPr>
                <w:rFonts w:eastAsia="Times New Roman"/>
                <w:color w:val="000000"/>
                <w:szCs w:val="24"/>
                <w:lang w:eastAsia="cs-CZ"/>
              </w:rPr>
            </w:pPr>
            <w:r w:rsidRPr="00B42569">
              <w:rPr>
                <w:rFonts w:eastAsia="Times New Roman"/>
                <w:color w:val="000000"/>
                <w:szCs w:val="24"/>
                <w:lang w:eastAsia="cs-CZ"/>
              </w:rPr>
              <w:t>MS Praha</w:t>
            </w:r>
          </w:p>
        </w:tc>
        <w:tc>
          <w:tcPr>
            <w:tcW w:w="1094" w:type="dxa"/>
            <w:tcBorders>
              <w:top w:val="single" w:sz="4" w:space="0" w:color="auto"/>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color w:val="000000"/>
                <w:szCs w:val="24"/>
                <w:lang w:eastAsia="cs-CZ"/>
              </w:rPr>
            </w:pPr>
            <w:r w:rsidRPr="00B42569">
              <w:rPr>
                <w:rFonts w:eastAsia="Times New Roman"/>
                <w:color w:val="000000"/>
                <w:szCs w:val="24"/>
                <w:lang w:eastAsia="cs-CZ"/>
              </w:rPr>
              <w:t>266</w:t>
            </w:r>
          </w:p>
        </w:tc>
        <w:tc>
          <w:tcPr>
            <w:tcW w:w="1119" w:type="dxa"/>
            <w:tcBorders>
              <w:top w:val="single" w:sz="4" w:space="0" w:color="auto"/>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color w:val="000000"/>
                <w:szCs w:val="24"/>
                <w:lang w:eastAsia="cs-CZ"/>
              </w:rPr>
            </w:pPr>
            <w:r w:rsidRPr="00B42569">
              <w:rPr>
                <w:rFonts w:eastAsia="Times New Roman"/>
                <w:color w:val="000000"/>
                <w:szCs w:val="24"/>
                <w:lang w:eastAsia="cs-CZ"/>
              </w:rPr>
              <w:t>169</w:t>
            </w:r>
          </w:p>
        </w:tc>
        <w:tc>
          <w:tcPr>
            <w:tcW w:w="1687" w:type="dxa"/>
            <w:tcBorders>
              <w:top w:val="single" w:sz="4" w:space="0" w:color="auto"/>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color w:val="000000"/>
                <w:szCs w:val="24"/>
                <w:lang w:eastAsia="cs-CZ"/>
              </w:rPr>
            </w:pPr>
            <w:r w:rsidRPr="00B42569">
              <w:rPr>
                <w:rFonts w:eastAsia="Times New Roman"/>
                <w:color w:val="000000"/>
                <w:szCs w:val="24"/>
                <w:lang w:eastAsia="cs-CZ"/>
              </w:rPr>
              <w:t>457</w:t>
            </w:r>
          </w:p>
        </w:tc>
      </w:tr>
      <w:tr w:rsidR="00A4083A" w:rsidRPr="00B42569"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left"/>
              <w:rPr>
                <w:rFonts w:eastAsia="Times New Roman"/>
                <w:color w:val="000000"/>
                <w:szCs w:val="24"/>
                <w:lang w:eastAsia="cs-CZ"/>
              </w:rPr>
            </w:pPr>
            <w:r w:rsidRPr="00B42569">
              <w:rPr>
                <w:rFonts w:eastAsia="Times New Roman"/>
                <w:color w:val="000000"/>
                <w:szCs w:val="24"/>
                <w:lang w:eastAsia="cs-CZ"/>
              </w:rPr>
              <w:t>KS Praha</w:t>
            </w:r>
          </w:p>
        </w:tc>
        <w:tc>
          <w:tcPr>
            <w:tcW w:w="1094" w:type="dxa"/>
            <w:tcBorders>
              <w:top w:val="nil"/>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color w:val="000000"/>
                <w:szCs w:val="24"/>
                <w:lang w:eastAsia="cs-CZ"/>
              </w:rPr>
            </w:pPr>
            <w:r w:rsidRPr="00B42569">
              <w:rPr>
                <w:rFonts w:eastAsia="Times New Roman"/>
                <w:color w:val="000000"/>
                <w:szCs w:val="24"/>
                <w:lang w:eastAsia="cs-CZ"/>
              </w:rPr>
              <w:t>190</w:t>
            </w:r>
          </w:p>
        </w:tc>
        <w:tc>
          <w:tcPr>
            <w:tcW w:w="1119" w:type="dxa"/>
            <w:tcBorders>
              <w:top w:val="nil"/>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color w:val="000000"/>
                <w:szCs w:val="24"/>
                <w:lang w:eastAsia="cs-CZ"/>
              </w:rPr>
            </w:pPr>
            <w:r w:rsidRPr="00B42569">
              <w:rPr>
                <w:rFonts w:eastAsia="Times New Roman"/>
                <w:color w:val="000000"/>
                <w:szCs w:val="24"/>
                <w:lang w:eastAsia="cs-CZ"/>
              </w:rPr>
              <w:t>129</w:t>
            </w:r>
          </w:p>
        </w:tc>
        <w:tc>
          <w:tcPr>
            <w:tcW w:w="1687" w:type="dxa"/>
            <w:tcBorders>
              <w:top w:val="nil"/>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color w:val="000000"/>
                <w:szCs w:val="24"/>
                <w:lang w:eastAsia="cs-CZ"/>
              </w:rPr>
            </w:pPr>
            <w:r w:rsidRPr="00B42569">
              <w:rPr>
                <w:rFonts w:eastAsia="Times New Roman"/>
                <w:color w:val="000000"/>
                <w:szCs w:val="24"/>
                <w:lang w:eastAsia="cs-CZ"/>
              </w:rPr>
              <w:t>292</w:t>
            </w:r>
          </w:p>
        </w:tc>
      </w:tr>
      <w:tr w:rsidR="00A4083A" w:rsidRPr="00B42569"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left"/>
              <w:rPr>
                <w:rFonts w:eastAsia="Times New Roman"/>
                <w:color w:val="000000"/>
                <w:szCs w:val="24"/>
                <w:lang w:eastAsia="cs-CZ"/>
              </w:rPr>
            </w:pPr>
            <w:r w:rsidRPr="00B42569">
              <w:rPr>
                <w:rFonts w:eastAsia="Times New Roman"/>
                <w:color w:val="000000"/>
                <w:szCs w:val="24"/>
                <w:lang w:eastAsia="cs-CZ"/>
              </w:rPr>
              <w:t>KS Č. Budějovice</w:t>
            </w:r>
          </w:p>
        </w:tc>
        <w:tc>
          <w:tcPr>
            <w:tcW w:w="1094" w:type="dxa"/>
            <w:tcBorders>
              <w:top w:val="nil"/>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color w:val="000000"/>
                <w:szCs w:val="24"/>
                <w:lang w:eastAsia="cs-CZ"/>
              </w:rPr>
            </w:pPr>
            <w:r w:rsidRPr="00B42569">
              <w:rPr>
                <w:rFonts w:eastAsia="Times New Roman"/>
                <w:color w:val="000000"/>
                <w:szCs w:val="24"/>
                <w:lang w:eastAsia="cs-CZ"/>
              </w:rPr>
              <w:t>179</w:t>
            </w:r>
          </w:p>
        </w:tc>
        <w:tc>
          <w:tcPr>
            <w:tcW w:w="1119" w:type="dxa"/>
            <w:tcBorders>
              <w:top w:val="nil"/>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color w:val="000000"/>
                <w:szCs w:val="24"/>
                <w:lang w:eastAsia="cs-CZ"/>
              </w:rPr>
            </w:pPr>
            <w:r w:rsidRPr="00B42569">
              <w:rPr>
                <w:rFonts w:eastAsia="Times New Roman"/>
                <w:color w:val="000000"/>
                <w:szCs w:val="24"/>
                <w:lang w:eastAsia="cs-CZ"/>
              </w:rPr>
              <w:t>124</w:t>
            </w:r>
          </w:p>
        </w:tc>
        <w:tc>
          <w:tcPr>
            <w:tcW w:w="1687" w:type="dxa"/>
            <w:tcBorders>
              <w:top w:val="nil"/>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color w:val="000000"/>
                <w:szCs w:val="24"/>
                <w:lang w:eastAsia="cs-CZ"/>
              </w:rPr>
            </w:pPr>
            <w:r w:rsidRPr="00B42569">
              <w:rPr>
                <w:rFonts w:eastAsia="Times New Roman"/>
                <w:color w:val="000000"/>
                <w:szCs w:val="24"/>
                <w:lang w:eastAsia="cs-CZ"/>
              </w:rPr>
              <w:t>286</w:t>
            </w:r>
          </w:p>
        </w:tc>
      </w:tr>
      <w:tr w:rsidR="00A4083A" w:rsidRPr="00B42569"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left"/>
              <w:rPr>
                <w:rFonts w:eastAsia="Times New Roman"/>
                <w:color w:val="000000"/>
                <w:szCs w:val="24"/>
                <w:lang w:eastAsia="cs-CZ"/>
              </w:rPr>
            </w:pPr>
            <w:r w:rsidRPr="00B42569">
              <w:rPr>
                <w:rFonts w:eastAsia="Times New Roman"/>
                <w:color w:val="000000"/>
                <w:szCs w:val="24"/>
                <w:lang w:eastAsia="cs-CZ"/>
              </w:rPr>
              <w:t>KS Plzeň</w:t>
            </w:r>
          </w:p>
        </w:tc>
        <w:tc>
          <w:tcPr>
            <w:tcW w:w="1094" w:type="dxa"/>
            <w:tcBorders>
              <w:top w:val="nil"/>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color w:val="000000"/>
                <w:szCs w:val="24"/>
                <w:lang w:eastAsia="cs-CZ"/>
              </w:rPr>
            </w:pPr>
            <w:r w:rsidRPr="00B42569">
              <w:rPr>
                <w:rFonts w:eastAsia="Times New Roman"/>
                <w:color w:val="000000"/>
                <w:szCs w:val="24"/>
                <w:lang w:eastAsia="cs-CZ"/>
              </w:rPr>
              <w:t>192</w:t>
            </w:r>
          </w:p>
        </w:tc>
        <w:tc>
          <w:tcPr>
            <w:tcW w:w="1119" w:type="dxa"/>
            <w:tcBorders>
              <w:top w:val="nil"/>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color w:val="000000"/>
                <w:szCs w:val="24"/>
                <w:lang w:eastAsia="cs-CZ"/>
              </w:rPr>
            </w:pPr>
            <w:r w:rsidRPr="00B42569">
              <w:rPr>
                <w:rFonts w:eastAsia="Times New Roman"/>
                <w:color w:val="000000"/>
                <w:szCs w:val="24"/>
                <w:lang w:eastAsia="cs-CZ"/>
              </w:rPr>
              <w:t>135</w:t>
            </w:r>
          </w:p>
        </w:tc>
        <w:tc>
          <w:tcPr>
            <w:tcW w:w="1687" w:type="dxa"/>
            <w:tcBorders>
              <w:top w:val="nil"/>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color w:val="000000"/>
                <w:szCs w:val="24"/>
                <w:lang w:eastAsia="cs-CZ"/>
              </w:rPr>
            </w:pPr>
            <w:r w:rsidRPr="00B42569">
              <w:rPr>
                <w:rFonts w:eastAsia="Times New Roman"/>
                <w:color w:val="000000"/>
                <w:szCs w:val="24"/>
                <w:lang w:eastAsia="cs-CZ"/>
              </w:rPr>
              <w:t>306</w:t>
            </w:r>
          </w:p>
        </w:tc>
      </w:tr>
      <w:tr w:rsidR="00A4083A" w:rsidRPr="00B42569"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left"/>
              <w:rPr>
                <w:rFonts w:eastAsia="Times New Roman"/>
                <w:color w:val="000000"/>
                <w:szCs w:val="24"/>
                <w:lang w:eastAsia="cs-CZ"/>
              </w:rPr>
            </w:pPr>
            <w:r w:rsidRPr="00B42569">
              <w:rPr>
                <w:rFonts w:eastAsia="Times New Roman"/>
                <w:color w:val="000000"/>
                <w:szCs w:val="24"/>
                <w:lang w:eastAsia="cs-CZ"/>
              </w:rPr>
              <w:t>KS Ústí n. Labem</w:t>
            </w:r>
          </w:p>
        </w:tc>
        <w:tc>
          <w:tcPr>
            <w:tcW w:w="1094" w:type="dxa"/>
            <w:tcBorders>
              <w:top w:val="nil"/>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color w:val="000000"/>
                <w:szCs w:val="24"/>
                <w:lang w:eastAsia="cs-CZ"/>
              </w:rPr>
            </w:pPr>
            <w:r w:rsidRPr="00B42569">
              <w:rPr>
                <w:rFonts w:eastAsia="Times New Roman"/>
                <w:color w:val="000000"/>
                <w:szCs w:val="24"/>
                <w:lang w:eastAsia="cs-CZ"/>
              </w:rPr>
              <w:t>351</w:t>
            </w:r>
          </w:p>
        </w:tc>
        <w:tc>
          <w:tcPr>
            <w:tcW w:w="1119" w:type="dxa"/>
            <w:tcBorders>
              <w:top w:val="nil"/>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color w:val="000000"/>
                <w:szCs w:val="24"/>
                <w:lang w:eastAsia="cs-CZ"/>
              </w:rPr>
            </w:pPr>
            <w:r w:rsidRPr="00B42569">
              <w:rPr>
                <w:rFonts w:eastAsia="Times New Roman"/>
                <w:color w:val="000000"/>
                <w:szCs w:val="24"/>
                <w:lang w:eastAsia="cs-CZ"/>
              </w:rPr>
              <w:t>234</w:t>
            </w:r>
          </w:p>
        </w:tc>
        <w:tc>
          <w:tcPr>
            <w:tcW w:w="1687" w:type="dxa"/>
            <w:tcBorders>
              <w:top w:val="nil"/>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color w:val="000000"/>
                <w:szCs w:val="24"/>
                <w:lang w:eastAsia="cs-CZ"/>
              </w:rPr>
            </w:pPr>
            <w:r w:rsidRPr="00B42569">
              <w:rPr>
                <w:rFonts w:eastAsia="Times New Roman"/>
                <w:color w:val="000000"/>
                <w:szCs w:val="24"/>
                <w:lang w:eastAsia="cs-CZ"/>
              </w:rPr>
              <w:t>565</w:t>
            </w:r>
          </w:p>
        </w:tc>
      </w:tr>
      <w:tr w:rsidR="00A4083A" w:rsidRPr="00B42569"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left"/>
              <w:rPr>
                <w:rFonts w:eastAsia="Times New Roman"/>
                <w:color w:val="000000"/>
                <w:szCs w:val="24"/>
                <w:lang w:eastAsia="cs-CZ"/>
              </w:rPr>
            </w:pPr>
            <w:r w:rsidRPr="00B42569">
              <w:rPr>
                <w:rFonts w:eastAsia="Times New Roman"/>
                <w:color w:val="000000"/>
                <w:szCs w:val="24"/>
                <w:lang w:eastAsia="cs-CZ"/>
              </w:rPr>
              <w:t>KS Hr. Králové</w:t>
            </w:r>
          </w:p>
        </w:tc>
        <w:tc>
          <w:tcPr>
            <w:tcW w:w="1094" w:type="dxa"/>
            <w:tcBorders>
              <w:top w:val="nil"/>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color w:val="000000"/>
                <w:szCs w:val="24"/>
                <w:lang w:eastAsia="cs-CZ"/>
              </w:rPr>
            </w:pPr>
            <w:r w:rsidRPr="00B42569">
              <w:rPr>
                <w:rFonts w:eastAsia="Times New Roman"/>
                <w:color w:val="000000"/>
                <w:szCs w:val="24"/>
                <w:lang w:eastAsia="cs-CZ"/>
              </w:rPr>
              <w:t>229</w:t>
            </w:r>
          </w:p>
        </w:tc>
        <w:tc>
          <w:tcPr>
            <w:tcW w:w="1119" w:type="dxa"/>
            <w:tcBorders>
              <w:top w:val="nil"/>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color w:val="000000"/>
                <w:szCs w:val="24"/>
                <w:lang w:eastAsia="cs-CZ"/>
              </w:rPr>
            </w:pPr>
            <w:r w:rsidRPr="00B42569">
              <w:rPr>
                <w:rFonts w:eastAsia="Times New Roman"/>
                <w:color w:val="000000"/>
                <w:szCs w:val="24"/>
                <w:lang w:eastAsia="cs-CZ"/>
              </w:rPr>
              <w:t>153</w:t>
            </w:r>
          </w:p>
        </w:tc>
        <w:tc>
          <w:tcPr>
            <w:tcW w:w="1687" w:type="dxa"/>
            <w:tcBorders>
              <w:top w:val="nil"/>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color w:val="000000"/>
                <w:szCs w:val="24"/>
                <w:lang w:eastAsia="cs-CZ"/>
              </w:rPr>
            </w:pPr>
            <w:r w:rsidRPr="00B42569">
              <w:rPr>
                <w:rFonts w:eastAsia="Times New Roman"/>
                <w:color w:val="000000"/>
                <w:szCs w:val="24"/>
                <w:lang w:eastAsia="cs-CZ"/>
              </w:rPr>
              <w:t>357</w:t>
            </w:r>
          </w:p>
        </w:tc>
      </w:tr>
      <w:tr w:rsidR="00A4083A" w:rsidRPr="00B42569"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left"/>
              <w:rPr>
                <w:rFonts w:eastAsia="Times New Roman"/>
                <w:color w:val="000000"/>
                <w:szCs w:val="24"/>
                <w:lang w:eastAsia="cs-CZ"/>
              </w:rPr>
            </w:pPr>
            <w:r w:rsidRPr="00B42569">
              <w:rPr>
                <w:rFonts w:eastAsia="Times New Roman"/>
                <w:color w:val="000000"/>
                <w:szCs w:val="24"/>
                <w:lang w:eastAsia="cs-CZ"/>
              </w:rPr>
              <w:t>KS Brno</w:t>
            </w:r>
          </w:p>
        </w:tc>
        <w:tc>
          <w:tcPr>
            <w:tcW w:w="1094" w:type="dxa"/>
            <w:tcBorders>
              <w:top w:val="nil"/>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color w:val="000000"/>
                <w:szCs w:val="24"/>
                <w:lang w:eastAsia="cs-CZ"/>
              </w:rPr>
            </w:pPr>
            <w:r w:rsidRPr="00B42569">
              <w:rPr>
                <w:rFonts w:eastAsia="Times New Roman"/>
                <w:color w:val="000000"/>
                <w:szCs w:val="24"/>
                <w:lang w:eastAsia="cs-CZ"/>
              </w:rPr>
              <w:t>350</w:t>
            </w:r>
          </w:p>
        </w:tc>
        <w:tc>
          <w:tcPr>
            <w:tcW w:w="1119" w:type="dxa"/>
            <w:tcBorders>
              <w:top w:val="nil"/>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color w:val="000000"/>
                <w:szCs w:val="24"/>
                <w:lang w:eastAsia="cs-CZ"/>
              </w:rPr>
            </w:pPr>
            <w:r w:rsidRPr="00B42569">
              <w:rPr>
                <w:rFonts w:eastAsia="Times New Roman"/>
                <w:color w:val="000000"/>
                <w:szCs w:val="24"/>
                <w:lang w:eastAsia="cs-CZ"/>
              </w:rPr>
              <w:t>222</w:t>
            </w:r>
          </w:p>
        </w:tc>
        <w:tc>
          <w:tcPr>
            <w:tcW w:w="1687" w:type="dxa"/>
            <w:tcBorders>
              <w:top w:val="nil"/>
              <w:left w:val="nil"/>
              <w:bottom w:val="single" w:sz="4"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color w:val="000000"/>
                <w:szCs w:val="24"/>
                <w:lang w:eastAsia="cs-CZ"/>
              </w:rPr>
            </w:pPr>
            <w:r w:rsidRPr="00B42569">
              <w:rPr>
                <w:rFonts w:eastAsia="Times New Roman"/>
                <w:color w:val="000000"/>
                <w:szCs w:val="24"/>
                <w:lang w:eastAsia="cs-CZ"/>
              </w:rPr>
              <w:t>624</w:t>
            </w:r>
          </w:p>
        </w:tc>
      </w:tr>
      <w:tr w:rsidR="00A4083A" w:rsidRPr="00B42569"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B42569" w:rsidRDefault="00A4083A" w:rsidP="00A41CAB">
            <w:pPr>
              <w:spacing w:line="240" w:lineRule="auto"/>
              <w:jc w:val="left"/>
              <w:rPr>
                <w:rFonts w:eastAsia="Times New Roman"/>
                <w:color w:val="000000"/>
                <w:szCs w:val="24"/>
                <w:lang w:eastAsia="cs-CZ"/>
              </w:rPr>
            </w:pPr>
            <w:r w:rsidRPr="00B42569">
              <w:rPr>
                <w:rFonts w:eastAsia="Times New Roman"/>
                <w:color w:val="000000"/>
                <w:szCs w:val="24"/>
                <w:lang w:eastAsia="cs-CZ"/>
              </w:rPr>
              <w:t>KS Ostrava</w:t>
            </w:r>
          </w:p>
        </w:tc>
        <w:tc>
          <w:tcPr>
            <w:tcW w:w="1094" w:type="dxa"/>
            <w:tcBorders>
              <w:top w:val="nil"/>
              <w:left w:val="nil"/>
              <w:bottom w:val="double" w:sz="6"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color w:val="000000"/>
                <w:szCs w:val="24"/>
                <w:lang w:eastAsia="cs-CZ"/>
              </w:rPr>
            </w:pPr>
            <w:r w:rsidRPr="00B42569">
              <w:rPr>
                <w:rFonts w:eastAsia="Times New Roman"/>
                <w:color w:val="000000"/>
                <w:szCs w:val="24"/>
                <w:lang w:eastAsia="cs-CZ"/>
              </w:rPr>
              <w:t>223</w:t>
            </w:r>
          </w:p>
        </w:tc>
        <w:tc>
          <w:tcPr>
            <w:tcW w:w="1119" w:type="dxa"/>
            <w:tcBorders>
              <w:top w:val="nil"/>
              <w:left w:val="nil"/>
              <w:bottom w:val="double" w:sz="6"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color w:val="000000"/>
                <w:szCs w:val="24"/>
                <w:lang w:eastAsia="cs-CZ"/>
              </w:rPr>
            </w:pPr>
            <w:r w:rsidRPr="00B42569">
              <w:rPr>
                <w:rFonts w:eastAsia="Times New Roman"/>
                <w:color w:val="000000"/>
                <w:szCs w:val="24"/>
                <w:lang w:eastAsia="cs-CZ"/>
              </w:rPr>
              <w:t>167</w:t>
            </w:r>
          </w:p>
        </w:tc>
        <w:tc>
          <w:tcPr>
            <w:tcW w:w="1687" w:type="dxa"/>
            <w:tcBorders>
              <w:top w:val="nil"/>
              <w:left w:val="nil"/>
              <w:bottom w:val="double" w:sz="6"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color w:val="000000"/>
                <w:szCs w:val="24"/>
                <w:lang w:eastAsia="cs-CZ"/>
              </w:rPr>
            </w:pPr>
            <w:r w:rsidRPr="00B42569">
              <w:rPr>
                <w:rFonts w:eastAsia="Times New Roman"/>
                <w:color w:val="000000"/>
                <w:szCs w:val="24"/>
                <w:lang w:eastAsia="cs-CZ"/>
              </w:rPr>
              <w:t>329</w:t>
            </w:r>
          </w:p>
        </w:tc>
      </w:tr>
      <w:tr w:rsidR="00A4083A" w:rsidRPr="00B42569"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B42569" w:rsidRDefault="00A4083A" w:rsidP="00A41CAB">
            <w:pPr>
              <w:spacing w:line="240" w:lineRule="auto"/>
              <w:jc w:val="left"/>
              <w:rPr>
                <w:rFonts w:eastAsia="Times New Roman"/>
                <w:b/>
                <w:bCs/>
                <w:color w:val="000000"/>
                <w:szCs w:val="24"/>
                <w:lang w:eastAsia="cs-CZ"/>
              </w:rPr>
            </w:pPr>
            <w:r w:rsidRPr="00B42569">
              <w:rPr>
                <w:rFonts w:eastAsia="Times New Roman"/>
                <w:b/>
                <w:bCs/>
                <w:color w:val="000000"/>
                <w:szCs w:val="24"/>
                <w:lang w:eastAsia="cs-CZ"/>
              </w:rPr>
              <w:t>Celkem ČR</w:t>
            </w:r>
          </w:p>
        </w:tc>
        <w:tc>
          <w:tcPr>
            <w:tcW w:w="1094" w:type="dxa"/>
            <w:tcBorders>
              <w:top w:val="nil"/>
              <w:left w:val="nil"/>
              <w:bottom w:val="double" w:sz="6"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b/>
                <w:bCs/>
                <w:color w:val="000000"/>
                <w:szCs w:val="24"/>
                <w:lang w:eastAsia="cs-CZ"/>
              </w:rPr>
            </w:pPr>
            <w:r w:rsidRPr="00B42569">
              <w:rPr>
                <w:rFonts w:eastAsia="Times New Roman"/>
                <w:b/>
                <w:bCs/>
                <w:color w:val="000000"/>
                <w:szCs w:val="24"/>
                <w:lang w:eastAsia="cs-CZ"/>
              </w:rPr>
              <w:t>263</w:t>
            </w:r>
          </w:p>
        </w:tc>
        <w:tc>
          <w:tcPr>
            <w:tcW w:w="1119" w:type="dxa"/>
            <w:tcBorders>
              <w:top w:val="nil"/>
              <w:left w:val="nil"/>
              <w:bottom w:val="double" w:sz="6"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b/>
                <w:bCs/>
                <w:color w:val="000000"/>
                <w:szCs w:val="24"/>
                <w:lang w:eastAsia="cs-CZ"/>
              </w:rPr>
            </w:pPr>
            <w:r w:rsidRPr="00B42569">
              <w:rPr>
                <w:rFonts w:eastAsia="Times New Roman"/>
                <w:b/>
                <w:bCs/>
                <w:color w:val="000000"/>
                <w:szCs w:val="24"/>
                <w:lang w:eastAsia="cs-CZ"/>
              </w:rPr>
              <w:t>170</w:t>
            </w:r>
          </w:p>
        </w:tc>
        <w:tc>
          <w:tcPr>
            <w:tcW w:w="1687" w:type="dxa"/>
            <w:tcBorders>
              <w:top w:val="nil"/>
              <w:left w:val="nil"/>
              <w:bottom w:val="double" w:sz="6" w:space="0" w:color="auto"/>
              <w:right w:val="nil"/>
            </w:tcBorders>
            <w:shd w:val="clear" w:color="auto" w:fill="auto"/>
            <w:noWrap/>
            <w:vAlign w:val="bottom"/>
            <w:hideMark/>
          </w:tcPr>
          <w:p w:rsidR="00A4083A" w:rsidRPr="00B42569" w:rsidRDefault="00A4083A" w:rsidP="00A41CAB">
            <w:pPr>
              <w:spacing w:line="240" w:lineRule="auto"/>
              <w:jc w:val="center"/>
              <w:rPr>
                <w:rFonts w:eastAsia="Times New Roman"/>
                <w:b/>
                <w:bCs/>
                <w:color w:val="000000"/>
                <w:szCs w:val="24"/>
                <w:lang w:eastAsia="cs-CZ"/>
              </w:rPr>
            </w:pPr>
            <w:r w:rsidRPr="00B42569">
              <w:rPr>
                <w:rFonts w:eastAsia="Times New Roman"/>
                <w:b/>
                <w:bCs/>
                <w:color w:val="000000"/>
                <w:szCs w:val="24"/>
                <w:lang w:eastAsia="cs-CZ"/>
              </w:rPr>
              <w:t>443</w:t>
            </w:r>
          </w:p>
        </w:tc>
      </w:tr>
    </w:tbl>
    <w:p w:rsidR="00A4083A" w:rsidRDefault="00A4083A" w:rsidP="00A4083A">
      <w:pPr>
        <w:pStyle w:val="OdstavecASR"/>
      </w:pPr>
    </w:p>
    <w:p w:rsidR="00A4083A" w:rsidRPr="00D17312" w:rsidRDefault="00A4083A" w:rsidP="00A4083A">
      <w:pPr>
        <w:pStyle w:val="OdstavecASR"/>
      </w:pPr>
      <w:r w:rsidRPr="00D17312">
        <w:t xml:space="preserve">Z tabulky 9 a grafu 7 jasně vyplývá, že v roce 2019 stále existují výrazné rozdíly (variabilita) mezi soudními kraji a jednotlivými soudy. Nejrychlejší OS většinou spadají pod KS České Budějovice a KS Praha. Nejpomalejší soudy spadají pod KS Ústí nad Labem a KS Brno. Je však třeba zdůraznit, že významné délky řízení často nejsou způsobeny neefektivností daných soudů, ale velkou případovou zátěží z minulých let, starší data totiž ukazují, že problémy začaly již v 90. letech. Již první pohled na data z posledních let ale naznačuje, že rozdíly mezi kraji a soudy se zmenšují, </w:t>
      </w:r>
      <w:r w:rsidRPr="00D17312">
        <w:lastRenderedPageBreak/>
        <w:t xml:space="preserve">a to díky snižování délek řízení u soudů, kde je tento ukazatel nejvyšší. To </w:t>
      </w:r>
      <w:r>
        <w:t>je vidět v grafu 8</w:t>
      </w:r>
      <w:r w:rsidRPr="00D17312">
        <w:t>. Stejn</w:t>
      </w:r>
      <w:r>
        <w:t>ě jako v předcházejících letech došlo</w:t>
      </w:r>
      <w:r w:rsidRPr="00D17312">
        <w:t xml:space="preserve"> u soudů spadajících pod KS Ústí nad Labem a pod KS Brno i</w:t>
      </w:r>
      <w:r>
        <w:t> </w:t>
      </w:r>
      <w:r w:rsidRPr="00D17312">
        <w:t>t</w:t>
      </w:r>
      <w:r>
        <w:t>ento rok k poklesu délek řízení, byť k méně významnému.</w:t>
      </w:r>
      <w:r w:rsidRPr="00D17312">
        <w:t xml:space="preserve"> </w:t>
      </w:r>
      <w:r>
        <w:t>S</w:t>
      </w:r>
      <w:r w:rsidRPr="00D17312">
        <w:t xml:space="preserve">rovnání roku 2014 a 2019 v Severočeském kraji </w:t>
      </w:r>
      <w:r>
        <w:t>ukazuje</w:t>
      </w:r>
      <w:r w:rsidRPr="00D17312">
        <w:t xml:space="preserve"> obrovský pokles v délkách řízení – průměr klesl o</w:t>
      </w:r>
      <w:r>
        <w:t> </w:t>
      </w:r>
      <w:r w:rsidRPr="00D17312">
        <w:t>48</w:t>
      </w:r>
      <w:r>
        <w:t> %</w:t>
      </w:r>
      <w:r w:rsidRPr="00D17312">
        <w:t>, medián o</w:t>
      </w:r>
      <w:r>
        <w:t> </w:t>
      </w:r>
      <w:r w:rsidRPr="00D17312">
        <w:t>63</w:t>
      </w:r>
      <w:r>
        <w:t xml:space="preserve"> % </w:t>
      </w:r>
      <w:r w:rsidRPr="00D17312">
        <w:t>a percentil</w:t>
      </w:r>
      <w:r>
        <w:t> </w:t>
      </w:r>
      <w:r w:rsidRPr="00D17312">
        <w:t>90 o</w:t>
      </w:r>
      <w:r>
        <w:t> </w:t>
      </w:r>
      <w:r w:rsidRPr="00D17312">
        <w:t>52</w:t>
      </w:r>
      <w:r>
        <w:t> %</w:t>
      </w:r>
      <w:r w:rsidRPr="00D17312">
        <w:t>.</w:t>
      </w:r>
    </w:p>
    <w:p w:rsidR="00A4083A" w:rsidRPr="00D17312" w:rsidRDefault="00A4083A" w:rsidP="00A4083A">
      <w:pPr>
        <w:pStyle w:val="OdstavecASR"/>
      </w:pPr>
      <w:r w:rsidRPr="00D17312">
        <w:t>Za zmínku ještě stojí 44% pokles 90.</w:t>
      </w:r>
      <w:r>
        <w:t> </w:t>
      </w:r>
      <w:r w:rsidRPr="00D17312">
        <w:t>percentilu u Východočeského kraje. Ten je způsoben tím, že v roce 2018 došlo ke krátkodobé odchylce (nárůst oproti roku 2017 o 64</w:t>
      </w:r>
      <w:r>
        <w:t> %</w:t>
      </w:r>
      <w:r w:rsidRPr="00D17312">
        <w:t>). Nyní se tedy ukazatel pouze vrátil do normálu.</w:t>
      </w:r>
    </w:p>
    <w:p w:rsidR="00A4083A" w:rsidRPr="00D17312" w:rsidRDefault="00A4083A" w:rsidP="00A4083A">
      <w:pPr>
        <w:pStyle w:val="Podnadpis"/>
        <w:rPr>
          <w:color w:val="auto"/>
        </w:rPr>
      </w:pPr>
      <w:bookmarkStart w:id="73" w:name="_Toc43841387"/>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7</w:t>
      </w:r>
      <w:r w:rsidRPr="00D17312">
        <w:rPr>
          <w:color w:val="auto"/>
        </w:rPr>
        <w:fldChar w:fldCharType="end"/>
      </w:r>
      <w:r w:rsidRPr="00D17312">
        <w:rPr>
          <w:color w:val="auto"/>
        </w:rPr>
        <w:t>: OS – mediánové délky civilního řízení u jednotlivých soudů</w:t>
      </w:r>
      <w:bookmarkEnd w:id="73"/>
    </w:p>
    <w:p w:rsidR="00A4083A" w:rsidRPr="00D17312" w:rsidRDefault="00A4083A" w:rsidP="00A4083A">
      <w:pPr>
        <w:spacing w:line="240" w:lineRule="auto"/>
        <w:jc w:val="left"/>
      </w:pPr>
      <w:r w:rsidRPr="00D17312">
        <w:rPr>
          <w:noProof/>
          <w:lang w:eastAsia="cs-CZ"/>
        </w:rPr>
        <w:drawing>
          <wp:anchor distT="0" distB="0" distL="114300" distR="114300" simplePos="0" relativeHeight="251663360" behindDoc="0" locked="0" layoutInCell="1" allowOverlap="1" wp14:anchorId="7EB476A2" wp14:editId="6C382E1E">
            <wp:simplePos x="0" y="0"/>
            <wp:positionH relativeFrom="margin">
              <wp:posOffset>4512310</wp:posOffset>
            </wp:positionH>
            <wp:positionV relativeFrom="paragraph">
              <wp:posOffset>47402</wp:posOffset>
            </wp:positionV>
            <wp:extent cx="1209600" cy="885600"/>
            <wp:effectExtent l="0" t="0" r="0" b="0"/>
            <wp:wrapNone/>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09600" cy="88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7291">
        <w:rPr>
          <w:noProof/>
          <w:lang w:eastAsia="cs-CZ"/>
        </w:rPr>
        <w:drawing>
          <wp:inline distT="0" distB="0" distL="0" distR="0" wp14:anchorId="424E2C1C" wp14:editId="4BFF07B6">
            <wp:extent cx="5759450" cy="3328686"/>
            <wp:effectExtent l="0" t="0" r="0" b="5080"/>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9450" cy="3328686"/>
                    </a:xfrm>
                    <a:prstGeom prst="rect">
                      <a:avLst/>
                    </a:prstGeom>
                    <a:noFill/>
                    <a:ln>
                      <a:noFill/>
                    </a:ln>
                  </pic:spPr>
                </pic:pic>
              </a:graphicData>
            </a:graphic>
          </wp:inline>
        </w:drawing>
      </w:r>
    </w:p>
    <w:p w:rsidR="00A4083A" w:rsidRPr="00D17312" w:rsidRDefault="00A4083A" w:rsidP="00A4083A">
      <w:pPr>
        <w:spacing w:line="240" w:lineRule="auto"/>
        <w:jc w:val="left"/>
        <w:rPr>
          <w:highlight w:val="yellow"/>
        </w:rPr>
      </w:pPr>
    </w:p>
    <w:p w:rsidR="00A4083A" w:rsidRPr="00D17312" w:rsidRDefault="00A4083A" w:rsidP="00A4083A">
      <w:pPr>
        <w:pStyle w:val="OdstavecASR"/>
      </w:pPr>
      <w:r w:rsidRPr="00D17312">
        <w:t>Nejrychlejší soudy v roce 2019 byly OS Kutná Hora (medián 97 dnů), OS Benešov (105 dnů), a</w:t>
      </w:r>
      <w:r>
        <w:t> </w:t>
      </w:r>
      <w:r w:rsidRPr="00D17312">
        <w:t>OS Trutnov (107 dnů). Naopak nejpomalejší jsou soudy v Břeclavi (370 dnů)</w:t>
      </w:r>
      <w:r>
        <w:t xml:space="preserve"> a</w:t>
      </w:r>
      <w:r w:rsidRPr="00D17312">
        <w:t xml:space="preserve"> v</w:t>
      </w:r>
      <w:r>
        <w:t> </w:t>
      </w:r>
      <w:r w:rsidRPr="00D17312">
        <w:t>Chomutově (334 dnů), které ale délku civilního řízení v roce 2018 i v roce 2019 výrazně snížily (v roce 2017 Chomutov 682 dnů, Břeclav 571 dnů a v roce 2018 oba 401 dnů)</w:t>
      </w:r>
      <w:r>
        <w:t>,</w:t>
      </w:r>
      <w:r w:rsidRPr="00D17312">
        <w:t xml:space="preserve"> a v Praze 8 (327 dnů).</w:t>
      </w:r>
    </w:p>
    <w:p w:rsidR="00A4083A" w:rsidRPr="00D17312" w:rsidRDefault="00A4083A" w:rsidP="00A4083A">
      <w:pPr>
        <w:pStyle w:val="OdstavecASR"/>
      </w:pPr>
      <w:r w:rsidRPr="00D17312">
        <w:t>Intervaly v kartogramu úmyslně zůstaly zachovány a jsou</w:t>
      </w:r>
      <w:r>
        <w:t xml:space="preserve"> tak</w:t>
      </w:r>
      <w:r w:rsidRPr="00D17312">
        <w:t xml:space="preserve"> stejné jako v loňském roce. To umožňuje srovnání. Je jasně vidět, že dvě „nejtmavší“ barvy v kartogramu (nejvyšší délky řízení) se tento rok téměř nevyskytují. Jedinou výjimkou je právě OS v Břeclavi.</w:t>
      </w:r>
    </w:p>
    <w:p w:rsidR="00A4083A" w:rsidRPr="00D17312" w:rsidRDefault="00A4083A" w:rsidP="00A4083A">
      <w:pPr>
        <w:pStyle w:val="OdstavecASR"/>
      </w:pPr>
      <w:r>
        <w:t>Hypotézu</w:t>
      </w:r>
      <w:r w:rsidRPr="00D17312">
        <w:t xml:space="preserve"> snižování rozdílů mezi soudy můžeme jednoduše potvrdit pomocí krabicových grafů (graf </w:t>
      </w:r>
      <w:r w:rsidRPr="00D17312">
        <w:rPr>
          <w:noProof/>
        </w:rPr>
        <w:t>8</w:t>
      </w:r>
      <w:r w:rsidRPr="00D17312">
        <w:t xml:space="preserve">). </w:t>
      </w:r>
      <w:r>
        <w:t>Krabicový graf je blíže popsán</w:t>
      </w:r>
      <w:r w:rsidRPr="00D17312">
        <w:t xml:space="preserve"> v seznamu použitých pojmů v příloze. </w:t>
      </w:r>
      <w:r>
        <w:t>V</w:t>
      </w:r>
      <w:r w:rsidRPr="00D17312">
        <w:t> grafu jsou vedle sebe znázorněny krabicové grafy pro roky 2008–2019 s mediánovými délkami řízení jednotlivých soudů.</w:t>
      </w:r>
    </w:p>
    <w:p w:rsidR="00A4083A" w:rsidRPr="00D17312" w:rsidRDefault="00A4083A" w:rsidP="00A4083A">
      <w:pPr>
        <w:pStyle w:val="OdstavecASR"/>
      </w:pPr>
      <w:r w:rsidRPr="00D17312">
        <w:t xml:space="preserve">Graf potvrzuje to, co již naznačují výše uvedená data. </w:t>
      </w:r>
      <w:r>
        <w:t>J</w:t>
      </w:r>
      <w:r w:rsidRPr="00D17312">
        <w:t>asně</w:t>
      </w:r>
      <w:r>
        <w:t xml:space="preserve"> z něj</w:t>
      </w:r>
      <w:r w:rsidRPr="00D17312">
        <w:t xml:space="preserve"> vyplývá, že v letech s nejvyšší mediánovou délkou řízení (úsečka uvnitř šedého boxu, kdy box znázorňuje 25</w:t>
      </w:r>
      <w:r>
        <w:t> % </w:t>
      </w:r>
      <w:r w:rsidRPr="00D17312">
        <w:t>počtu OS pod mediánem a 25</w:t>
      </w:r>
      <w:r>
        <w:t> % </w:t>
      </w:r>
      <w:r w:rsidRPr="00D17312">
        <w:t xml:space="preserve">OS nad mediánem, celkem tedy 43 soudů) byla variabilita mezi soudy výrazně vyšší (vyjádřená délkou tzv. vousů). Dlouhé délky řízení byly tedy způsobeny malou skupinou soudů (znázorněny jako tečky, z nichž každá představuje jeden OS s extrémní délkou řízení) </w:t>
      </w:r>
      <w:r w:rsidRPr="00D17312">
        <w:lastRenderedPageBreak/>
        <w:t>především v Severočeském a Jihomoravském kraji. Proto tyto soudy Ministerstvo spravedlnosti v několika etapách jmenování soudců personálně posílilo, aby mohly lépe vyřídit své nedodělky.</w:t>
      </w:r>
    </w:p>
    <w:p w:rsidR="00A4083A" w:rsidRPr="00D17312" w:rsidRDefault="00A4083A" w:rsidP="00A4083A">
      <w:pPr>
        <w:pStyle w:val="OdstavecASR"/>
      </w:pPr>
      <w:r w:rsidRPr="00D17312">
        <w:t xml:space="preserve">Graf také potvrzuje </w:t>
      </w:r>
      <w:r>
        <w:t>hypotézu</w:t>
      </w:r>
      <w:r w:rsidRPr="00D17312">
        <w:t xml:space="preserve"> snižování rozdílů mezi soudy. Délky řízení i jejich variabilita se v posledních letech postupně snižují. V krabicových grafech to je zcela jasně vidět – zmenšuje se box, zkracují se vousy a odlehlé hodnoty se přibližují. V roce 2018 byly v datech pouze 4 odlehlé hodnoty a všechny 4 leží poměrně blízko horní přilehlé hodnotě. V roce 2019 se dvě nejodlehlejší hodnoty (Chomutov a Břeclav) opět přiblížily k boxu.</w:t>
      </w:r>
    </w:p>
    <w:p w:rsidR="00A4083A" w:rsidRPr="00D17312" w:rsidRDefault="00A4083A" w:rsidP="00A4083A">
      <w:pPr>
        <w:pStyle w:val="OdstavecASR"/>
        <w:rPr>
          <w:highlight w:val="yellow"/>
        </w:rPr>
      </w:pPr>
    </w:p>
    <w:p w:rsidR="00A4083A" w:rsidRPr="00D17312" w:rsidRDefault="00A4083A" w:rsidP="00A4083A">
      <w:pPr>
        <w:pStyle w:val="Podnadpis"/>
        <w:rPr>
          <w:color w:val="auto"/>
        </w:rPr>
      </w:pPr>
      <w:bookmarkStart w:id="74" w:name="_Ref509212914"/>
      <w:bookmarkStart w:id="75" w:name="_Toc515871333"/>
      <w:bookmarkStart w:id="76" w:name="_Toc11135069"/>
      <w:bookmarkStart w:id="77" w:name="_Toc43841388"/>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8</w:t>
      </w:r>
      <w:r w:rsidRPr="00D17312">
        <w:rPr>
          <w:color w:val="auto"/>
        </w:rPr>
        <w:fldChar w:fldCharType="end"/>
      </w:r>
      <w:bookmarkEnd w:id="74"/>
      <w:r w:rsidRPr="00D17312">
        <w:rPr>
          <w:color w:val="auto"/>
        </w:rPr>
        <w:t>: OS – krabicové grafy, mediánové délky civilního řízení</w:t>
      </w:r>
      <w:bookmarkEnd w:id="75"/>
      <w:bookmarkEnd w:id="76"/>
      <w:bookmarkEnd w:id="77"/>
    </w:p>
    <w:p w:rsidR="00A4083A" w:rsidRPr="00D17312" w:rsidRDefault="00A4083A" w:rsidP="00A4083A">
      <w:pPr>
        <w:spacing w:line="240" w:lineRule="auto"/>
        <w:jc w:val="left"/>
      </w:pPr>
      <w:r w:rsidRPr="00D17312">
        <w:rPr>
          <w:noProof/>
          <w:lang w:eastAsia="cs-CZ"/>
        </w:rPr>
        <w:drawing>
          <wp:inline distT="0" distB="0" distL="0" distR="0" wp14:anchorId="11D7AD48" wp14:editId="1A1F66AB">
            <wp:extent cx="5114925" cy="3743325"/>
            <wp:effectExtent l="0" t="0" r="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pPr>
    </w:p>
    <w:p w:rsidR="00A4083A" w:rsidRPr="00D17312" w:rsidRDefault="00A4083A" w:rsidP="00A4083A">
      <w:pPr>
        <w:pStyle w:val="OdstavecASR"/>
      </w:pPr>
      <w:r w:rsidRPr="00D17312">
        <w:t>Zkracující se délka řízení (a také snižující se počet nevyřízených věcí, který je zachycen v následujících podkapitolách) má tři hlavní důvody:</w:t>
      </w:r>
    </w:p>
    <w:p w:rsidR="00A4083A" w:rsidRPr="00D17312" w:rsidRDefault="00A4083A" w:rsidP="00A4083A">
      <w:pPr>
        <w:pStyle w:val="Odstavecseseznamem"/>
        <w:numPr>
          <w:ilvl w:val="0"/>
          <w:numId w:val="6"/>
        </w:numPr>
      </w:pPr>
      <w:r w:rsidRPr="00D17312">
        <w:t>Zefektivnění práce soudů s velkým množstvím nevyřízených věcí a značnými délkami řízení.</w:t>
      </w:r>
    </w:p>
    <w:p w:rsidR="00A4083A" w:rsidRPr="00D17312" w:rsidRDefault="00A4083A" w:rsidP="00A4083A">
      <w:pPr>
        <w:pStyle w:val="Odstavecseseznamem"/>
        <w:numPr>
          <w:ilvl w:val="0"/>
          <w:numId w:val="6"/>
        </w:numPr>
      </w:pPr>
      <w:r w:rsidRPr="00D17312">
        <w:t>Personální posilování těchto soudů.</w:t>
      </w:r>
    </w:p>
    <w:p w:rsidR="00A4083A" w:rsidRPr="00D17312" w:rsidRDefault="00A4083A" w:rsidP="00A4083A">
      <w:pPr>
        <w:pStyle w:val="Odstavecseseznamem"/>
        <w:numPr>
          <w:ilvl w:val="0"/>
          <w:numId w:val="6"/>
        </w:numPr>
      </w:pPr>
      <w:r w:rsidRPr="00D17312">
        <w:t>Celorepublikový pokles v počtu napadlých věcí.</w:t>
      </w:r>
    </w:p>
    <w:p w:rsidR="00A4083A" w:rsidRPr="00D17312" w:rsidRDefault="00A4083A" w:rsidP="00A4083A">
      <w:pPr>
        <w:pStyle w:val="OdstavecASR"/>
        <w:rPr>
          <w:highlight w:val="yellow"/>
        </w:rPr>
      </w:pPr>
    </w:p>
    <w:p w:rsidR="00A4083A" w:rsidRPr="00D17312" w:rsidRDefault="00A4083A" w:rsidP="00A4083A">
      <w:pPr>
        <w:pStyle w:val="OdstavecASR"/>
      </w:pPr>
      <w:r w:rsidRPr="00D17312">
        <w:t>Na délky řízení v roce 2019 se nakonec podíváme ještě pomocí histogramu (viz seznam použitých pojmů). Budeme tedy zkoumat jejich distribuci. Šířka jednoho intervalu (sloupce) je 40 dnů. Pro lepší přehlednost jsou všechny délky řízení delší než 1 000 dnů v jednom sloupci (na grafu nejvíce vpravo). Proto je tento sloupec výrazně „vyšší“ než sloupce předchozí. Z grafu lze vyčíst další informace o délkách řízení v civilních věcech. Například:</w:t>
      </w:r>
    </w:p>
    <w:p w:rsidR="00A4083A" w:rsidRPr="00D17312" w:rsidRDefault="00A4083A" w:rsidP="00A4083A">
      <w:pPr>
        <w:pStyle w:val="Odstavecseseznamem"/>
        <w:numPr>
          <w:ilvl w:val="0"/>
          <w:numId w:val="10"/>
        </w:numPr>
      </w:pPr>
      <w:r w:rsidRPr="00D17312">
        <w:lastRenderedPageBreak/>
        <w:t>Jen asi 4</w:t>
      </w:r>
      <w:r>
        <w:t> % </w:t>
      </w:r>
      <w:r w:rsidRPr="00D17312">
        <w:t>věcí byla vyřízena za více než 1 000 dnů.</w:t>
      </w:r>
    </w:p>
    <w:p w:rsidR="00A4083A" w:rsidRPr="00D17312" w:rsidRDefault="00A4083A" w:rsidP="00A4083A">
      <w:pPr>
        <w:pStyle w:val="Odstavecseseznamem"/>
        <w:numPr>
          <w:ilvl w:val="0"/>
          <w:numId w:val="9"/>
        </w:numPr>
        <w:ind w:left="714" w:hanging="357"/>
        <w:jc w:val="left"/>
      </w:pPr>
      <w:r w:rsidRPr="00D17312">
        <w:t>Přibližně 6</w:t>
      </w:r>
      <w:r>
        <w:t> % </w:t>
      </w:r>
      <w:r w:rsidRPr="00D17312">
        <w:t>věcí bylo vyřízeno velice rychle – do 80 dnů.</w:t>
      </w:r>
    </w:p>
    <w:p w:rsidR="00A4083A" w:rsidRPr="00D17312" w:rsidRDefault="00A4083A" w:rsidP="00A4083A">
      <w:pPr>
        <w:pStyle w:val="Odstavecseseznamem"/>
        <w:numPr>
          <w:ilvl w:val="0"/>
          <w:numId w:val="9"/>
        </w:numPr>
        <w:ind w:left="714" w:hanging="357"/>
      </w:pPr>
      <w:r w:rsidRPr="00D17312">
        <w:t>Největší skupina věcí (asi 19</w:t>
      </w:r>
      <w:r>
        <w:t> %</w:t>
      </w:r>
      <w:r w:rsidRPr="00D17312">
        <w:t>) byla vyřízena za 121 až 160 dnů.</w:t>
      </w:r>
    </w:p>
    <w:p w:rsidR="00A4083A" w:rsidRPr="00D17312" w:rsidRDefault="00A4083A" w:rsidP="00A4083A">
      <w:pPr>
        <w:jc w:val="left"/>
        <w:rPr>
          <w:highlight w:val="yellow"/>
        </w:rPr>
      </w:pPr>
    </w:p>
    <w:p w:rsidR="00A4083A" w:rsidRPr="00D17312" w:rsidRDefault="00A4083A" w:rsidP="00A4083A">
      <w:pPr>
        <w:pStyle w:val="Podnadpis"/>
        <w:rPr>
          <w:color w:val="auto"/>
        </w:rPr>
      </w:pPr>
      <w:bookmarkStart w:id="78" w:name="_Toc11135070"/>
      <w:bookmarkStart w:id="79" w:name="_Toc43841389"/>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9</w:t>
      </w:r>
      <w:r w:rsidRPr="00D17312">
        <w:rPr>
          <w:color w:val="auto"/>
        </w:rPr>
        <w:fldChar w:fldCharType="end"/>
      </w:r>
      <w:r w:rsidRPr="00D17312">
        <w:rPr>
          <w:color w:val="auto"/>
        </w:rPr>
        <w:t>: OS – distribuce délek civilního řízení</w:t>
      </w:r>
      <w:bookmarkEnd w:id="78"/>
      <w:bookmarkEnd w:id="79"/>
    </w:p>
    <w:p w:rsidR="00A4083A" w:rsidRPr="00D17312" w:rsidRDefault="00A4083A" w:rsidP="00A4083A">
      <w:pPr>
        <w:pStyle w:val="OdstavecASR"/>
      </w:pPr>
      <w:r w:rsidRPr="00D17312">
        <w:rPr>
          <w:noProof/>
          <w:lang w:eastAsia="cs-CZ"/>
        </w:rPr>
        <w:drawing>
          <wp:inline distT="0" distB="0" distL="0" distR="0" wp14:anchorId="41B27AD9" wp14:editId="771FB0AB">
            <wp:extent cx="5114925" cy="3743325"/>
            <wp:effectExtent l="0" t="0" r="0"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Nadpis3"/>
        <w:rPr>
          <w:color w:val="auto"/>
        </w:rPr>
      </w:pPr>
      <w:bookmarkStart w:id="80" w:name="_Ref509669257"/>
      <w:bookmarkStart w:id="81" w:name="_Toc515871222"/>
      <w:bookmarkStart w:id="82" w:name="_Toc43903025"/>
      <w:r w:rsidRPr="00D17312">
        <w:rPr>
          <w:color w:val="auto"/>
        </w:rPr>
        <w:t>Vyřizování věcí</w:t>
      </w:r>
      <w:bookmarkEnd w:id="80"/>
      <w:bookmarkEnd w:id="81"/>
      <w:bookmarkEnd w:id="82"/>
    </w:p>
    <w:p w:rsidR="00A4083A" w:rsidRPr="00D17312" w:rsidRDefault="00A4083A" w:rsidP="00A4083A">
      <w:pPr>
        <w:pStyle w:val="OdstavecASR"/>
      </w:pPr>
      <w:r w:rsidRPr="00D17312">
        <w:t>Tato kapitola se věnuje tomu, jak okresní soudy vyřizují věci v civilním řízení (bez rozkazního řízení). Obsahuje tedy údaje o nápadu + obživlých věcech, vyřízených věcech, nevyřízených věcech a míře vyřizování. Tato data nezískáváme ze statistických listů, ale z výkazů o činnosti soudů. Graf </w:t>
      </w:r>
      <w:r w:rsidRPr="00D17312">
        <w:rPr>
          <w:noProof/>
        </w:rPr>
        <w:t>10</w:t>
      </w:r>
      <w:r w:rsidRPr="00D17312">
        <w:t xml:space="preserve"> ukazuje vývoj těchto proměnných v letech 2008–2019. Z grafu je patrné, že počet příchozích (nápad + obživa) a vyřízených věcí jsou silně korelovány. Vztah je v tomto případě kauzální (příčinný). Od roku 2014 převyšuje počet vyřízených věcí počet věcí příchozích, třebaže v letech 2017 a 2018 jen velmi m</w:t>
      </w:r>
      <w:r>
        <w:t>írně</w:t>
      </w:r>
      <w:r w:rsidRPr="00D17312">
        <w:t xml:space="preserve">. V roce 2019 opět došlo k navýšení rozdílu mezi příchozími a vyřízenými věcmi. Díky </w:t>
      </w:r>
      <w:r>
        <w:t>tomu</w:t>
      </w:r>
      <w:r w:rsidRPr="00D17312">
        <w:t xml:space="preserve"> se v posledních letech daří snižovat počet nevyřízených věcí. Tento výsledek plně koresponduje se snižováním délek řízení. Důvody pro snižování počtu nevyřízených věcí jsou logicky stejné jako u délky řízení. Velký nárůst v počtu napadlých (a tedy i vyřízených) věcí v roce 2009 je způsoben zavedením elektronického platebního rozkazu a změnami ve vedení statistik. Na rozdíl od dat ze SL nelze v tomto případě data o tyto věci očistit. Nárůst v roce 2013 pravděpodobně způsobilo snížení soudních poplatků za podání EPR. Část věcí z EPR, které neskončí pravomocným elektronickým platebním rozkazem, je následně převedena do rejstříku C. Rejstříku EPR se více věnuje následující kapitola.</w:t>
      </w:r>
    </w:p>
    <w:p w:rsidR="00A4083A" w:rsidRPr="00D17312" w:rsidRDefault="00A4083A" w:rsidP="00A4083A">
      <w:pPr>
        <w:pStyle w:val="OdstavecASR"/>
      </w:pPr>
      <w:r w:rsidRPr="00D17312">
        <w:t xml:space="preserve">Určitě je třeba také zmínit fakt, že počet příchozích věcí v roce 2018 meziročně mírně narostl, a to poprvé právě od roku 2014. I přesto ale soudy vyřídily větší počet věcí, než jich přišlo. V roce 2019 došlo opět k určitému poklesu. Lze ale říct, že počet napadlých a obživlých věci se víceméně </w:t>
      </w:r>
      <w:r w:rsidRPr="00D17312">
        <w:lastRenderedPageBreak/>
        <w:t xml:space="preserve">stabilizoval. Co se stane s počtem </w:t>
      </w:r>
      <w:r>
        <w:t xml:space="preserve">příchozích </w:t>
      </w:r>
      <w:r w:rsidRPr="00D17312">
        <w:t>věcí v příštích letech kvůli s</w:t>
      </w:r>
      <w:r>
        <w:t>oučasným událostem souvisejícím</w:t>
      </w:r>
      <w:r w:rsidRPr="00D17312">
        <w:t xml:space="preserve"> s onemocněním COVID-19</w:t>
      </w:r>
      <w:r>
        <w:t>,</w:t>
      </w:r>
      <w:r w:rsidRPr="00D17312">
        <w:t xml:space="preserve"> nyní ne</w:t>
      </w:r>
      <w:r>
        <w:t>lze</w:t>
      </w:r>
      <w:r w:rsidRPr="00D17312">
        <w:t xml:space="preserve"> předpovídat.</w:t>
      </w:r>
    </w:p>
    <w:p w:rsidR="00A4083A" w:rsidRPr="00D17312" w:rsidRDefault="00A4083A" w:rsidP="00A4083A">
      <w:pPr>
        <w:pStyle w:val="Podnadpis"/>
        <w:rPr>
          <w:color w:val="auto"/>
        </w:rPr>
      </w:pPr>
      <w:bookmarkStart w:id="83" w:name="_Ref509225924"/>
      <w:bookmarkStart w:id="84" w:name="_Toc515871335"/>
      <w:bookmarkStart w:id="85" w:name="_Toc11135071"/>
      <w:bookmarkStart w:id="86" w:name="_Toc43841390"/>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10</w:t>
      </w:r>
      <w:r w:rsidRPr="00D17312">
        <w:rPr>
          <w:color w:val="auto"/>
        </w:rPr>
        <w:fldChar w:fldCharType="end"/>
      </w:r>
      <w:bookmarkEnd w:id="83"/>
      <w:r w:rsidRPr="00D17312">
        <w:rPr>
          <w:color w:val="auto"/>
        </w:rPr>
        <w:t>: OS – vyřizování civilních věcí v letech 2008–201</w:t>
      </w:r>
      <w:bookmarkEnd w:id="84"/>
      <w:bookmarkEnd w:id="85"/>
      <w:r w:rsidRPr="00D17312">
        <w:rPr>
          <w:color w:val="auto"/>
        </w:rPr>
        <w:t>9</w:t>
      </w:r>
      <w:bookmarkEnd w:id="86"/>
    </w:p>
    <w:p w:rsidR="00A4083A" w:rsidRPr="00D17312" w:rsidRDefault="00A4083A" w:rsidP="00A4083A">
      <w:pPr>
        <w:pStyle w:val="OdstavecASR"/>
        <w:rPr>
          <w:highlight w:val="yellow"/>
        </w:rPr>
      </w:pPr>
      <w:r w:rsidRPr="00D17312">
        <w:rPr>
          <w:noProof/>
          <w:lang w:eastAsia="cs-CZ"/>
        </w:rPr>
        <w:drawing>
          <wp:inline distT="0" distB="0" distL="0" distR="0" wp14:anchorId="15C98829" wp14:editId="6F794011">
            <wp:extent cx="5114925" cy="3743325"/>
            <wp:effectExtent l="0" t="0" r="0" b="9525"/>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Podnadpis"/>
        <w:rPr>
          <w:color w:val="auto"/>
        </w:rPr>
      </w:pPr>
      <w:bookmarkStart w:id="87" w:name="_Ref509226700"/>
      <w:bookmarkStart w:id="88" w:name="_Toc515871441"/>
      <w:bookmarkStart w:id="89" w:name="_Toc11133210"/>
      <w:bookmarkStart w:id="90" w:name="_Toc43931183"/>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10</w:t>
      </w:r>
      <w:r w:rsidRPr="00D17312">
        <w:rPr>
          <w:noProof/>
          <w:color w:val="auto"/>
        </w:rPr>
        <w:fldChar w:fldCharType="end"/>
      </w:r>
      <w:bookmarkEnd w:id="87"/>
      <w:r w:rsidRPr="00D17312">
        <w:rPr>
          <w:color w:val="auto"/>
        </w:rPr>
        <w:t>: OS – vyřizování civilních věcí dle krajů</w:t>
      </w:r>
      <w:bookmarkEnd w:id="88"/>
      <w:bookmarkEnd w:id="89"/>
      <w:bookmarkEnd w:id="90"/>
    </w:p>
    <w:tbl>
      <w:tblPr>
        <w:tblW w:w="9140" w:type="dxa"/>
        <w:tblCellMar>
          <w:left w:w="70" w:type="dxa"/>
          <w:right w:w="70" w:type="dxa"/>
        </w:tblCellMar>
        <w:tblLook w:val="04A0" w:firstRow="1" w:lastRow="0" w:firstColumn="1" w:lastColumn="0" w:noHBand="0" w:noVBand="1"/>
      </w:tblPr>
      <w:tblGrid>
        <w:gridCol w:w="2020"/>
        <w:gridCol w:w="1126"/>
        <w:gridCol w:w="790"/>
        <w:gridCol w:w="1125"/>
        <w:gridCol w:w="651"/>
        <w:gridCol w:w="1098"/>
        <w:gridCol w:w="790"/>
        <w:gridCol w:w="1540"/>
      </w:tblGrid>
      <w:tr w:rsidR="00A4083A" w:rsidRPr="00D17312" w:rsidTr="00A41CAB">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Nadřízený soud</w:t>
            </w:r>
          </w:p>
        </w:tc>
        <w:tc>
          <w:tcPr>
            <w:tcW w:w="5580" w:type="dxa"/>
            <w:gridSpan w:val="6"/>
            <w:tcBorders>
              <w:top w:val="double" w:sz="6" w:space="0" w:color="auto"/>
              <w:left w:val="nil"/>
              <w:bottom w:val="nil"/>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Míra vyřizování</w:t>
            </w:r>
          </w:p>
        </w:tc>
      </w:tr>
      <w:tr w:rsidR="00A4083A" w:rsidRPr="00D17312" w:rsidTr="00A41CAB">
        <w:trPr>
          <w:trHeight w:val="330"/>
        </w:trPr>
        <w:tc>
          <w:tcPr>
            <w:tcW w:w="202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916"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Nápad + obživa</w:t>
            </w:r>
          </w:p>
        </w:tc>
        <w:tc>
          <w:tcPr>
            <w:tcW w:w="1776" w:type="dxa"/>
            <w:gridSpan w:val="2"/>
            <w:tcBorders>
              <w:top w:val="nil"/>
              <w:left w:val="single" w:sz="4" w:space="0" w:color="auto"/>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Vyřízeno</w:t>
            </w:r>
          </w:p>
        </w:tc>
        <w:tc>
          <w:tcPr>
            <w:tcW w:w="1888" w:type="dxa"/>
            <w:gridSpan w:val="2"/>
            <w:tcBorders>
              <w:top w:val="nil"/>
              <w:left w:val="nil"/>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r>
      <w:tr w:rsidR="00A4083A" w:rsidRPr="00D17312" w:rsidTr="00A41CAB">
        <w:trPr>
          <w:trHeight w:val="330"/>
        </w:trPr>
        <w:tc>
          <w:tcPr>
            <w:tcW w:w="202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126"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76 732</w:t>
            </w:r>
          </w:p>
        </w:tc>
        <w:tc>
          <w:tcPr>
            <w:tcW w:w="790"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c>
          <w:tcPr>
            <w:tcW w:w="1125" w:type="dxa"/>
            <w:tcBorders>
              <w:top w:val="single" w:sz="4" w:space="0" w:color="auto"/>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79 625</w:t>
            </w:r>
          </w:p>
        </w:tc>
        <w:tc>
          <w:tcPr>
            <w:tcW w:w="651" w:type="dxa"/>
            <w:tcBorders>
              <w:top w:val="single" w:sz="4" w:space="0" w:color="auto"/>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c>
          <w:tcPr>
            <w:tcW w:w="1098"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37 511</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103,8</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12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37 088</w:t>
            </w:r>
          </w:p>
        </w:tc>
        <w:tc>
          <w:tcPr>
            <w:tcW w:w="79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112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37 551</w:t>
            </w:r>
          </w:p>
        </w:tc>
        <w:tc>
          <w:tcPr>
            <w:tcW w:w="651"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109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9 050</w:t>
            </w:r>
          </w:p>
        </w:tc>
        <w:tc>
          <w:tcPr>
            <w:tcW w:w="790"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101,2</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12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16 031</w:t>
            </w:r>
          </w:p>
        </w:tc>
        <w:tc>
          <w:tcPr>
            <w:tcW w:w="79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c>
          <w:tcPr>
            <w:tcW w:w="112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16 138</w:t>
            </w:r>
          </w:p>
        </w:tc>
        <w:tc>
          <w:tcPr>
            <w:tcW w:w="651"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c>
          <w:tcPr>
            <w:tcW w:w="109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3 105</w:t>
            </w:r>
          </w:p>
        </w:tc>
        <w:tc>
          <w:tcPr>
            <w:tcW w:w="790"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100,7</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12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27 124</w:t>
            </w:r>
          </w:p>
        </w:tc>
        <w:tc>
          <w:tcPr>
            <w:tcW w:w="79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-13</w:t>
            </w:r>
            <w:r>
              <w:rPr>
                <w:rFonts w:eastAsia="Times New Roman"/>
                <w:sz w:val="20"/>
                <w:szCs w:val="20"/>
                <w:lang w:eastAsia="cs-CZ"/>
              </w:rPr>
              <w:t> %</w:t>
            </w:r>
          </w:p>
        </w:tc>
        <w:tc>
          <w:tcPr>
            <w:tcW w:w="112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29 502</w:t>
            </w:r>
          </w:p>
        </w:tc>
        <w:tc>
          <w:tcPr>
            <w:tcW w:w="651"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109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7 473</w:t>
            </w:r>
          </w:p>
        </w:tc>
        <w:tc>
          <w:tcPr>
            <w:tcW w:w="790"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-24</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108,8</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12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46 608</w:t>
            </w:r>
          </w:p>
        </w:tc>
        <w:tc>
          <w:tcPr>
            <w:tcW w:w="79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w:t>
            </w:r>
            <w:r>
              <w:rPr>
                <w:rFonts w:eastAsia="Times New Roman"/>
                <w:sz w:val="20"/>
                <w:szCs w:val="20"/>
                <w:lang w:eastAsia="cs-CZ"/>
              </w:rPr>
              <w:t> %</w:t>
            </w:r>
          </w:p>
        </w:tc>
        <w:tc>
          <w:tcPr>
            <w:tcW w:w="112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48 898</w:t>
            </w:r>
          </w:p>
        </w:tc>
        <w:tc>
          <w:tcPr>
            <w:tcW w:w="651"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109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21 263</w:t>
            </w:r>
          </w:p>
        </w:tc>
        <w:tc>
          <w:tcPr>
            <w:tcW w:w="790"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-10</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104,9</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12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26 567</w:t>
            </w:r>
          </w:p>
        </w:tc>
        <w:tc>
          <w:tcPr>
            <w:tcW w:w="79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112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26 754</w:t>
            </w:r>
          </w:p>
        </w:tc>
        <w:tc>
          <w:tcPr>
            <w:tcW w:w="651"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109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8 212</w:t>
            </w:r>
          </w:p>
        </w:tc>
        <w:tc>
          <w:tcPr>
            <w:tcW w:w="790"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100,7</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12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43 528</w:t>
            </w:r>
          </w:p>
        </w:tc>
        <w:tc>
          <w:tcPr>
            <w:tcW w:w="79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112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46 393</w:t>
            </w:r>
          </w:p>
        </w:tc>
        <w:tc>
          <w:tcPr>
            <w:tcW w:w="651"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109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20 118</w:t>
            </w:r>
          </w:p>
        </w:tc>
        <w:tc>
          <w:tcPr>
            <w:tcW w:w="790"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-12</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106,6</w:t>
            </w:r>
            <w:r>
              <w:rPr>
                <w:rFonts w:eastAsia="Times New Roman"/>
                <w:szCs w:val="24"/>
                <w:lang w:eastAsia="cs-CZ"/>
              </w:rPr>
              <w:t> %</w:t>
            </w:r>
          </w:p>
        </w:tc>
      </w:tr>
      <w:tr w:rsidR="00A4083A" w:rsidRPr="00D17312" w:rsidTr="00A41CAB">
        <w:trPr>
          <w:trHeight w:val="330"/>
        </w:trPr>
        <w:tc>
          <w:tcPr>
            <w:tcW w:w="20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12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48 930</w:t>
            </w:r>
          </w:p>
        </w:tc>
        <w:tc>
          <w:tcPr>
            <w:tcW w:w="79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c>
          <w:tcPr>
            <w:tcW w:w="1125"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49 916</w:t>
            </w:r>
          </w:p>
        </w:tc>
        <w:tc>
          <w:tcPr>
            <w:tcW w:w="651"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c>
          <w:tcPr>
            <w:tcW w:w="1098"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15 961</w:t>
            </w:r>
          </w:p>
        </w:tc>
        <w:tc>
          <w:tcPr>
            <w:tcW w:w="790"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c>
          <w:tcPr>
            <w:tcW w:w="1540" w:type="dxa"/>
            <w:tcBorders>
              <w:top w:val="nil"/>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102,0</w:t>
            </w:r>
            <w:r>
              <w:rPr>
                <w:rFonts w:eastAsia="Times New Roman"/>
                <w:szCs w:val="24"/>
                <w:lang w:eastAsia="cs-CZ"/>
              </w:rPr>
              <w:t> %</w:t>
            </w:r>
          </w:p>
        </w:tc>
      </w:tr>
      <w:tr w:rsidR="00A4083A" w:rsidRPr="00D17312" w:rsidTr="00A41CAB">
        <w:trPr>
          <w:trHeight w:val="345"/>
        </w:trPr>
        <w:tc>
          <w:tcPr>
            <w:tcW w:w="20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12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322 608</w:t>
            </w:r>
          </w:p>
        </w:tc>
        <w:tc>
          <w:tcPr>
            <w:tcW w:w="79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-7</w:t>
            </w:r>
            <w:r>
              <w:rPr>
                <w:rFonts w:eastAsia="Times New Roman"/>
                <w:b/>
                <w:bCs/>
                <w:sz w:val="20"/>
                <w:szCs w:val="20"/>
                <w:lang w:eastAsia="cs-CZ"/>
              </w:rPr>
              <w:t> %</w:t>
            </w:r>
          </w:p>
        </w:tc>
        <w:tc>
          <w:tcPr>
            <w:tcW w:w="1125"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334 777</w:t>
            </w:r>
          </w:p>
        </w:tc>
        <w:tc>
          <w:tcPr>
            <w:tcW w:w="651"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-5</w:t>
            </w:r>
            <w:r>
              <w:rPr>
                <w:rFonts w:eastAsia="Times New Roman"/>
                <w:b/>
                <w:bCs/>
                <w:sz w:val="20"/>
                <w:szCs w:val="20"/>
                <w:lang w:eastAsia="cs-CZ"/>
              </w:rPr>
              <w:t> %</w:t>
            </w:r>
          </w:p>
        </w:tc>
        <w:tc>
          <w:tcPr>
            <w:tcW w:w="1098"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122 693</w:t>
            </w:r>
          </w:p>
        </w:tc>
        <w:tc>
          <w:tcPr>
            <w:tcW w:w="790"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-9</w:t>
            </w:r>
            <w:r>
              <w:rPr>
                <w:rFonts w:eastAsia="Times New Roman"/>
                <w:b/>
                <w:bCs/>
                <w:sz w:val="20"/>
                <w:szCs w:val="20"/>
                <w:lang w:eastAsia="cs-CZ"/>
              </w:rPr>
              <w:t> %</w:t>
            </w:r>
          </w:p>
        </w:tc>
        <w:tc>
          <w:tcPr>
            <w:tcW w:w="154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103,8</w:t>
            </w:r>
            <w:r>
              <w:rPr>
                <w:rFonts w:eastAsia="Times New Roman"/>
                <w:b/>
                <w:bCs/>
                <w:szCs w:val="24"/>
                <w:lang w:eastAsia="cs-CZ"/>
              </w:rPr>
              <w:t> %</w:t>
            </w:r>
          </w:p>
        </w:tc>
      </w:tr>
    </w:tbl>
    <w:p w:rsidR="00A4083A" w:rsidRPr="00D17312" w:rsidRDefault="00A4083A" w:rsidP="00A4083A">
      <w:pPr>
        <w:rPr>
          <w:highlight w:val="yellow"/>
        </w:rPr>
      </w:pPr>
    </w:p>
    <w:p w:rsidR="00A4083A" w:rsidRPr="00D17312" w:rsidRDefault="00A4083A" w:rsidP="00A4083A">
      <w:pPr>
        <w:pStyle w:val="OdstavecASR"/>
        <w:rPr>
          <w:highlight w:val="yellow"/>
        </w:rPr>
      </w:pPr>
      <w:r w:rsidRPr="00D17312">
        <w:t xml:space="preserve">Tabulka </w:t>
      </w:r>
      <w:r w:rsidRPr="00D17312">
        <w:rPr>
          <w:noProof/>
        </w:rPr>
        <w:t>10</w:t>
      </w:r>
      <w:r w:rsidRPr="00D17312">
        <w:t xml:space="preserve"> zachycuje vyřizování věcí dle krajů v roce 2019. Počet napadlých, vyřízených a částečně i nevyřízených věci se odvíjí od velikosti soudu. Nelze tedy nijak porovnávat zatížení a výkonnost soudů bez toho, že budou data normalizována, tedy dokud nebude zohledněna velikost soudů. K tomu slouží dvě následující části této kapitoly. Z tohoto důvodu dále nezkoumáme jednotlivé okresní soudy pomocí kartogramu a krabicového grafu. Z tabulky lze vyčíst, že míra vyřizování v roce 2019 za celou ČR v porovnání s rokem 2018 vzrostla. V roce 2019 se tedy podařilo v ČR vyřídit více věcí, než přišlo, takže počet nevyřízených věcí opět poklesl. To mělo za následek </w:t>
      </w:r>
      <w:r w:rsidRPr="00D17312">
        <w:lastRenderedPageBreak/>
        <w:t>zlepšení ukazatele „disposition time“, jak je ukázáno v kapitole 2.2.4 (jeho význam a výpočet viz příloha A – seznam použitých pojmů). Stejně jako v předchozích letech platí to, že míra vyřizování je u krajů s největšími délkami řízení (Ústí nad Labem, Brno) výrazně vyšší než 100</w:t>
      </w:r>
      <w:r>
        <w:t> %</w:t>
      </w:r>
      <w:r w:rsidRPr="00D17312">
        <w:t>. Tento fakt spolu se snižující se délkou řízení ukazuje, že situace se v těchto krajích skutečně zlepšuje. Všechny kraje měly míru vyřizování přes 100</w:t>
      </w:r>
      <w:r>
        <w:t> %</w:t>
      </w:r>
      <w:r w:rsidRPr="00D17312">
        <w:t>, nejvyšší pak měly soudy v Západočeském kraji – téměř 109</w:t>
      </w:r>
      <w:r>
        <w:t> %</w:t>
      </w:r>
      <w:r w:rsidRPr="00D17312">
        <w:t>. Oproti roku 2018 se jedná o výrazné zlepšení. Neboť kraj v tomto období vykázal míru vyřizování pod 100</w:t>
      </w:r>
      <w:r>
        <w:t> %</w:t>
      </w:r>
      <w:r w:rsidRPr="00D17312">
        <w:t>.</w:t>
      </w:r>
    </w:p>
    <w:p w:rsidR="00A4083A" w:rsidRPr="00D17312" w:rsidRDefault="00A4083A" w:rsidP="00A4083A">
      <w:pPr>
        <w:pStyle w:val="Nadpis3"/>
        <w:rPr>
          <w:color w:val="auto"/>
        </w:rPr>
      </w:pPr>
      <w:bookmarkStart w:id="91" w:name="_Toc515871223"/>
      <w:bookmarkStart w:id="92" w:name="_Toc43903026"/>
      <w:r w:rsidRPr="00D17312">
        <w:rPr>
          <w:color w:val="auto"/>
        </w:rPr>
        <w:t>Vyřizování věcí v přepočtu na soudce</w:t>
      </w:r>
      <w:bookmarkEnd w:id="91"/>
      <w:bookmarkEnd w:id="92"/>
    </w:p>
    <w:p w:rsidR="00A4083A" w:rsidRPr="00D17312" w:rsidRDefault="00A4083A" w:rsidP="00A4083A">
      <w:r w:rsidRPr="00D17312">
        <w:t xml:space="preserve">Oproti předchozím zprávám </w:t>
      </w:r>
      <w:r>
        <w:t>byla</w:t>
      </w:r>
      <w:r w:rsidRPr="00D17312">
        <w:t xml:space="preserve"> tato podkapitola </w:t>
      </w:r>
      <w:r>
        <w:t>upravena</w:t>
      </w:r>
      <w:r w:rsidRPr="00D17312">
        <w:t xml:space="preserve">. Ministerstvo spravedlnosti má </w:t>
      </w:r>
      <w:r>
        <w:t xml:space="preserve">totiž </w:t>
      </w:r>
      <w:r w:rsidRPr="00D17312">
        <w:t>k dispozici přesnější data o počtu soudců</w:t>
      </w:r>
      <w:r>
        <w:t xml:space="preserve">, konkrétně data o skutečném počtu úvazků, která budou využita </w:t>
      </w:r>
      <w:r w:rsidRPr="00D17312">
        <w:t xml:space="preserve">pro přepočet. Tato data </w:t>
      </w:r>
      <w:r>
        <w:t xml:space="preserve">byla poprvé sbírána </w:t>
      </w:r>
      <w:r w:rsidRPr="00D17312">
        <w:t>k lednu 2020</w:t>
      </w:r>
      <w:r>
        <w:t xml:space="preserve"> a</w:t>
      </w:r>
      <w:r w:rsidRPr="00D17312">
        <w:t xml:space="preserve"> </w:t>
      </w:r>
      <w:r>
        <w:t>n</w:t>
      </w:r>
      <w:r w:rsidRPr="00D17312">
        <w:t>ejsou tedy k dispozici v časových řadách</w:t>
      </w:r>
      <w:r>
        <w:t>.</w:t>
      </w:r>
      <w:r w:rsidRPr="00D17312">
        <w:t xml:space="preserve"> </w:t>
      </w:r>
      <w:r>
        <w:t>Jejich výrazným přínosem je ale jejich podstatně vyšší přesnost,</w:t>
      </w:r>
      <w:r w:rsidRPr="00D17312">
        <w:t xml:space="preserve"> protože:</w:t>
      </w:r>
    </w:p>
    <w:p w:rsidR="00A4083A" w:rsidRPr="00D17312" w:rsidRDefault="00A4083A" w:rsidP="00A4083A">
      <w:pPr>
        <w:pStyle w:val="Odstavecseseznamem"/>
        <w:numPr>
          <w:ilvl w:val="0"/>
          <w:numId w:val="19"/>
        </w:numPr>
      </w:pPr>
      <w:r w:rsidRPr="00D17312">
        <w:t>Umožňují srovnání nejen relativních údajů mezi jednotlivými soudy, ale výrazně přesnější jsou nyní</w:t>
      </w:r>
      <w:r>
        <w:t xml:space="preserve"> </w:t>
      </w:r>
      <w:r w:rsidRPr="00D17312">
        <w:t>i absolutní čísla</w:t>
      </w:r>
      <w:r>
        <w:t xml:space="preserve">, byť se </w:t>
      </w:r>
      <w:r w:rsidRPr="00D17312">
        <w:t xml:space="preserve">stále jedná o aproximaci. Především rozlišení opatrovnických soudců výpočet výrazně zpřesnilo. Rovněž fakt, že v počtu nejsou započteni například dlouhodobě nemocní soudci, částečně předsedové a místopředsedové soudu a především soudkyně </w:t>
      </w:r>
      <w:r>
        <w:t xml:space="preserve">či soudci </w:t>
      </w:r>
      <w:r w:rsidRPr="00D17312">
        <w:t>na rodičovské/mateřské dovolené</w:t>
      </w:r>
      <w:r>
        <w:t>,</w:t>
      </w:r>
      <w:r w:rsidRPr="00D17312">
        <w:t xml:space="preserve"> údaje </w:t>
      </w:r>
      <w:r>
        <w:t xml:space="preserve">dále </w:t>
      </w:r>
      <w:r w:rsidRPr="00D17312">
        <w:t>zpřesňuje.</w:t>
      </w:r>
    </w:p>
    <w:p w:rsidR="00A4083A" w:rsidRPr="00D17312" w:rsidRDefault="00A4083A" w:rsidP="00A4083A">
      <w:pPr>
        <w:pStyle w:val="Odstavecseseznamem"/>
        <w:numPr>
          <w:ilvl w:val="0"/>
          <w:numId w:val="19"/>
        </w:numPr>
      </w:pPr>
      <w:r w:rsidRPr="00D17312">
        <w:t>I samotné relativní srovnání mezi soudy a kraji je přesnější. Především na úrovni soudců se v datech lépe promítnou například dlouhodobé absence.</w:t>
      </w:r>
    </w:p>
    <w:p w:rsidR="00A4083A" w:rsidRPr="00D17312" w:rsidRDefault="00A4083A" w:rsidP="00A4083A">
      <w:pPr>
        <w:pStyle w:val="OdstavecASR"/>
        <w:rPr>
          <w:highlight w:val="yellow"/>
        </w:rPr>
      </w:pPr>
    </w:p>
    <w:p w:rsidR="00A4083A" w:rsidRPr="00D17312" w:rsidRDefault="00A4083A" w:rsidP="00A4083A">
      <w:pPr>
        <w:pStyle w:val="Podnadpis"/>
        <w:rPr>
          <w:color w:val="auto"/>
        </w:rPr>
      </w:pPr>
      <w:bookmarkStart w:id="93" w:name="_Ref509301494"/>
      <w:bookmarkStart w:id="94" w:name="_Ref509301484"/>
      <w:bookmarkStart w:id="95" w:name="_Toc515871442"/>
      <w:bookmarkStart w:id="96" w:name="_Toc11133211"/>
      <w:bookmarkStart w:id="97" w:name="_Toc43931184"/>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11</w:t>
      </w:r>
      <w:r w:rsidRPr="00D17312">
        <w:rPr>
          <w:noProof/>
          <w:color w:val="auto"/>
        </w:rPr>
        <w:fldChar w:fldCharType="end"/>
      </w:r>
      <w:bookmarkEnd w:id="93"/>
      <w:r w:rsidRPr="00D17312">
        <w:rPr>
          <w:color w:val="auto"/>
        </w:rPr>
        <w:t>: OS – vyřizování civilních věcí na soudce dle krajů</w:t>
      </w:r>
      <w:bookmarkEnd w:id="94"/>
      <w:bookmarkEnd w:id="95"/>
      <w:bookmarkEnd w:id="96"/>
      <w:bookmarkEnd w:id="97"/>
    </w:p>
    <w:tbl>
      <w:tblPr>
        <w:tblW w:w="8780" w:type="dxa"/>
        <w:tblCellMar>
          <w:left w:w="70" w:type="dxa"/>
          <w:right w:w="70" w:type="dxa"/>
        </w:tblCellMar>
        <w:tblLook w:val="04A0" w:firstRow="1" w:lastRow="0" w:firstColumn="1" w:lastColumn="0" w:noHBand="0" w:noVBand="1"/>
      </w:tblPr>
      <w:tblGrid>
        <w:gridCol w:w="2480"/>
        <w:gridCol w:w="1660"/>
        <w:gridCol w:w="2036"/>
        <w:gridCol w:w="1141"/>
        <w:gridCol w:w="1463"/>
      </w:tblGrid>
      <w:tr w:rsidR="00A4083A" w:rsidRPr="00D17312" w:rsidTr="00A41C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Nadřízený soud</w:t>
            </w:r>
          </w:p>
        </w:tc>
        <w:tc>
          <w:tcPr>
            <w:tcW w:w="166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soudců</w:t>
            </w:r>
          </w:p>
        </w:tc>
        <w:tc>
          <w:tcPr>
            <w:tcW w:w="4640" w:type="dxa"/>
            <w:gridSpan w:val="3"/>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věcí na soudce</w:t>
            </w:r>
          </w:p>
        </w:tc>
      </w:tr>
      <w:tr w:rsidR="00A4083A" w:rsidRPr="00D17312" w:rsidTr="00A41CAB">
        <w:trPr>
          <w:trHeight w:val="330"/>
        </w:trPr>
        <w:tc>
          <w:tcPr>
            <w:tcW w:w="24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66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2036"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Nápad + obživa</w:t>
            </w:r>
          </w:p>
        </w:tc>
        <w:tc>
          <w:tcPr>
            <w:tcW w:w="1141"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Vyřízeno</w:t>
            </w:r>
          </w:p>
        </w:tc>
        <w:tc>
          <w:tcPr>
            <w:tcW w:w="1463"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Nevyřízeno</w:t>
            </w:r>
          </w:p>
        </w:tc>
      </w:tr>
      <w:tr w:rsidR="00A4083A" w:rsidRPr="00D17312"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66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184,3</w:t>
            </w:r>
          </w:p>
        </w:tc>
        <w:tc>
          <w:tcPr>
            <w:tcW w:w="2036"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416,34</w:t>
            </w:r>
          </w:p>
        </w:tc>
        <w:tc>
          <w:tcPr>
            <w:tcW w:w="1141"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432,04</w:t>
            </w:r>
          </w:p>
        </w:tc>
        <w:tc>
          <w:tcPr>
            <w:tcW w:w="1463"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203,53</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97,2</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381,45</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386,21</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93,08</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48,7</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329,18</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331,38</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63,76</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77,1</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351,80</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382,65</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96,93</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122,7</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380,01</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398,68</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173,36</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77,7</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341,92</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344,32</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105,69</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146,8</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296,56</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316,08</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137,07</w:t>
            </w:r>
          </w:p>
        </w:tc>
      </w:tr>
      <w:tr w:rsidR="00A4083A" w:rsidRPr="00D17312"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6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153,4</w:t>
            </w:r>
          </w:p>
        </w:tc>
        <w:tc>
          <w:tcPr>
            <w:tcW w:w="203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319,07</w:t>
            </w:r>
          </w:p>
        </w:tc>
        <w:tc>
          <w:tcPr>
            <w:tcW w:w="114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325,50</w:t>
            </w:r>
          </w:p>
        </w:tc>
        <w:tc>
          <w:tcPr>
            <w:tcW w:w="146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104,08</w:t>
            </w:r>
          </w:p>
        </w:tc>
      </w:tr>
      <w:tr w:rsidR="00A4083A" w:rsidRPr="00D17312"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6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907,8</w:t>
            </w:r>
          </w:p>
        </w:tc>
        <w:tc>
          <w:tcPr>
            <w:tcW w:w="203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355,37</w:t>
            </w:r>
          </w:p>
        </w:tc>
        <w:tc>
          <w:tcPr>
            <w:tcW w:w="114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368,78</w:t>
            </w:r>
          </w:p>
        </w:tc>
        <w:tc>
          <w:tcPr>
            <w:tcW w:w="146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135,15</w:t>
            </w:r>
          </w:p>
        </w:tc>
      </w:tr>
    </w:tbl>
    <w:p w:rsidR="00A4083A" w:rsidRPr="00D17312" w:rsidRDefault="00A4083A" w:rsidP="00A4083A"/>
    <w:p w:rsidR="00A4083A" w:rsidRPr="00D17312" w:rsidRDefault="00A4083A" w:rsidP="00A4083A">
      <w:pPr>
        <w:pStyle w:val="OdstavecASR"/>
      </w:pPr>
      <w:r w:rsidRPr="00D17312">
        <w:t>Pokud bychom údaje porovnali s loňskými daty, počty věcí na soudc</w:t>
      </w:r>
      <w:r>
        <w:t xml:space="preserve">ovský úvazek </w:t>
      </w:r>
      <w:r w:rsidRPr="00D17312">
        <w:t xml:space="preserve">jsou výrazně vyšší než počty věcí </w:t>
      </w:r>
      <w:r>
        <w:t xml:space="preserve">na </w:t>
      </w:r>
      <w:r w:rsidRPr="00D17312">
        <w:t>evidenční počet</w:t>
      </w:r>
      <w:r>
        <w:t xml:space="preserve"> soudců </w:t>
      </w:r>
      <w:r w:rsidRPr="00D17312">
        <w:t xml:space="preserve">v loňském roce. To samozřejmě </w:t>
      </w:r>
      <w:r>
        <w:t>vyplývá</w:t>
      </w:r>
      <w:r w:rsidRPr="00D17312">
        <w:t xml:space="preserve"> z výše uvedených důvodů. Pokud </w:t>
      </w:r>
      <w:r>
        <w:t xml:space="preserve">sečteme civilní úvazky a </w:t>
      </w:r>
      <w:r w:rsidRPr="00D17312">
        <w:t xml:space="preserve">úvazky v opatrovnickém soudnictví, dostaneme 907,8 + 336,6, což je asi 1 244. Tento údaj </w:t>
      </w:r>
      <w:r>
        <w:t>můžeme</w:t>
      </w:r>
      <w:r w:rsidRPr="00D17312">
        <w:t xml:space="preserve"> srovnat s evidenčním počtem soudců z kapitoly 2.1 (1 361) a vidíme, že</w:t>
      </w:r>
      <w:r>
        <w:t xml:space="preserve"> počet skutečných úvazků dosahuje přibližně</w:t>
      </w:r>
      <w:r w:rsidRPr="00D17312">
        <w:t xml:space="preserve"> 91</w:t>
      </w:r>
      <w:r>
        <w:t> %</w:t>
      </w:r>
      <w:r w:rsidRPr="00D17312">
        <w:t xml:space="preserve"> evidenčního počtu soudců. Po zaokrouhlení tedy lze říct, že asi 10</w:t>
      </w:r>
      <w:r>
        <w:t> %</w:t>
      </w:r>
      <w:r w:rsidRPr="00D17312">
        <w:t xml:space="preserve"> soudců (respektive úvazků, neboť soudci mohou soudit jen část roku) z evidenčního počtu ve skutečnosti během roku </w:t>
      </w:r>
      <w:r w:rsidRPr="00D17312">
        <w:lastRenderedPageBreak/>
        <w:t>z různých důvodů nesoudí (předseda, místopředsedové</w:t>
      </w:r>
      <w:r w:rsidRPr="00D17312">
        <w:rPr>
          <w:rStyle w:val="Znakapoznpodarou"/>
        </w:rPr>
        <w:footnoteReference w:id="4"/>
      </w:r>
      <w:r w:rsidRPr="00D17312">
        <w:t>, dlouhodobé nemoci, mateřské/rodičovské dovolené apod.).</w:t>
      </w:r>
    </w:p>
    <w:p w:rsidR="00A4083A" w:rsidRDefault="00A4083A" w:rsidP="00A4083A">
      <w:pPr>
        <w:pStyle w:val="OdstavecASR"/>
      </w:pPr>
      <w:r>
        <w:t>N</w:t>
      </w:r>
      <w:r w:rsidRPr="00D17312">
        <w:t>yní již k samotným datům</w:t>
      </w:r>
      <w:r>
        <w:t xml:space="preserve">. </w:t>
      </w:r>
      <w:r w:rsidRPr="00D17312">
        <w:t>Z tabulky je patrné, že soudy v Praze mají v přepočtu na soudce výrazně větší počet příchozích věcí než soudy v ostatních krajích. Také jich výrazně více vyřizují. Graf a tabulka dále ukazují, že mnoho nevyřízených věcí mají právě soudy spadající pod MS Praha. Je ale třeba poznamenat, že jimi vyřizovaná agenda je poměrně specifická a liší se od agendy ostatních krajů.</w:t>
      </w:r>
    </w:p>
    <w:p w:rsidR="00A4083A" w:rsidRPr="00D17312" w:rsidRDefault="00A4083A" w:rsidP="00A4083A">
      <w:pPr>
        <w:pStyle w:val="Podnadpis"/>
        <w:rPr>
          <w:color w:val="auto"/>
        </w:rPr>
      </w:pPr>
      <w:bookmarkStart w:id="98" w:name="_Toc515871336"/>
      <w:bookmarkStart w:id="99" w:name="_Toc11135072"/>
      <w:bookmarkStart w:id="100" w:name="_Toc43841391"/>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11</w:t>
      </w:r>
      <w:r w:rsidRPr="00D17312">
        <w:rPr>
          <w:color w:val="auto"/>
        </w:rPr>
        <w:fldChar w:fldCharType="end"/>
      </w:r>
      <w:r w:rsidRPr="00D17312">
        <w:rPr>
          <w:color w:val="auto"/>
        </w:rPr>
        <w:t>: OS – počet nevyříz. civilních věcí na soudce u jednotlivých soudů</w:t>
      </w:r>
      <w:bookmarkEnd w:id="98"/>
      <w:bookmarkEnd w:id="99"/>
      <w:bookmarkEnd w:id="100"/>
    </w:p>
    <w:p w:rsidR="00A4083A" w:rsidRPr="00D17312" w:rsidRDefault="00A4083A" w:rsidP="00A4083A">
      <w:pPr>
        <w:pStyle w:val="OdstavecASR"/>
        <w:rPr>
          <w:highlight w:val="yellow"/>
        </w:rPr>
      </w:pPr>
      <w:r w:rsidRPr="00D17312">
        <w:rPr>
          <w:noProof/>
          <w:lang w:eastAsia="cs-CZ"/>
        </w:rPr>
        <w:drawing>
          <wp:inline distT="0" distB="0" distL="0" distR="0" wp14:anchorId="199BCEB4" wp14:editId="0955930E">
            <wp:extent cx="5759450" cy="3328623"/>
            <wp:effectExtent l="0" t="0" r="0" b="5715"/>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9450" cy="3328623"/>
                    </a:xfrm>
                    <a:prstGeom prst="rect">
                      <a:avLst/>
                    </a:prstGeom>
                    <a:noFill/>
                    <a:ln>
                      <a:noFill/>
                    </a:ln>
                  </pic:spPr>
                </pic:pic>
              </a:graphicData>
            </a:graphic>
          </wp:inline>
        </w:drawing>
      </w:r>
      <w:r w:rsidRPr="00D17312">
        <w:rPr>
          <w:noProof/>
          <w:lang w:eastAsia="cs-CZ"/>
        </w:rPr>
        <w:drawing>
          <wp:anchor distT="0" distB="0" distL="114300" distR="114300" simplePos="0" relativeHeight="251664384" behindDoc="0" locked="0" layoutInCell="1" allowOverlap="1" wp14:anchorId="32F73463" wp14:editId="50A18B90">
            <wp:simplePos x="0" y="0"/>
            <wp:positionH relativeFrom="column">
              <wp:posOffset>4481195</wp:posOffset>
            </wp:positionH>
            <wp:positionV relativeFrom="paragraph">
              <wp:posOffset>100965</wp:posOffset>
            </wp:positionV>
            <wp:extent cx="1209600" cy="885600"/>
            <wp:effectExtent l="0" t="0" r="0" b="0"/>
            <wp:wrapNone/>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09600" cy="8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083A" w:rsidRPr="00D17312" w:rsidRDefault="00A4083A" w:rsidP="00A4083A">
      <w:pPr>
        <w:pStyle w:val="OdstavecASR"/>
      </w:pPr>
      <w:r w:rsidRPr="00D17312">
        <w:t>To je velmi dobře vidět na vztahu mezi mediánovou délkou řízení a počtem nevyřízených věcí na soudce u OS pro Prahu 1. Tento soud vykázal v roce 2019 největší počet nevyřízených věcí na soudce, ale velmi malou mediánovou délku řízení.</w:t>
      </w:r>
    </w:p>
    <w:p w:rsidR="00A4083A" w:rsidRDefault="00A4083A" w:rsidP="00A4083A">
      <w:pPr>
        <w:pStyle w:val="OdstavecASR"/>
      </w:pPr>
      <w:r w:rsidRPr="00D17312">
        <w:t xml:space="preserve">Zde je třeba také upozornit, že intervaly v kartogramu byly změněny – nižší počet soudců v nových datech znamená vyšší počty nevyřízených věcí na soudce, a </w:t>
      </w:r>
      <w:r>
        <w:t>bylo proto</w:t>
      </w:r>
      <w:r w:rsidRPr="00D17312">
        <w:t xml:space="preserve"> třeba intervaly</w:t>
      </w:r>
      <w:r>
        <w:t xml:space="preserve"> </w:t>
      </w:r>
      <w:r w:rsidRPr="00D17312">
        <w:t>změnit.</w:t>
      </w:r>
    </w:p>
    <w:p w:rsidR="00A4083A" w:rsidRPr="00D17312" w:rsidRDefault="00A4083A" w:rsidP="00A4083A">
      <w:pPr>
        <w:pStyle w:val="OdstavecASR"/>
      </w:pPr>
      <w:r w:rsidRPr="00D17312">
        <w:t>Největší počet nevyřízených věcí na soudce tedy mají: OS pro Prahu 1 (349 věcí), OS pro Prahu 7 (307) a OS Chomutov (260 věcí). Jak jsme uvedli již dříve, situace v Severočeském a Jihomoravském kraji se postupně zlepšuje. Soudy s nejmenším počtem nevyřízených věcí na soudce jsou OS Náchod (45 věcí), OS Benešov (49 věcí) a OS Jindřichův Hradec (51 věcí).</w:t>
      </w:r>
    </w:p>
    <w:p w:rsidR="00A4083A" w:rsidRPr="00D17312" w:rsidRDefault="00A4083A" w:rsidP="00A4083A">
      <w:pPr>
        <w:pStyle w:val="Nadpis3"/>
        <w:rPr>
          <w:color w:val="auto"/>
        </w:rPr>
      </w:pPr>
      <w:bookmarkStart w:id="101" w:name="_Ref509845712"/>
      <w:bookmarkStart w:id="102" w:name="_Ref510592105"/>
      <w:bookmarkStart w:id="103" w:name="_Toc515871224"/>
      <w:bookmarkStart w:id="104" w:name="_Toc43903027"/>
      <w:r w:rsidRPr="00D17312">
        <w:rPr>
          <w:color w:val="auto"/>
        </w:rPr>
        <w:t>Disposition time</w:t>
      </w:r>
      <w:r w:rsidRPr="00D17312">
        <w:rPr>
          <w:rStyle w:val="Znakapoznpodarou"/>
          <w:color w:val="auto"/>
        </w:rPr>
        <w:footnoteReference w:id="5"/>
      </w:r>
      <w:bookmarkEnd w:id="101"/>
      <w:bookmarkEnd w:id="102"/>
      <w:bookmarkEnd w:id="103"/>
      <w:bookmarkEnd w:id="104"/>
    </w:p>
    <w:p w:rsidR="00A4083A" w:rsidRPr="00D17312" w:rsidRDefault="00A4083A" w:rsidP="00A4083A">
      <w:pPr>
        <w:pStyle w:val="OdstavecASR"/>
      </w:pPr>
      <w:r w:rsidRPr="00D17312">
        <w:t>Disposition time je vypočítán podle metodiky CEPEJ</w:t>
      </w:r>
      <w:r w:rsidRPr="00D17312">
        <w:rPr>
          <w:rStyle w:val="Znakapoznpodarou"/>
        </w:rPr>
        <w:footnoteReference w:id="6"/>
      </w:r>
      <w:r w:rsidRPr="00D17312">
        <w:t xml:space="preserve"> jako (počet nevyřízených věcí na konci daného období) / (počet vyřízených věcí v daném období) × 365. Tento údaj tedy v podstatě ukazuje, za kolik dní by při stejném tempu soud vyřídil všechny nevyřízené věci, které u něj dnes </w:t>
      </w:r>
      <w:r w:rsidRPr="00D17312">
        <w:lastRenderedPageBreak/>
        <w:t>leží, kdyby k němu již žádné další nepřicházely. Nejedná se o délku řízení, jak by se mohlo podle názvu zdát. Délka řízení je vypočtena z jiného zdroje dat a jedná se o jiný ukazatel. Disposition time (DT) se od ní tedy může výrazně lišit. V případě DT je spíše než absolutní hodnoty důležité relativní srovnání mezi roky a soudy.</w:t>
      </w:r>
    </w:p>
    <w:p w:rsidR="00A4083A" w:rsidRPr="00D17312" w:rsidRDefault="00A4083A" w:rsidP="00A4083A">
      <w:pPr>
        <w:pStyle w:val="OdstavecASR"/>
      </w:pPr>
      <w:r w:rsidRPr="00D17312">
        <w:t>Účel DT je podobný jako u přepočtu věcí na jednoho soudce – tedy zohlednit velikost soudů. Mezi ukazateli je ale jeden podstatný rozdíl. Počet nevyřízených věcí na soudce se zaměřuje čistě na to, jak je daný soud zatížený, a u málo zatížených soudů tedy bude vždy vykazovat příznivé hodnoty. Na druhou stranu DT zohledňuje i počet vyřízených věcí, a může tedy teoreticky vyjít vysoký i u soudů s malým počtem nevyřízených věcí, byť tomu tak většinou není.</w:t>
      </w:r>
    </w:p>
    <w:p w:rsidR="00A4083A" w:rsidRPr="00D17312" w:rsidRDefault="00A4083A" w:rsidP="00A4083A">
      <w:pPr>
        <w:pStyle w:val="OdstavecASR"/>
      </w:pPr>
      <w:r w:rsidRPr="00D17312">
        <w:t>Oba ukazatele tak mají poměrně dobrou vypovídající hodnotu o vyřizování věcí u soudů, ale každý vypovídá o jiném aspektu této otázky</w:t>
      </w:r>
      <w:r w:rsidRPr="00D17312">
        <w:rPr>
          <w:rStyle w:val="Znakapoznpodarou"/>
        </w:rPr>
        <w:footnoteReference w:id="7"/>
      </w:r>
      <w:r w:rsidRPr="00D17312">
        <w:t>. Srovnání grafů 11 a </w:t>
      </w:r>
      <w:r>
        <w:t>13</w:t>
      </w:r>
      <w:r w:rsidRPr="00D17312">
        <w:t xml:space="preserve"> ukazuje, že výsledky jednotlivých soudů v obou ukazatelích se mírně liší.</w:t>
      </w:r>
    </w:p>
    <w:p w:rsidR="00A4083A" w:rsidRPr="00D17312" w:rsidRDefault="00A4083A" w:rsidP="00A4083A">
      <w:pPr>
        <w:pStyle w:val="OdstavecASR"/>
        <w:rPr>
          <w:highlight w:val="yellow"/>
        </w:rPr>
      </w:pPr>
    </w:p>
    <w:p w:rsidR="00A4083A" w:rsidRPr="00D17312" w:rsidRDefault="00A4083A" w:rsidP="00A4083A">
      <w:pPr>
        <w:pStyle w:val="Podnadpis"/>
        <w:rPr>
          <w:color w:val="auto"/>
        </w:rPr>
      </w:pPr>
      <w:bookmarkStart w:id="105" w:name="_Toc515871340"/>
      <w:bookmarkStart w:id="106" w:name="_Toc11135075"/>
      <w:bookmarkStart w:id="107" w:name="_Toc43841392"/>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12</w:t>
      </w:r>
      <w:r w:rsidRPr="00D17312">
        <w:rPr>
          <w:color w:val="auto"/>
        </w:rPr>
        <w:fldChar w:fldCharType="end"/>
      </w:r>
      <w:r w:rsidRPr="00D17312">
        <w:rPr>
          <w:color w:val="auto"/>
        </w:rPr>
        <w:t>: OS – disposition time civilního řízení v letech 2008–201</w:t>
      </w:r>
      <w:bookmarkEnd w:id="105"/>
      <w:bookmarkEnd w:id="106"/>
      <w:r w:rsidRPr="00D17312">
        <w:rPr>
          <w:color w:val="auto"/>
        </w:rPr>
        <w:t>9</w:t>
      </w:r>
      <w:bookmarkEnd w:id="107"/>
    </w:p>
    <w:p w:rsidR="00A4083A" w:rsidRPr="00D17312" w:rsidRDefault="00A4083A" w:rsidP="00A4083A">
      <w:pPr>
        <w:spacing w:line="240" w:lineRule="auto"/>
        <w:jc w:val="left"/>
      </w:pPr>
      <w:r w:rsidRPr="00D17312">
        <w:rPr>
          <w:noProof/>
          <w:lang w:eastAsia="cs-CZ"/>
        </w:rPr>
        <w:drawing>
          <wp:inline distT="0" distB="0" distL="0" distR="0" wp14:anchorId="6073E5BB" wp14:editId="59412FA4">
            <wp:extent cx="5114925" cy="3743325"/>
            <wp:effectExtent l="0" t="0" r="0" b="952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pPr>
      <w:r w:rsidRPr="00D17312">
        <w:t xml:space="preserve">Disposition time je samozřejmě silně ovlivněn změnami v nápadu a v počtu vyřízených věcí. Tyto změny jsou okomentovány v podkapitole 2.2.2. Důležitý je pokles DT v letech 2014–2016, a to i přes klesající nápad a počet vyřízených věcí. V roce 2017 došlo k mírnému nárůstu, protože počet vyřízených věcí klesl více než počet věcí nevyřízených. V roce 2018 DT klesl, protože se mírně zvýšil počet vyřízených věcí a </w:t>
      </w:r>
      <w:r>
        <w:t>poněkud</w:t>
      </w:r>
      <w:r w:rsidRPr="00D17312">
        <w:t xml:space="preserve"> klesl počet věcí nevyřízených. V roce 2019 DT dále klesal, protože poměrně výrazně (o 9%) klesl počet nevyřízených věcí. Následující tabulka a graf opět ukazují srovnání mezi kraji a jednotlivými soudy v roce 2019.</w:t>
      </w:r>
    </w:p>
    <w:p w:rsidR="00A4083A" w:rsidRPr="00D17312" w:rsidRDefault="00A4083A" w:rsidP="00A4083A">
      <w:pPr>
        <w:pStyle w:val="Podnadpis"/>
        <w:rPr>
          <w:color w:val="auto"/>
        </w:rPr>
      </w:pPr>
      <w:bookmarkStart w:id="108" w:name="_Toc515871443"/>
      <w:bookmarkStart w:id="109" w:name="_Toc11133212"/>
      <w:bookmarkStart w:id="110" w:name="_Toc43931185"/>
      <w:r w:rsidRPr="00D17312">
        <w:rPr>
          <w:color w:val="auto"/>
        </w:rPr>
        <w:lastRenderedPageBreak/>
        <w:t xml:space="preserve">Tabulka </w:t>
      </w:r>
      <w:r w:rsidRPr="00D17312">
        <w:rPr>
          <w:noProof/>
          <w:color w:val="auto"/>
        </w:rPr>
        <w:fldChar w:fldCharType="begin"/>
      </w:r>
      <w:r w:rsidRPr="00D17312">
        <w:rPr>
          <w:noProof/>
          <w:color w:val="auto"/>
        </w:rPr>
        <w:instrText xml:space="preserve"> SEQ Tabulka \* ARABIC </w:instrText>
      </w:r>
      <w:r w:rsidRPr="00D17312">
        <w:rPr>
          <w:noProof/>
          <w:color w:val="auto"/>
        </w:rPr>
        <w:fldChar w:fldCharType="separate"/>
      </w:r>
      <w:r w:rsidR="006E7F27">
        <w:rPr>
          <w:noProof/>
          <w:color w:val="auto"/>
        </w:rPr>
        <w:t>12</w:t>
      </w:r>
      <w:r w:rsidRPr="00D17312">
        <w:rPr>
          <w:noProof/>
          <w:color w:val="auto"/>
        </w:rPr>
        <w:fldChar w:fldCharType="end"/>
      </w:r>
      <w:r w:rsidRPr="00D17312">
        <w:rPr>
          <w:color w:val="auto"/>
        </w:rPr>
        <w:t>: OS – disposition time v civilním řízení dle krajů</w:t>
      </w:r>
      <w:bookmarkEnd w:id="108"/>
      <w:bookmarkEnd w:id="109"/>
      <w:bookmarkEnd w:id="110"/>
    </w:p>
    <w:tbl>
      <w:tblPr>
        <w:tblW w:w="5020" w:type="dxa"/>
        <w:tblCellMar>
          <w:left w:w="70" w:type="dxa"/>
          <w:right w:w="70" w:type="dxa"/>
        </w:tblCellMar>
        <w:tblLook w:val="04A0" w:firstRow="1" w:lastRow="0" w:firstColumn="1" w:lastColumn="0" w:noHBand="0" w:noVBand="1"/>
      </w:tblPr>
      <w:tblGrid>
        <w:gridCol w:w="2780"/>
        <w:gridCol w:w="955"/>
        <w:gridCol w:w="1285"/>
      </w:tblGrid>
      <w:tr w:rsidR="00A4083A" w:rsidRPr="00D17312" w:rsidTr="00A41CAB">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Nadřízený soud</w:t>
            </w:r>
          </w:p>
        </w:tc>
        <w:tc>
          <w:tcPr>
            <w:tcW w:w="2240" w:type="dxa"/>
            <w:gridSpan w:val="2"/>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Disposition time</w:t>
            </w:r>
          </w:p>
        </w:tc>
      </w:tr>
      <w:tr w:rsidR="00A4083A" w:rsidRPr="00D17312" w:rsidTr="00A41CAB">
        <w:trPr>
          <w:trHeight w:val="330"/>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9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172</w:t>
            </w:r>
          </w:p>
        </w:tc>
        <w:tc>
          <w:tcPr>
            <w:tcW w:w="1285"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9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88</w:t>
            </w:r>
          </w:p>
        </w:tc>
        <w:tc>
          <w:tcPr>
            <w:tcW w:w="1285"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9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70</w:t>
            </w:r>
          </w:p>
        </w:tc>
        <w:tc>
          <w:tcPr>
            <w:tcW w:w="1285"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9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92</w:t>
            </w:r>
          </w:p>
        </w:tc>
        <w:tc>
          <w:tcPr>
            <w:tcW w:w="1285"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-22</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9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159</w:t>
            </w:r>
          </w:p>
        </w:tc>
        <w:tc>
          <w:tcPr>
            <w:tcW w:w="1285"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9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112</w:t>
            </w:r>
          </w:p>
        </w:tc>
        <w:tc>
          <w:tcPr>
            <w:tcW w:w="1285"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9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158</w:t>
            </w:r>
          </w:p>
        </w:tc>
        <w:tc>
          <w:tcPr>
            <w:tcW w:w="1285"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-10</w:t>
            </w:r>
            <w:r>
              <w:rPr>
                <w:rFonts w:eastAsia="Times New Roman"/>
                <w:sz w:val="20"/>
                <w:szCs w:val="20"/>
                <w:lang w:eastAsia="cs-CZ"/>
              </w:rPr>
              <w:t> %</w:t>
            </w:r>
          </w:p>
        </w:tc>
      </w:tr>
      <w:tr w:rsidR="00A4083A" w:rsidRPr="00D17312" w:rsidTr="00A41CAB">
        <w:trPr>
          <w:trHeight w:val="330"/>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955"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117</w:t>
            </w:r>
          </w:p>
        </w:tc>
        <w:tc>
          <w:tcPr>
            <w:tcW w:w="1285"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w:t>
            </w:r>
            <w:r>
              <w:rPr>
                <w:rFonts w:eastAsia="Times New Roman"/>
                <w:sz w:val="20"/>
                <w:szCs w:val="20"/>
                <w:lang w:eastAsia="cs-CZ"/>
              </w:rPr>
              <w:t> %</w:t>
            </w:r>
          </w:p>
        </w:tc>
      </w:tr>
      <w:tr w:rsidR="00A4083A" w:rsidRPr="00D17312" w:rsidTr="00A41CAB">
        <w:trPr>
          <w:trHeight w:val="345"/>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955"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134</w:t>
            </w:r>
          </w:p>
        </w:tc>
        <w:tc>
          <w:tcPr>
            <w:tcW w:w="1285"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-4</w:t>
            </w:r>
            <w:r>
              <w:rPr>
                <w:rFonts w:eastAsia="Times New Roman"/>
                <w:b/>
                <w:bCs/>
                <w:sz w:val="20"/>
                <w:szCs w:val="20"/>
                <w:lang w:eastAsia="cs-CZ"/>
              </w:rPr>
              <w:t> %</w:t>
            </w:r>
          </w:p>
        </w:tc>
      </w:tr>
    </w:tbl>
    <w:p w:rsidR="00A4083A" w:rsidRPr="00D17312" w:rsidRDefault="00A4083A" w:rsidP="00A4083A">
      <w:pPr>
        <w:pStyle w:val="OdstavecASR"/>
      </w:pPr>
    </w:p>
    <w:p w:rsidR="00A4083A" w:rsidRPr="00D17312" w:rsidRDefault="00A4083A" w:rsidP="00A4083A">
      <w:pPr>
        <w:pStyle w:val="OdstavecASR"/>
        <w:rPr>
          <w:highlight w:val="yellow"/>
        </w:rPr>
      </w:pPr>
      <w:r w:rsidRPr="00D17312">
        <w:t xml:space="preserve">Závěry jsou </w:t>
      </w:r>
      <w:r>
        <w:t>vcelku</w:t>
      </w:r>
      <w:r w:rsidRPr="00D17312">
        <w:t xml:space="preserve"> podobné jako u předchozích ukazatelů. Rozdíly nejsou dány počtem vyřízených věcí, ale velkým počtem nevyřízených věcí u soudů, které spadají pod KS Ústí nad Labem, KS Brno a MS Praha (v těchto krajích je DT nejvyšší). V Západočeském kraji došlo ke zdaleka největšímu poklesu v DT, a to díky výše diskutovanému snížení nevyřízených věcí.</w:t>
      </w:r>
    </w:p>
    <w:p w:rsidR="00A4083A" w:rsidRPr="00D17312" w:rsidRDefault="00A4083A" w:rsidP="00A4083A">
      <w:pPr>
        <w:pStyle w:val="Podnadpis"/>
        <w:rPr>
          <w:color w:val="auto"/>
        </w:rPr>
      </w:pPr>
      <w:bookmarkStart w:id="111" w:name="_Toc515871341"/>
      <w:bookmarkStart w:id="112" w:name="_Toc11135076"/>
      <w:bookmarkStart w:id="113" w:name="_Toc43841393"/>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13</w:t>
      </w:r>
      <w:r w:rsidRPr="00D17312">
        <w:rPr>
          <w:color w:val="auto"/>
        </w:rPr>
        <w:fldChar w:fldCharType="end"/>
      </w:r>
      <w:r w:rsidRPr="00D17312">
        <w:rPr>
          <w:color w:val="auto"/>
        </w:rPr>
        <w:t>: OS – disposition time civilního řízení u jednotlivých soudů</w:t>
      </w:r>
      <w:bookmarkEnd w:id="111"/>
      <w:bookmarkEnd w:id="112"/>
      <w:bookmarkEnd w:id="113"/>
    </w:p>
    <w:p w:rsidR="00A4083A" w:rsidRPr="00D17312" w:rsidRDefault="00A4083A" w:rsidP="00A4083A">
      <w:pPr>
        <w:pStyle w:val="Podnadpis"/>
        <w:rPr>
          <w:color w:val="auto"/>
        </w:rPr>
      </w:pPr>
      <w:bookmarkStart w:id="114" w:name="_Toc515871342"/>
      <w:bookmarkStart w:id="115" w:name="_Toc11135077"/>
      <w:r w:rsidRPr="00D17312">
        <w:rPr>
          <w:noProof/>
          <w:color w:val="auto"/>
          <w:lang w:eastAsia="cs-CZ"/>
        </w:rPr>
        <w:drawing>
          <wp:inline distT="0" distB="0" distL="0" distR="0" wp14:anchorId="34CD9852" wp14:editId="4E59514A">
            <wp:extent cx="5759450" cy="3328623"/>
            <wp:effectExtent l="0" t="0" r="0" b="5715"/>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9450" cy="3328623"/>
                    </a:xfrm>
                    <a:prstGeom prst="rect">
                      <a:avLst/>
                    </a:prstGeom>
                    <a:noFill/>
                    <a:ln>
                      <a:noFill/>
                    </a:ln>
                  </pic:spPr>
                </pic:pic>
              </a:graphicData>
            </a:graphic>
          </wp:inline>
        </w:drawing>
      </w:r>
      <w:r w:rsidRPr="00D17312">
        <w:rPr>
          <w:noProof/>
          <w:color w:val="auto"/>
          <w:lang w:eastAsia="cs-CZ"/>
        </w:rPr>
        <w:drawing>
          <wp:anchor distT="0" distB="0" distL="114300" distR="114300" simplePos="0" relativeHeight="251665408" behindDoc="0" locked="0" layoutInCell="1" allowOverlap="1" wp14:anchorId="53905302" wp14:editId="62CD465F">
            <wp:simplePos x="0" y="0"/>
            <wp:positionH relativeFrom="column">
              <wp:posOffset>4509770</wp:posOffset>
            </wp:positionH>
            <wp:positionV relativeFrom="paragraph">
              <wp:posOffset>155575</wp:posOffset>
            </wp:positionV>
            <wp:extent cx="1209600" cy="885600"/>
            <wp:effectExtent l="0" t="0" r="0" b="0"/>
            <wp:wrapNone/>
            <wp:docPr id="67"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09600" cy="8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083A" w:rsidRPr="00D17312" w:rsidRDefault="00A4083A" w:rsidP="00A4083A">
      <w:pPr>
        <w:pStyle w:val="OdstavecASR"/>
      </w:pPr>
    </w:p>
    <w:p w:rsidR="00A4083A" w:rsidRPr="00D17312" w:rsidRDefault="00A4083A" w:rsidP="00A4083A">
      <w:pPr>
        <w:pStyle w:val="Podnadpis"/>
        <w:rPr>
          <w:color w:val="auto"/>
        </w:rPr>
      </w:pPr>
      <w:bookmarkStart w:id="116" w:name="_Toc43841394"/>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14</w:t>
      </w:r>
      <w:r w:rsidRPr="00D17312">
        <w:rPr>
          <w:color w:val="auto"/>
        </w:rPr>
        <w:fldChar w:fldCharType="end"/>
      </w:r>
      <w:r w:rsidRPr="00D17312">
        <w:rPr>
          <w:color w:val="auto"/>
        </w:rPr>
        <w:t>: OS – krabicové grafy, DT civilního řízení</w:t>
      </w:r>
      <w:bookmarkEnd w:id="114"/>
      <w:bookmarkEnd w:id="115"/>
      <w:bookmarkEnd w:id="116"/>
    </w:p>
    <w:p w:rsidR="00A4083A" w:rsidRPr="00D17312" w:rsidRDefault="00A4083A" w:rsidP="00A4083A">
      <w:pPr>
        <w:rPr>
          <w:highlight w:val="yellow"/>
        </w:rPr>
      </w:pPr>
      <w:r w:rsidRPr="00D17312">
        <w:rPr>
          <w:noProof/>
          <w:lang w:eastAsia="cs-CZ"/>
        </w:rPr>
        <w:drawing>
          <wp:inline distT="0" distB="0" distL="0" distR="0" wp14:anchorId="781191C3" wp14:editId="5511CB38">
            <wp:extent cx="5114925" cy="3743325"/>
            <wp:effectExtent l="0" t="0" r="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rPr>
          <w:highlight w:val="yellow"/>
        </w:rPr>
      </w:pPr>
    </w:p>
    <w:p w:rsidR="00A4083A" w:rsidRPr="00D17312" w:rsidRDefault="00A4083A" w:rsidP="00A4083A">
      <w:pPr>
        <w:pStyle w:val="OdstavecASR"/>
      </w:pPr>
      <w:r w:rsidRPr="00D17312">
        <w:t xml:space="preserve">Na krabicových grafech vidíme, že variabilita DT se v roce 2019 až na jednu výjimku opět mírně snížila. Bod, který nyní reprezentuje zdaleka nejvíce odlehlou hodnotu, </w:t>
      </w:r>
      <w:r>
        <w:t xml:space="preserve">představuje </w:t>
      </w:r>
      <w:r w:rsidRPr="00D17312">
        <w:t>OS pro Prahu 7 (398).</w:t>
      </w:r>
    </w:p>
    <w:p w:rsidR="00A4083A" w:rsidRPr="00D17312" w:rsidRDefault="00A4083A" w:rsidP="00A4083A">
      <w:pPr>
        <w:pStyle w:val="OdstavecASR"/>
      </w:pPr>
      <w:r w:rsidRPr="00D17312">
        <w:t xml:space="preserve">Na základě přechozích ukazatelů můžeme shrnout, že celkově se situace v civilním řízení u okresních soudů za několik posledních let výrazně zlepšila – výrazně klesl počet nevyřízených věcí i délky řízení. To je dáno především zmenšováním rozdílů mezi soudy, tj. zlepšováním situace u nejpomalejších a nejzatíženější soudů. Zlepšování situace ale </w:t>
      </w:r>
      <w:r>
        <w:t>postupně</w:t>
      </w:r>
      <w:r w:rsidRPr="00D17312">
        <w:t xml:space="preserve"> sláblo a mezi posledními roky jsou malé rozdíly.</w:t>
      </w:r>
    </w:p>
    <w:p w:rsidR="00A4083A" w:rsidRPr="00577E88" w:rsidRDefault="00A4083A" w:rsidP="00FF4076">
      <w:pPr>
        <w:pStyle w:val="Nadpis3"/>
        <w:rPr>
          <w:color w:val="auto"/>
        </w:rPr>
      </w:pPr>
      <w:bookmarkStart w:id="117" w:name="_Ref509563330"/>
      <w:bookmarkStart w:id="118" w:name="_Toc515871225"/>
      <w:bookmarkStart w:id="119" w:name="_Toc41546302"/>
      <w:bookmarkStart w:id="120" w:name="_Toc43903028"/>
      <w:r w:rsidRPr="00577E88">
        <w:rPr>
          <w:color w:val="auto"/>
        </w:rPr>
        <w:t>Další statistiky</w:t>
      </w:r>
      <w:bookmarkEnd w:id="117"/>
      <w:bookmarkEnd w:id="118"/>
      <w:bookmarkEnd w:id="119"/>
      <w:bookmarkEnd w:id="120"/>
    </w:p>
    <w:p w:rsidR="00A4083A" w:rsidRDefault="00A4083A" w:rsidP="00A4083A">
      <w:pPr>
        <w:pStyle w:val="OdstavecASR"/>
      </w:pPr>
      <w:r w:rsidRPr="00D17312">
        <w:t>Kromě výše uvedených ukazatelů výkonnosti soudů sleduje Ministerstvo spravedlnosti řadu dalších ukazatelů. Tato podkapitola se věnuje třem příkladům, a to míře odvolání, míře změny rozsudku a datům, která se vztahují k rozvodovým řízením.</w:t>
      </w:r>
    </w:p>
    <w:p w:rsidR="00A4083A" w:rsidRPr="00D17312" w:rsidRDefault="00A4083A" w:rsidP="00A4083A">
      <w:pPr>
        <w:pStyle w:val="OdstavecASR"/>
      </w:pPr>
      <w:r w:rsidRPr="00D17312">
        <w:t>Míra odvolání udává, jak často podávají účastníci sporu odvolání. Závisí na mnoha faktorech, jako je například složení agendy soudu nebo charakteristiky účastníků sporu. Do určité míry může vypovídat o složitosti sporů, neboť u velmi jednoduchých sporů (typicky s procesně pasivní žalovanou stranou) je podání odvolání méně pravděpodobné. Výpočty zahrnují i věci, ve kterých odvolací soud zrušil rozhodnutí soudu I. stupně</w:t>
      </w:r>
      <w:r>
        <w:t>,</w:t>
      </w:r>
      <w:r w:rsidRPr="00D17312">
        <w:t xml:space="preserve"> věc mu vrátil</w:t>
      </w:r>
      <w:r>
        <w:t xml:space="preserve"> a</w:t>
      </w:r>
      <w:r w:rsidRPr="00D17312">
        <w:t xml:space="preserve"> </w:t>
      </w:r>
      <w:r>
        <w:t>n</w:t>
      </w:r>
      <w:r w:rsidRPr="00D17312">
        <w:t>ásledně již odvolání podáno nebylo.</w:t>
      </w:r>
    </w:p>
    <w:p w:rsidR="00A4083A" w:rsidRPr="00D17312" w:rsidRDefault="00A4083A" w:rsidP="00A4083A">
      <w:pPr>
        <w:pStyle w:val="OdstavecASR"/>
      </w:pPr>
    </w:p>
    <w:p w:rsidR="00A4083A" w:rsidRPr="00D17312" w:rsidRDefault="00A4083A" w:rsidP="00A4083A">
      <w:pPr>
        <w:pStyle w:val="OdstavecASR"/>
      </w:pPr>
    </w:p>
    <w:p w:rsidR="00A4083A" w:rsidRPr="00D17312" w:rsidRDefault="00A4083A" w:rsidP="00A4083A">
      <w:pPr>
        <w:pStyle w:val="Podnadpis"/>
        <w:rPr>
          <w:color w:val="auto"/>
        </w:rPr>
      </w:pPr>
      <w:bookmarkStart w:id="121" w:name="_Toc515871444"/>
      <w:bookmarkStart w:id="122" w:name="_Toc11133213"/>
      <w:bookmarkStart w:id="123" w:name="_Toc43931186"/>
      <w:r w:rsidRPr="00D17312">
        <w:rPr>
          <w:color w:val="auto"/>
        </w:rPr>
        <w:lastRenderedPageBreak/>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13</w:t>
      </w:r>
      <w:r w:rsidRPr="00D17312">
        <w:rPr>
          <w:noProof/>
          <w:color w:val="auto"/>
        </w:rPr>
        <w:fldChar w:fldCharType="end"/>
      </w:r>
      <w:r w:rsidRPr="00D17312">
        <w:rPr>
          <w:color w:val="auto"/>
        </w:rPr>
        <w:t>: OS – míra odvolání dle krajů v civilním řízení</w:t>
      </w:r>
      <w:bookmarkEnd w:id="121"/>
      <w:bookmarkEnd w:id="122"/>
      <w:bookmarkEnd w:id="123"/>
    </w:p>
    <w:tbl>
      <w:tblPr>
        <w:tblW w:w="5620" w:type="dxa"/>
        <w:tblCellMar>
          <w:left w:w="70" w:type="dxa"/>
          <w:right w:w="70" w:type="dxa"/>
        </w:tblCellMar>
        <w:tblLook w:val="04A0" w:firstRow="1" w:lastRow="0" w:firstColumn="1" w:lastColumn="0" w:noHBand="0" w:noVBand="1"/>
      </w:tblPr>
      <w:tblGrid>
        <w:gridCol w:w="2780"/>
        <w:gridCol w:w="1322"/>
        <w:gridCol w:w="1518"/>
      </w:tblGrid>
      <w:tr w:rsidR="00A4083A" w:rsidRPr="00D17312" w:rsidTr="00A41CAB">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Nadřízený soud</w:t>
            </w:r>
          </w:p>
        </w:tc>
        <w:tc>
          <w:tcPr>
            <w:tcW w:w="2840" w:type="dxa"/>
            <w:gridSpan w:val="2"/>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Míra odvolání (v</w:t>
            </w:r>
            <w:r>
              <w:rPr>
                <w:rFonts w:eastAsia="Times New Roman"/>
                <w:b/>
                <w:bCs/>
                <w:szCs w:val="24"/>
                <w:lang w:eastAsia="cs-CZ"/>
              </w:rPr>
              <w:t> %</w:t>
            </w:r>
            <w:r w:rsidRPr="00D17312">
              <w:rPr>
                <w:rFonts w:eastAsia="Times New Roman"/>
                <w:b/>
                <w:bCs/>
                <w:szCs w:val="24"/>
                <w:lang w:eastAsia="cs-CZ"/>
              </w:rPr>
              <w:t>)</w:t>
            </w:r>
          </w:p>
        </w:tc>
      </w:tr>
      <w:tr w:rsidR="00A4083A" w:rsidRPr="00D17312" w:rsidTr="00A41CAB">
        <w:trPr>
          <w:trHeight w:val="330"/>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32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9,89</w:t>
            </w:r>
          </w:p>
        </w:tc>
        <w:tc>
          <w:tcPr>
            <w:tcW w:w="1518"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-0,7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32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6,71</w:t>
            </w:r>
          </w:p>
        </w:tc>
        <w:tc>
          <w:tcPr>
            <w:tcW w:w="151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+0,3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32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8,39</w:t>
            </w:r>
          </w:p>
        </w:tc>
        <w:tc>
          <w:tcPr>
            <w:tcW w:w="151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+1,4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32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6,15</w:t>
            </w:r>
          </w:p>
        </w:tc>
        <w:tc>
          <w:tcPr>
            <w:tcW w:w="151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+0,9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32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5,75</w:t>
            </w:r>
          </w:p>
        </w:tc>
        <w:tc>
          <w:tcPr>
            <w:tcW w:w="151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+0,1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32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8,54</w:t>
            </w:r>
          </w:p>
        </w:tc>
        <w:tc>
          <w:tcPr>
            <w:tcW w:w="151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+0,3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32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9,75</w:t>
            </w:r>
          </w:p>
        </w:tc>
        <w:tc>
          <w:tcPr>
            <w:tcW w:w="151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+0,1 p.b.</w:t>
            </w:r>
          </w:p>
        </w:tc>
      </w:tr>
      <w:tr w:rsidR="00A4083A" w:rsidRPr="00D17312" w:rsidTr="00A41CAB">
        <w:trPr>
          <w:trHeight w:val="330"/>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322"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5,47</w:t>
            </w:r>
          </w:p>
        </w:tc>
        <w:tc>
          <w:tcPr>
            <w:tcW w:w="1518"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+0,2 p.b.</w:t>
            </w:r>
          </w:p>
        </w:tc>
      </w:tr>
      <w:tr w:rsidR="00A4083A" w:rsidRPr="00D17312" w:rsidTr="00A41CAB">
        <w:trPr>
          <w:trHeight w:val="345"/>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322"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7,81</w:t>
            </w:r>
          </w:p>
        </w:tc>
        <w:tc>
          <w:tcPr>
            <w:tcW w:w="1518"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+0,0 p.b.</w:t>
            </w:r>
          </w:p>
        </w:tc>
      </w:tr>
    </w:tbl>
    <w:p w:rsidR="00A4083A" w:rsidRPr="00D17312" w:rsidRDefault="00A4083A" w:rsidP="00A4083A">
      <w:pPr>
        <w:pStyle w:val="OdstavecASR"/>
        <w:rPr>
          <w:highlight w:val="yellow"/>
        </w:rPr>
      </w:pPr>
    </w:p>
    <w:p w:rsidR="00A4083A" w:rsidRPr="00D17312" w:rsidRDefault="00A4083A" w:rsidP="00A4083A">
      <w:pPr>
        <w:pStyle w:val="OdstavecASR"/>
        <w:rPr>
          <w:highlight w:val="yellow"/>
        </w:rPr>
      </w:pPr>
      <w:bookmarkStart w:id="124" w:name="_Toc515871343"/>
      <w:bookmarkStart w:id="125" w:name="_Toc11135078"/>
      <w:r w:rsidRPr="00D17312">
        <w:t>Míra odvolání je podobně jako v předchozím roce nejvyšší v Praze a Jihomoravském kraji a nejnižší v Severočeském, Západočeském a Moravskoslezském kraji. Ze starších dat na úrovni okresů lze dále vyčíst, že míra odvolání není stabilní, nicméně celorepublikově osciluje kolem 8</w:t>
      </w:r>
      <w:r>
        <w:t> %</w:t>
      </w:r>
      <w:r w:rsidRPr="00D17312">
        <w:t>. Zde je třeba upozornit, že změny jsou v tabulce uvedeny v procentních bodech. Tedy například celková míra odvolání meziročně v Praze klesla z 10,59</w:t>
      </w:r>
      <w:r>
        <w:t> %</w:t>
      </w:r>
      <w:r w:rsidRPr="00D17312">
        <w:t xml:space="preserve"> na 9,89</w:t>
      </w:r>
      <w:r>
        <w:t> %</w:t>
      </w:r>
      <w:r w:rsidRPr="00D17312">
        <w:t xml:space="preserve">, což je </w:t>
      </w:r>
      <w:r>
        <w:t xml:space="preserve">absolutní </w:t>
      </w:r>
      <w:r w:rsidRPr="00D17312">
        <w:t>pokles o</w:t>
      </w:r>
      <w:r>
        <w:t> </w:t>
      </w:r>
      <w:r w:rsidRPr="00D17312">
        <w:t>0,7</w:t>
      </w:r>
      <w:r>
        <w:t> </w:t>
      </w:r>
      <w:r w:rsidRPr="00D17312">
        <w:t>procentního bodu (tento údaj je</w:t>
      </w:r>
      <w:r>
        <w:t xml:space="preserve"> zachycen</w:t>
      </w:r>
      <w:r w:rsidRPr="00D17312">
        <w:t xml:space="preserve"> v tabulce) </w:t>
      </w:r>
      <w:r>
        <w:t>a</w:t>
      </w:r>
      <w:r w:rsidRPr="00D17312">
        <w:t xml:space="preserve"> </w:t>
      </w:r>
      <w:r>
        <w:t xml:space="preserve">relativní pokles </w:t>
      </w:r>
      <w:r w:rsidRPr="00D17312">
        <w:t>o 7</w:t>
      </w:r>
      <w:r>
        <w:t> %</w:t>
      </w:r>
      <w:r w:rsidRPr="00D17312">
        <w:t>. Z jednotlivých okresních soudů byla v roce 2018 nejvyšší míra odvolání u OS Praha 2 (32,48</w:t>
      </w:r>
      <w:r>
        <w:t> %</w:t>
      </w:r>
      <w:r w:rsidRPr="00D17312">
        <w:t>), OS Brno-venkov (15,92</w:t>
      </w:r>
      <w:r>
        <w:t> %</w:t>
      </w:r>
      <w:r w:rsidRPr="00D17312">
        <w:t>) a OS Chrudim (14,93</w:t>
      </w:r>
      <w:r>
        <w:t> %</w:t>
      </w:r>
      <w:r w:rsidRPr="00D17312">
        <w:t>). Obzvlášť vysoká míra odvolání u OS Praha 2 má své odůvodnění. Tento soud je totiž specializovaný a velkou část jeho agendy tvoří spory týkající se odpovědnosti státu a územních samosprávných celků za škodu způsobenou při výkonu veřejné moci podle zákona č. 82/1998 Sb., například spory o náhradu škody způsobené nesprávným úředním postupem nebo nepřiměřenou délkou soudního řízení. Míra odvolání je v těchto sporech velmi vysoká – přibližně 60</w:t>
      </w:r>
      <w:r>
        <w:t> %</w:t>
      </w:r>
      <w:r w:rsidRPr="00D17312">
        <w:t>. Nejnižší je míra odvolání u OS Cheb (2,88</w:t>
      </w:r>
      <w:r>
        <w:t> %</w:t>
      </w:r>
      <w:r w:rsidRPr="00D17312">
        <w:t>), OS Mladá Boleslav (2,97</w:t>
      </w:r>
      <w:r>
        <w:t> %</w:t>
      </w:r>
      <w:r w:rsidRPr="00D17312">
        <w:t>) a OS Karviná (3,25</w:t>
      </w:r>
      <w:r>
        <w:t> %</w:t>
      </w:r>
      <w:r w:rsidRPr="00D17312">
        <w:t>).</w:t>
      </w:r>
    </w:p>
    <w:p w:rsidR="00A4083A" w:rsidRPr="00D17312" w:rsidRDefault="00A4083A" w:rsidP="00A4083A">
      <w:pPr>
        <w:pStyle w:val="Podnadpis"/>
        <w:rPr>
          <w:color w:val="auto"/>
        </w:rPr>
      </w:pPr>
      <w:bookmarkStart w:id="126" w:name="_Toc43841395"/>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15</w:t>
      </w:r>
      <w:r w:rsidRPr="00D17312">
        <w:rPr>
          <w:color w:val="auto"/>
        </w:rPr>
        <w:fldChar w:fldCharType="end"/>
      </w:r>
      <w:r w:rsidRPr="00D17312">
        <w:rPr>
          <w:color w:val="auto"/>
        </w:rPr>
        <w:t>: OS – míra odvolání u jednotlivých soudů v civilním řízení</w:t>
      </w:r>
      <w:bookmarkEnd w:id="124"/>
      <w:bookmarkEnd w:id="125"/>
      <w:bookmarkEnd w:id="126"/>
    </w:p>
    <w:p w:rsidR="00A4083A" w:rsidRPr="00D17312" w:rsidRDefault="00A4083A" w:rsidP="00A4083A">
      <w:pPr>
        <w:pStyle w:val="OdstavecASR"/>
      </w:pPr>
      <w:r w:rsidRPr="00D17312">
        <w:rPr>
          <w:noProof/>
          <w:lang w:eastAsia="cs-CZ"/>
        </w:rPr>
        <w:drawing>
          <wp:inline distT="0" distB="0" distL="0" distR="0" wp14:anchorId="26ADF40B" wp14:editId="7A781585">
            <wp:extent cx="5759450" cy="3328623"/>
            <wp:effectExtent l="0" t="0" r="0" b="5715"/>
            <wp:docPr id="95"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9450" cy="3328623"/>
                    </a:xfrm>
                    <a:prstGeom prst="rect">
                      <a:avLst/>
                    </a:prstGeom>
                    <a:noFill/>
                    <a:ln>
                      <a:noFill/>
                    </a:ln>
                  </pic:spPr>
                </pic:pic>
              </a:graphicData>
            </a:graphic>
          </wp:inline>
        </w:drawing>
      </w:r>
      <w:r w:rsidRPr="00D17312">
        <w:rPr>
          <w:noProof/>
          <w:lang w:eastAsia="cs-CZ"/>
        </w:rPr>
        <w:drawing>
          <wp:anchor distT="0" distB="0" distL="114300" distR="114300" simplePos="0" relativeHeight="251667456" behindDoc="0" locked="0" layoutInCell="1" allowOverlap="1" wp14:anchorId="6BDE931D" wp14:editId="54BEACDB">
            <wp:simplePos x="0" y="0"/>
            <wp:positionH relativeFrom="column">
              <wp:posOffset>4500245</wp:posOffset>
            </wp:positionH>
            <wp:positionV relativeFrom="paragraph">
              <wp:posOffset>118745</wp:posOffset>
            </wp:positionV>
            <wp:extent cx="1209600" cy="885600"/>
            <wp:effectExtent l="0" t="0" r="0" b="0"/>
            <wp:wrapNone/>
            <wp:docPr id="71"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09600" cy="8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083A" w:rsidRPr="00D17312" w:rsidRDefault="00A4083A" w:rsidP="00A4083A">
      <w:pPr>
        <w:pStyle w:val="OdstavecASR"/>
      </w:pPr>
      <w:bookmarkStart w:id="127" w:name="_Toc515871445"/>
      <w:bookmarkStart w:id="128" w:name="_Toc11133214"/>
      <w:r w:rsidRPr="00D17312">
        <w:t>Dalším sledovaným ukazatelem je míra změny rozsudku. Jedná se o podíl věcí v procentech, ve kterých odvolací soud na podkladě odvolání změnil rozhodnutí soudu I. stupně. Jako změna rozsudku jsou započítány i případy, kdy bylo rozhodnutí soudu I. stupně odvolací</w:t>
      </w:r>
      <w:r>
        <w:t>m</w:t>
      </w:r>
      <w:r w:rsidRPr="00D17312">
        <w:t xml:space="preserve"> soud</w:t>
      </w:r>
      <w:r>
        <w:t>em</w:t>
      </w:r>
      <w:r w:rsidRPr="00D17312">
        <w:t xml:space="preserve"> </w:t>
      </w:r>
      <w:r>
        <w:t>zrušeno a</w:t>
      </w:r>
      <w:r w:rsidRPr="00D17312">
        <w:t xml:space="preserve"> vráceno soudu I.</w:t>
      </w:r>
      <w:r>
        <w:t> </w:t>
      </w:r>
      <w:r w:rsidRPr="00D17312">
        <w:t>stupně.</w:t>
      </w:r>
    </w:p>
    <w:p w:rsidR="00A4083A" w:rsidRPr="00D17312" w:rsidRDefault="00A4083A" w:rsidP="00A4083A">
      <w:pPr>
        <w:pStyle w:val="Podnadpis"/>
        <w:rPr>
          <w:color w:val="auto"/>
        </w:rPr>
      </w:pPr>
      <w:bookmarkStart w:id="129" w:name="_Toc43931187"/>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14</w:t>
      </w:r>
      <w:r w:rsidRPr="00D17312">
        <w:rPr>
          <w:noProof/>
          <w:color w:val="auto"/>
        </w:rPr>
        <w:fldChar w:fldCharType="end"/>
      </w:r>
      <w:r w:rsidRPr="00D17312">
        <w:rPr>
          <w:color w:val="auto"/>
        </w:rPr>
        <w:t>: OS – míra změny rozsudku dle krajů v civilním řízení</w:t>
      </w:r>
      <w:bookmarkEnd w:id="127"/>
      <w:bookmarkEnd w:id="128"/>
      <w:bookmarkEnd w:id="129"/>
    </w:p>
    <w:tbl>
      <w:tblPr>
        <w:tblW w:w="5920" w:type="dxa"/>
        <w:tblCellMar>
          <w:left w:w="70" w:type="dxa"/>
          <w:right w:w="70" w:type="dxa"/>
        </w:tblCellMar>
        <w:tblLook w:val="04A0" w:firstRow="1" w:lastRow="0" w:firstColumn="1" w:lastColumn="0" w:noHBand="0" w:noVBand="1"/>
      </w:tblPr>
      <w:tblGrid>
        <w:gridCol w:w="2480"/>
        <w:gridCol w:w="1617"/>
        <w:gridCol w:w="1823"/>
      </w:tblGrid>
      <w:tr w:rsidR="00A4083A" w:rsidRPr="00D17312" w:rsidTr="00A41CAB">
        <w:trPr>
          <w:trHeight w:val="345"/>
        </w:trPr>
        <w:tc>
          <w:tcPr>
            <w:tcW w:w="248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Nadřízený soud</w:t>
            </w:r>
          </w:p>
        </w:tc>
        <w:tc>
          <w:tcPr>
            <w:tcW w:w="3440" w:type="dxa"/>
            <w:gridSpan w:val="2"/>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Míra změny rozsudku v</w:t>
            </w:r>
            <w:r>
              <w:rPr>
                <w:rFonts w:eastAsia="Times New Roman"/>
                <w:b/>
                <w:bCs/>
                <w:szCs w:val="24"/>
                <w:lang w:eastAsia="cs-CZ"/>
              </w:rPr>
              <w:t> %</w:t>
            </w:r>
          </w:p>
        </w:tc>
      </w:tr>
      <w:tr w:rsidR="00A4083A" w:rsidRPr="00D17312" w:rsidTr="00A41CAB">
        <w:trPr>
          <w:trHeight w:val="330"/>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61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40,3</w:t>
            </w:r>
          </w:p>
        </w:tc>
        <w:tc>
          <w:tcPr>
            <w:tcW w:w="1823"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+2,2 p.b.</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61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50,1</w:t>
            </w:r>
          </w:p>
        </w:tc>
        <w:tc>
          <w:tcPr>
            <w:tcW w:w="182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+0,7 p.b.</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61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49,2</w:t>
            </w:r>
          </w:p>
        </w:tc>
        <w:tc>
          <w:tcPr>
            <w:tcW w:w="182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+0,5 p.b.</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61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45,9</w:t>
            </w:r>
          </w:p>
        </w:tc>
        <w:tc>
          <w:tcPr>
            <w:tcW w:w="182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-5,4 p.b.</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61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54,1</w:t>
            </w:r>
          </w:p>
        </w:tc>
        <w:tc>
          <w:tcPr>
            <w:tcW w:w="182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+1,3 p.b.</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61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38,5</w:t>
            </w:r>
          </w:p>
        </w:tc>
        <w:tc>
          <w:tcPr>
            <w:tcW w:w="182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+0,1 p.b.</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61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44,9</w:t>
            </w:r>
          </w:p>
        </w:tc>
        <w:tc>
          <w:tcPr>
            <w:tcW w:w="182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-0,8 p.b.</w:t>
            </w:r>
          </w:p>
        </w:tc>
      </w:tr>
      <w:tr w:rsidR="00A4083A" w:rsidRPr="00D17312"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617"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46,2</w:t>
            </w:r>
          </w:p>
        </w:tc>
        <w:tc>
          <w:tcPr>
            <w:tcW w:w="1823"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-0,5 p.b.</w:t>
            </w:r>
          </w:p>
        </w:tc>
      </w:tr>
      <w:tr w:rsidR="00A4083A" w:rsidRPr="00D17312"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617"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44,6</w:t>
            </w:r>
          </w:p>
        </w:tc>
        <w:tc>
          <w:tcPr>
            <w:tcW w:w="1823"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+2,6 p.b.</w:t>
            </w:r>
          </w:p>
        </w:tc>
      </w:tr>
    </w:tbl>
    <w:p w:rsidR="00A4083A" w:rsidRPr="00D17312" w:rsidRDefault="00A4083A" w:rsidP="00A4083A">
      <w:pPr>
        <w:spacing w:line="240" w:lineRule="auto"/>
        <w:jc w:val="left"/>
        <w:rPr>
          <w:highlight w:val="yellow"/>
        </w:rPr>
      </w:pPr>
    </w:p>
    <w:p w:rsidR="00A4083A" w:rsidRPr="00D17312" w:rsidRDefault="00A4083A" w:rsidP="00A4083A">
      <w:pPr>
        <w:pStyle w:val="Podnadpis"/>
        <w:rPr>
          <w:color w:val="auto"/>
        </w:rPr>
      </w:pPr>
      <w:bookmarkStart w:id="130" w:name="_Toc515871344"/>
      <w:bookmarkStart w:id="131" w:name="_Toc11135079"/>
      <w:bookmarkStart w:id="132" w:name="_Toc43841396"/>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16</w:t>
      </w:r>
      <w:r w:rsidRPr="00D17312">
        <w:rPr>
          <w:color w:val="auto"/>
        </w:rPr>
        <w:fldChar w:fldCharType="end"/>
      </w:r>
      <w:r w:rsidRPr="00D17312">
        <w:rPr>
          <w:color w:val="auto"/>
        </w:rPr>
        <w:t>: OS – míra změny rozsudku u jednotlivých soudů v civilním řízení</w:t>
      </w:r>
      <w:bookmarkEnd w:id="130"/>
      <w:bookmarkEnd w:id="131"/>
      <w:bookmarkEnd w:id="132"/>
    </w:p>
    <w:p w:rsidR="00A4083A" w:rsidRPr="00D17312" w:rsidRDefault="00A4083A" w:rsidP="00A4083A">
      <w:pPr>
        <w:pStyle w:val="OdstavecASR"/>
      </w:pPr>
      <w:r w:rsidRPr="00D17312">
        <w:rPr>
          <w:noProof/>
          <w:lang w:eastAsia="cs-CZ"/>
        </w:rPr>
        <w:drawing>
          <wp:inline distT="0" distB="0" distL="0" distR="0" wp14:anchorId="31FA2800" wp14:editId="64DD44B1">
            <wp:extent cx="5759450" cy="3328623"/>
            <wp:effectExtent l="0" t="0" r="0" b="5715"/>
            <wp:docPr id="96" name="Obráze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9450" cy="3328623"/>
                    </a:xfrm>
                    <a:prstGeom prst="rect">
                      <a:avLst/>
                    </a:prstGeom>
                    <a:noFill/>
                    <a:ln>
                      <a:noFill/>
                    </a:ln>
                  </pic:spPr>
                </pic:pic>
              </a:graphicData>
            </a:graphic>
          </wp:inline>
        </w:drawing>
      </w:r>
      <w:r w:rsidRPr="00D17312">
        <w:rPr>
          <w:noProof/>
          <w:lang w:eastAsia="cs-CZ"/>
        </w:rPr>
        <w:drawing>
          <wp:anchor distT="0" distB="0" distL="114300" distR="114300" simplePos="0" relativeHeight="251666432" behindDoc="0" locked="0" layoutInCell="1" allowOverlap="1" wp14:anchorId="17A11916" wp14:editId="1A4C3238">
            <wp:simplePos x="0" y="0"/>
            <wp:positionH relativeFrom="column">
              <wp:posOffset>4500245</wp:posOffset>
            </wp:positionH>
            <wp:positionV relativeFrom="paragraph">
              <wp:posOffset>99695</wp:posOffset>
            </wp:positionV>
            <wp:extent cx="1209600" cy="885600"/>
            <wp:effectExtent l="0" t="0" r="0" b="0"/>
            <wp:wrapNone/>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09600" cy="88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7312">
        <w:t>Míra změny rozsudku je stejně jako v předchozím roce nejnižší v Praze a v Královehradeckém kraji. Celorepublikově došlo k mírnému nárůstu míry změny rozsudku. Z okresních soudů mají nejnižší míru změny rozsudku OS Semily (18,42</w:t>
      </w:r>
      <w:r>
        <w:t> %</w:t>
      </w:r>
      <w:r w:rsidRPr="00D17312">
        <w:t>), OS Třebíč (21,92</w:t>
      </w:r>
      <w:r>
        <w:t> %</w:t>
      </w:r>
      <w:r w:rsidRPr="00D17312">
        <w:t>) a OS Hradec Králové (22,69</w:t>
      </w:r>
      <w:r>
        <w:t> %</w:t>
      </w:r>
      <w:r w:rsidRPr="00D17312">
        <w:t>). Na druhém konci se nacházejí OS Jeseník (68,42</w:t>
      </w:r>
      <w:r>
        <w:t> %</w:t>
      </w:r>
      <w:r w:rsidRPr="00D17312">
        <w:t>), OS Liberec (65,38</w:t>
      </w:r>
      <w:r>
        <w:t> %</w:t>
      </w:r>
      <w:r w:rsidRPr="00D17312">
        <w:t>) a OS Český Krumlov (64,28</w:t>
      </w:r>
      <w:r>
        <w:t> %</w:t>
      </w:r>
      <w:r w:rsidRPr="00D17312">
        <w:t>).</w:t>
      </w:r>
    </w:p>
    <w:p w:rsidR="00A4083A" w:rsidRPr="00D17312" w:rsidRDefault="00A4083A" w:rsidP="00A4083A">
      <w:pPr>
        <w:pStyle w:val="OdstavecASR"/>
      </w:pPr>
      <w:bookmarkStart w:id="133" w:name="Celkova_mira_zmeny_rozs_OS"/>
      <w:bookmarkEnd w:id="133"/>
      <w:r w:rsidRPr="00D17312">
        <w:t xml:space="preserve">Vynásobením míry odvolání a míry změny rozsudku dostaneme podíl věcí, ve kterých odvolací soud nakonec změnil rozhodnutí soudu I. stupně ke všem prvostupňovým rozhodnutím. Tento ukazatel budeme nazývat </w:t>
      </w:r>
      <w:r w:rsidRPr="00D17312">
        <w:rPr>
          <w:i/>
        </w:rPr>
        <w:t>míra celkové změny rozsudku</w:t>
      </w:r>
      <w:r w:rsidRPr="00D17312">
        <w:t>. Tato míra se v roce 2018 rovnala 7,76</w:t>
      </w:r>
      <w:r>
        <w:t> % </w:t>
      </w:r>
      <w:r w:rsidRPr="00D17312">
        <w:t>× 43,8</w:t>
      </w:r>
      <w:r>
        <w:t> % </w:t>
      </w:r>
      <w:r w:rsidRPr="00D17312">
        <w:rPr>
          <w:rFonts w:ascii="Cambria Math" w:hAnsi="Cambria Math" w:cs="Cambria Math"/>
        </w:rPr>
        <w:t>≐</w:t>
      </w:r>
      <w:r w:rsidRPr="00D17312">
        <w:t xml:space="preserve"> 3,39. V roce 2019 se pak rovnala 7,81</w:t>
      </w:r>
      <w:r>
        <w:t> % </w:t>
      </w:r>
      <w:r w:rsidRPr="00D17312">
        <w:t>× 44,6</w:t>
      </w:r>
      <w:r>
        <w:t> % </w:t>
      </w:r>
      <w:r w:rsidRPr="00D17312">
        <w:rPr>
          <w:rFonts w:ascii="Cambria Math" w:hAnsi="Cambria Math" w:cs="Cambria Math"/>
        </w:rPr>
        <w:t>≐</w:t>
      </w:r>
      <w:r w:rsidRPr="00D17312">
        <w:t xml:space="preserve"> 3,48.</w:t>
      </w:r>
    </w:p>
    <w:p w:rsidR="00A4083A" w:rsidRPr="00D17312" w:rsidRDefault="00A4083A" w:rsidP="00A4083A">
      <w:pPr>
        <w:pStyle w:val="OdstavecASR"/>
      </w:pPr>
      <w:r w:rsidRPr="00D17312">
        <w:t xml:space="preserve">V této výroční zprávě uvedeme data ze statistických listů pro rozvody. Jedná se o civilní agendu okresních soudů, a proto budou data uvedena právě zde. </w:t>
      </w:r>
      <w:r>
        <w:t xml:space="preserve">Nejedná se však </w:t>
      </w:r>
      <w:r w:rsidRPr="00D17312">
        <w:t xml:space="preserve">ani zdaleka o typický spor v rejstříku C. Pro rozvody </w:t>
      </w:r>
      <w:r>
        <w:t xml:space="preserve">jsou vedeny </w:t>
      </w:r>
      <w:r w:rsidRPr="00D17312">
        <w:t>samostatné statistické listy a samozřejmě se liší i</w:t>
      </w:r>
      <w:r>
        <w:t> </w:t>
      </w:r>
      <w:r w:rsidRPr="00D17312">
        <w:t xml:space="preserve">sledované statistické ukazatele a proměnné. </w:t>
      </w:r>
      <w:r>
        <w:t>D</w:t>
      </w:r>
      <w:r w:rsidRPr="00D17312">
        <w:t xml:space="preserve">ata </w:t>
      </w:r>
      <w:r>
        <w:t xml:space="preserve">o rozvodech </w:t>
      </w:r>
      <w:r w:rsidRPr="00D17312">
        <w:t xml:space="preserve">zveřejňuje </w:t>
      </w:r>
      <w:r>
        <w:t xml:space="preserve">i </w:t>
      </w:r>
      <w:r w:rsidRPr="00D17312">
        <w:t xml:space="preserve">ČSÚ, který </w:t>
      </w:r>
      <w:r>
        <w:t xml:space="preserve">se </w:t>
      </w:r>
      <w:r w:rsidRPr="00D17312">
        <w:t xml:space="preserve">však </w:t>
      </w:r>
      <w:r>
        <w:t xml:space="preserve">zaměřuje pouze na </w:t>
      </w:r>
      <w:r w:rsidRPr="00D17312">
        <w:t>rozveden</w:t>
      </w:r>
      <w:r>
        <w:t>á</w:t>
      </w:r>
      <w:r w:rsidRPr="00D17312">
        <w:t xml:space="preserve"> manželství. </w:t>
      </w:r>
      <w:r>
        <w:t xml:space="preserve">Zaměříme </w:t>
      </w:r>
      <w:r w:rsidRPr="00D17312">
        <w:t xml:space="preserve">se </w:t>
      </w:r>
      <w:r>
        <w:t xml:space="preserve">na následující </w:t>
      </w:r>
      <w:r w:rsidRPr="00D17312">
        <w:t>průřezová data za rok 2019:</w:t>
      </w:r>
    </w:p>
    <w:p w:rsidR="00A4083A" w:rsidRPr="00D17312" w:rsidRDefault="00A4083A" w:rsidP="00A4083A">
      <w:pPr>
        <w:pStyle w:val="OdstavecASR"/>
        <w:numPr>
          <w:ilvl w:val="0"/>
          <w:numId w:val="20"/>
        </w:numPr>
      </w:pPr>
      <w:r w:rsidRPr="00D17312">
        <w:t>vzdělání obou manželů a</w:t>
      </w:r>
    </w:p>
    <w:p w:rsidR="00A4083A" w:rsidRPr="00D17312" w:rsidRDefault="00A4083A" w:rsidP="00A4083A">
      <w:pPr>
        <w:pStyle w:val="OdstavecASR"/>
        <w:numPr>
          <w:ilvl w:val="0"/>
          <w:numId w:val="20"/>
        </w:numPr>
      </w:pPr>
      <w:r w:rsidRPr="00D17312">
        <w:t>výsledky řízení o rozvodu.</w:t>
      </w:r>
    </w:p>
    <w:p w:rsidR="00A4083A" w:rsidRPr="00D17312" w:rsidRDefault="00A4083A" w:rsidP="00A4083A">
      <w:pPr>
        <w:pStyle w:val="OdstavecASR"/>
      </w:pPr>
      <w:r w:rsidRPr="00D17312">
        <w:t>Vzdělání je sledováno u manžela i manželky</w:t>
      </w:r>
      <w:r>
        <w:t>,</w:t>
      </w:r>
      <w:r w:rsidRPr="00D17312">
        <w:t xml:space="preserve"> </w:t>
      </w:r>
      <w:r>
        <w:t>n</w:t>
      </w:r>
      <w:r w:rsidRPr="00D17312">
        <w:t xml:space="preserve">icméně ne vždy je </w:t>
      </w:r>
      <w:r>
        <w:t xml:space="preserve">v </w:t>
      </w:r>
      <w:r w:rsidRPr="00D17312">
        <w:t>datech uvedeno. Následující tabulka udává počty jednotlivých kombinací vzdělání obou manželů. Ve sloupcích je uvedeno vzdělání manželky a v řádcích vzdělání manžela. V jednotlivých buňkách je pak uveden počet manželství dle všech možných kombinací.</w:t>
      </w:r>
    </w:p>
    <w:p w:rsidR="00A4083A" w:rsidRPr="00D17312" w:rsidRDefault="00A4083A" w:rsidP="00A4083A">
      <w:pPr>
        <w:spacing w:line="240" w:lineRule="auto"/>
        <w:jc w:val="left"/>
      </w:pPr>
      <w:r w:rsidRPr="00D17312">
        <w:br w:type="page"/>
      </w:r>
    </w:p>
    <w:p w:rsidR="00A4083A" w:rsidRPr="00D17312" w:rsidRDefault="00A4083A" w:rsidP="00A4083A">
      <w:pPr>
        <w:pStyle w:val="Podnadpis"/>
        <w:rPr>
          <w:color w:val="auto"/>
        </w:rPr>
      </w:pPr>
      <w:bookmarkStart w:id="134" w:name="_Toc43931188"/>
      <w:r w:rsidRPr="00D17312">
        <w:rPr>
          <w:color w:val="auto"/>
        </w:rPr>
        <w:lastRenderedPageBreak/>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15</w:t>
      </w:r>
      <w:r w:rsidRPr="00D17312">
        <w:rPr>
          <w:color w:val="auto"/>
        </w:rPr>
        <w:fldChar w:fldCharType="end"/>
      </w:r>
      <w:r w:rsidRPr="00D17312">
        <w:rPr>
          <w:color w:val="auto"/>
        </w:rPr>
        <w:t>: OS – vzdělání manželů u rozvodových řízení</w:t>
      </w:r>
      <w:bookmarkEnd w:id="134"/>
    </w:p>
    <w:tbl>
      <w:tblPr>
        <w:tblW w:w="9188" w:type="dxa"/>
        <w:tblCellMar>
          <w:left w:w="70" w:type="dxa"/>
          <w:right w:w="70" w:type="dxa"/>
        </w:tblCellMar>
        <w:tblLook w:val="04A0" w:firstRow="1" w:lastRow="0" w:firstColumn="1" w:lastColumn="0" w:noHBand="0" w:noVBand="1"/>
      </w:tblPr>
      <w:tblGrid>
        <w:gridCol w:w="567"/>
        <w:gridCol w:w="1418"/>
        <w:gridCol w:w="1276"/>
        <w:gridCol w:w="1500"/>
        <w:gridCol w:w="1394"/>
        <w:gridCol w:w="1500"/>
        <w:gridCol w:w="1500"/>
        <w:gridCol w:w="33"/>
      </w:tblGrid>
      <w:tr w:rsidR="00A4083A" w:rsidRPr="00D17312" w:rsidTr="00A41CAB">
        <w:trPr>
          <w:trHeight w:val="330"/>
        </w:trPr>
        <w:tc>
          <w:tcPr>
            <w:tcW w:w="567" w:type="dxa"/>
            <w:tcBorders>
              <w:top w:val="double" w:sz="6" w:space="0" w:color="auto"/>
              <w:left w:val="nil"/>
              <w:bottom w:val="nil"/>
              <w:right w:val="nil"/>
            </w:tcBorders>
            <w:shd w:val="clear" w:color="auto" w:fill="auto"/>
            <w:noWrap/>
            <w:vAlign w:val="bottom"/>
            <w:hideMark/>
          </w:tcPr>
          <w:p w:rsidR="00A4083A" w:rsidRPr="00D17312" w:rsidRDefault="00A4083A" w:rsidP="00A41CAB">
            <w:pPr>
              <w:spacing w:line="240" w:lineRule="auto"/>
              <w:jc w:val="left"/>
              <w:rPr>
                <w:rFonts w:eastAsia="Times New Roman"/>
                <w:b/>
                <w:szCs w:val="24"/>
                <w:lang w:eastAsia="cs-CZ"/>
              </w:rPr>
            </w:pPr>
            <w:r w:rsidRPr="00D17312">
              <w:rPr>
                <w:rFonts w:eastAsia="Times New Roman"/>
                <w:b/>
                <w:szCs w:val="24"/>
                <w:lang w:eastAsia="cs-CZ"/>
              </w:rPr>
              <w:t> </w:t>
            </w:r>
          </w:p>
        </w:tc>
        <w:tc>
          <w:tcPr>
            <w:tcW w:w="1418" w:type="dxa"/>
            <w:tcBorders>
              <w:top w:val="double" w:sz="6" w:space="0" w:color="auto"/>
              <w:left w:val="nil"/>
              <w:bottom w:val="nil"/>
              <w:right w:val="double" w:sz="6" w:space="0" w:color="auto"/>
            </w:tcBorders>
            <w:shd w:val="clear" w:color="auto" w:fill="auto"/>
            <w:noWrap/>
            <w:vAlign w:val="bottom"/>
            <w:hideMark/>
          </w:tcPr>
          <w:p w:rsidR="00A4083A" w:rsidRPr="00D17312" w:rsidRDefault="00A4083A" w:rsidP="00A41CAB">
            <w:pPr>
              <w:spacing w:line="240" w:lineRule="auto"/>
              <w:jc w:val="left"/>
              <w:rPr>
                <w:rFonts w:eastAsia="Times New Roman"/>
                <w:b/>
                <w:szCs w:val="24"/>
                <w:lang w:eastAsia="cs-CZ"/>
              </w:rPr>
            </w:pPr>
            <w:r w:rsidRPr="00D17312">
              <w:rPr>
                <w:rFonts w:eastAsia="Times New Roman"/>
                <w:b/>
                <w:szCs w:val="24"/>
                <w:lang w:eastAsia="cs-CZ"/>
              </w:rPr>
              <w:t> </w:t>
            </w:r>
          </w:p>
        </w:tc>
        <w:tc>
          <w:tcPr>
            <w:tcW w:w="7203" w:type="dxa"/>
            <w:gridSpan w:val="6"/>
            <w:tcBorders>
              <w:top w:val="double" w:sz="6" w:space="0" w:color="auto"/>
              <w:left w:val="nil"/>
              <w:bottom w:val="nil"/>
              <w:right w:val="nil"/>
            </w:tcBorders>
            <w:shd w:val="clear" w:color="auto" w:fill="auto"/>
            <w:noWrap/>
            <w:vAlign w:val="bottom"/>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Vzdělání manželky</w:t>
            </w:r>
          </w:p>
        </w:tc>
      </w:tr>
      <w:tr w:rsidR="00A4083A" w:rsidRPr="00D17312" w:rsidTr="00A41CAB">
        <w:trPr>
          <w:gridAfter w:val="1"/>
          <w:wAfter w:w="33" w:type="dxa"/>
          <w:trHeight w:val="660"/>
        </w:trPr>
        <w:tc>
          <w:tcPr>
            <w:tcW w:w="567"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szCs w:val="24"/>
                <w:lang w:eastAsia="cs-CZ"/>
              </w:rPr>
            </w:pPr>
            <w:r w:rsidRPr="00D17312">
              <w:rPr>
                <w:rFonts w:eastAsia="Times New Roman"/>
                <w:b/>
                <w:szCs w:val="24"/>
                <w:lang w:eastAsia="cs-CZ"/>
              </w:rPr>
              <w:t> </w:t>
            </w:r>
          </w:p>
        </w:tc>
        <w:tc>
          <w:tcPr>
            <w:tcW w:w="1418" w:type="dxa"/>
            <w:tcBorders>
              <w:top w:val="nil"/>
              <w:left w:val="nil"/>
              <w:bottom w:val="double" w:sz="6" w:space="0" w:color="auto"/>
              <w:right w:val="double" w:sz="6" w:space="0" w:color="auto"/>
            </w:tcBorders>
            <w:shd w:val="clear" w:color="auto" w:fill="auto"/>
            <w:noWrap/>
            <w:vAlign w:val="bottom"/>
            <w:hideMark/>
          </w:tcPr>
          <w:p w:rsidR="00A4083A" w:rsidRPr="00D17312" w:rsidRDefault="00A4083A" w:rsidP="00A41CAB">
            <w:pPr>
              <w:spacing w:line="240" w:lineRule="auto"/>
              <w:jc w:val="left"/>
              <w:rPr>
                <w:rFonts w:eastAsia="Times New Roman"/>
                <w:b/>
                <w:szCs w:val="24"/>
                <w:lang w:eastAsia="cs-CZ"/>
              </w:rPr>
            </w:pPr>
            <w:r w:rsidRPr="00D17312">
              <w:rPr>
                <w:rFonts w:eastAsia="Times New Roman"/>
                <w:b/>
                <w:szCs w:val="24"/>
                <w:lang w:eastAsia="cs-CZ"/>
              </w:rPr>
              <w:t> </w:t>
            </w:r>
          </w:p>
        </w:tc>
        <w:tc>
          <w:tcPr>
            <w:tcW w:w="1276" w:type="dxa"/>
            <w:tcBorders>
              <w:top w:val="nil"/>
              <w:left w:val="nil"/>
              <w:bottom w:val="double" w:sz="6" w:space="0" w:color="auto"/>
              <w:right w:val="nil"/>
            </w:tcBorders>
            <w:shd w:val="clear" w:color="auto" w:fill="auto"/>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Základní</w:t>
            </w:r>
          </w:p>
        </w:tc>
        <w:tc>
          <w:tcPr>
            <w:tcW w:w="1500" w:type="dxa"/>
            <w:tcBorders>
              <w:top w:val="nil"/>
              <w:left w:val="nil"/>
              <w:bottom w:val="double" w:sz="6" w:space="0" w:color="auto"/>
              <w:right w:val="nil"/>
            </w:tcBorders>
            <w:shd w:val="clear" w:color="auto" w:fill="auto"/>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Střední bez maturity</w:t>
            </w:r>
          </w:p>
        </w:tc>
        <w:tc>
          <w:tcPr>
            <w:tcW w:w="1394" w:type="dxa"/>
            <w:tcBorders>
              <w:top w:val="nil"/>
              <w:left w:val="nil"/>
              <w:bottom w:val="double" w:sz="6" w:space="0" w:color="auto"/>
              <w:right w:val="nil"/>
            </w:tcBorders>
            <w:shd w:val="clear" w:color="auto" w:fill="auto"/>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Střední s maturitou</w:t>
            </w:r>
          </w:p>
        </w:tc>
        <w:tc>
          <w:tcPr>
            <w:tcW w:w="1500" w:type="dxa"/>
            <w:tcBorders>
              <w:top w:val="nil"/>
              <w:left w:val="nil"/>
              <w:bottom w:val="double" w:sz="6" w:space="0" w:color="auto"/>
              <w:right w:val="single" w:sz="4" w:space="0" w:color="auto"/>
            </w:tcBorders>
            <w:shd w:val="clear" w:color="auto" w:fill="auto"/>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Vysoko-školské</w:t>
            </w:r>
          </w:p>
        </w:tc>
        <w:tc>
          <w:tcPr>
            <w:tcW w:w="1500" w:type="dxa"/>
            <w:tcBorders>
              <w:top w:val="nil"/>
              <w:left w:val="nil"/>
              <w:bottom w:val="double" w:sz="6" w:space="0" w:color="auto"/>
              <w:right w:val="nil"/>
            </w:tcBorders>
            <w:shd w:val="clear" w:color="auto" w:fill="auto"/>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Celkem</w:t>
            </w:r>
          </w:p>
        </w:tc>
      </w:tr>
      <w:tr w:rsidR="00A4083A" w:rsidRPr="00D17312" w:rsidTr="00A41CAB">
        <w:trPr>
          <w:gridAfter w:val="1"/>
          <w:wAfter w:w="33" w:type="dxa"/>
          <w:trHeight w:val="615"/>
        </w:trPr>
        <w:tc>
          <w:tcPr>
            <w:tcW w:w="567" w:type="dxa"/>
            <w:vMerge w:val="restart"/>
            <w:tcBorders>
              <w:top w:val="nil"/>
              <w:left w:val="nil"/>
              <w:bottom w:val="double" w:sz="6" w:space="0" w:color="000000"/>
              <w:right w:val="nil"/>
            </w:tcBorders>
            <w:shd w:val="clear" w:color="auto" w:fill="auto"/>
            <w:textDirection w:val="btLr"/>
            <w:vAlign w:val="center"/>
            <w:hideMark/>
          </w:tcPr>
          <w:p w:rsidR="00A4083A" w:rsidRPr="00D17312" w:rsidRDefault="00A4083A" w:rsidP="00A41CAB">
            <w:pPr>
              <w:spacing w:line="240" w:lineRule="auto"/>
              <w:ind w:left="113" w:right="113"/>
              <w:jc w:val="center"/>
              <w:rPr>
                <w:rFonts w:eastAsia="Times New Roman"/>
                <w:b/>
                <w:szCs w:val="24"/>
                <w:lang w:eastAsia="cs-CZ"/>
              </w:rPr>
            </w:pPr>
            <w:r w:rsidRPr="00D17312">
              <w:rPr>
                <w:rFonts w:eastAsia="Times New Roman"/>
                <w:b/>
                <w:szCs w:val="24"/>
                <w:lang w:eastAsia="cs-CZ"/>
              </w:rPr>
              <w:t>Vzdělání manžela</w:t>
            </w:r>
          </w:p>
        </w:tc>
        <w:tc>
          <w:tcPr>
            <w:tcW w:w="1418" w:type="dxa"/>
            <w:tcBorders>
              <w:top w:val="nil"/>
              <w:left w:val="nil"/>
              <w:bottom w:val="single" w:sz="4" w:space="0" w:color="auto"/>
              <w:right w:val="double" w:sz="6" w:space="0" w:color="auto"/>
            </w:tcBorders>
            <w:shd w:val="clear" w:color="auto" w:fill="auto"/>
            <w:vAlign w:val="center"/>
            <w:hideMark/>
          </w:tcPr>
          <w:p w:rsidR="00A4083A" w:rsidRPr="00D17312" w:rsidRDefault="00A4083A" w:rsidP="00A41CAB">
            <w:pPr>
              <w:spacing w:line="240" w:lineRule="auto"/>
              <w:jc w:val="left"/>
              <w:rPr>
                <w:rFonts w:eastAsia="Times New Roman"/>
                <w:b/>
                <w:szCs w:val="24"/>
                <w:lang w:eastAsia="cs-CZ"/>
              </w:rPr>
            </w:pPr>
            <w:r w:rsidRPr="00D17312">
              <w:rPr>
                <w:rFonts w:eastAsia="Times New Roman"/>
                <w:b/>
                <w:szCs w:val="24"/>
                <w:lang w:eastAsia="cs-CZ"/>
              </w:rPr>
              <w:t>Základní</w:t>
            </w:r>
          </w:p>
        </w:tc>
        <w:tc>
          <w:tcPr>
            <w:tcW w:w="1276"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273</w:t>
            </w:r>
          </w:p>
        </w:tc>
        <w:tc>
          <w:tcPr>
            <w:tcW w:w="150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292</w:t>
            </w:r>
          </w:p>
        </w:tc>
        <w:tc>
          <w:tcPr>
            <w:tcW w:w="139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200</w:t>
            </w:r>
          </w:p>
        </w:tc>
        <w:tc>
          <w:tcPr>
            <w:tcW w:w="150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37</w:t>
            </w:r>
          </w:p>
        </w:tc>
        <w:tc>
          <w:tcPr>
            <w:tcW w:w="1500" w:type="dxa"/>
            <w:tcBorders>
              <w:top w:val="nil"/>
              <w:left w:val="single" w:sz="4" w:space="0" w:color="auto"/>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802</w:t>
            </w:r>
          </w:p>
        </w:tc>
      </w:tr>
      <w:tr w:rsidR="00A4083A" w:rsidRPr="00D17312" w:rsidTr="00A41CAB">
        <w:trPr>
          <w:gridAfter w:val="1"/>
          <w:wAfter w:w="33" w:type="dxa"/>
          <w:trHeight w:val="615"/>
        </w:trPr>
        <w:tc>
          <w:tcPr>
            <w:tcW w:w="567" w:type="dxa"/>
            <w:vMerge/>
            <w:tcBorders>
              <w:top w:val="nil"/>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szCs w:val="24"/>
                <w:lang w:eastAsia="cs-CZ"/>
              </w:rPr>
            </w:pPr>
          </w:p>
        </w:tc>
        <w:tc>
          <w:tcPr>
            <w:tcW w:w="1418" w:type="dxa"/>
            <w:tcBorders>
              <w:top w:val="nil"/>
              <w:left w:val="nil"/>
              <w:bottom w:val="single" w:sz="4" w:space="0" w:color="auto"/>
              <w:right w:val="double" w:sz="6" w:space="0" w:color="auto"/>
            </w:tcBorders>
            <w:shd w:val="clear" w:color="auto" w:fill="auto"/>
            <w:vAlign w:val="center"/>
            <w:hideMark/>
          </w:tcPr>
          <w:p w:rsidR="00A4083A" w:rsidRPr="00D17312" w:rsidRDefault="00A4083A" w:rsidP="00A41CAB">
            <w:pPr>
              <w:spacing w:line="240" w:lineRule="auto"/>
              <w:jc w:val="left"/>
              <w:rPr>
                <w:rFonts w:eastAsia="Times New Roman"/>
                <w:b/>
                <w:szCs w:val="24"/>
                <w:lang w:eastAsia="cs-CZ"/>
              </w:rPr>
            </w:pPr>
            <w:r w:rsidRPr="00D17312">
              <w:rPr>
                <w:rFonts w:eastAsia="Times New Roman"/>
                <w:b/>
                <w:szCs w:val="24"/>
                <w:lang w:eastAsia="cs-CZ"/>
              </w:rPr>
              <w:t>Střední bez maturity</w:t>
            </w:r>
          </w:p>
        </w:tc>
        <w:tc>
          <w:tcPr>
            <w:tcW w:w="1276"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541</w:t>
            </w:r>
          </w:p>
        </w:tc>
        <w:tc>
          <w:tcPr>
            <w:tcW w:w="150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2 818</w:t>
            </w:r>
          </w:p>
        </w:tc>
        <w:tc>
          <w:tcPr>
            <w:tcW w:w="139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2 239</w:t>
            </w:r>
          </w:p>
        </w:tc>
        <w:tc>
          <w:tcPr>
            <w:tcW w:w="150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465</w:t>
            </w:r>
          </w:p>
        </w:tc>
        <w:tc>
          <w:tcPr>
            <w:tcW w:w="1500" w:type="dxa"/>
            <w:tcBorders>
              <w:top w:val="nil"/>
              <w:left w:val="single" w:sz="4" w:space="0" w:color="auto"/>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6 063</w:t>
            </w:r>
          </w:p>
        </w:tc>
      </w:tr>
      <w:tr w:rsidR="00A4083A" w:rsidRPr="00D17312" w:rsidTr="00A41CAB">
        <w:trPr>
          <w:gridAfter w:val="1"/>
          <w:wAfter w:w="33" w:type="dxa"/>
          <w:trHeight w:val="615"/>
        </w:trPr>
        <w:tc>
          <w:tcPr>
            <w:tcW w:w="567" w:type="dxa"/>
            <w:vMerge/>
            <w:tcBorders>
              <w:top w:val="nil"/>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szCs w:val="24"/>
                <w:lang w:eastAsia="cs-CZ"/>
              </w:rPr>
            </w:pPr>
          </w:p>
        </w:tc>
        <w:tc>
          <w:tcPr>
            <w:tcW w:w="1418" w:type="dxa"/>
            <w:tcBorders>
              <w:top w:val="nil"/>
              <w:left w:val="nil"/>
              <w:bottom w:val="single" w:sz="4" w:space="0" w:color="auto"/>
              <w:right w:val="double" w:sz="6" w:space="0" w:color="auto"/>
            </w:tcBorders>
            <w:shd w:val="clear" w:color="auto" w:fill="auto"/>
            <w:vAlign w:val="center"/>
            <w:hideMark/>
          </w:tcPr>
          <w:p w:rsidR="00A4083A" w:rsidRPr="00D17312" w:rsidRDefault="00A4083A" w:rsidP="00A41CAB">
            <w:pPr>
              <w:spacing w:line="240" w:lineRule="auto"/>
              <w:jc w:val="left"/>
              <w:rPr>
                <w:rFonts w:eastAsia="Times New Roman"/>
                <w:b/>
                <w:szCs w:val="24"/>
                <w:lang w:eastAsia="cs-CZ"/>
              </w:rPr>
            </w:pPr>
            <w:r w:rsidRPr="00D17312">
              <w:rPr>
                <w:rFonts w:eastAsia="Times New Roman"/>
                <w:b/>
                <w:szCs w:val="24"/>
                <w:lang w:eastAsia="cs-CZ"/>
              </w:rPr>
              <w:t>Střední s maturitou</w:t>
            </w:r>
          </w:p>
        </w:tc>
        <w:tc>
          <w:tcPr>
            <w:tcW w:w="1276"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194</w:t>
            </w:r>
          </w:p>
        </w:tc>
        <w:tc>
          <w:tcPr>
            <w:tcW w:w="150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929</w:t>
            </w:r>
          </w:p>
        </w:tc>
        <w:tc>
          <w:tcPr>
            <w:tcW w:w="139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2 930</w:t>
            </w:r>
          </w:p>
        </w:tc>
        <w:tc>
          <w:tcPr>
            <w:tcW w:w="150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933</w:t>
            </w:r>
          </w:p>
        </w:tc>
        <w:tc>
          <w:tcPr>
            <w:tcW w:w="1500" w:type="dxa"/>
            <w:tcBorders>
              <w:top w:val="nil"/>
              <w:left w:val="single" w:sz="4" w:space="0" w:color="auto"/>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4 986</w:t>
            </w:r>
          </w:p>
        </w:tc>
      </w:tr>
      <w:tr w:rsidR="00A4083A" w:rsidRPr="00D17312" w:rsidTr="00A41CAB">
        <w:trPr>
          <w:gridAfter w:val="1"/>
          <w:wAfter w:w="33" w:type="dxa"/>
          <w:trHeight w:val="615"/>
        </w:trPr>
        <w:tc>
          <w:tcPr>
            <w:tcW w:w="567" w:type="dxa"/>
            <w:vMerge/>
            <w:tcBorders>
              <w:top w:val="nil"/>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szCs w:val="24"/>
                <w:lang w:eastAsia="cs-CZ"/>
              </w:rPr>
            </w:pPr>
          </w:p>
        </w:tc>
        <w:tc>
          <w:tcPr>
            <w:tcW w:w="1418" w:type="dxa"/>
            <w:tcBorders>
              <w:top w:val="nil"/>
              <w:left w:val="nil"/>
              <w:bottom w:val="nil"/>
              <w:right w:val="double" w:sz="6" w:space="0" w:color="auto"/>
            </w:tcBorders>
            <w:shd w:val="clear" w:color="auto" w:fill="auto"/>
            <w:vAlign w:val="center"/>
            <w:hideMark/>
          </w:tcPr>
          <w:p w:rsidR="00A4083A" w:rsidRPr="00D17312" w:rsidRDefault="00A4083A" w:rsidP="00A41CAB">
            <w:pPr>
              <w:spacing w:line="240" w:lineRule="auto"/>
              <w:jc w:val="left"/>
              <w:rPr>
                <w:rFonts w:eastAsia="Times New Roman"/>
                <w:b/>
                <w:szCs w:val="24"/>
                <w:lang w:eastAsia="cs-CZ"/>
              </w:rPr>
            </w:pPr>
            <w:r w:rsidRPr="00D17312">
              <w:rPr>
                <w:rFonts w:eastAsia="Times New Roman"/>
                <w:b/>
                <w:szCs w:val="24"/>
                <w:lang w:eastAsia="cs-CZ"/>
              </w:rPr>
              <w:t>Vysoko-školské</w:t>
            </w:r>
          </w:p>
        </w:tc>
        <w:tc>
          <w:tcPr>
            <w:tcW w:w="1276"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21</w:t>
            </w:r>
          </w:p>
        </w:tc>
        <w:tc>
          <w:tcPr>
            <w:tcW w:w="1500"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144</w:t>
            </w:r>
          </w:p>
        </w:tc>
        <w:tc>
          <w:tcPr>
            <w:tcW w:w="1394"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896</w:t>
            </w:r>
          </w:p>
        </w:tc>
        <w:tc>
          <w:tcPr>
            <w:tcW w:w="1500"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1 910</w:t>
            </w:r>
          </w:p>
        </w:tc>
        <w:tc>
          <w:tcPr>
            <w:tcW w:w="1500" w:type="dxa"/>
            <w:tcBorders>
              <w:top w:val="single" w:sz="4" w:space="0" w:color="auto"/>
              <w:left w:val="single" w:sz="4" w:space="0" w:color="auto"/>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2 971</w:t>
            </w:r>
          </w:p>
        </w:tc>
      </w:tr>
      <w:tr w:rsidR="00A4083A" w:rsidRPr="00D17312" w:rsidTr="00A41CAB">
        <w:trPr>
          <w:gridAfter w:val="1"/>
          <w:wAfter w:w="33" w:type="dxa"/>
          <w:trHeight w:val="615"/>
        </w:trPr>
        <w:tc>
          <w:tcPr>
            <w:tcW w:w="567" w:type="dxa"/>
            <w:vMerge/>
            <w:tcBorders>
              <w:top w:val="nil"/>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szCs w:val="24"/>
                <w:lang w:eastAsia="cs-CZ"/>
              </w:rPr>
            </w:pPr>
          </w:p>
        </w:tc>
        <w:tc>
          <w:tcPr>
            <w:tcW w:w="1418" w:type="dxa"/>
            <w:tcBorders>
              <w:top w:val="single" w:sz="4" w:space="0" w:color="auto"/>
              <w:left w:val="nil"/>
              <w:bottom w:val="double" w:sz="6" w:space="0" w:color="auto"/>
              <w:right w:val="double" w:sz="6" w:space="0" w:color="auto"/>
            </w:tcBorders>
            <w:shd w:val="clear" w:color="auto" w:fill="auto"/>
            <w:vAlign w:val="center"/>
            <w:hideMark/>
          </w:tcPr>
          <w:p w:rsidR="00A4083A" w:rsidRPr="00D17312" w:rsidRDefault="00A4083A" w:rsidP="00A41CAB">
            <w:pPr>
              <w:spacing w:line="240" w:lineRule="auto"/>
              <w:jc w:val="left"/>
              <w:rPr>
                <w:rFonts w:eastAsia="Times New Roman"/>
                <w:b/>
                <w:szCs w:val="24"/>
                <w:lang w:eastAsia="cs-CZ"/>
              </w:rPr>
            </w:pPr>
            <w:r w:rsidRPr="00D17312">
              <w:rPr>
                <w:rFonts w:eastAsia="Times New Roman"/>
                <w:b/>
                <w:szCs w:val="24"/>
                <w:lang w:eastAsia="cs-CZ"/>
              </w:rPr>
              <w:t>Celkem</w:t>
            </w:r>
          </w:p>
        </w:tc>
        <w:tc>
          <w:tcPr>
            <w:tcW w:w="1276"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1 029</w:t>
            </w:r>
          </w:p>
        </w:tc>
        <w:tc>
          <w:tcPr>
            <w:tcW w:w="150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4 183</w:t>
            </w:r>
          </w:p>
        </w:tc>
        <w:tc>
          <w:tcPr>
            <w:tcW w:w="1394"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6 265</w:t>
            </w:r>
          </w:p>
        </w:tc>
        <w:tc>
          <w:tcPr>
            <w:tcW w:w="150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3 345</w:t>
            </w:r>
          </w:p>
        </w:tc>
        <w:tc>
          <w:tcPr>
            <w:tcW w:w="1500" w:type="dxa"/>
            <w:tcBorders>
              <w:top w:val="nil"/>
              <w:left w:val="single" w:sz="4" w:space="0" w:color="auto"/>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14 822</w:t>
            </w:r>
          </w:p>
        </w:tc>
      </w:tr>
    </w:tbl>
    <w:p w:rsidR="00A4083A" w:rsidRPr="00D17312" w:rsidRDefault="00A4083A" w:rsidP="00A4083A">
      <w:pPr>
        <w:pStyle w:val="OdstavecASR"/>
      </w:pPr>
    </w:p>
    <w:p w:rsidR="00A4083A" w:rsidRPr="00D17312" w:rsidRDefault="00A4083A" w:rsidP="00A4083A">
      <w:pPr>
        <w:pStyle w:val="OdstavecASR"/>
      </w:pPr>
      <w:r w:rsidRPr="00D17312">
        <w:t>Z tabulky lze vyčíst například následující</w:t>
      </w:r>
      <w:r>
        <w:t xml:space="preserve"> informace</w:t>
      </w:r>
      <w:r w:rsidRPr="00D17312">
        <w:t>:</w:t>
      </w:r>
    </w:p>
    <w:p w:rsidR="00A4083A" w:rsidRDefault="00A4083A" w:rsidP="00A4083A">
      <w:pPr>
        <w:pStyle w:val="OdstavecASR"/>
        <w:numPr>
          <w:ilvl w:val="0"/>
          <w:numId w:val="21"/>
        </w:numPr>
      </w:pPr>
      <w:r w:rsidRPr="00D17312">
        <w:t>Asi v 54</w:t>
      </w:r>
      <w:r>
        <w:t> % </w:t>
      </w:r>
      <w:r w:rsidRPr="00D17312">
        <w:t>měli při rozvodu manželé stejné vzdělání, v 18</w:t>
      </w:r>
      <w:r>
        <w:t> % </w:t>
      </w:r>
      <w:r w:rsidRPr="00D17312">
        <w:t>měl vyšší vzdělání manžel a v 28</w:t>
      </w:r>
      <w:r>
        <w:t> % </w:t>
      </w:r>
      <w:r w:rsidRPr="00D17312">
        <w:t>měla vyšší vzdělání manželka.</w:t>
      </w:r>
    </w:p>
    <w:p w:rsidR="00A4083A" w:rsidRPr="00D17312" w:rsidRDefault="00A4083A" w:rsidP="00A4083A">
      <w:pPr>
        <w:pStyle w:val="OdstavecASR"/>
        <w:numPr>
          <w:ilvl w:val="0"/>
          <w:numId w:val="21"/>
        </w:numPr>
      </w:pPr>
      <w:r w:rsidRPr="00D17312">
        <w:t>Pouze u 0,39</w:t>
      </w:r>
      <w:r>
        <w:t> % </w:t>
      </w:r>
      <w:r w:rsidRPr="00D17312">
        <w:t>rozvodů měl jeden z partnerů vysokoškolské vzdělání a druhý vzdělání základní.</w:t>
      </w:r>
    </w:p>
    <w:p w:rsidR="00A4083A" w:rsidRPr="00D17312" w:rsidRDefault="00A4083A" w:rsidP="00A4083A">
      <w:pPr>
        <w:pStyle w:val="OdstavecASR"/>
        <w:numPr>
          <w:ilvl w:val="0"/>
          <w:numId w:val="21"/>
        </w:numPr>
      </w:pPr>
      <w:r w:rsidRPr="00D17312">
        <w:t>U poloviny rozvodů (50,1</w:t>
      </w:r>
      <w:r>
        <w:t> %</w:t>
      </w:r>
      <w:r w:rsidRPr="00D17312">
        <w:t>) měl jeden z partnerů středoškolské vzdělání bez maturity.</w:t>
      </w:r>
    </w:p>
    <w:p w:rsidR="00A4083A" w:rsidRPr="00D17312" w:rsidRDefault="00A4083A" w:rsidP="00A4083A">
      <w:pPr>
        <w:pStyle w:val="OdstavecASR"/>
      </w:pPr>
      <w:r w:rsidRPr="00D17312">
        <w:t>V následující tabulce jsou uvedeny výsledky rozvodového řízení.</w:t>
      </w:r>
    </w:p>
    <w:p w:rsidR="00A4083A" w:rsidRPr="00D17312" w:rsidRDefault="00A4083A" w:rsidP="00A4083A">
      <w:pPr>
        <w:pStyle w:val="Podnadpis"/>
        <w:rPr>
          <w:color w:val="auto"/>
        </w:rPr>
      </w:pPr>
      <w:bookmarkStart w:id="135" w:name="_Toc43931189"/>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16</w:t>
      </w:r>
      <w:r w:rsidRPr="00D17312">
        <w:rPr>
          <w:color w:val="auto"/>
        </w:rPr>
        <w:fldChar w:fldCharType="end"/>
      </w:r>
      <w:r w:rsidRPr="00D17312">
        <w:rPr>
          <w:color w:val="auto"/>
        </w:rPr>
        <w:t xml:space="preserve">: OS – </w:t>
      </w:r>
      <w:r w:rsidR="000B679B">
        <w:rPr>
          <w:color w:val="auto"/>
        </w:rPr>
        <w:t xml:space="preserve">výsledky </w:t>
      </w:r>
      <w:r w:rsidRPr="00D17312">
        <w:rPr>
          <w:color w:val="auto"/>
        </w:rPr>
        <w:t>rozvodových řízení</w:t>
      </w:r>
      <w:bookmarkEnd w:id="135"/>
    </w:p>
    <w:tbl>
      <w:tblPr>
        <w:tblW w:w="7260" w:type="dxa"/>
        <w:tblCellMar>
          <w:left w:w="70" w:type="dxa"/>
          <w:right w:w="70" w:type="dxa"/>
        </w:tblCellMar>
        <w:tblLook w:val="04A0" w:firstRow="1" w:lastRow="0" w:firstColumn="1" w:lastColumn="0" w:noHBand="0" w:noVBand="1"/>
      </w:tblPr>
      <w:tblGrid>
        <w:gridCol w:w="1080"/>
        <w:gridCol w:w="3460"/>
        <w:gridCol w:w="1360"/>
        <w:gridCol w:w="1360"/>
      </w:tblGrid>
      <w:tr w:rsidR="00A4083A" w:rsidRPr="00D17312" w:rsidTr="00A41CAB">
        <w:trPr>
          <w:trHeight w:val="345"/>
        </w:trPr>
        <w:tc>
          <w:tcPr>
            <w:tcW w:w="4540" w:type="dxa"/>
            <w:gridSpan w:val="2"/>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Výsledek řízení</w:t>
            </w:r>
          </w:p>
        </w:tc>
        <w:tc>
          <w:tcPr>
            <w:tcW w:w="136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Počet</w:t>
            </w:r>
          </w:p>
        </w:tc>
        <w:tc>
          <w:tcPr>
            <w:tcW w:w="136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Podíl v</w:t>
            </w:r>
            <w:r>
              <w:rPr>
                <w:rFonts w:eastAsia="Times New Roman"/>
                <w:b/>
                <w:szCs w:val="24"/>
                <w:lang w:eastAsia="cs-CZ"/>
              </w:rPr>
              <w:t> %</w:t>
            </w:r>
          </w:p>
        </w:tc>
      </w:tr>
      <w:tr w:rsidR="00A4083A" w:rsidRPr="00D17312" w:rsidTr="00A41CAB">
        <w:trPr>
          <w:trHeight w:val="330"/>
        </w:trPr>
        <w:tc>
          <w:tcPr>
            <w:tcW w:w="1080" w:type="dxa"/>
            <w:vMerge w:val="restart"/>
            <w:tcBorders>
              <w:top w:val="nil"/>
              <w:left w:val="nil"/>
              <w:bottom w:val="single" w:sz="4" w:space="0" w:color="auto"/>
              <w:right w:val="nil"/>
            </w:tcBorders>
            <w:shd w:val="clear" w:color="auto" w:fill="auto"/>
            <w:textDirection w:val="btLr"/>
            <w:vAlign w:val="center"/>
            <w:hideMark/>
          </w:tcPr>
          <w:p w:rsidR="00A4083A" w:rsidRPr="00D17312" w:rsidRDefault="00A4083A" w:rsidP="00A41CAB">
            <w:pPr>
              <w:spacing w:line="240" w:lineRule="auto"/>
              <w:jc w:val="center"/>
              <w:rPr>
                <w:rFonts w:ascii="Times New Roman" w:eastAsia="Times New Roman" w:hAnsi="Times New Roman"/>
                <w:b/>
                <w:szCs w:val="24"/>
                <w:lang w:eastAsia="cs-CZ"/>
              </w:rPr>
            </w:pPr>
            <w:r w:rsidRPr="00D17312">
              <w:rPr>
                <w:rFonts w:ascii="Times New Roman" w:eastAsia="Times New Roman" w:hAnsi="Times New Roman"/>
                <w:b/>
                <w:szCs w:val="24"/>
                <w:lang w:eastAsia="cs-CZ"/>
              </w:rPr>
              <w:t>rozvedeno</w:t>
            </w:r>
          </w:p>
        </w:tc>
        <w:tc>
          <w:tcPr>
            <w:tcW w:w="346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proti návrhu muže</w:t>
            </w:r>
          </w:p>
        </w:tc>
        <w:tc>
          <w:tcPr>
            <w:tcW w:w="13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433</w:t>
            </w:r>
          </w:p>
        </w:tc>
        <w:tc>
          <w:tcPr>
            <w:tcW w:w="13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1,64</w:t>
            </w:r>
          </w:p>
        </w:tc>
      </w:tr>
      <w:tr w:rsidR="00A4083A" w:rsidRPr="00D17312" w:rsidTr="00A41CAB">
        <w:trPr>
          <w:trHeight w:val="315"/>
        </w:trPr>
        <w:tc>
          <w:tcPr>
            <w:tcW w:w="1080" w:type="dxa"/>
            <w:vMerge/>
            <w:tcBorders>
              <w:top w:val="nil"/>
              <w:left w:val="nil"/>
              <w:bottom w:val="single" w:sz="4" w:space="0" w:color="auto"/>
              <w:right w:val="nil"/>
            </w:tcBorders>
            <w:vAlign w:val="center"/>
            <w:hideMark/>
          </w:tcPr>
          <w:p w:rsidR="00A4083A" w:rsidRPr="00D17312" w:rsidRDefault="00A4083A" w:rsidP="00A41CAB">
            <w:pPr>
              <w:spacing w:line="240" w:lineRule="auto"/>
              <w:jc w:val="left"/>
              <w:rPr>
                <w:rFonts w:ascii="Times New Roman" w:eastAsia="Times New Roman" w:hAnsi="Times New Roman"/>
                <w:b/>
                <w:szCs w:val="24"/>
                <w:lang w:eastAsia="cs-CZ"/>
              </w:rPr>
            </w:pPr>
          </w:p>
        </w:tc>
        <w:tc>
          <w:tcPr>
            <w:tcW w:w="346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proti návrhu ženy</w:t>
            </w:r>
          </w:p>
        </w:tc>
        <w:tc>
          <w:tcPr>
            <w:tcW w:w="13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382</w:t>
            </w:r>
          </w:p>
        </w:tc>
        <w:tc>
          <w:tcPr>
            <w:tcW w:w="13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1,45</w:t>
            </w:r>
          </w:p>
        </w:tc>
      </w:tr>
      <w:tr w:rsidR="00A4083A" w:rsidRPr="00D17312" w:rsidTr="00A41CAB">
        <w:trPr>
          <w:trHeight w:val="315"/>
        </w:trPr>
        <w:tc>
          <w:tcPr>
            <w:tcW w:w="1080" w:type="dxa"/>
            <w:vMerge/>
            <w:tcBorders>
              <w:top w:val="nil"/>
              <w:left w:val="nil"/>
              <w:bottom w:val="single" w:sz="4" w:space="0" w:color="auto"/>
              <w:right w:val="nil"/>
            </w:tcBorders>
            <w:vAlign w:val="center"/>
            <w:hideMark/>
          </w:tcPr>
          <w:p w:rsidR="00A4083A" w:rsidRPr="00D17312" w:rsidRDefault="00A4083A" w:rsidP="00A41CAB">
            <w:pPr>
              <w:spacing w:line="240" w:lineRule="auto"/>
              <w:jc w:val="left"/>
              <w:rPr>
                <w:rFonts w:ascii="Times New Roman" w:eastAsia="Times New Roman" w:hAnsi="Times New Roman"/>
                <w:b/>
                <w:szCs w:val="24"/>
                <w:lang w:eastAsia="cs-CZ"/>
              </w:rPr>
            </w:pPr>
          </w:p>
        </w:tc>
        <w:tc>
          <w:tcPr>
            <w:tcW w:w="346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souhlas obou</w:t>
            </w:r>
          </w:p>
        </w:tc>
        <w:tc>
          <w:tcPr>
            <w:tcW w:w="13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23 682</w:t>
            </w:r>
          </w:p>
        </w:tc>
        <w:tc>
          <w:tcPr>
            <w:tcW w:w="13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89,77</w:t>
            </w:r>
          </w:p>
        </w:tc>
      </w:tr>
      <w:tr w:rsidR="00A4083A" w:rsidRPr="00D17312" w:rsidTr="00A41CAB">
        <w:trPr>
          <w:trHeight w:val="315"/>
        </w:trPr>
        <w:tc>
          <w:tcPr>
            <w:tcW w:w="1080" w:type="dxa"/>
            <w:vMerge/>
            <w:tcBorders>
              <w:top w:val="nil"/>
              <w:left w:val="nil"/>
              <w:bottom w:val="single" w:sz="4" w:space="0" w:color="auto"/>
              <w:right w:val="nil"/>
            </w:tcBorders>
            <w:vAlign w:val="center"/>
            <w:hideMark/>
          </w:tcPr>
          <w:p w:rsidR="00A4083A" w:rsidRPr="00D17312" w:rsidRDefault="00A4083A" w:rsidP="00A41CAB">
            <w:pPr>
              <w:spacing w:line="240" w:lineRule="auto"/>
              <w:jc w:val="left"/>
              <w:rPr>
                <w:rFonts w:ascii="Times New Roman" w:eastAsia="Times New Roman" w:hAnsi="Times New Roman"/>
                <w:b/>
                <w:szCs w:val="24"/>
                <w:lang w:eastAsia="cs-CZ"/>
              </w:rPr>
            </w:pPr>
          </w:p>
        </w:tc>
        <w:tc>
          <w:tcPr>
            <w:tcW w:w="346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manžel/ka v cizině</w:t>
            </w:r>
          </w:p>
        </w:tc>
        <w:tc>
          <w:tcPr>
            <w:tcW w:w="13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97</w:t>
            </w:r>
          </w:p>
        </w:tc>
        <w:tc>
          <w:tcPr>
            <w:tcW w:w="13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0,37</w:t>
            </w:r>
          </w:p>
        </w:tc>
      </w:tr>
      <w:tr w:rsidR="00A4083A" w:rsidRPr="00D17312" w:rsidTr="00A41CAB">
        <w:trPr>
          <w:trHeight w:val="315"/>
        </w:trPr>
        <w:tc>
          <w:tcPr>
            <w:tcW w:w="1080" w:type="dxa"/>
            <w:vMerge w:val="restart"/>
            <w:tcBorders>
              <w:top w:val="nil"/>
              <w:left w:val="nil"/>
              <w:bottom w:val="double" w:sz="6" w:space="0" w:color="000000"/>
              <w:right w:val="nil"/>
            </w:tcBorders>
            <w:shd w:val="clear" w:color="auto" w:fill="auto"/>
            <w:textDirection w:val="btLr"/>
            <w:vAlign w:val="center"/>
            <w:hideMark/>
          </w:tcPr>
          <w:p w:rsidR="00A4083A" w:rsidRPr="00D17312" w:rsidRDefault="00A4083A" w:rsidP="00A41CAB">
            <w:pPr>
              <w:spacing w:line="240" w:lineRule="auto"/>
              <w:jc w:val="center"/>
              <w:rPr>
                <w:rFonts w:ascii="Times New Roman" w:eastAsia="Times New Roman" w:hAnsi="Times New Roman"/>
                <w:b/>
                <w:szCs w:val="24"/>
                <w:lang w:eastAsia="cs-CZ"/>
              </w:rPr>
            </w:pPr>
            <w:r w:rsidRPr="00D17312">
              <w:rPr>
                <w:rFonts w:ascii="Times New Roman" w:eastAsia="Times New Roman" w:hAnsi="Times New Roman"/>
                <w:b/>
                <w:szCs w:val="24"/>
                <w:lang w:eastAsia="cs-CZ"/>
              </w:rPr>
              <w:t>manželství nerozvedeno</w:t>
            </w:r>
          </w:p>
        </w:tc>
        <w:tc>
          <w:tcPr>
            <w:tcW w:w="346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návrh zamítnut</w:t>
            </w:r>
          </w:p>
        </w:tc>
        <w:tc>
          <w:tcPr>
            <w:tcW w:w="13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21</w:t>
            </w:r>
          </w:p>
        </w:tc>
        <w:tc>
          <w:tcPr>
            <w:tcW w:w="13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0,08</w:t>
            </w:r>
          </w:p>
        </w:tc>
      </w:tr>
      <w:tr w:rsidR="00A4083A" w:rsidRPr="00D17312" w:rsidTr="00A41CAB">
        <w:trPr>
          <w:trHeight w:val="315"/>
        </w:trPr>
        <w:tc>
          <w:tcPr>
            <w:tcW w:w="1080" w:type="dxa"/>
            <w:vMerge/>
            <w:tcBorders>
              <w:top w:val="nil"/>
              <w:left w:val="nil"/>
              <w:bottom w:val="double" w:sz="6" w:space="0" w:color="000000"/>
              <w:right w:val="nil"/>
            </w:tcBorders>
            <w:vAlign w:val="center"/>
            <w:hideMark/>
          </w:tcPr>
          <w:p w:rsidR="00A4083A" w:rsidRPr="00D17312" w:rsidRDefault="00A4083A" w:rsidP="00A41CAB">
            <w:pPr>
              <w:spacing w:line="240" w:lineRule="auto"/>
              <w:jc w:val="left"/>
              <w:rPr>
                <w:rFonts w:ascii="Times New Roman" w:eastAsia="Times New Roman" w:hAnsi="Times New Roman"/>
                <w:szCs w:val="24"/>
                <w:lang w:eastAsia="cs-CZ"/>
              </w:rPr>
            </w:pPr>
          </w:p>
        </w:tc>
        <w:tc>
          <w:tcPr>
            <w:tcW w:w="346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návrh vzat zpět</w:t>
            </w:r>
          </w:p>
        </w:tc>
        <w:tc>
          <w:tcPr>
            <w:tcW w:w="13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1 142</w:t>
            </w:r>
          </w:p>
        </w:tc>
        <w:tc>
          <w:tcPr>
            <w:tcW w:w="13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4,33</w:t>
            </w:r>
          </w:p>
        </w:tc>
      </w:tr>
      <w:tr w:rsidR="00A4083A" w:rsidRPr="00D17312" w:rsidTr="00A41CAB">
        <w:trPr>
          <w:trHeight w:val="315"/>
        </w:trPr>
        <w:tc>
          <w:tcPr>
            <w:tcW w:w="1080" w:type="dxa"/>
            <w:vMerge/>
            <w:tcBorders>
              <w:top w:val="nil"/>
              <w:left w:val="nil"/>
              <w:bottom w:val="double" w:sz="6" w:space="0" w:color="000000"/>
              <w:right w:val="nil"/>
            </w:tcBorders>
            <w:vAlign w:val="center"/>
            <w:hideMark/>
          </w:tcPr>
          <w:p w:rsidR="00A4083A" w:rsidRPr="00D17312" w:rsidRDefault="00A4083A" w:rsidP="00A41CAB">
            <w:pPr>
              <w:spacing w:line="240" w:lineRule="auto"/>
              <w:jc w:val="left"/>
              <w:rPr>
                <w:rFonts w:ascii="Times New Roman" w:eastAsia="Times New Roman" w:hAnsi="Times New Roman"/>
                <w:szCs w:val="24"/>
                <w:lang w:eastAsia="cs-CZ"/>
              </w:rPr>
            </w:pPr>
          </w:p>
        </w:tc>
        <w:tc>
          <w:tcPr>
            <w:tcW w:w="346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řízení zaniklo po přerušení</w:t>
            </w:r>
          </w:p>
        </w:tc>
        <w:tc>
          <w:tcPr>
            <w:tcW w:w="13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70</w:t>
            </w:r>
          </w:p>
        </w:tc>
        <w:tc>
          <w:tcPr>
            <w:tcW w:w="13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0,27</w:t>
            </w:r>
          </w:p>
        </w:tc>
      </w:tr>
      <w:tr w:rsidR="00A4083A" w:rsidRPr="00D17312" w:rsidTr="00A41CAB">
        <w:trPr>
          <w:trHeight w:val="315"/>
        </w:trPr>
        <w:tc>
          <w:tcPr>
            <w:tcW w:w="1080" w:type="dxa"/>
            <w:vMerge/>
            <w:tcBorders>
              <w:top w:val="nil"/>
              <w:left w:val="nil"/>
              <w:bottom w:val="double" w:sz="6" w:space="0" w:color="000000"/>
              <w:right w:val="nil"/>
            </w:tcBorders>
            <w:vAlign w:val="center"/>
            <w:hideMark/>
          </w:tcPr>
          <w:p w:rsidR="00A4083A" w:rsidRPr="00D17312" w:rsidRDefault="00A4083A" w:rsidP="00A41CAB">
            <w:pPr>
              <w:spacing w:line="240" w:lineRule="auto"/>
              <w:jc w:val="left"/>
              <w:rPr>
                <w:rFonts w:ascii="Times New Roman" w:eastAsia="Times New Roman" w:hAnsi="Times New Roman"/>
                <w:szCs w:val="24"/>
                <w:lang w:eastAsia="cs-CZ"/>
              </w:rPr>
            </w:pPr>
          </w:p>
        </w:tc>
        <w:tc>
          <w:tcPr>
            <w:tcW w:w="346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vyslovena neplatnost manželství</w:t>
            </w:r>
          </w:p>
        </w:tc>
        <w:tc>
          <w:tcPr>
            <w:tcW w:w="13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w:t>
            </w:r>
          </w:p>
        </w:tc>
        <w:tc>
          <w:tcPr>
            <w:tcW w:w="13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0,02</w:t>
            </w:r>
          </w:p>
        </w:tc>
      </w:tr>
      <w:tr w:rsidR="00A4083A" w:rsidRPr="00D17312" w:rsidTr="00A41CAB">
        <w:trPr>
          <w:trHeight w:val="330"/>
        </w:trPr>
        <w:tc>
          <w:tcPr>
            <w:tcW w:w="1080" w:type="dxa"/>
            <w:vMerge/>
            <w:tcBorders>
              <w:top w:val="nil"/>
              <w:left w:val="nil"/>
              <w:bottom w:val="double" w:sz="6" w:space="0" w:color="000000"/>
              <w:right w:val="nil"/>
            </w:tcBorders>
            <w:vAlign w:val="center"/>
            <w:hideMark/>
          </w:tcPr>
          <w:p w:rsidR="00A4083A" w:rsidRPr="00D17312" w:rsidRDefault="00A4083A" w:rsidP="00A41CAB">
            <w:pPr>
              <w:spacing w:line="240" w:lineRule="auto"/>
              <w:jc w:val="left"/>
              <w:rPr>
                <w:rFonts w:ascii="Times New Roman" w:eastAsia="Times New Roman" w:hAnsi="Times New Roman"/>
                <w:szCs w:val="24"/>
                <w:lang w:eastAsia="cs-CZ"/>
              </w:rPr>
            </w:pPr>
          </w:p>
        </w:tc>
        <w:tc>
          <w:tcPr>
            <w:tcW w:w="346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jinak</w:t>
            </w:r>
          </w:p>
        </w:tc>
        <w:tc>
          <w:tcPr>
            <w:tcW w:w="13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548</w:t>
            </w:r>
          </w:p>
        </w:tc>
        <w:tc>
          <w:tcPr>
            <w:tcW w:w="13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2,08</w:t>
            </w:r>
          </w:p>
        </w:tc>
      </w:tr>
    </w:tbl>
    <w:p w:rsidR="00A4083A" w:rsidRPr="00D17312" w:rsidRDefault="00A4083A" w:rsidP="00A4083A">
      <w:pPr>
        <w:pStyle w:val="OdstavecASR"/>
      </w:pPr>
    </w:p>
    <w:p w:rsidR="00A4083A" w:rsidRDefault="00A4083A" w:rsidP="00A4083A">
      <w:pPr>
        <w:pStyle w:val="OdstavecASR"/>
      </w:pPr>
      <w:bookmarkStart w:id="136" w:name="_Toc515871226"/>
      <w:r w:rsidRPr="00D17312">
        <w:t>Je patrné, že naprostá většina rozvodů skončí rozvedením manželství (asi 93</w:t>
      </w:r>
      <w:r>
        <w:t> %</w:t>
      </w:r>
      <w:r w:rsidRPr="00D17312">
        <w:t xml:space="preserve">), </w:t>
      </w:r>
      <w:r>
        <w:t>v drtivé většině případů se</w:t>
      </w:r>
      <w:r w:rsidRPr="00D17312">
        <w:t xml:space="preserve"> souhlasem obou</w:t>
      </w:r>
      <w:r>
        <w:t xml:space="preserve"> manželů</w:t>
      </w:r>
      <w:r w:rsidRPr="00D17312">
        <w:t>. V případě, že manželství rozvedeno není, je to nejčastěji z toho důvodu, že návrh byl vzat zpět. Jen 0,08</w:t>
      </w:r>
      <w:r>
        <w:t> %</w:t>
      </w:r>
      <w:r w:rsidRPr="00D17312">
        <w:t xml:space="preserve"> návrhů na rozvod bylo zamítnuto.</w:t>
      </w:r>
    </w:p>
    <w:p w:rsidR="00A4083A" w:rsidRPr="00D17312" w:rsidRDefault="00A4083A" w:rsidP="00A4083A">
      <w:pPr>
        <w:pStyle w:val="Nadpis2"/>
      </w:pPr>
      <w:bookmarkStart w:id="137" w:name="_Toc43903029"/>
      <w:r w:rsidRPr="00D17312">
        <w:lastRenderedPageBreak/>
        <w:t>Civilní agenda – elektronické rozkazní řízení</w:t>
      </w:r>
      <w:bookmarkEnd w:id="136"/>
      <w:bookmarkEnd w:id="137"/>
    </w:p>
    <w:p w:rsidR="00A4083A" w:rsidRPr="00D17312" w:rsidRDefault="00A4083A" w:rsidP="00A4083A">
      <w:pPr>
        <w:pStyle w:val="OdstavecASR"/>
      </w:pPr>
      <w:bookmarkStart w:id="138" w:name="_Toc515871227"/>
      <w:r w:rsidRPr="00D17312">
        <w:t xml:space="preserve">Jak jsme uvedli v úvodu kapitoly </w:t>
      </w:r>
      <w:r w:rsidRPr="00D17312">
        <w:rPr>
          <w:b/>
          <w:bCs/>
        </w:rPr>
        <w:fldChar w:fldCharType="begin"/>
      </w:r>
      <w:r w:rsidRPr="00D17312">
        <w:instrText xml:space="preserve"> REF _Ref9425277 \r \h </w:instrText>
      </w:r>
      <w:r w:rsidRPr="00D17312">
        <w:rPr>
          <w:b/>
          <w:bCs/>
        </w:rPr>
        <w:instrText xml:space="preserve"> \* MERGEFORMAT </w:instrText>
      </w:r>
      <w:r w:rsidRPr="00D17312">
        <w:rPr>
          <w:b/>
          <w:bCs/>
        </w:rPr>
      </w:r>
      <w:r w:rsidRPr="00D17312">
        <w:rPr>
          <w:b/>
          <w:bCs/>
        </w:rPr>
        <w:fldChar w:fldCharType="separate"/>
      </w:r>
      <w:r w:rsidR="006E7F27">
        <w:t>2.2</w:t>
      </w:r>
      <w:r w:rsidRPr="00D17312">
        <w:rPr>
          <w:b/>
          <w:bCs/>
        </w:rPr>
        <w:fldChar w:fldCharType="end"/>
      </w:r>
      <w:r w:rsidRPr="00D17312">
        <w:t xml:space="preserve">, zkoumaná data jsme očistili právě o rozkazní řízení. Tato data ale samozřejmě mají svou informační hodnotu, </w:t>
      </w:r>
      <w:r>
        <w:t xml:space="preserve">a </w:t>
      </w:r>
      <w:r w:rsidRPr="00D17312">
        <w:t>proto je analyzujeme v této části.</w:t>
      </w:r>
    </w:p>
    <w:p w:rsidR="00A4083A" w:rsidRPr="00D17312" w:rsidRDefault="00A4083A" w:rsidP="00A4083A">
      <w:pPr>
        <w:pStyle w:val="OdstavecASR"/>
      </w:pPr>
      <w:r w:rsidRPr="00D17312">
        <w:t>Jedná se o civilní řízení ve zkrácené formě, jehož cílem je skončení věcí vydáním platebního rozkazu. Platební rozkaz se vydává bez slyšení žalované strany a řízení jím může být skončeno jen tehdy, nepodá-li proti němu žalovaná strana odpor. Neskončí-li řízení pravomocným platebním rozkazem, přechází do klasického civilního řízení.</w:t>
      </w:r>
    </w:p>
    <w:p w:rsidR="00A4083A" w:rsidRPr="00D17312" w:rsidRDefault="00A4083A" w:rsidP="00A4083A">
      <w:pPr>
        <w:pStyle w:val="OdstavecASR"/>
      </w:pPr>
      <w:r>
        <w:t>N</w:t>
      </w:r>
      <w:r w:rsidRPr="00D17312">
        <w:t>e všechna data, o která byla očištěna kapitola </w:t>
      </w:r>
      <w:r w:rsidRPr="00D17312">
        <w:rPr>
          <w:bCs/>
        </w:rPr>
        <w:fldChar w:fldCharType="begin"/>
      </w:r>
      <w:r w:rsidRPr="00D17312">
        <w:rPr>
          <w:bCs/>
        </w:rPr>
        <w:instrText xml:space="preserve"> REF _Ref10553167 \r \h  \* MERGEFORMAT </w:instrText>
      </w:r>
      <w:r w:rsidRPr="00D17312">
        <w:rPr>
          <w:bCs/>
        </w:rPr>
      </w:r>
      <w:r w:rsidRPr="00D17312">
        <w:rPr>
          <w:bCs/>
        </w:rPr>
        <w:fldChar w:fldCharType="separate"/>
      </w:r>
      <w:r w:rsidR="006E7F27">
        <w:rPr>
          <w:bCs/>
        </w:rPr>
        <w:t>2.2</w:t>
      </w:r>
      <w:r w:rsidRPr="00D17312">
        <w:rPr>
          <w:bCs/>
        </w:rPr>
        <w:fldChar w:fldCharType="end"/>
      </w:r>
      <w:r w:rsidRPr="00D17312">
        <w:t xml:space="preserve">, </w:t>
      </w:r>
      <w:r>
        <w:t xml:space="preserve">však </w:t>
      </w:r>
      <w:r w:rsidRPr="00D17312">
        <w:t>zahrnujeme</w:t>
      </w:r>
      <w:r>
        <w:t xml:space="preserve"> do této kapitoly</w:t>
      </w:r>
      <w:r w:rsidRPr="00D17312">
        <w:t xml:space="preserve">. Občanské soudní řízení zná celkem čtyři typy platebních rozkazů, ale okresních soudů se týkají jen tři z nich, a to „běžný“ platební rozkaz, elektronický platební rozkaz a evropský platební rozkaz. Čtvrtý typ, kterým je směnečný (šekový) platební rozkaz, vydávají jen krajské soudy. Pro každý typ platí jiné podmínky a postupy. </w:t>
      </w:r>
      <w:r>
        <w:t>Zároveň</w:t>
      </w:r>
      <w:r w:rsidRPr="00D17312">
        <w:t xml:space="preserve"> ve statistickém sledování rozkazního řízení proběhlo v letech 2009 až 2013 nejvíce změn. V časových řadách by se tak objevovaly výkyvy způsobené právě změnami ve statistikách</w:t>
      </w:r>
      <w:r>
        <w:t xml:space="preserve">, což by vedlo </w:t>
      </w:r>
      <w:r w:rsidRPr="00D17312">
        <w:t>ke zkreslení. Z tohoto důvodu se tato kapitola zabývá pouze elektronickým platebním rozkazem od roku 2013, protože od tohoto roku se již neudály žádné významné změny a všechny návrhy na vydání elektronického platebního rozkazu se evidují v rejstříku EPR.</w:t>
      </w:r>
    </w:p>
    <w:p w:rsidR="00A4083A" w:rsidRPr="00D17312" w:rsidRDefault="00A4083A" w:rsidP="00A4083A">
      <w:pPr>
        <w:pStyle w:val="OdstavecASR"/>
      </w:pPr>
      <w:r w:rsidRPr="00D17312">
        <w:t>Dalším důvodem, proč byl vybrán rejstřík EPR, je ten, že tvoří největší část agendy rozkazního řízení (každý rok více než 85</w:t>
      </w:r>
      <w:r>
        <w:t> %</w:t>
      </w:r>
      <w:r w:rsidRPr="00D17312">
        <w:t>).</w:t>
      </w:r>
    </w:p>
    <w:p w:rsidR="00A4083A" w:rsidRPr="00D17312" w:rsidRDefault="00A4083A" w:rsidP="00A4083A">
      <w:pPr>
        <w:pStyle w:val="Nadpis3"/>
        <w:rPr>
          <w:color w:val="auto"/>
        </w:rPr>
      </w:pPr>
      <w:bookmarkStart w:id="139" w:name="_Toc43903030"/>
      <w:r w:rsidRPr="00D17312">
        <w:rPr>
          <w:color w:val="auto"/>
        </w:rPr>
        <w:t>Délka řízení</w:t>
      </w:r>
      <w:bookmarkEnd w:id="138"/>
      <w:bookmarkEnd w:id="139"/>
    </w:p>
    <w:p w:rsidR="00A4083A" w:rsidRPr="00D17312" w:rsidRDefault="00A4083A" w:rsidP="00A4083A">
      <w:pPr>
        <w:pStyle w:val="OdstavecASR"/>
      </w:pPr>
      <w:r w:rsidRPr="00D17312">
        <w:t>Platí stejné poznámky jako v přechozí kapitole, délky řízení zjišťujeme ze statistických listů a délky řízení uvádíme v kalendářních dnech ode dne nápadu do dne konečného rozhodnutí soudem I. stupně.</w:t>
      </w:r>
    </w:p>
    <w:p w:rsidR="00A4083A" w:rsidRPr="00D17312" w:rsidRDefault="00A4083A" w:rsidP="00A4083A">
      <w:pPr>
        <w:pStyle w:val="Podnadpis"/>
        <w:rPr>
          <w:color w:val="auto"/>
        </w:rPr>
      </w:pPr>
      <w:bookmarkStart w:id="140" w:name="_Toc515871346"/>
      <w:bookmarkStart w:id="141" w:name="_Toc11135081"/>
      <w:bookmarkStart w:id="142" w:name="_Toc43841397"/>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17</w:t>
      </w:r>
      <w:r w:rsidRPr="00D17312">
        <w:rPr>
          <w:color w:val="auto"/>
        </w:rPr>
        <w:fldChar w:fldCharType="end"/>
      </w:r>
      <w:r w:rsidRPr="00D17312">
        <w:rPr>
          <w:color w:val="auto"/>
        </w:rPr>
        <w:t>: OS – délka civilního el. rozkazního řízení v letech 2013–201</w:t>
      </w:r>
      <w:bookmarkEnd w:id="140"/>
      <w:bookmarkEnd w:id="141"/>
      <w:r w:rsidRPr="00D17312">
        <w:rPr>
          <w:color w:val="auto"/>
        </w:rPr>
        <w:t>9</w:t>
      </w:r>
      <w:bookmarkEnd w:id="142"/>
    </w:p>
    <w:p w:rsidR="00A4083A" w:rsidRPr="00D17312" w:rsidRDefault="00A4083A" w:rsidP="00A4083A">
      <w:pPr>
        <w:pStyle w:val="OdstavecASR"/>
      </w:pPr>
      <w:r w:rsidRPr="00D17312">
        <w:rPr>
          <w:noProof/>
          <w:lang w:eastAsia="cs-CZ"/>
        </w:rPr>
        <w:drawing>
          <wp:inline distT="0" distB="0" distL="0" distR="0" wp14:anchorId="782F3DEC" wp14:editId="47676DB0">
            <wp:extent cx="5114925" cy="3743325"/>
            <wp:effectExtent l="0" t="0" r="0" b="952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Podnadpis"/>
        <w:rPr>
          <w:color w:val="auto"/>
        </w:rPr>
      </w:pPr>
      <w:bookmarkStart w:id="143" w:name="_Toc515871448"/>
      <w:bookmarkStart w:id="144" w:name="_Toc11133216"/>
      <w:bookmarkStart w:id="145" w:name="_Toc43931190"/>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17</w:t>
      </w:r>
      <w:r w:rsidRPr="00D17312">
        <w:rPr>
          <w:noProof/>
          <w:color w:val="auto"/>
        </w:rPr>
        <w:fldChar w:fldCharType="end"/>
      </w:r>
      <w:r w:rsidRPr="00D17312">
        <w:rPr>
          <w:color w:val="auto"/>
        </w:rPr>
        <w:t>: OS – délky el. rozkazního civilního řízení dle krajů</w:t>
      </w:r>
      <w:bookmarkEnd w:id="143"/>
      <w:bookmarkEnd w:id="144"/>
      <w:bookmarkEnd w:id="145"/>
    </w:p>
    <w:tbl>
      <w:tblPr>
        <w:tblW w:w="8800" w:type="dxa"/>
        <w:tblCellMar>
          <w:left w:w="70" w:type="dxa"/>
          <w:right w:w="70" w:type="dxa"/>
        </w:tblCellMar>
        <w:tblLook w:val="04A0" w:firstRow="1" w:lastRow="0" w:firstColumn="1" w:lastColumn="0" w:noHBand="0" w:noVBand="1"/>
      </w:tblPr>
      <w:tblGrid>
        <w:gridCol w:w="2320"/>
        <w:gridCol w:w="712"/>
        <w:gridCol w:w="1382"/>
        <w:gridCol w:w="712"/>
        <w:gridCol w:w="1382"/>
        <w:gridCol w:w="712"/>
        <w:gridCol w:w="1580"/>
      </w:tblGrid>
      <w:tr w:rsidR="00A4083A" w:rsidRPr="00D17312" w:rsidTr="00A41CAB">
        <w:trPr>
          <w:trHeight w:val="330"/>
        </w:trPr>
        <w:tc>
          <w:tcPr>
            <w:tcW w:w="232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Nadřízený soud</w:t>
            </w:r>
          </w:p>
        </w:tc>
        <w:tc>
          <w:tcPr>
            <w:tcW w:w="6480" w:type="dxa"/>
            <w:gridSpan w:val="6"/>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Délka řízení</w:t>
            </w:r>
          </w:p>
        </w:tc>
      </w:tr>
      <w:tr w:rsidR="00A4083A" w:rsidRPr="00D17312" w:rsidTr="00A41CAB">
        <w:trPr>
          <w:trHeight w:val="330"/>
        </w:trPr>
        <w:tc>
          <w:tcPr>
            <w:tcW w:w="232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2094"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Průměr</w:t>
            </w:r>
          </w:p>
        </w:tc>
        <w:tc>
          <w:tcPr>
            <w:tcW w:w="2094" w:type="dxa"/>
            <w:gridSpan w:val="2"/>
            <w:tcBorders>
              <w:top w:val="nil"/>
              <w:left w:val="single" w:sz="4" w:space="0" w:color="auto"/>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Medián</w:t>
            </w:r>
          </w:p>
        </w:tc>
        <w:tc>
          <w:tcPr>
            <w:tcW w:w="2292"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Percentil 90</w:t>
            </w:r>
          </w:p>
        </w:tc>
      </w:tr>
      <w:tr w:rsidR="00A4083A" w:rsidRPr="00D17312" w:rsidTr="00A41CAB">
        <w:trPr>
          <w:trHeight w:val="330"/>
        </w:trPr>
        <w:tc>
          <w:tcPr>
            <w:tcW w:w="232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712"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29</w:t>
            </w:r>
          </w:p>
        </w:tc>
        <w:tc>
          <w:tcPr>
            <w:tcW w:w="1382"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-12</w:t>
            </w:r>
            <w:r>
              <w:rPr>
                <w:rFonts w:eastAsia="Times New Roman"/>
                <w:sz w:val="20"/>
                <w:szCs w:val="20"/>
                <w:lang w:eastAsia="cs-CZ"/>
              </w:rPr>
              <w:t> %</w:t>
            </w:r>
          </w:p>
        </w:tc>
        <w:tc>
          <w:tcPr>
            <w:tcW w:w="712"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w:t>
            </w:r>
          </w:p>
        </w:tc>
        <w:tc>
          <w:tcPr>
            <w:tcW w:w="1382"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-25</w:t>
            </w:r>
            <w:r>
              <w:rPr>
                <w:rFonts w:eastAsia="Times New Roman"/>
                <w:sz w:val="20"/>
                <w:szCs w:val="20"/>
                <w:lang w:eastAsia="cs-CZ"/>
              </w:rPr>
              <w:t> %</w:t>
            </w:r>
          </w:p>
        </w:tc>
        <w:tc>
          <w:tcPr>
            <w:tcW w:w="712"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68</w:t>
            </w:r>
          </w:p>
        </w:tc>
        <w:tc>
          <w:tcPr>
            <w:tcW w:w="1580"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-16</w:t>
            </w:r>
            <w:r>
              <w:rPr>
                <w:rFonts w:eastAsia="Times New Roman"/>
                <w:sz w:val="20"/>
                <w:szCs w:val="20"/>
                <w:lang w:eastAsia="cs-CZ"/>
              </w:rPr>
              <w:t> %</w:t>
            </w:r>
          </w:p>
        </w:tc>
      </w:tr>
      <w:tr w:rsidR="00A4083A" w:rsidRPr="00D17312" w:rsidTr="00A41CAB">
        <w:trPr>
          <w:trHeight w:val="315"/>
        </w:trPr>
        <w:tc>
          <w:tcPr>
            <w:tcW w:w="23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71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w:t>
            </w:r>
          </w:p>
        </w:tc>
        <w:tc>
          <w:tcPr>
            <w:tcW w:w="1382"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c>
          <w:tcPr>
            <w:tcW w:w="712"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w:t>
            </w:r>
          </w:p>
        </w:tc>
        <w:tc>
          <w:tcPr>
            <w:tcW w:w="1382"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w:t>
            </w:r>
            <w:r>
              <w:rPr>
                <w:rFonts w:eastAsia="Times New Roman"/>
                <w:sz w:val="20"/>
                <w:szCs w:val="20"/>
                <w:lang w:eastAsia="cs-CZ"/>
              </w:rPr>
              <w:t> %</w:t>
            </w:r>
          </w:p>
        </w:tc>
        <w:tc>
          <w:tcPr>
            <w:tcW w:w="71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36</w:t>
            </w:r>
          </w:p>
        </w:tc>
        <w:tc>
          <w:tcPr>
            <w:tcW w:w="15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r>
      <w:tr w:rsidR="00A4083A" w:rsidRPr="00D17312" w:rsidTr="00A41CAB">
        <w:trPr>
          <w:trHeight w:val="315"/>
        </w:trPr>
        <w:tc>
          <w:tcPr>
            <w:tcW w:w="23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71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w:t>
            </w:r>
          </w:p>
        </w:tc>
        <w:tc>
          <w:tcPr>
            <w:tcW w:w="1382"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c>
          <w:tcPr>
            <w:tcW w:w="712"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w:t>
            </w:r>
          </w:p>
        </w:tc>
        <w:tc>
          <w:tcPr>
            <w:tcW w:w="1382"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c>
          <w:tcPr>
            <w:tcW w:w="71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35</w:t>
            </w:r>
          </w:p>
        </w:tc>
        <w:tc>
          <w:tcPr>
            <w:tcW w:w="15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r>
      <w:tr w:rsidR="00A4083A" w:rsidRPr="00D17312" w:rsidTr="00A41CAB">
        <w:trPr>
          <w:trHeight w:val="315"/>
        </w:trPr>
        <w:tc>
          <w:tcPr>
            <w:tcW w:w="23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71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w:t>
            </w:r>
          </w:p>
        </w:tc>
        <w:tc>
          <w:tcPr>
            <w:tcW w:w="1382"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-10</w:t>
            </w:r>
            <w:r>
              <w:rPr>
                <w:rFonts w:eastAsia="Times New Roman"/>
                <w:sz w:val="20"/>
                <w:szCs w:val="20"/>
                <w:lang w:eastAsia="cs-CZ"/>
              </w:rPr>
              <w:t> %</w:t>
            </w:r>
          </w:p>
        </w:tc>
        <w:tc>
          <w:tcPr>
            <w:tcW w:w="712"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w:t>
            </w:r>
          </w:p>
        </w:tc>
        <w:tc>
          <w:tcPr>
            <w:tcW w:w="1382"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-18</w:t>
            </w:r>
            <w:r>
              <w:rPr>
                <w:rFonts w:eastAsia="Times New Roman"/>
                <w:sz w:val="20"/>
                <w:szCs w:val="20"/>
                <w:lang w:eastAsia="cs-CZ"/>
              </w:rPr>
              <w:t> %</w:t>
            </w:r>
          </w:p>
        </w:tc>
        <w:tc>
          <w:tcPr>
            <w:tcW w:w="71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38</w:t>
            </w:r>
          </w:p>
        </w:tc>
        <w:tc>
          <w:tcPr>
            <w:tcW w:w="15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-16</w:t>
            </w:r>
            <w:r>
              <w:rPr>
                <w:rFonts w:eastAsia="Times New Roman"/>
                <w:sz w:val="20"/>
                <w:szCs w:val="20"/>
                <w:lang w:eastAsia="cs-CZ"/>
              </w:rPr>
              <w:t> %</w:t>
            </w:r>
          </w:p>
        </w:tc>
      </w:tr>
      <w:tr w:rsidR="00A4083A" w:rsidRPr="00D17312" w:rsidTr="00A41CAB">
        <w:trPr>
          <w:trHeight w:val="315"/>
        </w:trPr>
        <w:tc>
          <w:tcPr>
            <w:tcW w:w="23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71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36</w:t>
            </w:r>
          </w:p>
        </w:tc>
        <w:tc>
          <w:tcPr>
            <w:tcW w:w="1382"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c>
          <w:tcPr>
            <w:tcW w:w="712"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w:t>
            </w:r>
          </w:p>
        </w:tc>
        <w:tc>
          <w:tcPr>
            <w:tcW w:w="1382"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-22</w:t>
            </w:r>
            <w:r>
              <w:rPr>
                <w:rFonts w:eastAsia="Times New Roman"/>
                <w:sz w:val="20"/>
                <w:szCs w:val="20"/>
                <w:lang w:eastAsia="cs-CZ"/>
              </w:rPr>
              <w:t> %</w:t>
            </w:r>
          </w:p>
        </w:tc>
        <w:tc>
          <w:tcPr>
            <w:tcW w:w="71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71</w:t>
            </w:r>
          </w:p>
        </w:tc>
        <w:tc>
          <w:tcPr>
            <w:tcW w:w="15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r>
      <w:tr w:rsidR="00A4083A" w:rsidRPr="00D17312" w:rsidTr="00A41CAB">
        <w:trPr>
          <w:trHeight w:val="315"/>
        </w:trPr>
        <w:tc>
          <w:tcPr>
            <w:tcW w:w="23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71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21</w:t>
            </w:r>
          </w:p>
        </w:tc>
        <w:tc>
          <w:tcPr>
            <w:tcW w:w="1382"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w:t>
            </w:r>
            <w:r>
              <w:rPr>
                <w:rFonts w:eastAsia="Times New Roman"/>
                <w:sz w:val="20"/>
                <w:szCs w:val="20"/>
                <w:lang w:eastAsia="cs-CZ"/>
              </w:rPr>
              <w:t> %</w:t>
            </w:r>
          </w:p>
        </w:tc>
        <w:tc>
          <w:tcPr>
            <w:tcW w:w="712"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w:t>
            </w:r>
          </w:p>
        </w:tc>
        <w:tc>
          <w:tcPr>
            <w:tcW w:w="1382"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c>
          <w:tcPr>
            <w:tcW w:w="71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59</w:t>
            </w:r>
          </w:p>
        </w:tc>
        <w:tc>
          <w:tcPr>
            <w:tcW w:w="15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+37</w:t>
            </w:r>
            <w:r>
              <w:rPr>
                <w:rFonts w:eastAsia="Times New Roman"/>
                <w:sz w:val="20"/>
                <w:szCs w:val="20"/>
                <w:lang w:eastAsia="cs-CZ"/>
              </w:rPr>
              <w:t> %</w:t>
            </w:r>
          </w:p>
        </w:tc>
      </w:tr>
      <w:tr w:rsidR="00A4083A" w:rsidRPr="00D17312" w:rsidTr="00A41CAB">
        <w:trPr>
          <w:trHeight w:val="315"/>
        </w:trPr>
        <w:tc>
          <w:tcPr>
            <w:tcW w:w="23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71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41</w:t>
            </w:r>
          </w:p>
        </w:tc>
        <w:tc>
          <w:tcPr>
            <w:tcW w:w="1382"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w:t>
            </w:r>
            <w:r>
              <w:rPr>
                <w:rFonts w:eastAsia="Times New Roman"/>
                <w:sz w:val="20"/>
                <w:szCs w:val="20"/>
                <w:lang w:eastAsia="cs-CZ"/>
              </w:rPr>
              <w:t> %</w:t>
            </w:r>
          </w:p>
        </w:tc>
        <w:tc>
          <w:tcPr>
            <w:tcW w:w="712"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w:t>
            </w:r>
          </w:p>
        </w:tc>
        <w:tc>
          <w:tcPr>
            <w:tcW w:w="1382"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c>
          <w:tcPr>
            <w:tcW w:w="71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90</w:t>
            </w:r>
          </w:p>
        </w:tc>
        <w:tc>
          <w:tcPr>
            <w:tcW w:w="15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w:t>
            </w:r>
            <w:r>
              <w:rPr>
                <w:rFonts w:eastAsia="Times New Roman"/>
                <w:sz w:val="20"/>
                <w:szCs w:val="20"/>
                <w:lang w:eastAsia="cs-CZ"/>
              </w:rPr>
              <w:t> %</w:t>
            </w:r>
          </w:p>
        </w:tc>
      </w:tr>
      <w:tr w:rsidR="00A4083A" w:rsidRPr="00D17312" w:rsidTr="00A41CAB">
        <w:trPr>
          <w:trHeight w:val="330"/>
        </w:trPr>
        <w:tc>
          <w:tcPr>
            <w:tcW w:w="23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712"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23</w:t>
            </w:r>
          </w:p>
        </w:tc>
        <w:tc>
          <w:tcPr>
            <w:tcW w:w="1382"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c>
          <w:tcPr>
            <w:tcW w:w="712"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w:t>
            </w:r>
          </w:p>
        </w:tc>
        <w:tc>
          <w:tcPr>
            <w:tcW w:w="1382"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712"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51</w:t>
            </w:r>
          </w:p>
        </w:tc>
        <w:tc>
          <w:tcPr>
            <w:tcW w:w="158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w:t>
            </w:r>
            <w:r>
              <w:rPr>
                <w:rFonts w:eastAsia="Times New Roman"/>
                <w:sz w:val="20"/>
                <w:szCs w:val="20"/>
                <w:lang w:eastAsia="cs-CZ"/>
              </w:rPr>
              <w:t> %</w:t>
            </w:r>
          </w:p>
        </w:tc>
      </w:tr>
      <w:tr w:rsidR="00A4083A" w:rsidRPr="00D17312" w:rsidTr="00A41CAB">
        <w:trPr>
          <w:trHeight w:val="345"/>
        </w:trPr>
        <w:tc>
          <w:tcPr>
            <w:tcW w:w="23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712"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27</w:t>
            </w:r>
          </w:p>
        </w:tc>
        <w:tc>
          <w:tcPr>
            <w:tcW w:w="1382"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-4</w:t>
            </w:r>
            <w:r>
              <w:rPr>
                <w:rFonts w:eastAsia="Times New Roman"/>
                <w:b/>
                <w:bCs/>
                <w:sz w:val="20"/>
                <w:szCs w:val="20"/>
                <w:lang w:eastAsia="cs-CZ"/>
              </w:rPr>
              <w:t> %</w:t>
            </w:r>
          </w:p>
        </w:tc>
        <w:tc>
          <w:tcPr>
            <w:tcW w:w="712"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13</w:t>
            </w:r>
          </w:p>
        </w:tc>
        <w:tc>
          <w:tcPr>
            <w:tcW w:w="1382"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-7</w:t>
            </w:r>
            <w:r>
              <w:rPr>
                <w:rFonts w:eastAsia="Times New Roman"/>
                <w:b/>
                <w:bCs/>
                <w:sz w:val="20"/>
                <w:szCs w:val="20"/>
                <w:lang w:eastAsia="cs-CZ"/>
              </w:rPr>
              <w:t> %</w:t>
            </w:r>
          </w:p>
        </w:tc>
        <w:tc>
          <w:tcPr>
            <w:tcW w:w="712"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58</w:t>
            </w:r>
          </w:p>
        </w:tc>
        <w:tc>
          <w:tcPr>
            <w:tcW w:w="158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-6</w:t>
            </w:r>
            <w:r>
              <w:rPr>
                <w:rFonts w:eastAsia="Times New Roman"/>
                <w:b/>
                <w:bCs/>
                <w:sz w:val="20"/>
                <w:szCs w:val="20"/>
                <w:lang w:eastAsia="cs-CZ"/>
              </w:rPr>
              <w:t> %</w:t>
            </w:r>
          </w:p>
        </w:tc>
      </w:tr>
    </w:tbl>
    <w:p w:rsidR="00A4083A" w:rsidRPr="00D17312" w:rsidRDefault="00A4083A" w:rsidP="00A4083A">
      <w:pPr>
        <w:rPr>
          <w:highlight w:val="yellow"/>
        </w:rPr>
      </w:pPr>
    </w:p>
    <w:p w:rsidR="00A4083A" w:rsidRPr="00D17312" w:rsidRDefault="00A4083A" w:rsidP="00A4083A">
      <w:bookmarkStart w:id="146" w:name="_Toc515871228"/>
      <w:r w:rsidRPr="00D17312">
        <w:t xml:space="preserve">Délky řízení jsou řádově nižší než u klasického civilního řízení (rejstřík C). Například mediánová délka řízení v roce 2019 byla v klasickém civilním řízení 170 dnů, v elektronickém rozkazním řízení byla pouze 13 dnů. To je asi třináctkrát méně. To samozřejmě plyne z již diskutované výrazně nižší obtížnosti agendy EPR. Z toho pak plynou i nižší absolutní rozdíly mezi jednotlivými soudy a kraji. Mezi nejrychlejšími soudy ve Středočeském kraji a nejpomalejšími soudy v Jihomoravském kraji je rozdíl pouze 16 dnů v mediánové délce řízení a 25 dnů v průměrné délce řízení. Z jednotlivých soudů jsou nejrychlejší OS Plzeň-sever </w:t>
      </w:r>
      <w:r>
        <w:t xml:space="preserve">a </w:t>
      </w:r>
      <w:r w:rsidRPr="00D17312">
        <w:t xml:space="preserve">OS pro Prahu 5 (medián 6 dnů). Nejpomalejší je OS Hodonín (62 dnů) a OS pro Prahu 7 (126 dnů), což </w:t>
      </w:r>
      <w:r>
        <w:t xml:space="preserve">představuje skutečně odlehlou </w:t>
      </w:r>
      <w:r w:rsidRPr="00D17312">
        <w:t>hodnot</w:t>
      </w:r>
      <w:r>
        <w:t>u</w:t>
      </w:r>
      <w:r w:rsidRPr="00D17312">
        <w:t xml:space="preserve"> (téměř desetinásobek mediánu).</w:t>
      </w:r>
    </w:p>
    <w:p w:rsidR="00A4083A" w:rsidRPr="00D17312" w:rsidRDefault="00A4083A" w:rsidP="00A4083A">
      <w:r w:rsidRPr="00D17312">
        <w:lastRenderedPageBreak/>
        <w:t xml:space="preserve">Z výše uvedeného také plyne menší variabilita v absolutních číslech mezi roky. </w:t>
      </w:r>
      <w:r>
        <w:t>Z tabulky vyplývá</w:t>
      </w:r>
      <w:r w:rsidRPr="00D17312">
        <w:t>, že u většiny krajů došlo k velmi malé změně ve všech ukazatelích. Někde je procentní změna větší, řádově se ale jedná v absolutních číslech</w:t>
      </w:r>
      <w:r>
        <w:t xml:space="preserve"> pouze o dny</w:t>
      </w:r>
      <w:r w:rsidRPr="00D17312">
        <w:t>.</w:t>
      </w:r>
    </w:p>
    <w:p w:rsidR="00A4083A" w:rsidRPr="00D17312" w:rsidRDefault="00A4083A" w:rsidP="00A4083A">
      <w:pPr>
        <w:pStyle w:val="OdstavecASR"/>
      </w:pPr>
      <w:r w:rsidRPr="00D17312">
        <w:t xml:space="preserve">Ještě zbývá poznamenat, že rychlost vyřizování dle krajů v zásadě odpovídá rychlosti vyřizování v klasickém civilním řízení (absolutní hodnoty jsou ale daleko menší). </w:t>
      </w:r>
      <w:r>
        <w:t>N</w:t>
      </w:r>
      <w:r w:rsidRPr="00D17312">
        <w:t xml:space="preserve">ejnižší délky řízení </w:t>
      </w:r>
      <w:r>
        <w:t xml:space="preserve">tak </w:t>
      </w:r>
      <w:r w:rsidRPr="00D17312">
        <w:t>vykazují soudy, které spadají pod KS Praha a KS České Budějovice. Naopak nejvyšší délky řízení jsou u soudů, které spadají pod KS Ústí nad Labem a KS Brno. To je logické, neboť soudy, kde je přetížen celý civilní úsek, zřejmě budou mít problémy vyřizovat veškerou agendu na tomto úseku.</w:t>
      </w:r>
    </w:p>
    <w:p w:rsidR="00A4083A" w:rsidRPr="00D17312" w:rsidRDefault="00A4083A" w:rsidP="00A4083A">
      <w:pPr>
        <w:pStyle w:val="Nadpis3"/>
        <w:rPr>
          <w:color w:val="auto"/>
        </w:rPr>
      </w:pPr>
      <w:bookmarkStart w:id="147" w:name="_Toc43903031"/>
      <w:r w:rsidRPr="00D17312">
        <w:rPr>
          <w:color w:val="auto"/>
        </w:rPr>
        <w:t>Vyřizování věcí</w:t>
      </w:r>
      <w:bookmarkEnd w:id="146"/>
      <w:bookmarkEnd w:id="147"/>
    </w:p>
    <w:p w:rsidR="00A4083A" w:rsidRDefault="00A4083A" w:rsidP="00A4083A">
      <w:pPr>
        <w:pStyle w:val="OdstavecASR"/>
      </w:pPr>
      <w:r w:rsidRPr="00D17312">
        <w:t>Graf níže znázorňuje časovou řadu vyřizování věcí v ČR a tabulka průřezová data po krajích za rok 2019.</w:t>
      </w:r>
    </w:p>
    <w:p w:rsidR="00A4083A" w:rsidRPr="00D17312" w:rsidRDefault="00A4083A" w:rsidP="00A4083A">
      <w:pPr>
        <w:pStyle w:val="Podnadpis"/>
        <w:rPr>
          <w:color w:val="auto"/>
        </w:rPr>
      </w:pPr>
      <w:bookmarkStart w:id="148" w:name="_Toc515871347"/>
      <w:bookmarkStart w:id="149" w:name="_Toc11135082"/>
      <w:bookmarkStart w:id="150" w:name="_Toc43841398"/>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18</w:t>
      </w:r>
      <w:r w:rsidRPr="00D17312">
        <w:rPr>
          <w:color w:val="auto"/>
        </w:rPr>
        <w:fldChar w:fldCharType="end"/>
      </w:r>
      <w:r w:rsidRPr="00D17312">
        <w:rPr>
          <w:color w:val="auto"/>
        </w:rPr>
        <w:t>: OS – vyřizování věcí v rejstříku EPR v letech 2013–201</w:t>
      </w:r>
      <w:bookmarkEnd w:id="148"/>
      <w:bookmarkEnd w:id="149"/>
      <w:r w:rsidRPr="00D17312">
        <w:rPr>
          <w:color w:val="auto"/>
        </w:rPr>
        <w:t>9</w:t>
      </w:r>
      <w:bookmarkEnd w:id="150"/>
    </w:p>
    <w:p w:rsidR="00A4083A" w:rsidRPr="00D17312" w:rsidRDefault="00A4083A" w:rsidP="00A4083A">
      <w:pPr>
        <w:rPr>
          <w:highlight w:val="yellow"/>
        </w:rPr>
      </w:pPr>
      <w:r w:rsidRPr="00D17312">
        <w:rPr>
          <w:noProof/>
          <w:lang w:eastAsia="cs-CZ"/>
        </w:rPr>
        <w:drawing>
          <wp:inline distT="0" distB="0" distL="0" distR="0" wp14:anchorId="65E7C297" wp14:editId="072109E7">
            <wp:extent cx="5114925" cy="3743325"/>
            <wp:effectExtent l="0" t="0" r="0" b="952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pPr>
      <w:r w:rsidRPr="00D17312">
        <w:t xml:space="preserve">Je jasně vidět, že s vyřizováním této agendy nemají až na výjimky soudy žádné potíže. </w:t>
      </w:r>
      <w:r>
        <w:t>To ilustruje i </w:t>
      </w:r>
      <w:r w:rsidRPr="00D17312">
        <w:t>poměr počtu nevyřízených věcí k počtu vyřízených věcí či k nápadu. Je vhodné zmínit, že nápad po dvouletém růstu poměrně výrazně klesl (o více než 8</w:t>
      </w:r>
      <w:r>
        <w:t> %</w:t>
      </w:r>
      <w:r w:rsidRPr="00D17312">
        <w:t>).</w:t>
      </w:r>
    </w:p>
    <w:p w:rsidR="00A4083A" w:rsidRPr="00D17312" w:rsidRDefault="00A4083A" w:rsidP="00A4083A">
      <w:pPr>
        <w:spacing w:line="240" w:lineRule="auto"/>
        <w:jc w:val="left"/>
        <w:rPr>
          <w:highlight w:val="yellow"/>
        </w:rPr>
      </w:pPr>
      <w:r w:rsidRPr="00D17312">
        <w:rPr>
          <w:highlight w:val="yellow"/>
        </w:rPr>
        <w:br w:type="page"/>
      </w:r>
    </w:p>
    <w:p w:rsidR="00A4083A" w:rsidRPr="00D17312" w:rsidRDefault="00A4083A" w:rsidP="00A4083A">
      <w:pPr>
        <w:pStyle w:val="Podnadpis"/>
        <w:rPr>
          <w:color w:val="auto"/>
        </w:rPr>
      </w:pPr>
      <w:bookmarkStart w:id="151" w:name="_Toc515871449"/>
      <w:bookmarkStart w:id="152" w:name="_Toc11133217"/>
      <w:bookmarkStart w:id="153" w:name="_Toc43931191"/>
      <w:r w:rsidRPr="00D17312">
        <w:rPr>
          <w:color w:val="auto"/>
        </w:rPr>
        <w:lastRenderedPageBreak/>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18</w:t>
      </w:r>
      <w:r w:rsidRPr="00D17312">
        <w:rPr>
          <w:noProof/>
          <w:color w:val="auto"/>
        </w:rPr>
        <w:fldChar w:fldCharType="end"/>
      </w:r>
      <w:r w:rsidRPr="00D17312">
        <w:rPr>
          <w:color w:val="auto"/>
        </w:rPr>
        <w:t>: OS – vyřizování věcí v rejstříku EPR dle krajů</w:t>
      </w:r>
      <w:bookmarkEnd w:id="151"/>
      <w:bookmarkEnd w:id="152"/>
      <w:bookmarkEnd w:id="153"/>
    </w:p>
    <w:tbl>
      <w:tblPr>
        <w:tblW w:w="9140" w:type="dxa"/>
        <w:tblCellMar>
          <w:left w:w="70" w:type="dxa"/>
          <w:right w:w="70" w:type="dxa"/>
        </w:tblCellMar>
        <w:tblLook w:val="04A0" w:firstRow="1" w:lastRow="0" w:firstColumn="1" w:lastColumn="0" w:noHBand="0" w:noVBand="1"/>
      </w:tblPr>
      <w:tblGrid>
        <w:gridCol w:w="2020"/>
        <w:gridCol w:w="1116"/>
        <w:gridCol w:w="784"/>
        <w:gridCol w:w="1062"/>
        <w:gridCol w:w="784"/>
        <w:gridCol w:w="939"/>
        <w:gridCol w:w="896"/>
        <w:gridCol w:w="1539"/>
      </w:tblGrid>
      <w:tr w:rsidR="00A4083A" w:rsidRPr="00D17312" w:rsidTr="00A41CAB">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Nadřízený soud</w:t>
            </w:r>
          </w:p>
        </w:tc>
        <w:tc>
          <w:tcPr>
            <w:tcW w:w="5581" w:type="dxa"/>
            <w:gridSpan w:val="6"/>
            <w:tcBorders>
              <w:top w:val="double" w:sz="6" w:space="0" w:color="auto"/>
              <w:left w:val="nil"/>
              <w:bottom w:val="nil"/>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věcí</w:t>
            </w:r>
          </w:p>
        </w:tc>
        <w:tc>
          <w:tcPr>
            <w:tcW w:w="1539" w:type="dxa"/>
            <w:vMerge w:val="restart"/>
            <w:tcBorders>
              <w:top w:val="double" w:sz="6" w:space="0" w:color="auto"/>
              <w:left w:val="nil"/>
              <w:bottom w:val="double" w:sz="6" w:space="0" w:color="000000"/>
              <w:right w:val="nil"/>
            </w:tcBorders>
            <w:shd w:val="clear" w:color="auto" w:fill="auto"/>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Míra vyřizování</w:t>
            </w:r>
          </w:p>
        </w:tc>
      </w:tr>
      <w:tr w:rsidR="00A4083A" w:rsidRPr="00D17312" w:rsidTr="00A41CAB">
        <w:trPr>
          <w:trHeight w:val="330"/>
        </w:trPr>
        <w:tc>
          <w:tcPr>
            <w:tcW w:w="202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900"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Nápad + obživa</w:t>
            </w:r>
          </w:p>
        </w:tc>
        <w:tc>
          <w:tcPr>
            <w:tcW w:w="1846" w:type="dxa"/>
            <w:gridSpan w:val="2"/>
            <w:tcBorders>
              <w:top w:val="nil"/>
              <w:left w:val="single" w:sz="4" w:space="0" w:color="auto"/>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Vyřízeno</w:t>
            </w:r>
          </w:p>
        </w:tc>
        <w:tc>
          <w:tcPr>
            <w:tcW w:w="1835" w:type="dxa"/>
            <w:gridSpan w:val="2"/>
            <w:tcBorders>
              <w:top w:val="nil"/>
              <w:left w:val="nil"/>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Nevyřízeno</w:t>
            </w:r>
          </w:p>
        </w:tc>
        <w:tc>
          <w:tcPr>
            <w:tcW w:w="1539"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r>
      <w:tr w:rsidR="00A4083A" w:rsidRPr="00D17312" w:rsidTr="00A41CAB">
        <w:trPr>
          <w:trHeight w:val="330"/>
        </w:trPr>
        <w:tc>
          <w:tcPr>
            <w:tcW w:w="202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116"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59 694</w:t>
            </w:r>
          </w:p>
        </w:tc>
        <w:tc>
          <w:tcPr>
            <w:tcW w:w="784"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1062" w:type="dxa"/>
            <w:tcBorders>
              <w:top w:val="single" w:sz="4" w:space="0" w:color="auto"/>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61 564</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939"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3 399</w:t>
            </w:r>
          </w:p>
        </w:tc>
        <w:tc>
          <w:tcPr>
            <w:tcW w:w="896" w:type="dxa"/>
            <w:tcBorders>
              <w:top w:val="single" w:sz="4" w:space="0" w:color="auto"/>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+44</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103,1</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11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37 210</w:t>
            </w:r>
          </w:p>
        </w:tc>
        <w:tc>
          <w:tcPr>
            <w:tcW w:w="78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c>
          <w:tcPr>
            <w:tcW w:w="1062"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37 276</w:t>
            </w:r>
          </w:p>
        </w:tc>
        <w:tc>
          <w:tcPr>
            <w:tcW w:w="78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c>
          <w:tcPr>
            <w:tcW w:w="93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1 037</w:t>
            </w:r>
          </w:p>
        </w:tc>
        <w:tc>
          <w:tcPr>
            <w:tcW w:w="896"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-18</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100,2</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11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18 549</w:t>
            </w:r>
          </w:p>
        </w:tc>
        <w:tc>
          <w:tcPr>
            <w:tcW w:w="78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c>
          <w:tcPr>
            <w:tcW w:w="1062"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19 020</w:t>
            </w:r>
          </w:p>
        </w:tc>
        <w:tc>
          <w:tcPr>
            <w:tcW w:w="78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c>
          <w:tcPr>
            <w:tcW w:w="93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626</w:t>
            </w:r>
          </w:p>
        </w:tc>
        <w:tc>
          <w:tcPr>
            <w:tcW w:w="896"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102,5</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11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28 630</w:t>
            </w:r>
          </w:p>
        </w:tc>
        <w:tc>
          <w:tcPr>
            <w:tcW w:w="78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-10</w:t>
            </w:r>
            <w:r>
              <w:rPr>
                <w:rFonts w:eastAsia="Times New Roman"/>
                <w:sz w:val="20"/>
                <w:szCs w:val="20"/>
                <w:lang w:eastAsia="cs-CZ"/>
              </w:rPr>
              <w:t> %</w:t>
            </w:r>
          </w:p>
        </w:tc>
        <w:tc>
          <w:tcPr>
            <w:tcW w:w="1062"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29 304</w:t>
            </w:r>
          </w:p>
        </w:tc>
        <w:tc>
          <w:tcPr>
            <w:tcW w:w="78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-13</w:t>
            </w:r>
            <w:r>
              <w:rPr>
                <w:rFonts w:eastAsia="Times New Roman"/>
                <w:sz w:val="20"/>
                <w:szCs w:val="20"/>
                <w:lang w:eastAsia="cs-CZ"/>
              </w:rPr>
              <w:t> %</w:t>
            </w:r>
          </w:p>
        </w:tc>
        <w:tc>
          <w:tcPr>
            <w:tcW w:w="93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978</w:t>
            </w:r>
          </w:p>
        </w:tc>
        <w:tc>
          <w:tcPr>
            <w:tcW w:w="896"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102,4</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11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53 342</w:t>
            </w:r>
          </w:p>
        </w:tc>
        <w:tc>
          <w:tcPr>
            <w:tcW w:w="78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-10</w:t>
            </w:r>
            <w:r>
              <w:rPr>
                <w:rFonts w:eastAsia="Times New Roman"/>
                <w:sz w:val="20"/>
                <w:szCs w:val="20"/>
                <w:lang w:eastAsia="cs-CZ"/>
              </w:rPr>
              <w:t> %</w:t>
            </w:r>
          </w:p>
        </w:tc>
        <w:tc>
          <w:tcPr>
            <w:tcW w:w="1062"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54 058</w:t>
            </w:r>
          </w:p>
        </w:tc>
        <w:tc>
          <w:tcPr>
            <w:tcW w:w="78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c>
          <w:tcPr>
            <w:tcW w:w="93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5 020</w:t>
            </w:r>
          </w:p>
        </w:tc>
        <w:tc>
          <w:tcPr>
            <w:tcW w:w="896"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-30</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101,3</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11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29 222</w:t>
            </w:r>
          </w:p>
        </w:tc>
        <w:tc>
          <w:tcPr>
            <w:tcW w:w="78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c>
          <w:tcPr>
            <w:tcW w:w="1062"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29 384</w:t>
            </w:r>
          </w:p>
        </w:tc>
        <w:tc>
          <w:tcPr>
            <w:tcW w:w="78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c>
          <w:tcPr>
            <w:tcW w:w="93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1 251</w:t>
            </w:r>
          </w:p>
        </w:tc>
        <w:tc>
          <w:tcPr>
            <w:tcW w:w="896"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-13</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100,6</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11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44 348</w:t>
            </w:r>
          </w:p>
        </w:tc>
        <w:tc>
          <w:tcPr>
            <w:tcW w:w="78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1062"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43 276</w:t>
            </w:r>
          </w:p>
        </w:tc>
        <w:tc>
          <w:tcPr>
            <w:tcW w:w="78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-5</w:t>
            </w:r>
            <w:r>
              <w:rPr>
                <w:rFonts w:eastAsia="Times New Roman"/>
                <w:sz w:val="20"/>
                <w:szCs w:val="20"/>
                <w:lang w:eastAsia="cs-CZ"/>
              </w:rPr>
              <w:t> %</w:t>
            </w:r>
          </w:p>
        </w:tc>
        <w:tc>
          <w:tcPr>
            <w:tcW w:w="93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4 953</w:t>
            </w:r>
          </w:p>
        </w:tc>
        <w:tc>
          <w:tcPr>
            <w:tcW w:w="896"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97,6</w:t>
            </w:r>
            <w:r>
              <w:rPr>
                <w:rFonts w:eastAsia="Times New Roman"/>
                <w:szCs w:val="24"/>
                <w:lang w:eastAsia="cs-CZ"/>
              </w:rPr>
              <w:t> %</w:t>
            </w:r>
          </w:p>
        </w:tc>
      </w:tr>
      <w:tr w:rsidR="00A4083A" w:rsidRPr="00D17312" w:rsidTr="00A41CAB">
        <w:trPr>
          <w:trHeight w:val="330"/>
        </w:trPr>
        <w:tc>
          <w:tcPr>
            <w:tcW w:w="20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11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57 378</w:t>
            </w:r>
          </w:p>
        </w:tc>
        <w:tc>
          <w:tcPr>
            <w:tcW w:w="784"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-12</w:t>
            </w:r>
            <w:r>
              <w:rPr>
                <w:rFonts w:eastAsia="Times New Roman"/>
                <w:sz w:val="20"/>
                <w:szCs w:val="20"/>
                <w:lang w:eastAsia="cs-CZ"/>
              </w:rPr>
              <w:t> %</w:t>
            </w:r>
          </w:p>
        </w:tc>
        <w:tc>
          <w:tcPr>
            <w:tcW w:w="1062"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57 819</w:t>
            </w:r>
          </w:p>
        </w:tc>
        <w:tc>
          <w:tcPr>
            <w:tcW w:w="784"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-12</w:t>
            </w:r>
            <w:r>
              <w:rPr>
                <w:rFonts w:eastAsia="Times New Roman"/>
                <w:sz w:val="20"/>
                <w:szCs w:val="20"/>
                <w:lang w:eastAsia="cs-CZ"/>
              </w:rPr>
              <w:t> %</w:t>
            </w:r>
          </w:p>
        </w:tc>
        <w:tc>
          <w:tcPr>
            <w:tcW w:w="939"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3 043</w:t>
            </w:r>
          </w:p>
        </w:tc>
        <w:tc>
          <w:tcPr>
            <w:tcW w:w="896"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-17</w:t>
            </w:r>
            <w:r>
              <w:rPr>
                <w:rFonts w:eastAsia="Times New Roman"/>
                <w:sz w:val="20"/>
                <w:szCs w:val="20"/>
                <w:lang w:eastAsia="cs-CZ"/>
              </w:rPr>
              <w:t> %</w:t>
            </w:r>
          </w:p>
        </w:tc>
        <w:tc>
          <w:tcPr>
            <w:tcW w:w="1539" w:type="dxa"/>
            <w:tcBorders>
              <w:top w:val="nil"/>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100,8</w:t>
            </w:r>
            <w:r>
              <w:rPr>
                <w:rFonts w:eastAsia="Times New Roman"/>
                <w:szCs w:val="24"/>
                <w:lang w:eastAsia="cs-CZ"/>
              </w:rPr>
              <w:t> %</w:t>
            </w:r>
          </w:p>
        </w:tc>
      </w:tr>
      <w:tr w:rsidR="00A4083A" w:rsidRPr="00D17312" w:rsidTr="00A41CAB">
        <w:trPr>
          <w:trHeight w:val="345"/>
        </w:trPr>
        <w:tc>
          <w:tcPr>
            <w:tcW w:w="20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11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328 373</w:t>
            </w:r>
          </w:p>
        </w:tc>
        <w:tc>
          <w:tcPr>
            <w:tcW w:w="784"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b/>
                <w:bCs/>
                <w:sz w:val="20"/>
                <w:szCs w:val="20"/>
                <w:lang w:eastAsia="cs-CZ"/>
              </w:rPr>
            </w:pPr>
            <w:r w:rsidRPr="00D17312">
              <w:rPr>
                <w:rFonts w:eastAsia="Times New Roman"/>
                <w:b/>
                <w:bCs/>
                <w:sz w:val="20"/>
                <w:szCs w:val="20"/>
                <w:lang w:eastAsia="cs-CZ"/>
              </w:rPr>
              <w:t>-8</w:t>
            </w:r>
            <w:r>
              <w:rPr>
                <w:rFonts w:eastAsia="Times New Roman"/>
                <w:b/>
                <w:bCs/>
                <w:sz w:val="20"/>
                <w:szCs w:val="20"/>
                <w:lang w:eastAsia="cs-CZ"/>
              </w:rPr>
              <w:t> %</w:t>
            </w:r>
          </w:p>
        </w:tc>
        <w:tc>
          <w:tcPr>
            <w:tcW w:w="1062"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331 701</w:t>
            </w:r>
          </w:p>
        </w:tc>
        <w:tc>
          <w:tcPr>
            <w:tcW w:w="784"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b/>
                <w:bCs/>
                <w:sz w:val="20"/>
                <w:szCs w:val="20"/>
                <w:lang w:eastAsia="cs-CZ"/>
              </w:rPr>
            </w:pPr>
            <w:r w:rsidRPr="00D17312">
              <w:rPr>
                <w:rFonts w:eastAsia="Times New Roman"/>
                <w:b/>
                <w:bCs/>
                <w:sz w:val="20"/>
                <w:szCs w:val="20"/>
                <w:lang w:eastAsia="cs-CZ"/>
              </w:rPr>
              <w:t>-9</w:t>
            </w:r>
            <w:r>
              <w:rPr>
                <w:rFonts w:eastAsia="Times New Roman"/>
                <w:b/>
                <w:bCs/>
                <w:sz w:val="20"/>
                <w:szCs w:val="20"/>
                <w:lang w:eastAsia="cs-CZ"/>
              </w:rPr>
              <w:t> %</w:t>
            </w:r>
          </w:p>
        </w:tc>
        <w:tc>
          <w:tcPr>
            <w:tcW w:w="939"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20 307</w:t>
            </w:r>
          </w:p>
        </w:tc>
        <w:tc>
          <w:tcPr>
            <w:tcW w:w="896"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b/>
                <w:bCs/>
                <w:sz w:val="20"/>
                <w:szCs w:val="20"/>
                <w:lang w:eastAsia="cs-CZ"/>
              </w:rPr>
            </w:pPr>
            <w:r w:rsidRPr="00D17312">
              <w:rPr>
                <w:rFonts w:eastAsia="Times New Roman"/>
                <w:b/>
                <w:bCs/>
                <w:sz w:val="20"/>
                <w:szCs w:val="20"/>
                <w:lang w:eastAsia="cs-CZ"/>
              </w:rPr>
              <w:t>-2</w:t>
            </w:r>
            <w:r>
              <w:rPr>
                <w:rFonts w:eastAsia="Times New Roman"/>
                <w:b/>
                <w:bCs/>
                <w:sz w:val="20"/>
                <w:szCs w:val="20"/>
                <w:lang w:eastAsia="cs-CZ"/>
              </w:rPr>
              <w:t> %</w:t>
            </w:r>
          </w:p>
        </w:tc>
        <w:tc>
          <w:tcPr>
            <w:tcW w:w="1539"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101,0</w:t>
            </w:r>
            <w:r>
              <w:rPr>
                <w:rFonts w:eastAsia="Times New Roman"/>
                <w:b/>
                <w:bCs/>
                <w:szCs w:val="24"/>
                <w:lang w:eastAsia="cs-CZ"/>
              </w:rPr>
              <w:t> %</w:t>
            </w:r>
          </w:p>
        </w:tc>
      </w:tr>
    </w:tbl>
    <w:p w:rsidR="00A4083A" w:rsidRPr="00D17312" w:rsidRDefault="00A4083A" w:rsidP="00A4083A">
      <w:pPr>
        <w:rPr>
          <w:highlight w:val="yellow"/>
        </w:rPr>
      </w:pPr>
    </w:p>
    <w:p w:rsidR="00A4083A" w:rsidRDefault="00A4083A" w:rsidP="00A4083A">
      <w:bookmarkStart w:id="154" w:name="_Toc515871229"/>
      <w:r>
        <w:t>M</w:t>
      </w:r>
      <w:r w:rsidRPr="00D17312">
        <w:t>íru vyřizování přes 100</w:t>
      </w:r>
      <w:r>
        <w:t> % měly</w:t>
      </w:r>
      <w:r w:rsidRPr="00D17312">
        <w:t xml:space="preserve"> </w:t>
      </w:r>
      <w:r>
        <w:t>v</w:t>
      </w:r>
      <w:r w:rsidRPr="00D17312">
        <w:t xml:space="preserve">šechny soudy s výjimkou soudů v Jihomoravském kraji. </w:t>
      </w:r>
      <w:r>
        <w:t>V</w:t>
      </w:r>
      <w:r w:rsidRPr="00D17312">
        <w:t xml:space="preserve"> tomto případě </w:t>
      </w:r>
      <w:r>
        <w:t xml:space="preserve">nicméně nižší míra vyřizování </w:t>
      </w:r>
      <w:r w:rsidRPr="00D17312">
        <w:t xml:space="preserve">neznačí </w:t>
      </w:r>
      <w:r>
        <w:t>větší</w:t>
      </w:r>
      <w:r w:rsidRPr="00D17312">
        <w:t xml:space="preserve"> problém.</w:t>
      </w:r>
    </w:p>
    <w:p w:rsidR="00A4083A" w:rsidRPr="00D17312" w:rsidRDefault="00A4083A" w:rsidP="00A4083A">
      <w:pPr>
        <w:pStyle w:val="Nadpis3"/>
        <w:rPr>
          <w:color w:val="auto"/>
        </w:rPr>
      </w:pPr>
      <w:bookmarkStart w:id="155" w:name="_Toc43903032"/>
      <w:r w:rsidRPr="00D17312">
        <w:rPr>
          <w:color w:val="auto"/>
        </w:rPr>
        <w:t>Další statistiky</w:t>
      </w:r>
      <w:bookmarkEnd w:id="154"/>
      <w:bookmarkEnd w:id="155"/>
    </w:p>
    <w:p w:rsidR="00A4083A" w:rsidRPr="00D17312" w:rsidRDefault="00A4083A" w:rsidP="00A4083A">
      <w:pPr>
        <w:pStyle w:val="OdstavecASR"/>
      </w:pPr>
      <w:r w:rsidRPr="00D17312">
        <w:t>Velkou část civilních věcí tvoří spory o úhradu dlužné částky (za pojistné, energie, za jízdu na černo, splátky úvěrů) a většina těchto sporů byla převedena z rejstříku EPR. V této kapitole zodpovíme otázku, kolik věcí je vlastně z rejstříku EPR převedeno do rejstříku C</w:t>
      </w:r>
      <w:r>
        <w:t>, t</w:t>
      </w:r>
      <w:r w:rsidRPr="00D17312">
        <w:t>edy, jak často nestačí, aby soud věc jednoduše vyřídil elektronický</w:t>
      </w:r>
      <w:r>
        <w:t>m</w:t>
      </w:r>
      <w:r w:rsidRPr="00D17312">
        <w:t xml:space="preserve"> platebním rozkazem, ale musel se jí dále zabývat v civilním řízení. Opět uvádíme časové řady za celou ČR a průřezová data po krajích za rok 2019.</w:t>
      </w:r>
    </w:p>
    <w:p w:rsidR="00A4083A" w:rsidRPr="00D17312" w:rsidRDefault="00A4083A" w:rsidP="00A4083A">
      <w:pPr>
        <w:pStyle w:val="Podnadpis"/>
        <w:rPr>
          <w:color w:val="auto"/>
        </w:rPr>
      </w:pPr>
      <w:bookmarkStart w:id="156" w:name="_Toc515871348"/>
      <w:bookmarkStart w:id="157" w:name="_Toc11135083"/>
      <w:bookmarkStart w:id="158" w:name="_Toc43841399"/>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19</w:t>
      </w:r>
      <w:r w:rsidRPr="00D17312">
        <w:rPr>
          <w:color w:val="auto"/>
        </w:rPr>
        <w:fldChar w:fldCharType="end"/>
      </w:r>
      <w:r w:rsidRPr="00D17312">
        <w:rPr>
          <w:color w:val="auto"/>
        </w:rPr>
        <w:t>: OS – převedeno z rejstříku EPR v letech 2013–201</w:t>
      </w:r>
      <w:bookmarkEnd w:id="156"/>
      <w:bookmarkEnd w:id="157"/>
      <w:r w:rsidRPr="00D17312">
        <w:rPr>
          <w:color w:val="auto"/>
        </w:rPr>
        <w:t>9</w:t>
      </w:r>
      <w:bookmarkEnd w:id="158"/>
    </w:p>
    <w:p w:rsidR="00A4083A" w:rsidRPr="00D17312" w:rsidRDefault="00A4083A" w:rsidP="00A4083A">
      <w:pPr>
        <w:rPr>
          <w:highlight w:val="yellow"/>
        </w:rPr>
      </w:pPr>
      <w:r w:rsidRPr="00D17312">
        <w:rPr>
          <w:noProof/>
          <w:lang w:eastAsia="cs-CZ"/>
        </w:rPr>
        <w:drawing>
          <wp:inline distT="0" distB="0" distL="0" distR="0" wp14:anchorId="19859DBD" wp14:editId="360125B1">
            <wp:extent cx="5114925" cy="3743325"/>
            <wp:effectExtent l="0" t="0" r="0" b="952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spacing w:line="240" w:lineRule="auto"/>
        <w:jc w:val="left"/>
        <w:rPr>
          <w:highlight w:val="yellow"/>
        </w:rPr>
      </w:pPr>
      <w:r w:rsidRPr="00D17312">
        <w:rPr>
          <w:highlight w:val="yellow"/>
        </w:rPr>
        <w:br w:type="page"/>
      </w:r>
    </w:p>
    <w:p w:rsidR="00A4083A" w:rsidRPr="00D17312" w:rsidRDefault="00A4083A" w:rsidP="00A4083A">
      <w:pPr>
        <w:pStyle w:val="Podnadpis"/>
        <w:rPr>
          <w:color w:val="auto"/>
        </w:rPr>
      </w:pPr>
      <w:bookmarkStart w:id="159" w:name="_Toc515871450"/>
      <w:bookmarkStart w:id="160" w:name="_Toc11133218"/>
      <w:bookmarkStart w:id="161" w:name="_Toc43931192"/>
      <w:r w:rsidRPr="00D17312">
        <w:rPr>
          <w:color w:val="auto"/>
        </w:rPr>
        <w:lastRenderedPageBreak/>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19</w:t>
      </w:r>
      <w:r w:rsidRPr="00D17312">
        <w:rPr>
          <w:color w:val="auto"/>
        </w:rPr>
        <w:fldChar w:fldCharType="end"/>
      </w:r>
      <w:r w:rsidRPr="00D17312">
        <w:rPr>
          <w:color w:val="auto"/>
        </w:rPr>
        <w:t>: OS – převedeno z rejstříku EPR dle krajů</w:t>
      </w:r>
      <w:bookmarkEnd w:id="159"/>
      <w:bookmarkEnd w:id="160"/>
      <w:bookmarkEnd w:id="161"/>
    </w:p>
    <w:tbl>
      <w:tblPr>
        <w:tblW w:w="8860" w:type="dxa"/>
        <w:tblCellMar>
          <w:left w:w="70" w:type="dxa"/>
          <w:right w:w="70" w:type="dxa"/>
        </w:tblCellMar>
        <w:tblLook w:val="04A0" w:firstRow="1" w:lastRow="0" w:firstColumn="1" w:lastColumn="0" w:noHBand="0" w:noVBand="1"/>
      </w:tblPr>
      <w:tblGrid>
        <w:gridCol w:w="2020"/>
        <w:gridCol w:w="1376"/>
        <w:gridCol w:w="1014"/>
        <w:gridCol w:w="1143"/>
        <w:gridCol w:w="967"/>
        <w:gridCol w:w="1180"/>
        <w:gridCol w:w="1160"/>
      </w:tblGrid>
      <w:tr w:rsidR="00A4083A" w:rsidRPr="00E75D01" w:rsidTr="00A41CAB">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rsidR="00A4083A" w:rsidRPr="00E75D01" w:rsidRDefault="00A4083A" w:rsidP="00A41CAB">
            <w:pPr>
              <w:spacing w:line="240" w:lineRule="auto"/>
              <w:jc w:val="center"/>
              <w:rPr>
                <w:rFonts w:eastAsia="Times New Roman"/>
                <w:b/>
                <w:bCs/>
                <w:color w:val="000000"/>
                <w:szCs w:val="24"/>
                <w:lang w:eastAsia="cs-CZ"/>
              </w:rPr>
            </w:pPr>
            <w:r w:rsidRPr="00E75D01">
              <w:rPr>
                <w:rFonts w:eastAsia="Times New Roman"/>
                <w:b/>
                <w:bCs/>
                <w:color w:val="000000"/>
                <w:szCs w:val="24"/>
                <w:lang w:eastAsia="cs-CZ"/>
              </w:rPr>
              <w:t>Nadřízený soud</w:t>
            </w:r>
          </w:p>
        </w:tc>
        <w:tc>
          <w:tcPr>
            <w:tcW w:w="6840" w:type="dxa"/>
            <w:gridSpan w:val="6"/>
            <w:tcBorders>
              <w:top w:val="double" w:sz="6" w:space="0" w:color="auto"/>
              <w:left w:val="nil"/>
              <w:bottom w:val="nil"/>
              <w:right w:val="nil"/>
            </w:tcBorders>
            <w:shd w:val="clear" w:color="auto" w:fill="auto"/>
            <w:noWrap/>
            <w:vAlign w:val="center"/>
            <w:hideMark/>
          </w:tcPr>
          <w:p w:rsidR="00A4083A" w:rsidRPr="00E75D01" w:rsidRDefault="00A4083A" w:rsidP="00A41CAB">
            <w:pPr>
              <w:spacing w:line="240" w:lineRule="auto"/>
              <w:jc w:val="center"/>
              <w:rPr>
                <w:rFonts w:eastAsia="Times New Roman"/>
                <w:b/>
                <w:bCs/>
                <w:color w:val="000000"/>
                <w:szCs w:val="24"/>
                <w:lang w:eastAsia="cs-CZ"/>
              </w:rPr>
            </w:pPr>
            <w:r w:rsidRPr="00E75D01">
              <w:rPr>
                <w:rFonts w:eastAsia="Times New Roman"/>
                <w:b/>
                <w:bCs/>
                <w:color w:val="000000"/>
                <w:szCs w:val="24"/>
                <w:lang w:eastAsia="cs-CZ"/>
              </w:rPr>
              <w:t>Počet věcí</w:t>
            </w:r>
          </w:p>
        </w:tc>
      </w:tr>
      <w:tr w:rsidR="00A4083A" w:rsidRPr="00E75D01" w:rsidTr="00A41CAB">
        <w:trPr>
          <w:trHeight w:val="645"/>
        </w:trPr>
        <w:tc>
          <w:tcPr>
            <w:tcW w:w="2020" w:type="dxa"/>
            <w:vMerge/>
            <w:tcBorders>
              <w:top w:val="double" w:sz="6" w:space="0" w:color="auto"/>
              <w:left w:val="nil"/>
              <w:bottom w:val="double" w:sz="6" w:space="0" w:color="000000"/>
              <w:right w:val="nil"/>
            </w:tcBorders>
            <w:vAlign w:val="center"/>
            <w:hideMark/>
          </w:tcPr>
          <w:p w:rsidR="00A4083A" w:rsidRPr="00E75D01" w:rsidRDefault="00A4083A" w:rsidP="00A41CAB">
            <w:pPr>
              <w:spacing w:line="240" w:lineRule="auto"/>
              <w:jc w:val="left"/>
              <w:rPr>
                <w:rFonts w:eastAsia="Times New Roman"/>
                <w:b/>
                <w:bCs/>
                <w:color w:val="000000"/>
                <w:szCs w:val="24"/>
                <w:lang w:eastAsia="cs-CZ"/>
              </w:rPr>
            </w:pPr>
          </w:p>
        </w:tc>
        <w:tc>
          <w:tcPr>
            <w:tcW w:w="2390" w:type="dxa"/>
            <w:gridSpan w:val="2"/>
            <w:tcBorders>
              <w:top w:val="nil"/>
              <w:left w:val="nil"/>
              <w:bottom w:val="double" w:sz="6" w:space="0" w:color="auto"/>
              <w:right w:val="single" w:sz="4" w:space="0" w:color="000000"/>
            </w:tcBorders>
            <w:shd w:val="clear" w:color="auto" w:fill="auto"/>
            <w:noWrap/>
            <w:vAlign w:val="center"/>
            <w:hideMark/>
          </w:tcPr>
          <w:p w:rsidR="00A4083A" w:rsidRPr="00E75D01" w:rsidRDefault="00A4083A" w:rsidP="00A41CAB">
            <w:pPr>
              <w:spacing w:line="240" w:lineRule="auto"/>
              <w:jc w:val="center"/>
              <w:rPr>
                <w:rFonts w:eastAsia="Times New Roman"/>
                <w:b/>
                <w:bCs/>
                <w:color w:val="000000"/>
                <w:szCs w:val="24"/>
                <w:lang w:eastAsia="cs-CZ"/>
              </w:rPr>
            </w:pPr>
            <w:r w:rsidRPr="00E75D01">
              <w:rPr>
                <w:rFonts w:eastAsia="Times New Roman"/>
                <w:b/>
                <w:bCs/>
                <w:color w:val="000000"/>
                <w:szCs w:val="24"/>
                <w:lang w:eastAsia="cs-CZ"/>
              </w:rPr>
              <w:t>EPR zrušen soudem</w:t>
            </w:r>
          </w:p>
        </w:tc>
        <w:tc>
          <w:tcPr>
            <w:tcW w:w="2110" w:type="dxa"/>
            <w:gridSpan w:val="2"/>
            <w:tcBorders>
              <w:top w:val="nil"/>
              <w:left w:val="nil"/>
              <w:bottom w:val="double" w:sz="6" w:space="0" w:color="auto"/>
              <w:right w:val="single" w:sz="4" w:space="0" w:color="000000"/>
            </w:tcBorders>
            <w:shd w:val="clear" w:color="auto" w:fill="auto"/>
            <w:vAlign w:val="center"/>
            <w:hideMark/>
          </w:tcPr>
          <w:p w:rsidR="00A4083A" w:rsidRPr="00E75D01" w:rsidRDefault="00A4083A" w:rsidP="00A41CAB">
            <w:pPr>
              <w:spacing w:line="240" w:lineRule="auto"/>
              <w:jc w:val="center"/>
              <w:rPr>
                <w:rFonts w:eastAsia="Times New Roman"/>
                <w:b/>
                <w:bCs/>
                <w:color w:val="000000"/>
                <w:szCs w:val="24"/>
                <w:lang w:eastAsia="cs-CZ"/>
              </w:rPr>
            </w:pPr>
            <w:r w:rsidRPr="00E75D01">
              <w:rPr>
                <w:rFonts w:eastAsia="Times New Roman"/>
                <w:b/>
                <w:bCs/>
                <w:color w:val="000000"/>
                <w:szCs w:val="24"/>
                <w:lang w:eastAsia="cs-CZ"/>
              </w:rPr>
              <w:t>podán odpor, který nebyl odmítnut</w:t>
            </w:r>
          </w:p>
        </w:tc>
        <w:tc>
          <w:tcPr>
            <w:tcW w:w="2340" w:type="dxa"/>
            <w:gridSpan w:val="2"/>
            <w:tcBorders>
              <w:top w:val="nil"/>
              <w:left w:val="nil"/>
              <w:bottom w:val="double" w:sz="6" w:space="0" w:color="auto"/>
              <w:right w:val="nil"/>
            </w:tcBorders>
            <w:shd w:val="clear" w:color="auto" w:fill="auto"/>
            <w:noWrap/>
            <w:vAlign w:val="center"/>
            <w:hideMark/>
          </w:tcPr>
          <w:p w:rsidR="00A4083A" w:rsidRPr="00E75D01" w:rsidRDefault="00A4083A" w:rsidP="00A41CAB">
            <w:pPr>
              <w:spacing w:line="240" w:lineRule="auto"/>
              <w:jc w:val="center"/>
              <w:rPr>
                <w:rFonts w:eastAsia="Times New Roman"/>
                <w:b/>
                <w:bCs/>
                <w:color w:val="000000"/>
                <w:szCs w:val="24"/>
                <w:lang w:eastAsia="cs-CZ"/>
              </w:rPr>
            </w:pPr>
            <w:r w:rsidRPr="00E75D01">
              <w:rPr>
                <w:rFonts w:eastAsia="Times New Roman"/>
                <w:b/>
                <w:bCs/>
                <w:color w:val="000000"/>
                <w:szCs w:val="24"/>
                <w:lang w:eastAsia="cs-CZ"/>
              </w:rPr>
              <w:t>jiný důvod</w:t>
            </w:r>
          </w:p>
        </w:tc>
      </w:tr>
      <w:tr w:rsidR="00A4083A" w:rsidRPr="00E75D01" w:rsidTr="00A41CAB">
        <w:trPr>
          <w:trHeight w:val="330"/>
        </w:trPr>
        <w:tc>
          <w:tcPr>
            <w:tcW w:w="2020" w:type="dxa"/>
            <w:tcBorders>
              <w:top w:val="single" w:sz="4" w:space="0" w:color="auto"/>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left"/>
              <w:rPr>
                <w:rFonts w:eastAsia="Times New Roman"/>
                <w:color w:val="000000"/>
                <w:szCs w:val="24"/>
                <w:lang w:eastAsia="cs-CZ"/>
              </w:rPr>
            </w:pPr>
            <w:r w:rsidRPr="00E75D01">
              <w:rPr>
                <w:rFonts w:eastAsia="Times New Roman"/>
                <w:color w:val="000000"/>
                <w:szCs w:val="24"/>
                <w:lang w:eastAsia="cs-CZ"/>
              </w:rPr>
              <w:t>MS Praha</w:t>
            </w:r>
          </w:p>
        </w:tc>
        <w:tc>
          <w:tcPr>
            <w:tcW w:w="1376" w:type="dxa"/>
            <w:tcBorders>
              <w:top w:val="single" w:sz="4" w:space="0" w:color="auto"/>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color w:val="000000"/>
                <w:szCs w:val="24"/>
                <w:lang w:eastAsia="cs-CZ"/>
              </w:rPr>
            </w:pPr>
            <w:r w:rsidRPr="00E75D01">
              <w:rPr>
                <w:rFonts w:eastAsia="Times New Roman"/>
                <w:color w:val="000000"/>
                <w:szCs w:val="24"/>
                <w:lang w:eastAsia="cs-CZ"/>
              </w:rPr>
              <w:t>31</w:t>
            </w:r>
            <w:r w:rsidR="006C7321">
              <w:rPr>
                <w:rFonts w:eastAsia="Times New Roman"/>
                <w:color w:val="000000"/>
                <w:szCs w:val="24"/>
                <w:lang w:eastAsia="cs-CZ"/>
              </w:rPr>
              <w:t xml:space="preserve"> </w:t>
            </w:r>
            <w:r w:rsidRPr="00E75D01">
              <w:rPr>
                <w:rFonts w:eastAsia="Times New Roman"/>
                <w:color w:val="000000"/>
                <w:szCs w:val="24"/>
                <w:lang w:eastAsia="cs-CZ"/>
              </w:rPr>
              <w:t>996</w:t>
            </w:r>
          </w:p>
        </w:tc>
        <w:tc>
          <w:tcPr>
            <w:tcW w:w="1014" w:type="dxa"/>
            <w:tcBorders>
              <w:top w:val="single" w:sz="4" w:space="0" w:color="auto"/>
              <w:left w:val="nil"/>
              <w:bottom w:val="single" w:sz="4" w:space="0" w:color="auto"/>
              <w:right w:val="single" w:sz="4" w:space="0" w:color="auto"/>
            </w:tcBorders>
            <w:shd w:val="clear" w:color="auto" w:fill="auto"/>
            <w:noWrap/>
            <w:vAlign w:val="center"/>
            <w:hideMark/>
          </w:tcPr>
          <w:p w:rsidR="00A4083A" w:rsidRPr="00E75D01" w:rsidRDefault="00A4083A" w:rsidP="00A41CAB">
            <w:pPr>
              <w:spacing w:line="240" w:lineRule="auto"/>
              <w:jc w:val="center"/>
              <w:rPr>
                <w:rFonts w:eastAsia="Times New Roman"/>
                <w:color w:val="000000"/>
                <w:sz w:val="20"/>
                <w:szCs w:val="20"/>
                <w:lang w:eastAsia="cs-CZ"/>
              </w:rPr>
            </w:pPr>
            <w:r w:rsidRPr="00E75D01">
              <w:rPr>
                <w:rFonts w:eastAsia="Times New Roman"/>
                <w:color w:val="000000"/>
                <w:sz w:val="20"/>
                <w:szCs w:val="20"/>
                <w:lang w:eastAsia="cs-CZ"/>
              </w:rPr>
              <w:t>-4</w:t>
            </w:r>
            <w:r>
              <w:rPr>
                <w:rFonts w:eastAsia="Times New Roman"/>
                <w:color w:val="000000"/>
                <w:sz w:val="20"/>
                <w:szCs w:val="20"/>
                <w:lang w:eastAsia="cs-CZ"/>
              </w:rPr>
              <w:t> %</w:t>
            </w:r>
          </w:p>
        </w:tc>
        <w:tc>
          <w:tcPr>
            <w:tcW w:w="1143" w:type="dxa"/>
            <w:tcBorders>
              <w:top w:val="single" w:sz="4" w:space="0" w:color="auto"/>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color w:val="000000"/>
                <w:szCs w:val="24"/>
                <w:lang w:eastAsia="cs-CZ"/>
              </w:rPr>
            </w:pPr>
            <w:r w:rsidRPr="00E75D01">
              <w:rPr>
                <w:rFonts w:eastAsia="Times New Roman"/>
                <w:color w:val="000000"/>
                <w:szCs w:val="24"/>
                <w:lang w:eastAsia="cs-CZ"/>
              </w:rPr>
              <w:t>3</w:t>
            </w:r>
            <w:r w:rsidR="006C7321">
              <w:rPr>
                <w:rFonts w:eastAsia="Times New Roman"/>
                <w:color w:val="000000"/>
                <w:szCs w:val="24"/>
                <w:lang w:eastAsia="cs-CZ"/>
              </w:rPr>
              <w:t xml:space="preserve"> </w:t>
            </w:r>
            <w:r w:rsidRPr="00E75D01">
              <w:rPr>
                <w:rFonts w:eastAsia="Times New Roman"/>
                <w:color w:val="000000"/>
                <w:szCs w:val="24"/>
                <w:lang w:eastAsia="cs-CZ"/>
              </w:rPr>
              <w:t>239</w:t>
            </w:r>
          </w:p>
        </w:tc>
        <w:tc>
          <w:tcPr>
            <w:tcW w:w="967" w:type="dxa"/>
            <w:tcBorders>
              <w:top w:val="single" w:sz="4" w:space="0" w:color="auto"/>
              <w:left w:val="nil"/>
              <w:bottom w:val="single" w:sz="4" w:space="0" w:color="auto"/>
              <w:right w:val="single" w:sz="4" w:space="0" w:color="auto"/>
            </w:tcBorders>
            <w:shd w:val="clear" w:color="auto" w:fill="auto"/>
            <w:noWrap/>
            <w:vAlign w:val="center"/>
            <w:hideMark/>
          </w:tcPr>
          <w:p w:rsidR="00A4083A" w:rsidRPr="00E75D01" w:rsidRDefault="00A4083A" w:rsidP="00A41CAB">
            <w:pPr>
              <w:spacing w:line="240" w:lineRule="auto"/>
              <w:jc w:val="center"/>
              <w:rPr>
                <w:rFonts w:eastAsia="Times New Roman"/>
                <w:color w:val="000000"/>
                <w:sz w:val="20"/>
                <w:szCs w:val="20"/>
                <w:lang w:eastAsia="cs-CZ"/>
              </w:rPr>
            </w:pPr>
            <w:r w:rsidRPr="00E75D01">
              <w:rPr>
                <w:rFonts w:eastAsia="Times New Roman"/>
                <w:color w:val="000000"/>
                <w:sz w:val="20"/>
                <w:szCs w:val="20"/>
                <w:lang w:eastAsia="cs-CZ"/>
              </w:rPr>
              <w:t>+5</w:t>
            </w:r>
            <w:r>
              <w:rPr>
                <w:rFonts w:eastAsia="Times New Roman"/>
                <w:color w:val="000000"/>
                <w:sz w:val="20"/>
                <w:szCs w:val="20"/>
                <w:lang w:eastAsia="cs-CZ"/>
              </w:rPr>
              <w:t> %</w:t>
            </w:r>
          </w:p>
        </w:tc>
        <w:tc>
          <w:tcPr>
            <w:tcW w:w="1180" w:type="dxa"/>
            <w:tcBorders>
              <w:top w:val="single" w:sz="4" w:space="0" w:color="auto"/>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color w:val="000000"/>
                <w:szCs w:val="24"/>
                <w:lang w:eastAsia="cs-CZ"/>
              </w:rPr>
            </w:pPr>
            <w:r w:rsidRPr="00E75D01">
              <w:rPr>
                <w:rFonts w:eastAsia="Times New Roman"/>
                <w:color w:val="000000"/>
                <w:szCs w:val="24"/>
                <w:lang w:eastAsia="cs-CZ"/>
              </w:rPr>
              <w:t>5</w:t>
            </w:r>
            <w:r w:rsidR="006C7321">
              <w:rPr>
                <w:rFonts w:eastAsia="Times New Roman"/>
                <w:color w:val="000000"/>
                <w:szCs w:val="24"/>
                <w:lang w:eastAsia="cs-CZ"/>
              </w:rPr>
              <w:t xml:space="preserve"> </w:t>
            </w:r>
            <w:r w:rsidRPr="00E75D01">
              <w:rPr>
                <w:rFonts w:eastAsia="Times New Roman"/>
                <w:color w:val="000000"/>
                <w:szCs w:val="24"/>
                <w:lang w:eastAsia="cs-CZ"/>
              </w:rPr>
              <w:t>082</w:t>
            </w:r>
          </w:p>
        </w:tc>
        <w:tc>
          <w:tcPr>
            <w:tcW w:w="1160" w:type="dxa"/>
            <w:tcBorders>
              <w:top w:val="single" w:sz="4" w:space="0" w:color="auto"/>
              <w:left w:val="nil"/>
              <w:bottom w:val="single" w:sz="4" w:space="0" w:color="auto"/>
              <w:right w:val="nil"/>
            </w:tcBorders>
            <w:shd w:val="clear" w:color="auto" w:fill="auto"/>
            <w:noWrap/>
            <w:vAlign w:val="center"/>
            <w:hideMark/>
          </w:tcPr>
          <w:p w:rsidR="00A4083A" w:rsidRPr="00E75D01" w:rsidRDefault="00A4083A" w:rsidP="00A41CAB">
            <w:pPr>
              <w:spacing w:line="240" w:lineRule="auto"/>
              <w:jc w:val="center"/>
              <w:rPr>
                <w:rFonts w:eastAsia="Times New Roman"/>
                <w:color w:val="000000"/>
                <w:sz w:val="20"/>
                <w:szCs w:val="20"/>
                <w:lang w:eastAsia="cs-CZ"/>
              </w:rPr>
            </w:pPr>
            <w:r w:rsidRPr="00E75D01">
              <w:rPr>
                <w:rFonts w:eastAsia="Times New Roman"/>
                <w:color w:val="000000"/>
                <w:sz w:val="20"/>
                <w:szCs w:val="20"/>
                <w:lang w:eastAsia="cs-CZ"/>
              </w:rPr>
              <w:t>-38</w:t>
            </w:r>
            <w:r>
              <w:rPr>
                <w:rFonts w:eastAsia="Times New Roman"/>
                <w:color w:val="000000"/>
                <w:sz w:val="20"/>
                <w:szCs w:val="20"/>
                <w:lang w:eastAsia="cs-CZ"/>
              </w:rPr>
              <w:t> %</w:t>
            </w:r>
          </w:p>
        </w:tc>
      </w:tr>
      <w:tr w:rsidR="00A4083A" w:rsidRPr="00E75D01"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left"/>
              <w:rPr>
                <w:rFonts w:eastAsia="Times New Roman"/>
                <w:color w:val="000000"/>
                <w:szCs w:val="24"/>
                <w:lang w:eastAsia="cs-CZ"/>
              </w:rPr>
            </w:pPr>
            <w:r w:rsidRPr="00E75D01">
              <w:rPr>
                <w:rFonts w:eastAsia="Times New Roman"/>
                <w:color w:val="000000"/>
                <w:szCs w:val="24"/>
                <w:lang w:eastAsia="cs-CZ"/>
              </w:rPr>
              <w:t>KS Praha</w:t>
            </w:r>
          </w:p>
        </w:tc>
        <w:tc>
          <w:tcPr>
            <w:tcW w:w="1376" w:type="dxa"/>
            <w:tcBorders>
              <w:top w:val="nil"/>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color w:val="000000"/>
                <w:szCs w:val="24"/>
                <w:lang w:eastAsia="cs-CZ"/>
              </w:rPr>
            </w:pPr>
            <w:r w:rsidRPr="00E75D01">
              <w:rPr>
                <w:rFonts w:eastAsia="Times New Roman"/>
                <w:color w:val="000000"/>
                <w:szCs w:val="24"/>
                <w:lang w:eastAsia="cs-CZ"/>
              </w:rPr>
              <w:t>17</w:t>
            </w:r>
            <w:r w:rsidR="006C7321">
              <w:rPr>
                <w:rFonts w:eastAsia="Times New Roman"/>
                <w:color w:val="000000"/>
                <w:szCs w:val="24"/>
                <w:lang w:eastAsia="cs-CZ"/>
              </w:rPr>
              <w:t xml:space="preserve"> </w:t>
            </w:r>
            <w:r w:rsidRPr="00E75D01">
              <w:rPr>
                <w:rFonts w:eastAsia="Times New Roman"/>
                <w:color w:val="000000"/>
                <w:szCs w:val="24"/>
                <w:lang w:eastAsia="cs-CZ"/>
              </w:rPr>
              <w:t>791</w:t>
            </w:r>
          </w:p>
        </w:tc>
        <w:tc>
          <w:tcPr>
            <w:tcW w:w="1014" w:type="dxa"/>
            <w:tcBorders>
              <w:top w:val="nil"/>
              <w:left w:val="nil"/>
              <w:bottom w:val="single" w:sz="4" w:space="0" w:color="auto"/>
              <w:right w:val="single" w:sz="4" w:space="0" w:color="auto"/>
            </w:tcBorders>
            <w:shd w:val="clear" w:color="auto" w:fill="auto"/>
            <w:noWrap/>
            <w:vAlign w:val="center"/>
            <w:hideMark/>
          </w:tcPr>
          <w:p w:rsidR="00A4083A" w:rsidRPr="00E75D01" w:rsidRDefault="00A4083A" w:rsidP="00A41CAB">
            <w:pPr>
              <w:spacing w:line="240" w:lineRule="auto"/>
              <w:jc w:val="center"/>
              <w:rPr>
                <w:rFonts w:eastAsia="Times New Roman"/>
                <w:color w:val="000000"/>
                <w:sz w:val="20"/>
                <w:szCs w:val="20"/>
                <w:lang w:eastAsia="cs-CZ"/>
              </w:rPr>
            </w:pPr>
            <w:r w:rsidRPr="00E75D01">
              <w:rPr>
                <w:rFonts w:eastAsia="Times New Roman"/>
                <w:color w:val="000000"/>
                <w:sz w:val="20"/>
                <w:szCs w:val="20"/>
                <w:lang w:eastAsia="cs-CZ"/>
              </w:rPr>
              <w:t>-3</w:t>
            </w:r>
            <w:r>
              <w:rPr>
                <w:rFonts w:eastAsia="Times New Roman"/>
                <w:color w:val="000000"/>
                <w:sz w:val="20"/>
                <w:szCs w:val="20"/>
                <w:lang w:eastAsia="cs-CZ"/>
              </w:rPr>
              <w:t> %</w:t>
            </w:r>
          </w:p>
        </w:tc>
        <w:tc>
          <w:tcPr>
            <w:tcW w:w="1143" w:type="dxa"/>
            <w:tcBorders>
              <w:top w:val="nil"/>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color w:val="000000"/>
                <w:szCs w:val="24"/>
                <w:lang w:eastAsia="cs-CZ"/>
              </w:rPr>
            </w:pPr>
            <w:r w:rsidRPr="00E75D01">
              <w:rPr>
                <w:rFonts w:eastAsia="Times New Roman"/>
                <w:color w:val="000000"/>
                <w:szCs w:val="24"/>
                <w:lang w:eastAsia="cs-CZ"/>
              </w:rPr>
              <w:t>1</w:t>
            </w:r>
            <w:r w:rsidR="006C7321">
              <w:rPr>
                <w:rFonts w:eastAsia="Times New Roman"/>
                <w:color w:val="000000"/>
                <w:szCs w:val="24"/>
                <w:lang w:eastAsia="cs-CZ"/>
              </w:rPr>
              <w:t xml:space="preserve"> </w:t>
            </w:r>
            <w:r w:rsidRPr="00E75D01">
              <w:rPr>
                <w:rFonts w:eastAsia="Times New Roman"/>
                <w:color w:val="000000"/>
                <w:szCs w:val="24"/>
                <w:lang w:eastAsia="cs-CZ"/>
              </w:rPr>
              <w:t>148</w:t>
            </w:r>
          </w:p>
        </w:tc>
        <w:tc>
          <w:tcPr>
            <w:tcW w:w="967" w:type="dxa"/>
            <w:tcBorders>
              <w:top w:val="nil"/>
              <w:left w:val="nil"/>
              <w:bottom w:val="single" w:sz="4" w:space="0" w:color="auto"/>
              <w:right w:val="single" w:sz="4" w:space="0" w:color="auto"/>
            </w:tcBorders>
            <w:shd w:val="clear" w:color="auto" w:fill="auto"/>
            <w:noWrap/>
            <w:vAlign w:val="center"/>
            <w:hideMark/>
          </w:tcPr>
          <w:p w:rsidR="00A4083A" w:rsidRPr="00E75D01" w:rsidRDefault="00A4083A" w:rsidP="00A41CAB">
            <w:pPr>
              <w:spacing w:line="240" w:lineRule="auto"/>
              <w:jc w:val="center"/>
              <w:rPr>
                <w:rFonts w:eastAsia="Times New Roman"/>
                <w:color w:val="000000"/>
                <w:sz w:val="20"/>
                <w:szCs w:val="20"/>
                <w:lang w:eastAsia="cs-CZ"/>
              </w:rPr>
            </w:pPr>
            <w:r w:rsidRPr="00E75D01">
              <w:rPr>
                <w:rFonts w:eastAsia="Times New Roman"/>
                <w:color w:val="000000"/>
                <w:sz w:val="20"/>
                <w:szCs w:val="20"/>
                <w:lang w:eastAsia="cs-CZ"/>
              </w:rPr>
              <w:t>+6</w:t>
            </w:r>
            <w:r>
              <w:rPr>
                <w:rFonts w:eastAsia="Times New Roman"/>
                <w:color w:val="000000"/>
                <w:sz w:val="20"/>
                <w:szCs w:val="20"/>
                <w:lang w:eastAsia="cs-CZ"/>
              </w:rPr>
              <w:t> %</w:t>
            </w:r>
          </w:p>
        </w:tc>
        <w:tc>
          <w:tcPr>
            <w:tcW w:w="1180" w:type="dxa"/>
            <w:tcBorders>
              <w:top w:val="nil"/>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color w:val="000000"/>
                <w:szCs w:val="24"/>
                <w:lang w:eastAsia="cs-CZ"/>
              </w:rPr>
            </w:pPr>
            <w:r w:rsidRPr="00E75D01">
              <w:rPr>
                <w:rFonts w:eastAsia="Times New Roman"/>
                <w:color w:val="000000"/>
                <w:szCs w:val="24"/>
                <w:lang w:eastAsia="cs-CZ"/>
              </w:rPr>
              <w:t>2</w:t>
            </w:r>
            <w:r w:rsidR="006C7321">
              <w:rPr>
                <w:rFonts w:eastAsia="Times New Roman"/>
                <w:color w:val="000000"/>
                <w:szCs w:val="24"/>
                <w:lang w:eastAsia="cs-CZ"/>
              </w:rPr>
              <w:t xml:space="preserve"> </w:t>
            </w:r>
            <w:r w:rsidRPr="00E75D01">
              <w:rPr>
                <w:rFonts w:eastAsia="Times New Roman"/>
                <w:color w:val="000000"/>
                <w:szCs w:val="24"/>
                <w:lang w:eastAsia="cs-CZ"/>
              </w:rPr>
              <w:t>768</w:t>
            </w:r>
          </w:p>
        </w:tc>
        <w:tc>
          <w:tcPr>
            <w:tcW w:w="1160" w:type="dxa"/>
            <w:tcBorders>
              <w:top w:val="nil"/>
              <w:left w:val="nil"/>
              <w:bottom w:val="single" w:sz="4" w:space="0" w:color="auto"/>
              <w:right w:val="nil"/>
            </w:tcBorders>
            <w:shd w:val="clear" w:color="auto" w:fill="auto"/>
            <w:noWrap/>
            <w:vAlign w:val="center"/>
            <w:hideMark/>
          </w:tcPr>
          <w:p w:rsidR="00A4083A" w:rsidRPr="00E75D01" w:rsidRDefault="00A4083A" w:rsidP="00A41CAB">
            <w:pPr>
              <w:spacing w:line="240" w:lineRule="auto"/>
              <w:jc w:val="center"/>
              <w:rPr>
                <w:rFonts w:eastAsia="Times New Roman"/>
                <w:color w:val="000000"/>
                <w:sz w:val="20"/>
                <w:szCs w:val="20"/>
                <w:lang w:eastAsia="cs-CZ"/>
              </w:rPr>
            </w:pPr>
            <w:r w:rsidRPr="00E75D01">
              <w:rPr>
                <w:rFonts w:eastAsia="Times New Roman"/>
                <w:color w:val="000000"/>
                <w:sz w:val="20"/>
                <w:szCs w:val="20"/>
                <w:lang w:eastAsia="cs-CZ"/>
              </w:rPr>
              <w:t>-6</w:t>
            </w:r>
            <w:r>
              <w:rPr>
                <w:rFonts w:eastAsia="Times New Roman"/>
                <w:color w:val="000000"/>
                <w:sz w:val="20"/>
                <w:szCs w:val="20"/>
                <w:lang w:eastAsia="cs-CZ"/>
              </w:rPr>
              <w:t> %</w:t>
            </w:r>
          </w:p>
        </w:tc>
      </w:tr>
      <w:tr w:rsidR="00A4083A" w:rsidRPr="00E75D01"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left"/>
              <w:rPr>
                <w:rFonts w:eastAsia="Times New Roman"/>
                <w:color w:val="000000"/>
                <w:szCs w:val="24"/>
                <w:lang w:eastAsia="cs-CZ"/>
              </w:rPr>
            </w:pPr>
            <w:r w:rsidRPr="00E75D01">
              <w:rPr>
                <w:rFonts w:eastAsia="Times New Roman"/>
                <w:color w:val="000000"/>
                <w:szCs w:val="24"/>
                <w:lang w:eastAsia="cs-CZ"/>
              </w:rPr>
              <w:t>KS Č. Budějovice</w:t>
            </w:r>
          </w:p>
        </w:tc>
        <w:tc>
          <w:tcPr>
            <w:tcW w:w="1376" w:type="dxa"/>
            <w:tcBorders>
              <w:top w:val="nil"/>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color w:val="000000"/>
                <w:szCs w:val="24"/>
                <w:lang w:eastAsia="cs-CZ"/>
              </w:rPr>
            </w:pPr>
            <w:r w:rsidRPr="00E75D01">
              <w:rPr>
                <w:rFonts w:eastAsia="Times New Roman"/>
                <w:color w:val="000000"/>
                <w:szCs w:val="24"/>
                <w:lang w:eastAsia="cs-CZ"/>
              </w:rPr>
              <w:t>7</w:t>
            </w:r>
            <w:r w:rsidR="006C7321">
              <w:rPr>
                <w:rFonts w:eastAsia="Times New Roman"/>
                <w:color w:val="000000"/>
                <w:szCs w:val="24"/>
                <w:lang w:eastAsia="cs-CZ"/>
              </w:rPr>
              <w:t xml:space="preserve"> </w:t>
            </w:r>
            <w:r w:rsidRPr="00E75D01">
              <w:rPr>
                <w:rFonts w:eastAsia="Times New Roman"/>
                <w:color w:val="000000"/>
                <w:szCs w:val="24"/>
                <w:lang w:eastAsia="cs-CZ"/>
              </w:rPr>
              <w:t>853</w:t>
            </w:r>
          </w:p>
        </w:tc>
        <w:tc>
          <w:tcPr>
            <w:tcW w:w="1014" w:type="dxa"/>
            <w:tcBorders>
              <w:top w:val="nil"/>
              <w:left w:val="nil"/>
              <w:bottom w:val="single" w:sz="4" w:space="0" w:color="auto"/>
              <w:right w:val="single" w:sz="4" w:space="0" w:color="auto"/>
            </w:tcBorders>
            <w:shd w:val="clear" w:color="auto" w:fill="auto"/>
            <w:noWrap/>
            <w:vAlign w:val="center"/>
            <w:hideMark/>
          </w:tcPr>
          <w:p w:rsidR="00A4083A" w:rsidRPr="00E75D01" w:rsidRDefault="00A4083A" w:rsidP="00A41CAB">
            <w:pPr>
              <w:spacing w:line="240" w:lineRule="auto"/>
              <w:jc w:val="center"/>
              <w:rPr>
                <w:rFonts w:eastAsia="Times New Roman"/>
                <w:color w:val="000000"/>
                <w:sz w:val="20"/>
                <w:szCs w:val="20"/>
                <w:lang w:eastAsia="cs-CZ"/>
              </w:rPr>
            </w:pPr>
            <w:r w:rsidRPr="00E75D01">
              <w:rPr>
                <w:rFonts w:eastAsia="Times New Roman"/>
                <w:color w:val="000000"/>
                <w:sz w:val="20"/>
                <w:szCs w:val="20"/>
                <w:lang w:eastAsia="cs-CZ"/>
              </w:rPr>
              <w:t>-7</w:t>
            </w:r>
            <w:r>
              <w:rPr>
                <w:rFonts w:eastAsia="Times New Roman"/>
                <w:color w:val="000000"/>
                <w:sz w:val="20"/>
                <w:szCs w:val="20"/>
                <w:lang w:eastAsia="cs-CZ"/>
              </w:rPr>
              <w:t> %</w:t>
            </w:r>
          </w:p>
        </w:tc>
        <w:tc>
          <w:tcPr>
            <w:tcW w:w="1143" w:type="dxa"/>
            <w:tcBorders>
              <w:top w:val="nil"/>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color w:val="000000"/>
                <w:szCs w:val="24"/>
                <w:lang w:eastAsia="cs-CZ"/>
              </w:rPr>
            </w:pPr>
            <w:r w:rsidRPr="00E75D01">
              <w:rPr>
                <w:rFonts w:eastAsia="Times New Roman"/>
                <w:color w:val="000000"/>
                <w:szCs w:val="24"/>
                <w:lang w:eastAsia="cs-CZ"/>
              </w:rPr>
              <w:t>658</w:t>
            </w:r>
          </w:p>
        </w:tc>
        <w:tc>
          <w:tcPr>
            <w:tcW w:w="967" w:type="dxa"/>
            <w:tcBorders>
              <w:top w:val="nil"/>
              <w:left w:val="nil"/>
              <w:bottom w:val="single" w:sz="4" w:space="0" w:color="auto"/>
              <w:right w:val="single" w:sz="4" w:space="0" w:color="auto"/>
            </w:tcBorders>
            <w:shd w:val="clear" w:color="auto" w:fill="auto"/>
            <w:noWrap/>
            <w:vAlign w:val="center"/>
            <w:hideMark/>
          </w:tcPr>
          <w:p w:rsidR="00A4083A" w:rsidRPr="00E75D01" w:rsidRDefault="00A4083A" w:rsidP="00A41CAB">
            <w:pPr>
              <w:spacing w:line="240" w:lineRule="auto"/>
              <w:jc w:val="center"/>
              <w:rPr>
                <w:rFonts w:eastAsia="Times New Roman"/>
                <w:color w:val="000000"/>
                <w:sz w:val="20"/>
                <w:szCs w:val="20"/>
                <w:lang w:eastAsia="cs-CZ"/>
              </w:rPr>
            </w:pPr>
            <w:r w:rsidRPr="00E75D01">
              <w:rPr>
                <w:rFonts w:eastAsia="Times New Roman"/>
                <w:color w:val="000000"/>
                <w:sz w:val="20"/>
                <w:szCs w:val="20"/>
                <w:lang w:eastAsia="cs-CZ"/>
              </w:rPr>
              <w:t>-5</w:t>
            </w:r>
            <w:r>
              <w:rPr>
                <w:rFonts w:eastAsia="Times New Roman"/>
                <w:color w:val="000000"/>
                <w:sz w:val="20"/>
                <w:szCs w:val="20"/>
                <w:lang w:eastAsia="cs-CZ"/>
              </w:rPr>
              <w:t> %</w:t>
            </w:r>
          </w:p>
        </w:tc>
        <w:tc>
          <w:tcPr>
            <w:tcW w:w="1180" w:type="dxa"/>
            <w:tcBorders>
              <w:top w:val="nil"/>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color w:val="000000"/>
                <w:szCs w:val="24"/>
                <w:lang w:eastAsia="cs-CZ"/>
              </w:rPr>
            </w:pPr>
            <w:r w:rsidRPr="00E75D01">
              <w:rPr>
                <w:rFonts w:eastAsia="Times New Roman"/>
                <w:color w:val="000000"/>
                <w:szCs w:val="24"/>
                <w:lang w:eastAsia="cs-CZ"/>
              </w:rPr>
              <w:t>411</w:t>
            </w:r>
          </w:p>
        </w:tc>
        <w:tc>
          <w:tcPr>
            <w:tcW w:w="1160" w:type="dxa"/>
            <w:tcBorders>
              <w:top w:val="nil"/>
              <w:left w:val="nil"/>
              <w:bottom w:val="single" w:sz="4" w:space="0" w:color="auto"/>
              <w:right w:val="nil"/>
            </w:tcBorders>
            <w:shd w:val="clear" w:color="auto" w:fill="auto"/>
            <w:noWrap/>
            <w:vAlign w:val="center"/>
            <w:hideMark/>
          </w:tcPr>
          <w:p w:rsidR="00A4083A" w:rsidRPr="00E75D01" w:rsidRDefault="00A4083A" w:rsidP="00A41CAB">
            <w:pPr>
              <w:spacing w:line="240" w:lineRule="auto"/>
              <w:jc w:val="center"/>
              <w:rPr>
                <w:rFonts w:eastAsia="Times New Roman"/>
                <w:color w:val="000000"/>
                <w:sz w:val="20"/>
                <w:szCs w:val="20"/>
                <w:lang w:eastAsia="cs-CZ"/>
              </w:rPr>
            </w:pPr>
            <w:r w:rsidRPr="00E75D01">
              <w:rPr>
                <w:rFonts w:eastAsia="Times New Roman"/>
                <w:color w:val="000000"/>
                <w:sz w:val="20"/>
                <w:szCs w:val="20"/>
                <w:lang w:eastAsia="cs-CZ"/>
              </w:rPr>
              <w:t>+10</w:t>
            </w:r>
            <w:r>
              <w:rPr>
                <w:rFonts w:eastAsia="Times New Roman"/>
                <w:color w:val="000000"/>
                <w:sz w:val="20"/>
                <w:szCs w:val="20"/>
                <w:lang w:eastAsia="cs-CZ"/>
              </w:rPr>
              <w:t> %</w:t>
            </w:r>
          </w:p>
        </w:tc>
      </w:tr>
      <w:tr w:rsidR="00A4083A" w:rsidRPr="00E75D01"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left"/>
              <w:rPr>
                <w:rFonts w:eastAsia="Times New Roman"/>
                <w:color w:val="000000"/>
                <w:szCs w:val="24"/>
                <w:lang w:eastAsia="cs-CZ"/>
              </w:rPr>
            </w:pPr>
            <w:r w:rsidRPr="00E75D01">
              <w:rPr>
                <w:rFonts w:eastAsia="Times New Roman"/>
                <w:color w:val="000000"/>
                <w:szCs w:val="24"/>
                <w:lang w:eastAsia="cs-CZ"/>
              </w:rPr>
              <w:t>KS Plzeň</w:t>
            </w:r>
          </w:p>
        </w:tc>
        <w:tc>
          <w:tcPr>
            <w:tcW w:w="1376" w:type="dxa"/>
            <w:tcBorders>
              <w:top w:val="nil"/>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color w:val="000000"/>
                <w:szCs w:val="24"/>
                <w:lang w:eastAsia="cs-CZ"/>
              </w:rPr>
            </w:pPr>
            <w:r w:rsidRPr="00E75D01">
              <w:rPr>
                <w:rFonts w:eastAsia="Times New Roman"/>
                <w:color w:val="000000"/>
                <w:szCs w:val="24"/>
                <w:lang w:eastAsia="cs-CZ"/>
              </w:rPr>
              <w:t>13</w:t>
            </w:r>
            <w:r w:rsidR="006C7321">
              <w:rPr>
                <w:rFonts w:eastAsia="Times New Roman"/>
                <w:color w:val="000000"/>
                <w:szCs w:val="24"/>
                <w:lang w:eastAsia="cs-CZ"/>
              </w:rPr>
              <w:t xml:space="preserve"> </w:t>
            </w:r>
            <w:r w:rsidRPr="00E75D01">
              <w:rPr>
                <w:rFonts w:eastAsia="Times New Roman"/>
                <w:color w:val="000000"/>
                <w:szCs w:val="24"/>
                <w:lang w:eastAsia="cs-CZ"/>
              </w:rPr>
              <w:t>509</w:t>
            </w:r>
          </w:p>
        </w:tc>
        <w:tc>
          <w:tcPr>
            <w:tcW w:w="1014" w:type="dxa"/>
            <w:tcBorders>
              <w:top w:val="nil"/>
              <w:left w:val="nil"/>
              <w:bottom w:val="single" w:sz="4" w:space="0" w:color="auto"/>
              <w:right w:val="single" w:sz="4" w:space="0" w:color="auto"/>
            </w:tcBorders>
            <w:shd w:val="clear" w:color="auto" w:fill="auto"/>
            <w:noWrap/>
            <w:vAlign w:val="center"/>
            <w:hideMark/>
          </w:tcPr>
          <w:p w:rsidR="00A4083A" w:rsidRPr="00E75D01" w:rsidRDefault="00A4083A" w:rsidP="00A41CAB">
            <w:pPr>
              <w:spacing w:line="240" w:lineRule="auto"/>
              <w:jc w:val="center"/>
              <w:rPr>
                <w:rFonts w:eastAsia="Times New Roman"/>
                <w:color w:val="000000"/>
                <w:sz w:val="20"/>
                <w:szCs w:val="20"/>
                <w:lang w:eastAsia="cs-CZ"/>
              </w:rPr>
            </w:pPr>
            <w:r w:rsidRPr="00E75D01">
              <w:rPr>
                <w:rFonts w:eastAsia="Times New Roman"/>
                <w:color w:val="000000"/>
                <w:sz w:val="20"/>
                <w:szCs w:val="20"/>
                <w:lang w:eastAsia="cs-CZ"/>
              </w:rPr>
              <w:t>-17</w:t>
            </w:r>
            <w:r>
              <w:rPr>
                <w:rFonts w:eastAsia="Times New Roman"/>
                <w:color w:val="000000"/>
                <w:sz w:val="20"/>
                <w:szCs w:val="20"/>
                <w:lang w:eastAsia="cs-CZ"/>
              </w:rPr>
              <w:t> %</w:t>
            </w:r>
          </w:p>
        </w:tc>
        <w:tc>
          <w:tcPr>
            <w:tcW w:w="1143" w:type="dxa"/>
            <w:tcBorders>
              <w:top w:val="nil"/>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color w:val="000000"/>
                <w:szCs w:val="24"/>
                <w:lang w:eastAsia="cs-CZ"/>
              </w:rPr>
            </w:pPr>
            <w:r w:rsidRPr="00E75D01">
              <w:rPr>
                <w:rFonts w:eastAsia="Times New Roman"/>
                <w:color w:val="000000"/>
                <w:szCs w:val="24"/>
                <w:lang w:eastAsia="cs-CZ"/>
              </w:rPr>
              <w:t>670</w:t>
            </w:r>
          </w:p>
        </w:tc>
        <w:tc>
          <w:tcPr>
            <w:tcW w:w="967" w:type="dxa"/>
            <w:tcBorders>
              <w:top w:val="nil"/>
              <w:left w:val="nil"/>
              <w:bottom w:val="single" w:sz="4" w:space="0" w:color="auto"/>
              <w:right w:val="single" w:sz="4" w:space="0" w:color="auto"/>
            </w:tcBorders>
            <w:shd w:val="clear" w:color="auto" w:fill="auto"/>
            <w:noWrap/>
            <w:vAlign w:val="center"/>
            <w:hideMark/>
          </w:tcPr>
          <w:p w:rsidR="00A4083A" w:rsidRPr="00E75D01" w:rsidRDefault="00A4083A" w:rsidP="00A41CAB">
            <w:pPr>
              <w:spacing w:line="240" w:lineRule="auto"/>
              <w:jc w:val="center"/>
              <w:rPr>
                <w:rFonts w:eastAsia="Times New Roman"/>
                <w:color w:val="000000"/>
                <w:sz w:val="20"/>
                <w:szCs w:val="20"/>
                <w:lang w:eastAsia="cs-CZ"/>
              </w:rPr>
            </w:pPr>
            <w:r w:rsidRPr="00E75D01">
              <w:rPr>
                <w:rFonts w:eastAsia="Times New Roman"/>
                <w:color w:val="000000"/>
                <w:sz w:val="20"/>
                <w:szCs w:val="20"/>
                <w:lang w:eastAsia="cs-CZ"/>
              </w:rPr>
              <w:t>+3</w:t>
            </w:r>
            <w:r>
              <w:rPr>
                <w:rFonts w:eastAsia="Times New Roman"/>
                <w:color w:val="000000"/>
                <w:sz w:val="20"/>
                <w:szCs w:val="20"/>
                <w:lang w:eastAsia="cs-CZ"/>
              </w:rPr>
              <w:t> %</w:t>
            </w:r>
          </w:p>
        </w:tc>
        <w:tc>
          <w:tcPr>
            <w:tcW w:w="1180" w:type="dxa"/>
            <w:tcBorders>
              <w:top w:val="nil"/>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color w:val="000000"/>
                <w:szCs w:val="24"/>
                <w:lang w:eastAsia="cs-CZ"/>
              </w:rPr>
            </w:pPr>
            <w:r w:rsidRPr="00E75D01">
              <w:rPr>
                <w:rFonts w:eastAsia="Times New Roman"/>
                <w:color w:val="000000"/>
                <w:szCs w:val="24"/>
                <w:lang w:eastAsia="cs-CZ"/>
              </w:rPr>
              <w:t>2</w:t>
            </w:r>
            <w:r w:rsidR="006C7321">
              <w:rPr>
                <w:rFonts w:eastAsia="Times New Roman"/>
                <w:color w:val="000000"/>
                <w:szCs w:val="24"/>
                <w:lang w:eastAsia="cs-CZ"/>
              </w:rPr>
              <w:t xml:space="preserve"> </w:t>
            </w:r>
            <w:r w:rsidRPr="00E75D01">
              <w:rPr>
                <w:rFonts w:eastAsia="Times New Roman"/>
                <w:color w:val="000000"/>
                <w:szCs w:val="24"/>
                <w:lang w:eastAsia="cs-CZ"/>
              </w:rPr>
              <w:t>473</w:t>
            </w:r>
          </w:p>
        </w:tc>
        <w:tc>
          <w:tcPr>
            <w:tcW w:w="1160" w:type="dxa"/>
            <w:tcBorders>
              <w:top w:val="nil"/>
              <w:left w:val="nil"/>
              <w:bottom w:val="single" w:sz="4" w:space="0" w:color="auto"/>
              <w:right w:val="nil"/>
            </w:tcBorders>
            <w:shd w:val="clear" w:color="auto" w:fill="auto"/>
            <w:noWrap/>
            <w:vAlign w:val="center"/>
            <w:hideMark/>
          </w:tcPr>
          <w:p w:rsidR="00A4083A" w:rsidRPr="00E75D01" w:rsidRDefault="00A4083A" w:rsidP="00A41CAB">
            <w:pPr>
              <w:spacing w:line="240" w:lineRule="auto"/>
              <w:jc w:val="center"/>
              <w:rPr>
                <w:rFonts w:eastAsia="Times New Roman"/>
                <w:color w:val="000000"/>
                <w:sz w:val="20"/>
                <w:szCs w:val="20"/>
                <w:lang w:eastAsia="cs-CZ"/>
              </w:rPr>
            </w:pPr>
            <w:r w:rsidRPr="00E75D01">
              <w:rPr>
                <w:rFonts w:eastAsia="Times New Roman"/>
                <w:color w:val="000000"/>
                <w:sz w:val="20"/>
                <w:szCs w:val="20"/>
                <w:lang w:eastAsia="cs-CZ"/>
              </w:rPr>
              <w:t>-11</w:t>
            </w:r>
            <w:r>
              <w:rPr>
                <w:rFonts w:eastAsia="Times New Roman"/>
                <w:color w:val="000000"/>
                <w:sz w:val="20"/>
                <w:szCs w:val="20"/>
                <w:lang w:eastAsia="cs-CZ"/>
              </w:rPr>
              <w:t> %</w:t>
            </w:r>
          </w:p>
        </w:tc>
      </w:tr>
      <w:tr w:rsidR="00A4083A" w:rsidRPr="00E75D01"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left"/>
              <w:rPr>
                <w:rFonts w:eastAsia="Times New Roman"/>
                <w:color w:val="000000"/>
                <w:szCs w:val="24"/>
                <w:lang w:eastAsia="cs-CZ"/>
              </w:rPr>
            </w:pPr>
            <w:r w:rsidRPr="00E75D01">
              <w:rPr>
                <w:rFonts w:eastAsia="Times New Roman"/>
                <w:color w:val="000000"/>
                <w:szCs w:val="24"/>
                <w:lang w:eastAsia="cs-CZ"/>
              </w:rPr>
              <w:t>KS Ústí n. Labem</w:t>
            </w:r>
          </w:p>
        </w:tc>
        <w:tc>
          <w:tcPr>
            <w:tcW w:w="1376" w:type="dxa"/>
            <w:tcBorders>
              <w:top w:val="nil"/>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color w:val="000000"/>
                <w:szCs w:val="24"/>
                <w:lang w:eastAsia="cs-CZ"/>
              </w:rPr>
            </w:pPr>
            <w:r w:rsidRPr="00E75D01">
              <w:rPr>
                <w:rFonts w:eastAsia="Times New Roman"/>
                <w:color w:val="000000"/>
                <w:szCs w:val="24"/>
                <w:lang w:eastAsia="cs-CZ"/>
              </w:rPr>
              <w:t>28</w:t>
            </w:r>
            <w:r w:rsidR="006C7321">
              <w:rPr>
                <w:rFonts w:eastAsia="Times New Roman"/>
                <w:color w:val="000000"/>
                <w:szCs w:val="24"/>
                <w:lang w:eastAsia="cs-CZ"/>
              </w:rPr>
              <w:t xml:space="preserve"> </w:t>
            </w:r>
            <w:r w:rsidRPr="00E75D01">
              <w:rPr>
                <w:rFonts w:eastAsia="Times New Roman"/>
                <w:color w:val="000000"/>
                <w:szCs w:val="24"/>
                <w:lang w:eastAsia="cs-CZ"/>
              </w:rPr>
              <w:t>943</w:t>
            </w:r>
          </w:p>
        </w:tc>
        <w:tc>
          <w:tcPr>
            <w:tcW w:w="1014" w:type="dxa"/>
            <w:tcBorders>
              <w:top w:val="nil"/>
              <w:left w:val="nil"/>
              <w:bottom w:val="single" w:sz="4" w:space="0" w:color="auto"/>
              <w:right w:val="single" w:sz="4" w:space="0" w:color="auto"/>
            </w:tcBorders>
            <w:shd w:val="clear" w:color="auto" w:fill="auto"/>
            <w:noWrap/>
            <w:vAlign w:val="center"/>
            <w:hideMark/>
          </w:tcPr>
          <w:p w:rsidR="00A4083A" w:rsidRPr="00E75D01" w:rsidRDefault="00A4083A" w:rsidP="00A41CAB">
            <w:pPr>
              <w:spacing w:line="240" w:lineRule="auto"/>
              <w:jc w:val="center"/>
              <w:rPr>
                <w:rFonts w:eastAsia="Times New Roman"/>
                <w:color w:val="000000"/>
                <w:sz w:val="20"/>
                <w:szCs w:val="20"/>
                <w:lang w:eastAsia="cs-CZ"/>
              </w:rPr>
            </w:pPr>
            <w:r w:rsidRPr="00E75D01">
              <w:rPr>
                <w:rFonts w:eastAsia="Times New Roman"/>
                <w:color w:val="000000"/>
                <w:sz w:val="20"/>
                <w:szCs w:val="20"/>
                <w:lang w:eastAsia="cs-CZ"/>
              </w:rPr>
              <w:t>-4</w:t>
            </w:r>
            <w:r>
              <w:rPr>
                <w:rFonts w:eastAsia="Times New Roman"/>
                <w:color w:val="000000"/>
                <w:sz w:val="20"/>
                <w:szCs w:val="20"/>
                <w:lang w:eastAsia="cs-CZ"/>
              </w:rPr>
              <w:t> %</w:t>
            </w:r>
          </w:p>
        </w:tc>
        <w:tc>
          <w:tcPr>
            <w:tcW w:w="1143" w:type="dxa"/>
            <w:tcBorders>
              <w:top w:val="nil"/>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color w:val="000000"/>
                <w:szCs w:val="24"/>
                <w:lang w:eastAsia="cs-CZ"/>
              </w:rPr>
            </w:pPr>
            <w:r w:rsidRPr="00E75D01">
              <w:rPr>
                <w:rFonts w:eastAsia="Times New Roman"/>
                <w:color w:val="000000"/>
                <w:szCs w:val="24"/>
                <w:lang w:eastAsia="cs-CZ"/>
              </w:rPr>
              <w:t>1</w:t>
            </w:r>
            <w:r w:rsidR="006C7321">
              <w:rPr>
                <w:rFonts w:eastAsia="Times New Roman"/>
                <w:color w:val="000000"/>
                <w:szCs w:val="24"/>
                <w:lang w:eastAsia="cs-CZ"/>
              </w:rPr>
              <w:t xml:space="preserve"> </w:t>
            </w:r>
            <w:r w:rsidRPr="00E75D01">
              <w:rPr>
                <w:rFonts w:eastAsia="Times New Roman"/>
                <w:color w:val="000000"/>
                <w:szCs w:val="24"/>
                <w:lang w:eastAsia="cs-CZ"/>
              </w:rPr>
              <w:t>279</w:t>
            </w:r>
          </w:p>
        </w:tc>
        <w:tc>
          <w:tcPr>
            <w:tcW w:w="967" w:type="dxa"/>
            <w:tcBorders>
              <w:top w:val="nil"/>
              <w:left w:val="nil"/>
              <w:bottom w:val="single" w:sz="4" w:space="0" w:color="auto"/>
              <w:right w:val="single" w:sz="4" w:space="0" w:color="auto"/>
            </w:tcBorders>
            <w:shd w:val="clear" w:color="auto" w:fill="auto"/>
            <w:noWrap/>
            <w:vAlign w:val="center"/>
            <w:hideMark/>
          </w:tcPr>
          <w:p w:rsidR="00A4083A" w:rsidRPr="00E75D01" w:rsidRDefault="00A4083A" w:rsidP="00A41CAB">
            <w:pPr>
              <w:spacing w:line="240" w:lineRule="auto"/>
              <w:jc w:val="center"/>
              <w:rPr>
                <w:rFonts w:eastAsia="Times New Roman"/>
                <w:color w:val="000000"/>
                <w:sz w:val="20"/>
                <w:szCs w:val="20"/>
                <w:lang w:eastAsia="cs-CZ"/>
              </w:rPr>
            </w:pPr>
            <w:r w:rsidRPr="00E75D01">
              <w:rPr>
                <w:rFonts w:eastAsia="Times New Roman"/>
                <w:color w:val="000000"/>
                <w:sz w:val="20"/>
                <w:szCs w:val="20"/>
                <w:lang w:eastAsia="cs-CZ"/>
              </w:rPr>
              <w:t>-4</w:t>
            </w:r>
            <w:r>
              <w:rPr>
                <w:rFonts w:eastAsia="Times New Roman"/>
                <w:color w:val="000000"/>
                <w:sz w:val="20"/>
                <w:szCs w:val="20"/>
                <w:lang w:eastAsia="cs-CZ"/>
              </w:rPr>
              <w:t> %</w:t>
            </w:r>
          </w:p>
        </w:tc>
        <w:tc>
          <w:tcPr>
            <w:tcW w:w="1180" w:type="dxa"/>
            <w:tcBorders>
              <w:top w:val="nil"/>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color w:val="000000"/>
                <w:szCs w:val="24"/>
                <w:lang w:eastAsia="cs-CZ"/>
              </w:rPr>
            </w:pPr>
            <w:r w:rsidRPr="00E75D01">
              <w:rPr>
                <w:rFonts w:eastAsia="Times New Roman"/>
                <w:color w:val="000000"/>
                <w:szCs w:val="24"/>
                <w:lang w:eastAsia="cs-CZ"/>
              </w:rPr>
              <w:t>1</w:t>
            </w:r>
            <w:r w:rsidR="006C7321">
              <w:rPr>
                <w:rFonts w:eastAsia="Times New Roman"/>
                <w:color w:val="000000"/>
                <w:szCs w:val="24"/>
                <w:lang w:eastAsia="cs-CZ"/>
              </w:rPr>
              <w:t xml:space="preserve"> </w:t>
            </w:r>
            <w:r w:rsidRPr="00E75D01">
              <w:rPr>
                <w:rFonts w:eastAsia="Times New Roman"/>
                <w:color w:val="000000"/>
                <w:szCs w:val="24"/>
                <w:lang w:eastAsia="cs-CZ"/>
              </w:rPr>
              <w:t>396</w:t>
            </w:r>
          </w:p>
        </w:tc>
        <w:tc>
          <w:tcPr>
            <w:tcW w:w="1160" w:type="dxa"/>
            <w:tcBorders>
              <w:top w:val="nil"/>
              <w:left w:val="nil"/>
              <w:bottom w:val="single" w:sz="4" w:space="0" w:color="auto"/>
              <w:right w:val="nil"/>
            </w:tcBorders>
            <w:shd w:val="clear" w:color="auto" w:fill="auto"/>
            <w:noWrap/>
            <w:vAlign w:val="center"/>
            <w:hideMark/>
          </w:tcPr>
          <w:p w:rsidR="00A4083A" w:rsidRPr="00E75D01" w:rsidRDefault="00A4083A" w:rsidP="00A41CAB">
            <w:pPr>
              <w:spacing w:line="240" w:lineRule="auto"/>
              <w:jc w:val="center"/>
              <w:rPr>
                <w:rFonts w:eastAsia="Times New Roman"/>
                <w:color w:val="000000"/>
                <w:sz w:val="20"/>
                <w:szCs w:val="20"/>
                <w:lang w:eastAsia="cs-CZ"/>
              </w:rPr>
            </w:pPr>
            <w:r w:rsidRPr="00E75D01">
              <w:rPr>
                <w:rFonts w:eastAsia="Times New Roman"/>
                <w:color w:val="000000"/>
                <w:sz w:val="20"/>
                <w:szCs w:val="20"/>
                <w:lang w:eastAsia="cs-CZ"/>
              </w:rPr>
              <w:t>+20</w:t>
            </w:r>
            <w:r>
              <w:rPr>
                <w:rFonts w:eastAsia="Times New Roman"/>
                <w:color w:val="000000"/>
                <w:sz w:val="20"/>
                <w:szCs w:val="20"/>
                <w:lang w:eastAsia="cs-CZ"/>
              </w:rPr>
              <w:t> %</w:t>
            </w:r>
          </w:p>
        </w:tc>
      </w:tr>
      <w:tr w:rsidR="00A4083A" w:rsidRPr="00E75D01"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left"/>
              <w:rPr>
                <w:rFonts w:eastAsia="Times New Roman"/>
                <w:color w:val="000000"/>
                <w:szCs w:val="24"/>
                <w:lang w:eastAsia="cs-CZ"/>
              </w:rPr>
            </w:pPr>
            <w:r w:rsidRPr="00E75D01">
              <w:rPr>
                <w:rFonts w:eastAsia="Times New Roman"/>
                <w:color w:val="000000"/>
                <w:szCs w:val="24"/>
                <w:lang w:eastAsia="cs-CZ"/>
              </w:rPr>
              <w:t>KS Hr. Králové</w:t>
            </w:r>
          </w:p>
        </w:tc>
        <w:tc>
          <w:tcPr>
            <w:tcW w:w="1376" w:type="dxa"/>
            <w:tcBorders>
              <w:top w:val="nil"/>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color w:val="000000"/>
                <w:szCs w:val="24"/>
                <w:lang w:eastAsia="cs-CZ"/>
              </w:rPr>
            </w:pPr>
            <w:r w:rsidRPr="00E75D01">
              <w:rPr>
                <w:rFonts w:eastAsia="Times New Roman"/>
                <w:color w:val="000000"/>
                <w:szCs w:val="24"/>
                <w:lang w:eastAsia="cs-CZ"/>
              </w:rPr>
              <w:t>12</w:t>
            </w:r>
            <w:r w:rsidR="006C7321">
              <w:rPr>
                <w:rFonts w:eastAsia="Times New Roman"/>
                <w:color w:val="000000"/>
                <w:szCs w:val="24"/>
                <w:lang w:eastAsia="cs-CZ"/>
              </w:rPr>
              <w:t xml:space="preserve"> </w:t>
            </w:r>
            <w:r w:rsidRPr="00E75D01">
              <w:rPr>
                <w:rFonts w:eastAsia="Times New Roman"/>
                <w:color w:val="000000"/>
                <w:szCs w:val="24"/>
                <w:lang w:eastAsia="cs-CZ"/>
              </w:rPr>
              <w:t>075</w:t>
            </w:r>
          </w:p>
        </w:tc>
        <w:tc>
          <w:tcPr>
            <w:tcW w:w="1014" w:type="dxa"/>
            <w:tcBorders>
              <w:top w:val="nil"/>
              <w:left w:val="nil"/>
              <w:bottom w:val="single" w:sz="4" w:space="0" w:color="auto"/>
              <w:right w:val="single" w:sz="4" w:space="0" w:color="auto"/>
            </w:tcBorders>
            <w:shd w:val="clear" w:color="auto" w:fill="auto"/>
            <w:noWrap/>
            <w:vAlign w:val="center"/>
            <w:hideMark/>
          </w:tcPr>
          <w:p w:rsidR="00A4083A" w:rsidRPr="00E75D01" w:rsidRDefault="00A4083A" w:rsidP="00A41CAB">
            <w:pPr>
              <w:spacing w:line="240" w:lineRule="auto"/>
              <w:jc w:val="center"/>
              <w:rPr>
                <w:rFonts w:eastAsia="Times New Roman"/>
                <w:color w:val="000000"/>
                <w:sz w:val="20"/>
                <w:szCs w:val="20"/>
                <w:lang w:eastAsia="cs-CZ"/>
              </w:rPr>
            </w:pPr>
            <w:r w:rsidRPr="00E75D01">
              <w:rPr>
                <w:rFonts w:eastAsia="Times New Roman"/>
                <w:color w:val="000000"/>
                <w:sz w:val="20"/>
                <w:szCs w:val="20"/>
                <w:lang w:eastAsia="cs-CZ"/>
              </w:rPr>
              <w:t>-3</w:t>
            </w:r>
            <w:r>
              <w:rPr>
                <w:rFonts w:eastAsia="Times New Roman"/>
                <w:color w:val="000000"/>
                <w:sz w:val="20"/>
                <w:szCs w:val="20"/>
                <w:lang w:eastAsia="cs-CZ"/>
              </w:rPr>
              <w:t> %</w:t>
            </w:r>
          </w:p>
        </w:tc>
        <w:tc>
          <w:tcPr>
            <w:tcW w:w="1143" w:type="dxa"/>
            <w:tcBorders>
              <w:top w:val="nil"/>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color w:val="000000"/>
                <w:szCs w:val="24"/>
                <w:lang w:eastAsia="cs-CZ"/>
              </w:rPr>
            </w:pPr>
            <w:r w:rsidRPr="00E75D01">
              <w:rPr>
                <w:rFonts w:eastAsia="Times New Roman"/>
                <w:color w:val="000000"/>
                <w:szCs w:val="24"/>
                <w:lang w:eastAsia="cs-CZ"/>
              </w:rPr>
              <w:t>1</w:t>
            </w:r>
            <w:r w:rsidR="006C7321">
              <w:rPr>
                <w:rFonts w:eastAsia="Times New Roman"/>
                <w:color w:val="000000"/>
                <w:szCs w:val="24"/>
                <w:lang w:eastAsia="cs-CZ"/>
              </w:rPr>
              <w:t xml:space="preserve"> </w:t>
            </w:r>
            <w:r w:rsidRPr="00E75D01">
              <w:rPr>
                <w:rFonts w:eastAsia="Times New Roman"/>
                <w:color w:val="000000"/>
                <w:szCs w:val="24"/>
                <w:lang w:eastAsia="cs-CZ"/>
              </w:rPr>
              <w:t>043</w:t>
            </w:r>
          </w:p>
        </w:tc>
        <w:tc>
          <w:tcPr>
            <w:tcW w:w="967" w:type="dxa"/>
            <w:tcBorders>
              <w:top w:val="nil"/>
              <w:left w:val="nil"/>
              <w:bottom w:val="single" w:sz="4" w:space="0" w:color="auto"/>
              <w:right w:val="single" w:sz="4" w:space="0" w:color="auto"/>
            </w:tcBorders>
            <w:shd w:val="clear" w:color="auto" w:fill="auto"/>
            <w:noWrap/>
            <w:vAlign w:val="center"/>
            <w:hideMark/>
          </w:tcPr>
          <w:p w:rsidR="00A4083A" w:rsidRPr="00E75D01" w:rsidRDefault="00A4083A" w:rsidP="00A41CAB">
            <w:pPr>
              <w:spacing w:line="240" w:lineRule="auto"/>
              <w:jc w:val="center"/>
              <w:rPr>
                <w:rFonts w:eastAsia="Times New Roman"/>
                <w:color w:val="000000"/>
                <w:sz w:val="20"/>
                <w:szCs w:val="20"/>
                <w:lang w:eastAsia="cs-CZ"/>
              </w:rPr>
            </w:pPr>
            <w:r w:rsidRPr="00E75D01">
              <w:rPr>
                <w:rFonts w:eastAsia="Times New Roman"/>
                <w:color w:val="000000"/>
                <w:sz w:val="20"/>
                <w:szCs w:val="20"/>
                <w:lang w:eastAsia="cs-CZ"/>
              </w:rPr>
              <w:t>-7</w:t>
            </w:r>
            <w:r>
              <w:rPr>
                <w:rFonts w:eastAsia="Times New Roman"/>
                <w:color w:val="000000"/>
                <w:sz w:val="20"/>
                <w:szCs w:val="20"/>
                <w:lang w:eastAsia="cs-CZ"/>
              </w:rPr>
              <w:t> %</w:t>
            </w:r>
          </w:p>
        </w:tc>
        <w:tc>
          <w:tcPr>
            <w:tcW w:w="1180" w:type="dxa"/>
            <w:tcBorders>
              <w:top w:val="nil"/>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color w:val="000000"/>
                <w:szCs w:val="24"/>
                <w:lang w:eastAsia="cs-CZ"/>
              </w:rPr>
            </w:pPr>
            <w:r w:rsidRPr="00E75D01">
              <w:rPr>
                <w:rFonts w:eastAsia="Times New Roman"/>
                <w:color w:val="000000"/>
                <w:szCs w:val="24"/>
                <w:lang w:eastAsia="cs-CZ"/>
              </w:rPr>
              <w:t>2</w:t>
            </w:r>
            <w:r w:rsidR="006C7321">
              <w:rPr>
                <w:rFonts w:eastAsia="Times New Roman"/>
                <w:color w:val="000000"/>
                <w:szCs w:val="24"/>
                <w:lang w:eastAsia="cs-CZ"/>
              </w:rPr>
              <w:t xml:space="preserve"> </w:t>
            </w:r>
            <w:r w:rsidRPr="00E75D01">
              <w:rPr>
                <w:rFonts w:eastAsia="Times New Roman"/>
                <w:color w:val="000000"/>
                <w:szCs w:val="24"/>
                <w:lang w:eastAsia="cs-CZ"/>
              </w:rPr>
              <w:t>325</w:t>
            </w:r>
          </w:p>
        </w:tc>
        <w:tc>
          <w:tcPr>
            <w:tcW w:w="1160" w:type="dxa"/>
            <w:tcBorders>
              <w:top w:val="nil"/>
              <w:left w:val="nil"/>
              <w:bottom w:val="single" w:sz="4" w:space="0" w:color="auto"/>
              <w:right w:val="nil"/>
            </w:tcBorders>
            <w:shd w:val="clear" w:color="auto" w:fill="auto"/>
            <w:noWrap/>
            <w:vAlign w:val="center"/>
            <w:hideMark/>
          </w:tcPr>
          <w:p w:rsidR="00A4083A" w:rsidRPr="00E75D01" w:rsidRDefault="00A4083A" w:rsidP="00A41CAB">
            <w:pPr>
              <w:spacing w:line="240" w:lineRule="auto"/>
              <w:jc w:val="center"/>
              <w:rPr>
                <w:rFonts w:eastAsia="Times New Roman"/>
                <w:color w:val="000000"/>
                <w:sz w:val="20"/>
                <w:szCs w:val="20"/>
                <w:lang w:eastAsia="cs-CZ"/>
              </w:rPr>
            </w:pPr>
            <w:r w:rsidRPr="00E75D01">
              <w:rPr>
                <w:rFonts w:eastAsia="Times New Roman"/>
                <w:color w:val="000000"/>
                <w:sz w:val="20"/>
                <w:szCs w:val="20"/>
                <w:lang w:eastAsia="cs-CZ"/>
              </w:rPr>
              <w:t>+52</w:t>
            </w:r>
            <w:r>
              <w:rPr>
                <w:rFonts w:eastAsia="Times New Roman"/>
                <w:color w:val="000000"/>
                <w:sz w:val="20"/>
                <w:szCs w:val="20"/>
                <w:lang w:eastAsia="cs-CZ"/>
              </w:rPr>
              <w:t> %</w:t>
            </w:r>
          </w:p>
        </w:tc>
      </w:tr>
      <w:tr w:rsidR="00A4083A" w:rsidRPr="00E75D01"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left"/>
              <w:rPr>
                <w:rFonts w:eastAsia="Times New Roman"/>
                <w:color w:val="000000"/>
                <w:szCs w:val="24"/>
                <w:lang w:eastAsia="cs-CZ"/>
              </w:rPr>
            </w:pPr>
            <w:r w:rsidRPr="00E75D01">
              <w:rPr>
                <w:rFonts w:eastAsia="Times New Roman"/>
                <w:color w:val="000000"/>
                <w:szCs w:val="24"/>
                <w:lang w:eastAsia="cs-CZ"/>
              </w:rPr>
              <w:t>KS Brno</w:t>
            </w:r>
          </w:p>
        </w:tc>
        <w:tc>
          <w:tcPr>
            <w:tcW w:w="1376" w:type="dxa"/>
            <w:tcBorders>
              <w:top w:val="nil"/>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color w:val="000000"/>
                <w:szCs w:val="24"/>
                <w:lang w:eastAsia="cs-CZ"/>
              </w:rPr>
            </w:pPr>
            <w:r w:rsidRPr="00E75D01">
              <w:rPr>
                <w:rFonts w:eastAsia="Times New Roman"/>
                <w:color w:val="000000"/>
                <w:szCs w:val="24"/>
                <w:lang w:eastAsia="cs-CZ"/>
              </w:rPr>
              <w:t>20</w:t>
            </w:r>
            <w:r w:rsidR="006C7321">
              <w:rPr>
                <w:rFonts w:eastAsia="Times New Roman"/>
                <w:color w:val="000000"/>
                <w:szCs w:val="24"/>
                <w:lang w:eastAsia="cs-CZ"/>
              </w:rPr>
              <w:t xml:space="preserve"> </w:t>
            </w:r>
            <w:r w:rsidRPr="00E75D01">
              <w:rPr>
                <w:rFonts w:eastAsia="Times New Roman"/>
                <w:color w:val="000000"/>
                <w:szCs w:val="24"/>
                <w:lang w:eastAsia="cs-CZ"/>
              </w:rPr>
              <w:t>205</w:t>
            </w:r>
          </w:p>
        </w:tc>
        <w:tc>
          <w:tcPr>
            <w:tcW w:w="1014" w:type="dxa"/>
            <w:tcBorders>
              <w:top w:val="nil"/>
              <w:left w:val="nil"/>
              <w:bottom w:val="single" w:sz="4" w:space="0" w:color="auto"/>
              <w:right w:val="single" w:sz="4" w:space="0" w:color="auto"/>
            </w:tcBorders>
            <w:shd w:val="clear" w:color="auto" w:fill="auto"/>
            <w:noWrap/>
            <w:vAlign w:val="center"/>
            <w:hideMark/>
          </w:tcPr>
          <w:p w:rsidR="00A4083A" w:rsidRPr="00E75D01" w:rsidRDefault="00A4083A" w:rsidP="00A41CAB">
            <w:pPr>
              <w:spacing w:line="240" w:lineRule="auto"/>
              <w:jc w:val="center"/>
              <w:rPr>
                <w:rFonts w:eastAsia="Times New Roman"/>
                <w:color w:val="000000"/>
                <w:sz w:val="20"/>
                <w:szCs w:val="20"/>
                <w:lang w:eastAsia="cs-CZ"/>
              </w:rPr>
            </w:pPr>
            <w:r w:rsidRPr="00E75D01">
              <w:rPr>
                <w:rFonts w:eastAsia="Times New Roman"/>
                <w:color w:val="000000"/>
                <w:sz w:val="20"/>
                <w:szCs w:val="20"/>
                <w:lang w:eastAsia="cs-CZ"/>
              </w:rPr>
              <w:t>-5</w:t>
            </w:r>
            <w:r>
              <w:rPr>
                <w:rFonts w:eastAsia="Times New Roman"/>
                <w:color w:val="000000"/>
                <w:sz w:val="20"/>
                <w:szCs w:val="20"/>
                <w:lang w:eastAsia="cs-CZ"/>
              </w:rPr>
              <w:t> %</w:t>
            </w:r>
          </w:p>
        </w:tc>
        <w:tc>
          <w:tcPr>
            <w:tcW w:w="1143" w:type="dxa"/>
            <w:tcBorders>
              <w:top w:val="nil"/>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color w:val="000000"/>
                <w:szCs w:val="24"/>
                <w:lang w:eastAsia="cs-CZ"/>
              </w:rPr>
            </w:pPr>
            <w:r w:rsidRPr="00E75D01">
              <w:rPr>
                <w:rFonts w:eastAsia="Times New Roman"/>
                <w:color w:val="000000"/>
                <w:szCs w:val="24"/>
                <w:lang w:eastAsia="cs-CZ"/>
              </w:rPr>
              <w:t>1</w:t>
            </w:r>
            <w:r w:rsidR="006C7321">
              <w:rPr>
                <w:rFonts w:eastAsia="Times New Roman"/>
                <w:color w:val="000000"/>
                <w:szCs w:val="24"/>
                <w:lang w:eastAsia="cs-CZ"/>
              </w:rPr>
              <w:t xml:space="preserve"> </w:t>
            </w:r>
            <w:r w:rsidRPr="00E75D01">
              <w:rPr>
                <w:rFonts w:eastAsia="Times New Roman"/>
                <w:color w:val="000000"/>
                <w:szCs w:val="24"/>
                <w:lang w:eastAsia="cs-CZ"/>
              </w:rPr>
              <w:t>893</w:t>
            </w:r>
          </w:p>
        </w:tc>
        <w:tc>
          <w:tcPr>
            <w:tcW w:w="967" w:type="dxa"/>
            <w:tcBorders>
              <w:top w:val="nil"/>
              <w:left w:val="nil"/>
              <w:bottom w:val="single" w:sz="4" w:space="0" w:color="auto"/>
              <w:right w:val="single" w:sz="4" w:space="0" w:color="auto"/>
            </w:tcBorders>
            <w:shd w:val="clear" w:color="auto" w:fill="auto"/>
            <w:noWrap/>
            <w:vAlign w:val="center"/>
            <w:hideMark/>
          </w:tcPr>
          <w:p w:rsidR="00A4083A" w:rsidRPr="00E75D01" w:rsidRDefault="00A4083A" w:rsidP="00A41CAB">
            <w:pPr>
              <w:spacing w:line="240" w:lineRule="auto"/>
              <w:jc w:val="center"/>
              <w:rPr>
                <w:rFonts w:eastAsia="Times New Roman"/>
                <w:color w:val="000000"/>
                <w:sz w:val="20"/>
                <w:szCs w:val="20"/>
                <w:lang w:eastAsia="cs-CZ"/>
              </w:rPr>
            </w:pPr>
            <w:r w:rsidRPr="00E75D01">
              <w:rPr>
                <w:rFonts w:eastAsia="Times New Roman"/>
                <w:color w:val="000000"/>
                <w:sz w:val="20"/>
                <w:szCs w:val="20"/>
                <w:lang w:eastAsia="cs-CZ"/>
              </w:rPr>
              <w:t>+9</w:t>
            </w:r>
            <w:r>
              <w:rPr>
                <w:rFonts w:eastAsia="Times New Roman"/>
                <w:color w:val="000000"/>
                <w:sz w:val="20"/>
                <w:szCs w:val="20"/>
                <w:lang w:eastAsia="cs-CZ"/>
              </w:rPr>
              <w:t> %</w:t>
            </w:r>
          </w:p>
        </w:tc>
        <w:tc>
          <w:tcPr>
            <w:tcW w:w="1180" w:type="dxa"/>
            <w:tcBorders>
              <w:top w:val="nil"/>
              <w:left w:val="nil"/>
              <w:bottom w:val="single" w:sz="4"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color w:val="000000"/>
                <w:szCs w:val="24"/>
                <w:lang w:eastAsia="cs-CZ"/>
              </w:rPr>
            </w:pPr>
            <w:r w:rsidRPr="00E75D01">
              <w:rPr>
                <w:rFonts w:eastAsia="Times New Roman"/>
                <w:color w:val="000000"/>
                <w:szCs w:val="24"/>
                <w:lang w:eastAsia="cs-CZ"/>
              </w:rPr>
              <w:t>1</w:t>
            </w:r>
            <w:r w:rsidR="006C7321">
              <w:rPr>
                <w:rFonts w:eastAsia="Times New Roman"/>
                <w:color w:val="000000"/>
                <w:szCs w:val="24"/>
                <w:lang w:eastAsia="cs-CZ"/>
              </w:rPr>
              <w:t xml:space="preserve"> </w:t>
            </w:r>
            <w:r w:rsidRPr="00E75D01">
              <w:rPr>
                <w:rFonts w:eastAsia="Times New Roman"/>
                <w:color w:val="000000"/>
                <w:szCs w:val="24"/>
                <w:lang w:eastAsia="cs-CZ"/>
              </w:rPr>
              <w:t>675</w:t>
            </w:r>
          </w:p>
        </w:tc>
        <w:tc>
          <w:tcPr>
            <w:tcW w:w="1160" w:type="dxa"/>
            <w:tcBorders>
              <w:top w:val="nil"/>
              <w:left w:val="nil"/>
              <w:bottom w:val="single" w:sz="4" w:space="0" w:color="auto"/>
              <w:right w:val="nil"/>
            </w:tcBorders>
            <w:shd w:val="clear" w:color="auto" w:fill="auto"/>
            <w:noWrap/>
            <w:vAlign w:val="center"/>
            <w:hideMark/>
          </w:tcPr>
          <w:p w:rsidR="00A4083A" w:rsidRPr="00E75D01" w:rsidRDefault="00A4083A" w:rsidP="00A41CAB">
            <w:pPr>
              <w:spacing w:line="240" w:lineRule="auto"/>
              <w:jc w:val="center"/>
              <w:rPr>
                <w:rFonts w:eastAsia="Times New Roman"/>
                <w:color w:val="000000"/>
                <w:sz w:val="20"/>
                <w:szCs w:val="20"/>
                <w:lang w:eastAsia="cs-CZ"/>
              </w:rPr>
            </w:pPr>
            <w:r w:rsidRPr="00E75D01">
              <w:rPr>
                <w:rFonts w:eastAsia="Times New Roman"/>
                <w:color w:val="000000"/>
                <w:sz w:val="20"/>
                <w:szCs w:val="20"/>
                <w:lang w:eastAsia="cs-CZ"/>
              </w:rPr>
              <w:t>-18</w:t>
            </w:r>
            <w:r>
              <w:rPr>
                <w:rFonts w:eastAsia="Times New Roman"/>
                <w:color w:val="000000"/>
                <w:sz w:val="20"/>
                <w:szCs w:val="20"/>
                <w:lang w:eastAsia="cs-CZ"/>
              </w:rPr>
              <w:t> %</w:t>
            </w:r>
          </w:p>
        </w:tc>
      </w:tr>
      <w:tr w:rsidR="00A4083A" w:rsidRPr="00E75D01" w:rsidTr="00A41CAB">
        <w:trPr>
          <w:trHeight w:val="330"/>
        </w:trPr>
        <w:tc>
          <w:tcPr>
            <w:tcW w:w="2020" w:type="dxa"/>
            <w:tcBorders>
              <w:top w:val="nil"/>
              <w:left w:val="nil"/>
              <w:bottom w:val="double" w:sz="6" w:space="0" w:color="auto"/>
              <w:right w:val="nil"/>
            </w:tcBorders>
            <w:shd w:val="clear" w:color="auto" w:fill="auto"/>
            <w:noWrap/>
            <w:vAlign w:val="bottom"/>
            <w:hideMark/>
          </w:tcPr>
          <w:p w:rsidR="00A4083A" w:rsidRPr="00E75D01" w:rsidRDefault="00A4083A" w:rsidP="00A41CAB">
            <w:pPr>
              <w:spacing w:line="240" w:lineRule="auto"/>
              <w:jc w:val="left"/>
              <w:rPr>
                <w:rFonts w:eastAsia="Times New Roman"/>
                <w:color w:val="000000"/>
                <w:szCs w:val="24"/>
                <w:lang w:eastAsia="cs-CZ"/>
              </w:rPr>
            </w:pPr>
            <w:r w:rsidRPr="00E75D01">
              <w:rPr>
                <w:rFonts w:eastAsia="Times New Roman"/>
                <w:color w:val="000000"/>
                <w:szCs w:val="24"/>
                <w:lang w:eastAsia="cs-CZ"/>
              </w:rPr>
              <w:t>KS Ostrava</w:t>
            </w:r>
          </w:p>
        </w:tc>
        <w:tc>
          <w:tcPr>
            <w:tcW w:w="1376" w:type="dxa"/>
            <w:tcBorders>
              <w:top w:val="nil"/>
              <w:left w:val="nil"/>
              <w:bottom w:val="nil"/>
              <w:right w:val="nil"/>
            </w:tcBorders>
            <w:shd w:val="clear" w:color="auto" w:fill="auto"/>
            <w:noWrap/>
            <w:vAlign w:val="bottom"/>
            <w:hideMark/>
          </w:tcPr>
          <w:p w:rsidR="00A4083A" w:rsidRPr="00E75D01" w:rsidRDefault="00A4083A" w:rsidP="00A41CAB">
            <w:pPr>
              <w:spacing w:line="240" w:lineRule="auto"/>
              <w:jc w:val="center"/>
              <w:rPr>
                <w:rFonts w:eastAsia="Times New Roman"/>
                <w:color w:val="000000"/>
                <w:szCs w:val="24"/>
                <w:lang w:eastAsia="cs-CZ"/>
              </w:rPr>
            </w:pPr>
            <w:r w:rsidRPr="00E75D01">
              <w:rPr>
                <w:rFonts w:eastAsia="Times New Roman"/>
                <w:color w:val="000000"/>
                <w:szCs w:val="24"/>
                <w:lang w:eastAsia="cs-CZ"/>
              </w:rPr>
              <w:t>23</w:t>
            </w:r>
            <w:r w:rsidR="006C7321">
              <w:rPr>
                <w:rFonts w:eastAsia="Times New Roman"/>
                <w:color w:val="000000"/>
                <w:szCs w:val="24"/>
                <w:lang w:eastAsia="cs-CZ"/>
              </w:rPr>
              <w:t xml:space="preserve"> </w:t>
            </w:r>
            <w:r w:rsidRPr="00E75D01">
              <w:rPr>
                <w:rFonts w:eastAsia="Times New Roman"/>
                <w:color w:val="000000"/>
                <w:szCs w:val="24"/>
                <w:lang w:eastAsia="cs-CZ"/>
              </w:rPr>
              <w:t>776</w:t>
            </w:r>
          </w:p>
        </w:tc>
        <w:tc>
          <w:tcPr>
            <w:tcW w:w="1014" w:type="dxa"/>
            <w:tcBorders>
              <w:top w:val="nil"/>
              <w:left w:val="nil"/>
              <w:bottom w:val="double" w:sz="6" w:space="0" w:color="auto"/>
              <w:right w:val="single" w:sz="4" w:space="0" w:color="auto"/>
            </w:tcBorders>
            <w:shd w:val="clear" w:color="auto" w:fill="auto"/>
            <w:noWrap/>
            <w:vAlign w:val="center"/>
            <w:hideMark/>
          </w:tcPr>
          <w:p w:rsidR="00A4083A" w:rsidRPr="00E75D01" w:rsidRDefault="00A4083A" w:rsidP="00A41CAB">
            <w:pPr>
              <w:spacing w:line="240" w:lineRule="auto"/>
              <w:jc w:val="center"/>
              <w:rPr>
                <w:rFonts w:eastAsia="Times New Roman"/>
                <w:color w:val="000000"/>
                <w:sz w:val="20"/>
                <w:szCs w:val="20"/>
                <w:lang w:eastAsia="cs-CZ"/>
              </w:rPr>
            </w:pPr>
            <w:r w:rsidRPr="00E75D01">
              <w:rPr>
                <w:rFonts w:eastAsia="Times New Roman"/>
                <w:color w:val="000000"/>
                <w:sz w:val="20"/>
                <w:szCs w:val="20"/>
                <w:lang w:eastAsia="cs-CZ"/>
              </w:rPr>
              <w:t>-6</w:t>
            </w:r>
            <w:r>
              <w:rPr>
                <w:rFonts w:eastAsia="Times New Roman"/>
                <w:color w:val="000000"/>
                <w:sz w:val="20"/>
                <w:szCs w:val="20"/>
                <w:lang w:eastAsia="cs-CZ"/>
              </w:rPr>
              <w:t> %</w:t>
            </w:r>
          </w:p>
        </w:tc>
        <w:tc>
          <w:tcPr>
            <w:tcW w:w="1143" w:type="dxa"/>
            <w:tcBorders>
              <w:top w:val="nil"/>
              <w:left w:val="nil"/>
              <w:bottom w:val="double" w:sz="6"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color w:val="000000"/>
                <w:szCs w:val="24"/>
                <w:lang w:eastAsia="cs-CZ"/>
              </w:rPr>
            </w:pPr>
            <w:r w:rsidRPr="00E75D01">
              <w:rPr>
                <w:rFonts w:eastAsia="Times New Roman"/>
                <w:color w:val="000000"/>
                <w:szCs w:val="24"/>
                <w:lang w:eastAsia="cs-CZ"/>
              </w:rPr>
              <w:t>1</w:t>
            </w:r>
            <w:r w:rsidR="006C7321">
              <w:rPr>
                <w:rFonts w:eastAsia="Times New Roman"/>
                <w:color w:val="000000"/>
                <w:szCs w:val="24"/>
                <w:lang w:eastAsia="cs-CZ"/>
              </w:rPr>
              <w:t xml:space="preserve"> </w:t>
            </w:r>
            <w:r w:rsidRPr="00E75D01">
              <w:rPr>
                <w:rFonts w:eastAsia="Times New Roman"/>
                <w:color w:val="000000"/>
                <w:szCs w:val="24"/>
                <w:lang w:eastAsia="cs-CZ"/>
              </w:rPr>
              <w:t>654</w:t>
            </w:r>
          </w:p>
        </w:tc>
        <w:tc>
          <w:tcPr>
            <w:tcW w:w="967" w:type="dxa"/>
            <w:tcBorders>
              <w:top w:val="nil"/>
              <w:left w:val="nil"/>
              <w:bottom w:val="double" w:sz="6" w:space="0" w:color="auto"/>
              <w:right w:val="single" w:sz="4" w:space="0" w:color="auto"/>
            </w:tcBorders>
            <w:shd w:val="clear" w:color="auto" w:fill="auto"/>
            <w:noWrap/>
            <w:vAlign w:val="center"/>
            <w:hideMark/>
          </w:tcPr>
          <w:p w:rsidR="00A4083A" w:rsidRPr="00E75D01" w:rsidRDefault="00A4083A" w:rsidP="00A41CAB">
            <w:pPr>
              <w:spacing w:line="240" w:lineRule="auto"/>
              <w:jc w:val="center"/>
              <w:rPr>
                <w:rFonts w:eastAsia="Times New Roman"/>
                <w:color w:val="000000"/>
                <w:sz w:val="20"/>
                <w:szCs w:val="20"/>
                <w:lang w:eastAsia="cs-CZ"/>
              </w:rPr>
            </w:pPr>
            <w:r w:rsidRPr="00E75D01">
              <w:rPr>
                <w:rFonts w:eastAsia="Times New Roman"/>
                <w:color w:val="000000"/>
                <w:sz w:val="20"/>
                <w:szCs w:val="20"/>
                <w:lang w:eastAsia="cs-CZ"/>
              </w:rPr>
              <w:t>-6</w:t>
            </w:r>
            <w:r>
              <w:rPr>
                <w:rFonts w:eastAsia="Times New Roman"/>
                <w:color w:val="000000"/>
                <w:sz w:val="20"/>
                <w:szCs w:val="20"/>
                <w:lang w:eastAsia="cs-CZ"/>
              </w:rPr>
              <w:t> %</w:t>
            </w:r>
          </w:p>
        </w:tc>
        <w:tc>
          <w:tcPr>
            <w:tcW w:w="1180" w:type="dxa"/>
            <w:tcBorders>
              <w:top w:val="nil"/>
              <w:left w:val="nil"/>
              <w:bottom w:val="double" w:sz="6"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color w:val="000000"/>
                <w:szCs w:val="24"/>
                <w:lang w:eastAsia="cs-CZ"/>
              </w:rPr>
            </w:pPr>
            <w:r w:rsidRPr="00E75D01">
              <w:rPr>
                <w:rFonts w:eastAsia="Times New Roman"/>
                <w:color w:val="000000"/>
                <w:szCs w:val="24"/>
                <w:lang w:eastAsia="cs-CZ"/>
              </w:rPr>
              <w:t>3</w:t>
            </w:r>
            <w:r w:rsidR="006C7321">
              <w:rPr>
                <w:rFonts w:eastAsia="Times New Roman"/>
                <w:color w:val="000000"/>
                <w:szCs w:val="24"/>
                <w:lang w:eastAsia="cs-CZ"/>
              </w:rPr>
              <w:t xml:space="preserve"> </w:t>
            </w:r>
            <w:r w:rsidRPr="00E75D01">
              <w:rPr>
                <w:rFonts w:eastAsia="Times New Roman"/>
                <w:color w:val="000000"/>
                <w:szCs w:val="24"/>
                <w:lang w:eastAsia="cs-CZ"/>
              </w:rPr>
              <w:t>658</w:t>
            </w:r>
          </w:p>
        </w:tc>
        <w:tc>
          <w:tcPr>
            <w:tcW w:w="1160" w:type="dxa"/>
            <w:tcBorders>
              <w:top w:val="nil"/>
              <w:left w:val="nil"/>
              <w:bottom w:val="double" w:sz="6" w:space="0" w:color="auto"/>
              <w:right w:val="nil"/>
            </w:tcBorders>
            <w:shd w:val="clear" w:color="auto" w:fill="auto"/>
            <w:noWrap/>
            <w:vAlign w:val="center"/>
            <w:hideMark/>
          </w:tcPr>
          <w:p w:rsidR="00A4083A" w:rsidRPr="00E75D01" w:rsidRDefault="00A4083A" w:rsidP="00A41CAB">
            <w:pPr>
              <w:spacing w:line="240" w:lineRule="auto"/>
              <w:jc w:val="center"/>
              <w:rPr>
                <w:rFonts w:eastAsia="Times New Roman"/>
                <w:color w:val="000000"/>
                <w:sz w:val="20"/>
                <w:szCs w:val="20"/>
                <w:lang w:eastAsia="cs-CZ"/>
              </w:rPr>
            </w:pPr>
            <w:r w:rsidRPr="00E75D01">
              <w:rPr>
                <w:rFonts w:eastAsia="Times New Roman"/>
                <w:color w:val="000000"/>
                <w:sz w:val="20"/>
                <w:szCs w:val="20"/>
                <w:lang w:eastAsia="cs-CZ"/>
              </w:rPr>
              <w:t>-7</w:t>
            </w:r>
            <w:r>
              <w:rPr>
                <w:rFonts w:eastAsia="Times New Roman"/>
                <w:color w:val="000000"/>
                <w:sz w:val="20"/>
                <w:szCs w:val="20"/>
                <w:lang w:eastAsia="cs-CZ"/>
              </w:rPr>
              <w:t> %</w:t>
            </w:r>
          </w:p>
        </w:tc>
      </w:tr>
      <w:tr w:rsidR="00A4083A" w:rsidRPr="00E75D01" w:rsidTr="00A41CAB">
        <w:trPr>
          <w:trHeight w:val="345"/>
        </w:trPr>
        <w:tc>
          <w:tcPr>
            <w:tcW w:w="2020" w:type="dxa"/>
            <w:tcBorders>
              <w:top w:val="nil"/>
              <w:left w:val="nil"/>
              <w:bottom w:val="double" w:sz="6" w:space="0" w:color="auto"/>
              <w:right w:val="nil"/>
            </w:tcBorders>
            <w:shd w:val="clear" w:color="auto" w:fill="auto"/>
            <w:noWrap/>
            <w:vAlign w:val="bottom"/>
            <w:hideMark/>
          </w:tcPr>
          <w:p w:rsidR="00A4083A" w:rsidRPr="00E75D01" w:rsidRDefault="00A4083A" w:rsidP="00A41CAB">
            <w:pPr>
              <w:spacing w:line="240" w:lineRule="auto"/>
              <w:jc w:val="left"/>
              <w:rPr>
                <w:rFonts w:eastAsia="Times New Roman"/>
                <w:b/>
                <w:bCs/>
                <w:color w:val="000000"/>
                <w:szCs w:val="24"/>
                <w:lang w:eastAsia="cs-CZ"/>
              </w:rPr>
            </w:pPr>
            <w:r w:rsidRPr="00E75D01">
              <w:rPr>
                <w:rFonts w:eastAsia="Times New Roman"/>
                <w:b/>
                <w:bCs/>
                <w:color w:val="000000"/>
                <w:szCs w:val="24"/>
                <w:lang w:eastAsia="cs-CZ"/>
              </w:rPr>
              <w:t>Celkem ČR</w:t>
            </w:r>
          </w:p>
        </w:tc>
        <w:tc>
          <w:tcPr>
            <w:tcW w:w="1376" w:type="dxa"/>
            <w:tcBorders>
              <w:top w:val="double" w:sz="6" w:space="0" w:color="auto"/>
              <w:left w:val="nil"/>
              <w:bottom w:val="double" w:sz="6"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b/>
                <w:bCs/>
                <w:color w:val="000000"/>
                <w:szCs w:val="24"/>
                <w:lang w:eastAsia="cs-CZ"/>
              </w:rPr>
            </w:pPr>
            <w:r w:rsidRPr="00E75D01">
              <w:rPr>
                <w:rFonts w:eastAsia="Times New Roman"/>
                <w:b/>
                <w:bCs/>
                <w:color w:val="000000"/>
                <w:szCs w:val="24"/>
                <w:lang w:eastAsia="cs-CZ"/>
              </w:rPr>
              <w:t>15</w:t>
            </w:r>
            <w:r w:rsidR="006C7321">
              <w:rPr>
                <w:rFonts w:eastAsia="Times New Roman"/>
                <w:b/>
                <w:bCs/>
                <w:color w:val="000000"/>
                <w:szCs w:val="24"/>
                <w:lang w:eastAsia="cs-CZ"/>
              </w:rPr>
              <w:t xml:space="preserve"> </w:t>
            </w:r>
            <w:r w:rsidRPr="00E75D01">
              <w:rPr>
                <w:rFonts w:eastAsia="Times New Roman"/>
                <w:b/>
                <w:bCs/>
                <w:color w:val="000000"/>
                <w:szCs w:val="24"/>
                <w:lang w:eastAsia="cs-CZ"/>
              </w:rPr>
              <w:t>6148</w:t>
            </w:r>
          </w:p>
        </w:tc>
        <w:tc>
          <w:tcPr>
            <w:tcW w:w="1014" w:type="dxa"/>
            <w:tcBorders>
              <w:top w:val="nil"/>
              <w:left w:val="nil"/>
              <w:bottom w:val="double" w:sz="6" w:space="0" w:color="auto"/>
              <w:right w:val="single" w:sz="4" w:space="0" w:color="auto"/>
            </w:tcBorders>
            <w:shd w:val="clear" w:color="auto" w:fill="auto"/>
            <w:noWrap/>
            <w:vAlign w:val="center"/>
            <w:hideMark/>
          </w:tcPr>
          <w:p w:rsidR="00A4083A" w:rsidRPr="00E75D01" w:rsidRDefault="00A4083A" w:rsidP="00A41CAB">
            <w:pPr>
              <w:spacing w:line="240" w:lineRule="auto"/>
              <w:jc w:val="center"/>
              <w:rPr>
                <w:rFonts w:eastAsia="Times New Roman"/>
                <w:b/>
                <w:bCs/>
                <w:color w:val="000000"/>
                <w:sz w:val="20"/>
                <w:szCs w:val="20"/>
                <w:lang w:eastAsia="cs-CZ"/>
              </w:rPr>
            </w:pPr>
            <w:r w:rsidRPr="00E75D01">
              <w:rPr>
                <w:rFonts w:eastAsia="Times New Roman"/>
                <w:b/>
                <w:bCs/>
                <w:color w:val="000000"/>
                <w:sz w:val="20"/>
                <w:szCs w:val="20"/>
                <w:lang w:eastAsia="cs-CZ"/>
              </w:rPr>
              <w:t>-6</w:t>
            </w:r>
            <w:r>
              <w:rPr>
                <w:rFonts w:eastAsia="Times New Roman"/>
                <w:b/>
                <w:bCs/>
                <w:color w:val="000000"/>
                <w:sz w:val="20"/>
                <w:szCs w:val="20"/>
                <w:lang w:eastAsia="cs-CZ"/>
              </w:rPr>
              <w:t> %</w:t>
            </w:r>
          </w:p>
        </w:tc>
        <w:tc>
          <w:tcPr>
            <w:tcW w:w="1143" w:type="dxa"/>
            <w:tcBorders>
              <w:top w:val="nil"/>
              <w:left w:val="nil"/>
              <w:bottom w:val="double" w:sz="6"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b/>
                <w:bCs/>
                <w:color w:val="000000"/>
                <w:szCs w:val="24"/>
                <w:lang w:eastAsia="cs-CZ"/>
              </w:rPr>
            </w:pPr>
            <w:r w:rsidRPr="00E75D01">
              <w:rPr>
                <w:rFonts w:eastAsia="Times New Roman"/>
                <w:b/>
                <w:bCs/>
                <w:color w:val="000000"/>
                <w:szCs w:val="24"/>
                <w:lang w:eastAsia="cs-CZ"/>
              </w:rPr>
              <w:t>11</w:t>
            </w:r>
            <w:r w:rsidR="006C7321">
              <w:rPr>
                <w:rFonts w:eastAsia="Times New Roman"/>
                <w:b/>
                <w:bCs/>
                <w:color w:val="000000"/>
                <w:szCs w:val="24"/>
                <w:lang w:eastAsia="cs-CZ"/>
              </w:rPr>
              <w:t xml:space="preserve"> </w:t>
            </w:r>
            <w:r w:rsidRPr="00E75D01">
              <w:rPr>
                <w:rFonts w:eastAsia="Times New Roman"/>
                <w:b/>
                <w:bCs/>
                <w:color w:val="000000"/>
                <w:szCs w:val="24"/>
                <w:lang w:eastAsia="cs-CZ"/>
              </w:rPr>
              <w:t>584</w:t>
            </w:r>
          </w:p>
        </w:tc>
        <w:tc>
          <w:tcPr>
            <w:tcW w:w="967" w:type="dxa"/>
            <w:tcBorders>
              <w:top w:val="nil"/>
              <w:left w:val="nil"/>
              <w:bottom w:val="double" w:sz="6" w:space="0" w:color="auto"/>
              <w:right w:val="single" w:sz="4" w:space="0" w:color="auto"/>
            </w:tcBorders>
            <w:shd w:val="clear" w:color="auto" w:fill="auto"/>
            <w:noWrap/>
            <w:vAlign w:val="center"/>
            <w:hideMark/>
          </w:tcPr>
          <w:p w:rsidR="00A4083A" w:rsidRPr="00E75D01" w:rsidRDefault="00A4083A" w:rsidP="00A41CAB">
            <w:pPr>
              <w:spacing w:line="240" w:lineRule="auto"/>
              <w:jc w:val="center"/>
              <w:rPr>
                <w:rFonts w:eastAsia="Times New Roman"/>
                <w:b/>
                <w:bCs/>
                <w:color w:val="000000"/>
                <w:sz w:val="20"/>
                <w:szCs w:val="20"/>
                <w:lang w:eastAsia="cs-CZ"/>
              </w:rPr>
            </w:pPr>
            <w:r w:rsidRPr="00E75D01">
              <w:rPr>
                <w:rFonts w:eastAsia="Times New Roman"/>
                <w:b/>
                <w:bCs/>
                <w:color w:val="000000"/>
                <w:sz w:val="20"/>
                <w:szCs w:val="20"/>
                <w:lang w:eastAsia="cs-CZ"/>
              </w:rPr>
              <w:t>+1</w:t>
            </w:r>
            <w:r>
              <w:rPr>
                <w:rFonts w:eastAsia="Times New Roman"/>
                <w:b/>
                <w:bCs/>
                <w:color w:val="000000"/>
                <w:sz w:val="20"/>
                <w:szCs w:val="20"/>
                <w:lang w:eastAsia="cs-CZ"/>
              </w:rPr>
              <w:t> %</w:t>
            </w:r>
          </w:p>
        </w:tc>
        <w:tc>
          <w:tcPr>
            <w:tcW w:w="1180" w:type="dxa"/>
            <w:tcBorders>
              <w:top w:val="nil"/>
              <w:left w:val="nil"/>
              <w:bottom w:val="double" w:sz="6" w:space="0" w:color="auto"/>
              <w:right w:val="nil"/>
            </w:tcBorders>
            <w:shd w:val="clear" w:color="auto" w:fill="auto"/>
            <w:noWrap/>
            <w:vAlign w:val="bottom"/>
            <w:hideMark/>
          </w:tcPr>
          <w:p w:rsidR="00A4083A" w:rsidRPr="00E75D01" w:rsidRDefault="00A4083A" w:rsidP="00A41CAB">
            <w:pPr>
              <w:spacing w:line="240" w:lineRule="auto"/>
              <w:jc w:val="center"/>
              <w:rPr>
                <w:rFonts w:eastAsia="Times New Roman"/>
                <w:b/>
                <w:bCs/>
                <w:color w:val="000000"/>
                <w:szCs w:val="24"/>
                <w:lang w:eastAsia="cs-CZ"/>
              </w:rPr>
            </w:pPr>
            <w:r w:rsidRPr="00E75D01">
              <w:rPr>
                <w:rFonts w:eastAsia="Times New Roman"/>
                <w:b/>
                <w:bCs/>
                <w:color w:val="000000"/>
                <w:szCs w:val="24"/>
                <w:lang w:eastAsia="cs-CZ"/>
              </w:rPr>
              <w:t>19</w:t>
            </w:r>
            <w:r w:rsidR="006C7321">
              <w:rPr>
                <w:rFonts w:eastAsia="Times New Roman"/>
                <w:b/>
                <w:bCs/>
                <w:color w:val="000000"/>
                <w:szCs w:val="24"/>
                <w:lang w:eastAsia="cs-CZ"/>
              </w:rPr>
              <w:t xml:space="preserve"> </w:t>
            </w:r>
            <w:r w:rsidRPr="00E75D01">
              <w:rPr>
                <w:rFonts w:eastAsia="Times New Roman"/>
                <w:b/>
                <w:bCs/>
                <w:color w:val="000000"/>
                <w:szCs w:val="24"/>
                <w:lang w:eastAsia="cs-CZ"/>
              </w:rPr>
              <w:t>788</w:t>
            </w:r>
          </w:p>
        </w:tc>
        <w:tc>
          <w:tcPr>
            <w:tcW w:w="1160" w:type="dxa"/>
            <w:tcBorders>
              <w:top w:val="nil"/>
              <w:left w:val="nil"/>
              <w:bottom w:val="double" w:sz="6" w:space="0" w:color="auto"/>
              <w:right w:val="nil"/>
            </w:tcBorders>
            <w:shd w:val="clear" w:color="auto" w:fill="auto"/>
            <w:noWrap/>
            <w:vAlign w:val="center"/>
            <w:hideMark/>
          </w:tcPr>
          <w:p w:rsidR="00A4083A" w:rsidRPr="00E75D01" w:rsidRDefault="00A4083A" w:rsidP="00A41CAB">
            <w:pPr>
              <w:spacing w:line="240" w:lineRule="auto"/>
              <w:jc w:val="center"/>
              <w:rPr>
                <w:rFonts w:eastAsia="Times New Roman"/>
                <w:b/>
                <w:bCs/>
                <w:color w:val="000000"/>
                <w:sz w:val="20"/>
                <w:szCs w:val="20"/>
                <w:lang w:eastAsia="cs-CZ"/>
              </w:rPr>
            </w:pPr>
            <w:r w:rsidRPr="00E75D01">
              <w:rPr>
                <w:rFonts w:eastAsia="Times New Roman"/>
                <w:b/>
                <w:bCs/>
                <w:color w:val="000000"/>
                <w:sz w:val="20"/>
                <w:szCs w:val="20"/>
                <w:lang w:eastAsia="cs-CZ"/>
              </w:rPr>
              <w:t>-14</w:t>
            </w:r>
            <w:r>
              <w:rPr>
                <w:rFonts w:eastAsia="Times New Roman"/>
                <w:b/>
                <w:bCs/>
                <w:color w:val="000000"/>
                <w:sz w:val="20"/>
                <w:szCs w:val="20"/>
                <w:lang w:eastAsia="cs-CZ"/>
              </w:rPr>
              <w:t> %</w:t>
            </w:r>
          </w:p>
        </w:tc>
      </w:tr>
    </w:tbl>
    <w:p w:rsidR="00A4083A" w:rsidRDefault="00A4083A" w:rsidP="00A4083A">
      <w:pPr>
        <w:pStyle w:val="OdstavecASR"/>
      </w:pPr>
    </w:p>
    <w:p w:rsidR="00A4083A" w:rsidRPr="00D17312" w:rsidRDefault="00A4083A" w:rsidP="00A4083A">
      <w:pPr>
        <w:pStyle w:val="OdstavecASR"/>
      </w:pPr>
      <w:bookmarkStart w:id="162" w:name="_Ref511307908"/>
      <w:bookmarkStart w:id="163" w:name="_Toc515871230"/>
      <w:r w:rsidRPr="00D17312">
        <w:t>Statisticky jsou sledovány tři důvody, proč je věc převedena z rejstříku EPR do rejstříku C:</w:t>
      </w:r>
    </w:p>
    <w:p w:rsidR="00A4083A" w:rsidRPr="00D17312" w:rsidRDefault="00A4083A" w:rsidP="00A4083A">
      <w:pPr>
        <w:pStyle w:val="OdstavecASR"/>
        <w:numPr>
          <w:ilvl w:val="0"/>
          <w:numId w:val="11"/>
        </w:numPr>
      </w:pPr>
      <w:r w:rsidRPr="00D17312">
        <w:rPr>
          <w:b/>
        </w:rPr>
        <w:t>EPR zrušen soudem</w:t>
      </w:r>
      <w:r w:rsidRPr="00D17312">
        <w:t>: elektronický platební rozkaz je zrušen, protože ho nebylo možné doručit. To může mít různé důvody</w:t>
      </w:r>
      <w:r>
        <w:t xml:space="preserve">, například pokud se </w:t>
      </w:r>
      <w:r w:rsidRPr="00D17312">
        <w:t xml:space="preserve">účastník sporu přestěhoval bez udání další adresy </w:t>
      </w:r>
      <w:r>
        <w:t>nebo</w:t>
      </w:r>
      <w:r w:rsidRPr="00D17312">
        <w:t xml:space="preserve"> má hlášenou adresu bydliště na městském úřadu a dále ho není možné nijak dohledat.</w:t>
      </w:r>
    </w:p>
    <w:p w:rsidR="00A4083A" w:rsidRPr="00D17312" w:rsidRDefault="00A4083A" w:rsidP="00A4083A">
      <w:pPr>
        <w:pStyle w:val="OdstavecASR"/>
        <w:numPr>
          <w:ilvl w:val="0"/>
          <w:numId w:val="11"/>
        </w:numPr>
      </w:pPr>
      <w:r w:rsidRPr="00D17312">
        <w:rPr>
          <w:rFonts w:eastAsia="Times New Roman"/>
          <w:b/>
          <w:bCs/>
          <w:szCs w:val="24"/>
          <w:lang w:eastAsia="cs-CZ"/>
        </w:rPr>
        <w:t xml:space="preserve">Podán odpor, který nebyl odmítnut: </w:t>
      </w:r>
      <w:r w:rsidRPr="00D17312">
        <w:rPr>
          <w:rFonts w:eastAsia="Times New Roman"/>
          <w:bCs/>
          <w:szCs w:val="24"/>
          <w:lang w:eastAsia="cs-CZ"/>
        </w:rPr>
        <w:t>byl podán odpor proti elektronickému platebnímu rozkazu. Odpor byl podán včas a oprávněnou osobou.</w:t>
      </w:r>
    </w:p>
    <w:p w:rsidR="00A4083A" w:rsidRPr="00D17312" w:rsidRDefault="00A4083A" w:rsidP="00A4083A">
      <w:pPr>
        <w:pStyle w:val="OdstavecASR"/>
        <w:numPr>
          <w:ilvl w:val="0"/>
          <w:numId w:val="11"/>
        </w:numPr>
      </w:pPr>
      <w:r w:rsidRPr="00D17312">
        <w:rPr>
          <w:rFonts w:eastAsia="Times New Roman"/>
          <w:b/>
          <w:bCs/>
          <w:szCs w:val="24"/>
          <w:lang w:eastAsia="cs-CZ"/>
        </w:rPr>
        <w:t>Jiný důvod:</w:t>
      </w:r>
      <w:r w:rsidRPr="00D17312">
        <w:t xml:space="preserve"> zahrnuje všechny ostatní důvody pro převedení věci</w:t>
      </w:r>
      <w:r>
        <w:t xml:space="preserve">, zpravidla </w:t>
      </w:r>
      <w:r w:rsidRPr="00D17312">
        <w:t xml:space="preserve">proto, že </w:t>
      </w:r>
      <w:r>
        <w:t xml:space="preserve">nebylo možné </w:t>
      </w:r>
      <w:r w:rsidRPr="00D17312">
        <w:t xml:space="preserve">z jiného důvodu </w:t>
      </w:r>
      <w:r>
        <w:t>vydat</w:t>
      </w:r>
      <w:r w:rsidRPr="00D17312">
        <w:t xml:space="preserve"> EPR (platební rozkaz by</w:t>
      </w:r>
      <w:r>
        <w:t xml:space="preserve"> tak například</w:t>
      </w:r>
      <w:r w:rsidRPr="00D17312">
        <w:t xml:space="preserve"> měl být doručen žalovanému do ciziny</w:t>
      </w:r>
      <w:r>
        <w:t xml:space="preserve"> nebo</w:t>
      </w:r>
      <w:r w:rsidRPr="00D17312">
        <w:t xml:space="preserve"> žalobce uplatňuje nárok převyšující jeden milion korun českých).</w:t>
      </w:r>
    </w:p>
    <w:p w:rsidR="00A4083A" w:rsidRPr="00D17312" w:rsidRDefault="00A4083A" w:rsidP="00A4083A">
      <w:pPr>
        <w:rPr>
          <w:highlight w:val="yellow"/>
        </w:rPr>
      </w:pPr>
    </w:p>
    <w:p w:rsidR="00A4083A" w:rsidRDefault="00A4083A" w:rsidP="00A4083A">
      <w:r w:rsidRPr="00D17312">
        <w:t>V datech vidíme, že převedených věcí je opravdu velké množství. Porovnáme-li počet převedených věcí s počtem věcí vyřízených, vidíme, že tento podíl v letech 2013 až 2017 tvořil 51 až 56</w:t>
      </w:r>
      <w:r>
        <w:t> %</w:t>
      </w:r>
      <w:r w:rsidRPr="00D17312">
        <w:t>.</w:t>
      </w:r>
      <w:r w:rsidRPr="00D17312">
        <w:rPr>
          <w:rStyle w:val="Znakapoznpodarou"/>
        </w:rPr>
        <w:footnoteReference w:id="8"/>
      </w:r>
      <w:r w:rsidRPr="00D17312">
        <w:t xml:space="preserve"> </w:t>
      </w:r>
      <w:r>
        <w:t>V</w:t>
      </w:r>
      <w:r w:rsidRPr="00D17312">
        <w:t xml:space="preserve"> zásadě každá druhá věc v rejstříku EPR </w:t>
      </w:r>
      <w:r>
        <w:t xml:space="preserve">tak </w:t>
      </w:r>
      <w:r w:rsidRPr="00D17312">
        <w:t>byla převedena do klasického civilního řízení. V</w:t>
      </w:r>
      <w:r>
        <w:t> </w:t>
      </w:r>
      <w:r w:rsidRPr="00D17312">
        <w:t xml:space="preserve">letech 2018 a 2019 tento podíl dokonce </w:t>
      </w:r>
      <w:r>
        <w:t>přesáhl</w:t>
      </w:r>
      <w:r w:rsidRPr="00D17312">
        <w:t xml:space="preserve"> 60</w:t>
      </w:r>
      <w:r>
        <w:t> %</w:t>
      </w:r>
      <w:r w:rsidRPr="00D17312">
        <w:t>. Nejvyšší je v Praze a nejnižší je v kraji Jihočeském. Zdaleka nejčastější</w:t>
      </w:r>
      <w:r>
        <w:t>m</w:t>
      </w:r>
      <w:r w:rsidRPr="00D17312">
        <w:t xml:space="preserve"> důvod</w:t>
      </w:r>
      <w:r>
        <w:t>em</w:t>
      </w:r>
      <w:r w:rsidRPr="00D17312">
        <w:t xml:space="preserve"> převedení je zrušení EPR soudem.</w:t>
      </w:r>
    </w:p>
    <w:p w:rsidR="00A4083A" w:rsidRPr="00D17312" w:rsidRDefault="00A4083A" w:rsidP="00A4083A">
      <w:pPr>
        <w:spacing w:line="240" w:lineRule="auto"/>
        <w:jc w:val="left"/>
      </w:pPr>
      <w:r w:rsidRPr="00D17312">
        <w:br w:type="page"/>
      </w:r>
    </w:p>
    <w:p w:rsidR="00A4083A" w:rsidRPr="00D17312" w:rsidRDefault="00A4083A" w:rsidP="00A4083A">
      <w:pPr>
        <w:pStyle w:val="Nadpis2"/>
      </w:pPr>
      <w:bookmarkStart w:id="164" w:name="_Toc43903033"/>
      <w:r w:rsidRPr="00D17312">
        <w:lastRenderedPageBreak/>
        <w:t>Trestní agenda</w:t>
      </w:r>
      <w:bookmarkEnd w:id="162"/>
      <w:bookmarkEnd w:id="163"/>
      <w:bookmarkEnd w:id="164"/>
    </w:p>
    <w:p w:rsidR="00A4083A" w:rsidRPr="00D17312" w:rsidRDefault="00A4083A" w:rsidP="00A4083A">
      <w:pPr>
        <w:pStyle w:val="OdstavecASR"/>
      </w:pPr>
      <w:r w:rsidRPr="00D17312">
        <w:t>Z hlediska statistického sledování je situace na trestním úseku soudů jednodušší. Vedlejší agendy jsou zde v zásadě pouze dvě – všeobecné trestní věci, včetně rozhodování soudce v přípravném řízení, a u soudů, v jejichž obvodu se nachází věznice, též agenda podmíněné</w:t>
      </w:r>
      <w:r>
        <w:t>ho</w:t>
      </w:r>
      <w:r w:rsidRPr="00D17312">
        <w:t xml:space="preserve"> propuštění. Soudy tedy vyřizují hlavně prvostupňové trestní věci a prvostupňové trestní věci mladistvých (rejstříky T a Tm). Způsob vykazování se na rozdíl od civilního řízení během let neměnil a není se tedy třeba obávat zkreslení v časových řadách. Data v podkapitolách délky řízení a jiné statistiky jsou očištěna pouze o věci vyřízené trestním příkazem. Trestní příkaz je obdobou platebního rozkazu v civilním řízení. Jedná se o jednoduché a velmi rychle vyřízené věci, a proto v této zprávě nejsou v datech zahrnuty. Délky řízení</w:t>
      </w:r>
      <w:r>
        <w:t xml:space="preserve"> zahrnující</w:t>
      </w:r>
      <w:r w:rsidRPr="00D17312">
        <w:t xml:space="preserve"> věci vyřízené trestním příkazem, je možné dohledat na internetových stránkách InfoData nebo ve statistických ročenkách.</w:t>
      </w:r>
    </w:p>
    <w:p w:rsidR="00A4083A" w:rsidRPr="00D17312" w:rsidRDefault="00A4083A" w:rsidP="00A4083A">
      <w:pPr>
        <w:pStyle w:val="Nadpis3"/>
        <w:rPr>
          <w:color w:val="auto"/>
        </w:rPr>
      </w:pPr>
      <w:bookmarkStart w:id="165" w:name="_Toc487791235"/>
      <w:bookmarkStart w:id="166" w:name="_Toc515871231"/>
      <w:bookmarkStart w:id="167" w:name="_Toc43903034"/>
      <w:r w:rsidRPr="00D17312">
        <w:rPr>
          <w:color w:val="auto"/>
        </w:rPr>
        <w:t>Délka řízení</w:t>
      </w:r>
      <w:bookmarkEnd w:id="165"/>
      <w:bookmarkEnd w:id="166"/>
      <w:bookmarkEnd w:id="167"/>
    </w:p>
    <w:p w:rsidR="00A4083A" w:rsidRPr="00D17312" w:rsidRDefault="00A4083A" w:rsidP="00A4083A">
      <w:pPr>
        <w:pStyle w:val="OdstavecASR"/>
      </w:pPr>
      <w:r w:rsidRPr="00D17312">
        <w:t>Platí stejné poznámky jako u civilního řízení, délku řízení tedy zjišťujeme ze statistických listů a uvádíme ji v kalendářních dnech ode dne nápadu do dne konečného rozhodnutí soudem I. stupně.</w:t>
      </w:r>
    </w:p>
    <w:p w:rsidR="00A4083A" w:rsidRPr="00D17312" w:rsidRDefault="00A4083A" w:rsidP="00A4083A">
      <w:pPr>
        <w:pStyle w:val="Podnadpis"/>
        <w:rPr>
          <w:color w:val="auto"/>
        </w:rPr>
      </w:pPr>
      <w:bookmarkStart w:id="168" w:name="_Ref510007164"/>
      <w:bookmarkStart w:id="169" w:name="_Ref510007159"/>
      <w:bookmarkStart w:id="170" w:name="_Toc515871349"/>
      <w:bookmarkStart w:id="171" w:name="_Toc11135084"/>
      <w:bookmarkStart w:id="172" w:name="_Toc43841400"/>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20</w:t>
      </w:r>
      <w:r w:rsidRPr="00D17312">
        <w:rPr>
          <w:noProof/>
          <w:color w:val="auto"/>
        </w:rPr>
        <w:fldChar w:fldCharType="end"/>
      </w:r>
      <w:bookmarkEnd w:id="168"/>
      <w:r w:rsidRPr="00D17312">
        <w:rPr>
          <w:color w:val="auto"/>
        </w:rPr>
        <w:t>: OS – délka trestního řízení v letech 2008–201</w:t>
      </w:r>
      <w:bookmarkEnd w:id="169"/>
      <w:bookmarkEnd w:id="170"/>
      <w:r w:rsidRPr="00D17312">
        <w:rPr>
          <w:color w:val="auto"/>
        </w:rPr>
        <w:t>9 v kalendářních dnech</w:t>
      </w:r>
      <w:bookmarkEnd w:id="171"/>
      <w:bookmarkEnd w:id="172"/>
    </w:p>
    <w:p w:rsidR="00A4083A" w:rsidRPr="00D17312" w:rsidRDefault="00A4083A" w:rsidP="00A4083A">
      <w:r w:rsidRPr="00D17312">
        <w:rPr>
          <w:noProof/>
          <w:lang w:eastAsia="cs-CZ"/>
        </w:rPr>
        <w:drawing>
          <wp:inline distT="0" distB="0" distL="0" distR="0" wp14:anchorId="650FBC75" wp14:editId="27BDC772">
            <wp:extent cx="5114925" cy="3743325"/>
            <wp:effectExtent l="0" t="0" r="0" b="9525"/>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pPr>
      <w:r w:rsidRPr="00D17312">
        <w:t>Z grafu je patrné, že ve zkoumaném období byly délky řízení největší v roce 2008. Od roku 2010 jsou velmi stabilní s tím, že od roku 2015 se vyřízení věci začalo opět postupně prodlužovat a věci „stárnou“ (viz mírné zvyšování percentilu 90, což znamená, že u 10</w:t>
      </w:r>
      <w:r>
        <w:t> % </w:t>
      </w:r>
      <w:r w:rsidRPr="00D17312">
        <w:t>nejdelších věcí se zvýšila délka projednávání ze 460 dnů v roce 2015 na 504 dnů v roce 2018, tj. o 10</w:t>
      </w:r>
      <w:r>
        <w:t> %</w:t>
      </w:r>
      <w:r w:rsidRPr="00D17312">
        <w:t>). Zaujme velký rozdíl mezi průměrem a mediánem. Průměrná délka řízení je více než dvojnásobná</w:t>
      </w:r>
      <w:r>
        <w:t>,</w:t>
      </w:r>
      <w:r w:rsidRPr="00D17312">
        <w:t xml:space="preserve"> než je mediánová délka řízení. To naznačuje, že existuje malá skupina řízení, která se oproti standardu velmi dlouho „táhnou“, což je stav, který trvá po celé vykazované období 2008–2019. Tuto domněnku potvrzuje i poměrně vysoký percentil 90. Tento jev můžeme pozorovat i u civilního řízení, kde je nicméně </w:t>
      </w:r>
      <w:r w:rsidRPr="00D17312">
        <w:lastRenderedPageBreak/>
        <w:t>o něco méně výrazný. V roce 2019 došlo k mírnému poklesu délek řízení (zejména percentilu 90), nicméně jde jen o velmi malou změnu a nelze říct, že by tato statistika naznačoval</w:t>
      </w:r>
      <w:r>
        <w:t>a</w:t>
      </w:r>
      <w:r w:rsidRPr="00D17312">
        <w:t xml:space="preserve"> vylepšení situace v trestním soudnictví.</w:t>
      </w:r>
    </w:p>
    <w:p w:rsidR="00A4083A" w:rsidRPr="00D17312" w:rsidRDefault="00A4083A" w:rsidP="00A4083A">
      <w:pPr>
        <w:pStyle w:val="Podnadpis"/>
        <w:rPr>
          <w:rFonts w:ascii="Calibri" w:hAnsi="Calibri"/>
          <w:color w:val="auto"/>
          <w:sz w:val="20"/>
          <w:szCs w:val="20"/>
          <w:lang w:eastAsia="cs-CZ"/>
        </w:rPr>
      </w:pPr>
      <w:bookmarkStart w:id="173" w:name="_Ref510084261"/>
      <w:bookmarkStart w:id="174" w:name="_Ref510084255"/>
      <w:bookmarkStart w:id="175" w:name="_Toc515871451"/>
      <w:bookmarkStart w:id="176" w:name="_Toc11133219"/>
      <w:bookmarkStart w:id="177" w:name="_Toc43931193"/>
      <w:r w:rsidRPr="00D17312">
        <w:rPr>
          <w:color w:val="auto"/>
        </w:rPr>
        <w:t xml:space="preserve">Tabulka </w:t>
      </w:r>
      <w:r w:rsidRPr="00D17312">
        <w:rPr>
          <w:noProof/>
          <w:color w:val="auto"/>
        </w:rPr>
        <w:fldChar w:fldCharType="begin"/>
      </w:r>
      <w:r w:rsidRPr="00D17312">
        <w:rPr>
          <w:noProof/>
          <w:color w:val="auto"/>
        </w:rPr>
        <w:instrText xml:space="preserve"> SEQ Tabulka \* ARABIC </w:instrText>
      </w:r>
      <w:r w:rsidRPr="00D17312">
        <w:rPr>
          <w:noProof/>
          <w:color w:val="auto"/>
        </w:rPr>
        <w:fldChar w:fldCharType="separate"/>
      </w:r>
      <w:r w:rsidR="006E7F27">
        <w:rPr>
          <w:noProof/>
          <w:color w:val="auto"/>
        </w:rPr>
        <w:t>20</w:t>
      </w:r>
      <w:r w:rsidRPr="00D17312">
        <w:rPr>
          <w:noProof/>
          <w:color w:val="auto"/>
        </w:rPr>
        <w:fldChar w:fldCharType="end"/>
      </w:r>
      <w:bookmarkEnd w:id="173"/>
      <w:r w:rsidRPr="00D17312">
        <w:rPr>
          <w:color w:val="auto"/>
        </w:rPr>
        <w:t>: OS – délky trestního řízení dle krajů</w:t>
      </w:r>
      <w:bookmarkEnd w:id="174"/>
      <w:bookmarkEnd w:id="175"/>
      <w:bookmarkEnd w:id="176"/>
      <w:bookmarkEnd w:id="177"/>
    </w:p>
    <w:tbl>
      <w:tblPr>
        <w:tblW w:w="8920" w:type="dxa"/>
        <w:tblCellMar>
          <w:left w:w="70" w:type="dxa"/>
          <w:right w:w="70" w:type="dxa"/>
        </w:tblCellMar>
        <w:tblLook w:val="04A0" w:firstRow="1" w:lastRow="0" w:firstColumn="1" w:lastColumn="0" w:noHBand="0" w:noVBand="1"/>
      </w:tblPr>
      <w:tblGrid>
        <w:gridCol w:w="2440"/>
        <w:gridCol w:w="921"/>
        <w:gridCol w:w="1239"/>
        <w:gridCol w:w="921"/>
        <w:gridCol w:w="1239"/>
        <w:gridCol w:w="921"/>
        <w:gridCol w:w="1239"/>
      </w:tblGrid>
      <w:tr w:rsidR="00A4083A" w:rsidRPr="00D17312" w:rsidTr="00A41CAB">
        <w:trPr>
          <w:trHeight w:val="330"/>
        </w:trPr>
        <w:tc>
          <w:tcPr>
            <w:tcW w:w="244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Nadřízený soud</w:t>
            </w:r>
          </w:p>
        </w:tc>
        <w:tc>
          <w:tcPr>
            <w:tcW w:w="6480" w:type="dxa"/>
            <w:gridSpan w:val="6"/>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Délka řízení</w:t>
            </w:r>
          </w:p>
        </w:tc>
      </w:tr>
      <w:tr w:rsidR="00A4083A" w:rsidRPr="00D17312" w:rsidTr="00A41CAB">
        <w:trPr>
          <w:trHeight w:val="330"/>
        </w:trPr>
        <w:tc>
          <w:tcPr>
            <w:tcW w:w="244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2160"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Průměr</w:t>
            </w:r>
          </w:p>
        </w:tc>
        <w:tc>
          <w:tcPr>
            <w:tcW w:w="2160" w:type="dxa"/>
            <w:gridSpan w:val="2"/>
            <w:tcBorders>
              <w:top w:val="nil"/>
              <w:left w:val="single" w:sz="4" w:space="0" w:color="auto"/>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Medián</w:t>
            </w:r>
          </w:p>
        </w:tc>
        <w:tc>
          <w:tcPr>
            <w:tcW w:w="2160"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Percentil 90</w:t>
            </w:r>
          </w:p>
        </w:tc>
      </w:tr>
      <w:tr w:rsidR="00A4083A" w:rsidRPr="00D17312" w:rsidTr="00A41CAB">
        <w:trPr>
          <w:trHeight w:val="330"/>
        </w:trPr>
        <w:tc>
          <w:tcPr>
            <w:tcW w:w="244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921"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167</w:t>
            </w:r>
          </w:p>
        </w:tc>
        <w:tc>
          <w:tcPr>
            <w:tcW w:w="1239"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921"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83</w:t>
            </w:r>
          </w:p>
        </w:tc>
        <w:tc>
          <w:tcPr>
            <w:tcW w:w="123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921"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359</w:t>
            </w:r>
          </w:p>
        </w:tc>
        <w:tc>
          <w:tcPr>
            <w:tcW w:w="1239"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r>
      <w:tr w:rsidR="00A4083A" w:rsidRPr="00D17312" w:rsidTr="00A41CAB">
        <w:trPr>
          <w:trHeight w:val="315"/>
        </w:trPr>
        <w:tc>
          <w:tcPr>
            <w:tcW w:w="244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92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132</w:t>
            </w:r>
          </w:p>
        </w:tc>
        <w:tc>
          <w:tcPr>
            <w:tcW w:w="12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-17</w:t>
            </w:r>
            <w:r>
              <w:rPr>
                <w:rFonts w:eastAsia="Times New Roman"/>
                <w:sz w:val="20"/>
                <w:szCs w:val="20"/>
                <w:lang w:eastAsia="cs-CZ"/>
              </w:rPr>
              <w:t> %</w:t>
            </w:r>
          </w:p>
        </w:tc>
        <w:tc>
          <w:tcPr>
            <w:tcW w:w="921"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64</w:t>
            </w:r>
          </w:p>
        </w:tc>
        <w:tc>
          <w:tcPr>
            <w:tcW w:w="123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c>
          <w:tcPr>
            <w:tcW w:w="92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313</w:t>
            </w:r>
          </w:p>
        </w:tc>
        <w:tc>
          <w:tcPr>
            <w:tcW w:w="12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r>
      <w:tr w:rsidR="00A4083A" w:rsidRPr="00D17312" w:rsidTr="00A41CAB">
        <w:trPr>
          <w:trHeight w:val="315"/>
        </w:trPr>
        <w:tc>
          <w:tcPr>
            <w:tcW w:w="244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92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173</w:t>
            </w:r>
          </w:p>
        </w:tc>
        <w:tc>
          <w:tcPr>
            <w:tcW w:w="12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921"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93</w:t>
            </w:r>
          </w:p>
        </w:tc>
        <w:tc>
          <w:tcPr>
            <w:tcW w:w="123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92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382</w:t>
            </w:r>
          </w:p>
        </w:tc>
        <w:tc>
          <w:tcPr>
            <w:tcW w:w="12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r>
      <w:tr w:rsidR="00A4083A" w:rsidRPr="00D17312" w:rsidTr="00A41CAB">
        <w:trPr>
          <w:trHeight w:val="315"/>
        </w:trPr>
        <w:tc>
          <w:tcPr>
            <w:tcW w:w="244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92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235</w:t>
            </w:r>
          </w:p>
        </w:tc>
        <w:tc>
          <w:tcPr>
            <w:tcW w:w="12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921"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112</w:t>
            </w:r>
          </w:p>
        </w:tc>
        <w:tc>
          <w:tcPr>
            <w:tcW w:w="123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w:t>
            </w:r>
            <w:r>
              <w:rPr>
                <w:rFonts w:eastAsia="Times New Roman"/>
                <w:sz w:val="20"/>
                <w:szCs w:val="20"/>
                <w:lang w:eastAsia="cs-CZ"/>
              </w:rPr>
              <w:t> %</w:t>
            </w:r>
          </w:p>
        </w:tc>
        <w:tc>
          <w:tcPr>
            <w:tcW w:w="92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577</w:t>
            </w:r>
          </w:p>
        </w:tc>
        <w:tc>
          <w:tcPr>
            <w:tcW w:w="12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w:t>
            </w:r>
            <w:r>
              <w:rPr>
                <w:rFonts w:eastAsia="Times New Roman"/>
                <w:sz w:val="20"/>
                <w:szCs w:val="20"/>
                <w:lang w:eastAsia="cs-CZ"/>
              </w:rPr>
              <w:t> %</w:t>
            </w:r>
          </w:p>
        </w:tc>
      </w:tr>
      <w:tr w:rsidR="00A4083A" w:rsidRPr="00D17312" w:rsidTr="00A41CAB">
        <w:trPr>
          <w:trHeight w:val="315"/>
        </w:trPr>
        <w:tc>
          <w:tcPr>
            <w:tcW w:w="244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92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294</w:t>
            </w:r>
          </w:p>
        </w:tc>
        <w:tc>
          <w:tcPr>
            <w:tcW w:w="12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-12</w:t>
            </w:r>
            <w:r>
              <w:rPr>
                <w:rFonts w:eastAsia="Times New Roman"/>
                <w:sz w:val="20"/>
                <w:szCs w:val="20"/>
                <w:lang w:eastAsia="cs-CZ"/>
              </w:rPr>
              <w:t> %</w:t>
            </w:r>
          </w:p>
        </w:tc>
        <w:tc>
          <w:tcPr>
            <w:tcW w:w="921"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126</w:t>
            </w:r>
          </w:p>
        </w:tc>
        <w:tc>
          <w:tcPr>
            <w:tcW w:w="123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-18</w:t>
            </w:r>
            <w:r>
              <w:rPr>
                <w:rFonts w:eastAsia="Times New Roman"/>
                <w:sz w:val="20"/>
                <w:szCs w:val="20"/>
                <w:lang w:eastAsia="cs-CZ"/>
              </w:rPr>
              <w:t> %</w:t>
            </w:r>
          </w:p>
        </w:tc>
        <w:tc>
          <w:tcPr>
            <w:tcW w:w="92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780</w:t>
            </w:r>
          </w:p>
        </w:tc>
        <w:tc>
          <w:tcPr>
            <w:tcW w:w="12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r>
      <w:tr w:rsidR="00A4083A" w:rsidRPr="00D17312" w:rsidTr="00A41CAB">
        <w:trPr>
          <w:trHeight w:val="315"/>
        </w:trPr>
        <w:tc>
          <w:tcPr>
            <w:tcW w:w="244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92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140</w:t>
            </w:r>
          </w:p>
        </w:tc>
        <w:tc>
          <w:tcPr>
            <w:tcW w:w="12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921"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69</w:t>
            </w:r>
          </w:p>
        </w:tc>
        <w:tc>
          <w:tcPr>
            <w:tcW w:w="123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w:t>
            </w:r>
            <w:r>
              <w:rPr>
                <w:rFonts w:eastAsia="Times New Roman"/>
                <w:sz w:val="20"/>
                <w:szCs w:val="20"/>
                <w:lang w:eastAsia="cs-CZ"/>
              </w:rPr>
              <w:t> %</w:t>
            </w:r>
          </w:p>
        </w:tc>
        <w:tc>
          <w:tcPr>
            <w:tcW w:w="92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300</w:t>
            </w:r>
          </w:p>
        </w:tc>
        <w:tc>
          <w:tcPr>
            <w:tcW w:w="12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r>
      <w:tr w:rsidR="00A4083A" w:rsidRPr="00D17312" w:rsidTr="00A41CAB">
        <w:trPr>
          <w:trHeight w:val="315"/>
        </w:trPr>
        <w:tc>
          <w:tcPr>
            <w:tcW w:w="244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92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151</w:t>
            </w:r>
          </w:p>
        </w:tc>
        <w:tc>
          <w:tcPr>
            <w:tcW w:w="12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921"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77</w:t>
            </w:r>
          </w:p>
        </w:tc>
        <w:tc>
          <w:tcPr>
            <w:tcW w:w="123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c>
          <w:tcPr>
            <w:tcW w:w="92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329</w:t>
            </w:r>
          </w:p>
        </w:tc>
        <w:tc>
          <w:tcPr>
            <w:tcW w:w="12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r>
      <w:tr w:rsidR="00A4083A" w:rsidRPr="00D17312" w:rsidTr="00A41CAB">
        <w:trPr>
          <w:trHeight w:val="330"/>
        </w:trPr>
        <w:tc>
          <w:tcPr>
            <w:tcW w:w="244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92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197</w:t>
            </w:r>
          </w:p>
        </w:tc>
        <w:tc>
          <w:tcPr>
            <w:tcW w:w="123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c>
          <w:tcPr>
            <w:tcW w:w="921"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105</w:t>
            </w:r>
          </w:p>
        </w:tc>
        <w:tc>
          <w:tcPr>
            <w:tcW w:w="1239"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92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475</w:t>
            </w:r>
          </w:p>
        </w:tc>
        <w:tc>
          <w:tcPr>
            <w:tcW w:w="123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r>
      <w:tr w:rsidR="00A4083A" w:rsidRPr="00D17312" w:rsidTr="00A41CAB">
        <w:trPr>
          <w:trHeight w:val="345"/>
        </w:trPr>
        <w:tc>
          <w:tcPr>
            <w:tcW w:w="244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92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195</w:t>
            </w:r>
          </w:p>
        </w:tc>
        <w:tc>
          <w:tcPr>
            <w:tcW w:w="123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-3</w:t>
            </w:r>
            <w:r>
              <w:rPr>
                <w:rFonts w:eastAsia="Times New Roman"/>
                <w:b/>
                <w:bCs/>
                <w:sz w:val="20"/>
                <w:szCs w:val="20"/>
                <w:lang w:eastAsia="cs-CZ"/>
              </w:rPr>
              <w:t> %</w:t>
            </w:r>
          </w:p>
        </w:tc>
        <w:tc>
          <w:tcPr>
            <w:tcW w:w="921"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91</w:t>
            </w:r>
          </w:p>
        </w:tc>
        <w:tc>
          <w:tcPr>
            <w:tcW w:w="1239"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-3</w:t>
            </w:r>
            <w:r>
              <w:rPr>
                <w:rFonts w:eastAsia="Times New Roman"/>
                <w:b/>
                <w:bCs/>
                <w:sz w:val="20"/>
                <w:szCs w:val="20"/>
                <w:lang w:eastAsia="cs-CZ"/>
              </w:rPr>
              <w:t> %</w:t>
            </w:r>
          </w:p>
        </w:tc>
        <w:tc>
          <w:tcPr>
            <w:tcW w:w="92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463</w:t>
            </w:r>
          </w:p>
        </w:tc>
        <w:tc>
          <w:tcPr>
            <w:tcW w:w="123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-8</w:t>
            </w:r>
            <w:r>
              <w:rPr>
                <w:rFonts w:eastAsia="Times New Roman"/>
                <w:b/>
                <w:bCs/>
                <w:sz w:val="20"/>
                <w:szCs w:val="20"/>
                <w:lang w:eastAsia="cs-CZ"/>
              </w:rPr>
              <w:t> %</w:t>
            </w:r>
          </w:p>
        </w:tc>
      </w:tr>
    </w:tbl>
    <w:p w:rsidR="00A4083A" w:rsidRPr="00D17312" w:rsidRDefault="00A4083A" w:rsidP="00A4083A">
      <w:pPr>
        <w:spacing w:line="240" w:lineRule="auto"/>
        <w:jc w:val="left"/>
        <w:rPr>
          <w:highlight w:val="yellow"/>
        </w:rPr>
      </w:pPr>
    </w:p>
    <w:p w:rsidR="00A4083A" w:rsidRPr="00D17312" w:rsidRDefault="00A4083A" w:rsidP="00A4083A">
      <w:pPr>
        <w:pStyle w:val="Podnadpis"/>
        <w:rPr>
          <w:color w:val="auto"/>
        </w:rPr>
      </w:pPr>
      <w:bookmarkStart w:id="178" w:name="_Toc515871350"/>
      <w:bookmarkStart w:id="179" w:name="_Toc11135085"/>
      <w:bookmarkStart w:id="180" w:name="_Toc43841401"/>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21</w:t>
      </w:r>
      <w:r w:rsidRPr="00D17312">
        <w:rPr>
          <w:noProof/>
          <w:color w:val="auto"/>
        </w:rPr>
        <w:fldChar w:fldCharType="end"/>
      </w:r>
      <w:r w:rsidRPr="00D17312">
        <w:rPr>
          <w:color w:val="auto"/>
        </w:rPr>
        <w:t>: OS – mediánové délky trestního řízení u jednotlivých soudů</w:t>
      </w:r>
      <w:bookmarkEnd w:id="178"/>
      <w:bookmarkEnd w:id="179"/>
      <w:bookmarkEnd w:id="180"/>
    </w:p>
    <w:p w:rsidR="00A4083A" w:rsidRPr="00D17312" w:rsidRDefault="00A4083A" w:rsidP="00A4083A">
      <w:pPr>
        <w:spacing w:line="240" w:lineRule="auto"/>
        <w:jc w:val="left"/>
        <w:rPr>
          <w:highlight w:val="yellow"/>
        </w:rPr>
      </w:pPr>
      <w:r w:rsidRPr="00D17312">
        <w:rPr>
          <w:noProof/>
          <w:lang w:eastAsia="cs-CZ"/>
        </w:rPr>
        <w:drawing>
          <wp:inline distT="0" distB="0" distL="0" distR="0" wp14:anchorId="36992C51" wp14:editId="2D45F957">
            <wp:extent cx="5759450" cy="3328623"/>
            <wp:effectExtent l="0" t="0" r="0" b="5715"/>
            <wp:docPr id="97" name="Obráze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59450" cy="3328623"/>
                    </a:xfrm>
                    <a:prstGeom prst="rect">
                      <a:avLst/>
                    </a:prstGeom>
                    <a:noFill/>
                    <a:ln>
                      <a:noFill/>
                    </a:ln>
                  </pic:spPr>
                </pic:pic>
              </a:graphicData>
            </a:graphic>
          </wp:inline>
        </w:drawing>
      </w:r>
      <w:r w:rsidRPr="00D17312">
        <w:rPr>
          <w:noProof/>
          <w:lang w:eastAsia="cs-CZ"/>
        </w:rPr>
        <w:drawing>
          <wp:anchor distT="0" distB="0" distL="114300" distR="114300" simplePos="0" relativeHeight="251668480" behindDoc="0" locked="0" layoutInCell="1" allowOverlap="1" wp14:anchorId="707B573E" wp14:editId="46CEE128">
            <wp:simplePos x="0" y="0"/>
            <wp:positionH relativeFrom="column">
              <wp:posOffset>4490720</wp:posOffset>
            </wp:positionH>
            <wp:positionV relativeFrom="paragraph">
              <wp:posOffset>64135</wp:posOffset>
            </wp:positionV>
            <wp:extent cx="1209600" cy="885600"/>
            <wp:effectExtent l="0" t="0" r="0" b="0"/>
            <wp:wrapNone/>
            <wp:docPr id="73" name="Obráze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09600" cy="8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083A" w:rsidRPr="00D17312" w:rsidRDefault="00A4083A" w:rsidP="00A4083A">
      <w:pPr>
        <w:pStyle w:val="OdstavecASR"/>
      </w:pPr>
      <w:bookmarkStart w:id="181" w:name="_Toc515871351"/>
      <w:bookmarkStart w:id="182" w:name="_Toc11135086"/>
      <w:r w:rsidRPr="00D17312">
        <w:t>Nejdelší délky řízení vykazují stejně jako u civilního řízení</w:t>
      </w:r>
      <w:r w:rsidRPr="00D17312" w:rsidDel="00120082">
        <w:t xml:space="preserve"> </w:t>
      </w:r>
      <w:r w:rsidRPr="00D17312">
        <w:t xml:space="preserve">okresní soudy v Severočeském kraji. Nicméně je patrné, že délky řízení </w:t>
      </w:r>
      <w:r>
        <w:t>v tomto kraji</w:t>
      </w:r>
      <w:r w:rsidRPr="00D17312">
        <w:t xml:space="preserve"> tento rok klesly. Určité problémy lze také zaznamenat v kraji Západočeském. Délky řízení u okresních soudů v ostatních krajích jsou poměrně vyrovnané. Tři soudy s nejkratší mediánovou délkou řízení jsou OS Kutná Hora (35 dnů), OS Benešov (41 dnů) a OS Svitavy (43 dnů). Délky řízení u nejpomalejších soudů jsou asi šestkrát až sedmkrát větší – OS Jeseník (267 dnů)</w:t>
      </w:r>
      <w:r>
        <w:t>,</w:t>
      </w:r>
      <w:r w:rsidRPr="00D17312">
        <w:t xml:space="preserve"> OS Děčín (260 dnů)</w:t>
      </w:r>
      <w:r>
        <w:t xml:space="preserve"> a</w:t>
      </w:r>
      <w:r w:rsidRPr="00D17312">
        <w:t xml:space="preserve"> OS Uherské Hradiště (228 dnů). Za zmínku rozhodně stojí vylepšení statistik u OS v Ústí nad Labem. Tento soud „tradičně“ patřil mezi 3 soudy s nejdelší délkou řízení. V roce 2019 již </w:t>
      </w:r>
      <w:r>
        <w:t>je jeho</w:t>
      </w:r>
      <w:r w:rsidRPr="00D17312">
        <w:t xml:space="preserve"> délk</w:t>
      </w:r>
      <w:r>
        <w:t>a</w:t>
      </w:r>
      <w:r w:rsidRPr="00D17312">
        <w:t xml:space="preserve"> řízení pod 200 dn</w:t>
      </w:r>
      <w:r>
        <w:t>y</w:t>
      </w:r>
      <w:r w:rsidRPr="00D17312">
        <w:t xml:space="preserve"> (přesně řečeno 187 dnů), </w:t>
      </w:r>
      <w:r>
        <w:t xml:space="preserve">tedy pod </w:t>
      </w:r>
      <w:r w:rsidRPr="00D17312">
        <w:t>celorepublikový</w:t>
      </w:r>
      <w:r>
        <w:t>m</w:t>
      </w:r>
      <w:r w:rsidRPr="00D17312">
        <w:t xml:space="preserve"> průměr</w:t>
      </w:r>
      <w:r>
        <w:t>em</w:t>
      </w:r>
      <w:r w:rsidRPr="00D17312">
        <w:t>.</w:t>
      </w:r>
    </w:p>
    <w:p w:rsidR="00A4083A" w:rsidRPr="00D17312" w:rsidRDefault="00A4083A" w:rsidP="00A4083A">
      <w:pPr>
        <w:pStyle w:val="Podnadpis"/>
        <w:rPr>
          <w:color w:val="auto"/>
        </w:rPr>
      </w:pPr>
      <w:bookmarkStart w:id="183" w:name="_Toc43841402"/>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22</w:t>
      </w:r>
      <w:r w:rsidRPr="00D17312">
        <w:rPr>
          <w:noProof/>
          <w:color w:val="auto"/>
        </w:rPr>
        <w:fldChar w:fldCharType="end"/>
      </w:r>
      <w:r w:rsidRPr="00D17312">
        <w:rPr>
          <w:color w:val="auto"/>
        </w:rPr>
        <w:t>: OS – krabicové grafy, mediánové délky trestního řízení</w:t>
      </w:r>
      <w:bookmarkEnd w:id="181"/>
      <w:bookmarkEnd w:id="182"/>
      <w:bookmarkEnd w:id="183"/>
    </w:p>
    <w:p w:rsidR="00A4083A" w:rsidRPr="00D17312" w:rsidRDefault="00A4083A" w:rsidP="00A4083A">
      <w:pPr>
        <w:spacing w:line="240" w:lineRule="auto"/>
        <w:jc w:val="left"/>
      </w:pPr>
      <w:r w:rsidRPr="00D17312">
        <w:rPr>
          <w:noProof/>
          <w:lang w:eastAsia="cs-CZ"/>
        </w:rPr>
        <w:drawing>
          <wp:inline distT="0" distB="0" distL="0" distR="0" wp14:anchorId="09A08A49" wp14:editId="6EE5C252">
            <wp:extent cx="5114925" cy="3743325"/>
            <wp:effectExtent l="0" t="0" r="0" b="952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spacing w:line="240" w:lineRule="auto"/>
        <w:jc w:val="left"/>
        <w:rPr>
          <w:highlight w:val="yellow"/>
        </w:rPr>
      </w:pPr>
    </w:p>
    <w:p w:rsidR="00A4083A" w:rsidRPr="00D17312" w:rsidRDefault="00A4083A" w:rsidP="00A4083A">
      <w:pPr>
        <w:pStyle w:val="OdstavecASR"/>
      </w:pPr>
      <w:r w:rsidRPr="00D17312">
        <w:t>Z krabicového grafu vidíme, že rozdíly mezi soudy se v posledních letech příliš nemění. V roce 2018 však přeci jen došlo ke zlepšení u nejpomalejších soudů, kdy se odlehlé hodnoty přiblížily „ke krabici“. V roce 2019 se z hlediska variability oproti roku 2018 nic nezměnilo. Sice klesla délka řízení u některých nejpomalejších soudů, u jiných soudů ale vzrostla, a tak je zlepšující se soudy vlastně „nahradily“.</w:t>
      </w:r>
    </w:p>
    <w:p w:rsidR="00A4083A" w:rsidRDefault="00A4083A" w:rsidP="00A4083A">
      <w:pPr>
        <w:pStyle w:val="OdstavecASR"/>
      </w:pPr>
      <w:r w:rsidRPr="00D17312">
        <w:t xml:space="preserve">Při pohledu na délky řízení by se mohlo zdát, že se celorepublikově situace v trestním řízení nelepší až na Severní Čechy, kde </w:t>
      </w:r>
      <w:r>
        <w:t>došlo k mírnému zlepšení</w:t>
      </w:r>
      <w:r w:rsidRPr="00D17312">
        <w:t>.</w:t>
      </w:r>
      <w:r>
        <w:t xml:space="preserve"> </w:t>
      </w:r>
      <w:r w:rsidRPr="00D17312">
        <w:t>Další podkapitola nicméně ukazuje, že se postupně daří snižovat počet nevyřízených věcí.</w:t>
      </w:r>
    </w:p>
    <w:p w:rsidR="00A4083A" w:rsidRPr="00D17312" w:rsidRDefault="00A4083A" w:rsidP="00A4083A">
      <w:pPr>
        <w:pStyle w:val="OdstavecASR"/>
      </w:pPr>
      <w:r w:rsidRPr="00D17312">
        <w:t>Stejně jako u civilního řízení se na délky řízení v roce 2019 podíváme ještě pomocí histogramu. Šířka jednoho intervalu (sloupce) je 25 dnů. Pro lepší přehlednost uvádíme všechny délky řízení delší než 800 dnů v jednom sloupci (na grafu nejvíce vpravo). Proto je tento sloupec výrazně „vyšší“ než sloupce předchozí. Distribuce délek řízení je takřka stejná jako v roce 2018, tedy například:</w:t>
      </w:r>
    </w:p>
    <w:p w:rsidR="00A4083A" w:rsidRPr="00D17312" w:rsidRDefault="00A4083A" w:rsidP="00A4083A">
      <w:pPr>
        <w:pStyle w:val="Odstavecseseznamem"/>
        <w:numPr>
          <w:ilvl w:val="0"/>
          <w:numId w:val="10"/>
        </w:numPr>
      </w:pPr>
      <w:r w:rsidRPr="00D17312">
        <w:t>Jen necelých 5</w:t>
      </w:r>
      <w:r>
        <w:t> % </w:t>
      </w:r>
      <w:r w:rsidRPr="00D17312">
        <w:t>věcí bylo vyřízeno za více než 800 dnů.</w:t>
      </w:r>
    </w:p>
    <w:p w:rsidR="00A4083A" w:rsidRPr="00D17312" w:rsidRDefault="00A4083A" w:rsidP="00A4083A">
      <w:pPr>
        <w:pStyle w:val="Odstavecseseznamem"/>
        <w:numPr>
          <w:ilvl w:val="0"/>
          <w:numId w:val="9"/>
        </w:numPr>
        <w:ind w:left="714" w:hanging="357"/>
        <w:jc w:val="left"/>
      </w:pPr>
      <w:r w:rsidRPr="00D17312">
        <w:t>Více než čtvrtina věcí byla vyřízena velice rychle – do 50 dnů ode dne nápadu u soudu.</w:t>
      </w:r>
    </w:p>
    <w:p w:rsidR="00A4083A" w:rsidRPr="00D17312" w:rsidRDefault="00A4083A" w:rsidP="00A4083A">
      <w:pPr>
        <w:pStyle w:val="Odstavecseseznamem"/>
        <w:numPr>
          <w:ilvl w:val="0"/>
          <w:numId w:val="9"/>
        </w:numPr>
        <w:ind w:left="714" w:hanging="357"/>
        <w:jc w:val="left"/>
      </w:pPr>
      <w:r w:rsidRPr="00D17312">
        <w:t>Největší skupina věcí (cca 18</w:t>
      </w:r>
      <w:r>
        <w:t> %</w:t>
      </w:r>
      <w:r w:rsidRPr="00D17312">
        <w:t>) byla vyřízena za 26 až 50 dnů. S přibývající délkou řízení četnost klesá.</w:t>
      </w:r>
    </w:p>
    <w:p w:rsidR="00A4083A" w:rsidRPr="00D17312" w:rsidRDefault="00A4083A" w:rsidP="00A4083A">
      <w:pPr>
        <w:pStyle w:val="Odstavecseseznamem"/>
        <w:numPr>
          <w:ilvl w:val="0"/>
          <w:numId w:val="9"/>
        </w:numPr>
        <w:ind w:left="714" w:hanging="357"/>
        <w:jc w:val="left"/>
      </w:pPr>
      <w:r w:rsidRPr="00D17312">
        <w:t>Rozdělení délek řízení je celkem podobné rozdělení v civilním řízení. Absolutní hodnoty jsou ale výrazně nižší.</w:t>
      </w:r>
    </w:p>
    <w:p w:rsidR="00A4083A" w:rsidRPr="00D17312" w:rsidRDefault="00A4083A" w:rsidP="00A4083A">
      <w:pPr>
        <w:rPr>
          <w:highlight w:val="yellow"/>
        </w:rPr>
      </w:pPr>
    </w:p>
    <w:p w:rsidR="00A4083A" w:rsidRPr="00D17312" w:rsidRDefault="00A4083A" w:rsidP="00A4083A">
      <w:pPr>
        <w:pStyle w:val="Podnadpis"/>
        <w:rPr>
          <w:color w:val="auto"/>
        </w:rPr>
      </w:pPr>
      <w:bookmarkStart w:id="184" w:name="_Toc515871352"/>
      <w:bookmarkStart w:id="185" w:name="_Toc11135087"/>
      <w:bookmarkStart w:id="186" w:name="_Toc43841403"/>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23</w:t>
      </w:r>
      <w:r w:rsidRPr="00D17312">
        <w:rPr>
          <w:color w:val="auto"/>
        </w:rPr>
        <w:fldChar w:fldCharType="end"/>
      </w:r>
      <w:r w:rsidRPr="00D17312">
        <w:rPr>
          <w:color w:val="auto"/>
        </w:rPr>
        <w:t>: OS – distribuce délek trestního řízení</w:t>
      </w:r>
      <w:bookmarkEnd w:id="184"/>
      <w:bookmarkEnd w:id="185"/>
      <w:bookmarkEnd w:id="186"/>
    </w:p>
    <w:p w:rsidR="00A4083A" w:rsidRPr="00D17312" w:rsidRDefault="00A4083A" w:rsidP="00A4083A">
      <w:r w:rsidRPr="00D17312">
        <w:rPr>
          <w:noProof/>
          <w:lang w:eastAsia="cs-CZ"/>
        </w:rPr>
        <w:drawing>
          <wp:inline distT="0" distB="0" distL="0" distR="0" wp14:anchorId="7F5CBFA4" wp14:editId="24310086">
            <wp:extent cx="5114925" cy="3743325"/>
            <wp:effectExtent l="0" t="0" r="0" b="952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rPr>
          <w:highlight w:val="yellow"/>
        </w:rPr>
      </w:pPr>
    </w:p>
    <w:p w:rsidR="00A4083A" w:rsidRPr="00D17312" w:rsidRDefault="00A4083A" w:rsidP="00A4083A">
      <w:pPr>
        <w:pStyle w:val="Nadpis3"/>
        <w:rPr>
          <w:color w:val="auto"/>
        </w:rPr>
      </w:pPr>
      <w:bookmarkStart w:id="187" w:name="_Toc515871232"/>
      <w:bookmarkStart w:id="188" w:name="_Toc43903035"/>
      <w:r w:rsidRPr="00D17312">
        <w:rPr>
          <w:color w:val="auto"/>
        </w:rPr>
        <w:t>Vyřizování věcí</w:t>
      </w:r>
      <w:bookmarkEnd w:id="187"/>
      <w:bookmarkEnd w:id="188"/>
    </w:p>
    <w:p w:rsidR="00A4083A" w:rsidRPr="00D17312" w:rsidRDefault="00A4083A" w:rsidP="00A4083A">
      <w:pPr>
        <w:pStyle w:val="Podnadpis"/>
        <w:rPr>
          <w:color w:val="auto"/>
        </w:rPr>
      </w:pPr>
      <w:bookmarkStart w:id="189" w:name="_Toc515871353"/>
      <w:bookmarkStart w:id="190" w:name="_Toc11135088"/>
      <w:bookmarkStart w:id="191" w:name="_Toc43841404"/>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24</w:t>
      </w:r>
      <w:r w:rsidRPr="00D17312">
        <w:rPr>
          <w:noProof/>
          <w:color w:val="auto"/>
        </w:rPr>
        <w:fldChar w:fldCharType="end"/>
      </w:r>
      <w:r w:rsidRPr="00D17312">
        <w:rPr>
          <w:color w:val="auto"/>
        </w:rPr>
        <w:t>: OS – vyřizování trestních věcí v letech 2008–</w:t>
      </w:r>
      <w:bookmarkEnd w:id="189"/>
      <w:bookmarkEnd w:id="190"/>
      <w:r w:rsidRPr="00D17312">
        <w:rPr>
          <w:color w:val="auto"/>
        </w:rPr>
        <w:t>2019</w:t>
      </w:r>
      <w:bookmarkEnd w:id="191"/>
    </w:p>
    <w:p w:rsidR="00A4083A" w:rsidRPr="00D17312" w:rsidRDefault="00A4083A" w:rsidP="00A4083A">
      <w:pPr>
        <w:spacing w:line="240" w:lineRule="auto"/>
        <w:jc w:val="left"/>
      </w:pPr>
      <w:r w:rsidRPr="00D17312">
        <w:rPr>
          <w:noProof/>
          <w:lang w:eastAsia="cs-CZ"/>
        </w:rPr>
        <w:drawing>
          <wp:inline distT="0" distB="0" distL="0" distR="0" wp14:anchorId="06EDD798" wp14:editId="6D749D8F">
            <wp:extent cx="5114925" cy="3743325"/>
            <wp:effectExtent l="0" t="0" r="0" b="9525"/>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spacing w:line="240" w:lineRule="auto"/>
        <w:jc w:val="left"/>
        <w:rPr>
          <w:highlight w:val="yellow"/>
        </w:rPr>
      </w:pPr>
    </w:p>
    <w:p w:rsidR="00A4083A" w:rsidRPr="00D17312" w:rsidRDefault="00A4083A" w:rsidP="00A4083A">
      <w:pPr>
        <w:pStyle w:val="OdstavecASR"/>
      </w:pPr>
      <w:bookmarkStart w:id="192" w:name="_Toc515871453"/>
      <w:bookmarkStart w:id="193" w:name="_Toc11133221"/>
      <w:r w:rsidRPr="00D17312">
        <w:lastRenderedPageBreak/>
        <w:t>V grafu je na první pohled patrný výrazný pokles v nápadu a počtu vyřízených věcí po roce 2013. Tento trend je opravdu silný a vyplývá z poklesu kriminality na území ČR</w:t>
      </w:r>
      <w:r>
        <w:t>.</w:t>
      </w:r>
      <w:r w:rsidRPr="00D17312">
        <w:t xml:space="preserve"> </w:t>
      </w:r>
      <w:r>
        <w:t>T</w:t>
      </w:r>
      <w:r w:rsidRPr="00D17312">
        <w:t>rval i v roce 2018, i když v tomto roce rychlost poklesu zvolnila z 8</w:t>
      </w:r>
      <w:r>
        <w:t> %</w:t>
      </w:r>
      <w:r w:rsidRPr="00D17312">
        <w:t xml:space="preserve"> v roce 2017 na 3</w:t>
      </w:r>
      <w:r>
        <w:t> %</w:t>
      </w:r>
      <w:r w:rsidRPr="00D17312">
        <w:t xml:space="preserve"> v roce 2018. Především pokles v nápadu v posledních letech se pak projevil i v poklesu počtu nevyřízených věcí</w:t>
      </w:r>
      <w:r>
        <w:t>; i ohledně tohoto ukazatele</w:t>
      </w:r>
      <w:r w:rsidRPr="00D17312">
        <w:t xml:space="preserve"> </w:t>
      </w:r>
      <w:r>
        <w:t>došlo</w:t>
      </w:r>
      <w:r w:rsidRPr="00D17312">
        <w:t xml:space="preserve"> v roce 2018 </w:t>
      </w:r>
      <w:r>
        <w:t>ke</w:t>
      </w:r>
      <w:r w:rsidRPr="00D17312">
        <w:t xml:space="preserve"> zpomalení poklesu z 10</w:t>
      </w:r>
      <w:r>
        <w:t> %</w:t>
      </w:r>
      <w:r w:rsidRPr="00D17312">
        <w:t xml:space="preserve"> v roce 2017 na 5</w:t>
      </w:r>
      <w:r>
        <w:t> %</w:t>
      </w:r>
      <w:r w:rsidRPr="00D17312">
        <w:t xml:space="preserve"> v roce 2018. Trend se zastavil teprve v roce 2019, kdy byl nápad na úrovni roku 2018.</w:t>
      </w:r>
    </w:p>
    <w:p w:rsidR="00A4083A" w:rsidRPr="00D17312" w:rsidRDefault="00A4083A" w:rsidP="00A4083A">
      <w:pPr>
        <w:pStyle w:val="Podnadpis"/>
        <w:rPr>
          <w:color w:val="auto"/>
        </w:rPr>
      </w:pPr>
      <w:bookmarkStart w:id="194" w:name="_Toc43931194"/>
      <w:r w:rsidRPr="00D17312">
        <w:rPr>
          <w:color w:val="auto"/>
        </w:rPr>
        <w:t xml:space="preserve">Tabulka </w:t>
      </w:r>
      <w:r w:rsidRPr="00D17312">
        <w:rPr>
          <w:noProof/>
          <w:color w:val="auto"/>
        </w:rPr>
        <w:fldChar w:fldCharType="begin"/>
      </w:r>
      <w:r w:rsidRPr="00D17312">
        <w:rPr>
          <w:noProof/>
          <w:color w:val="auto"/>
        </w:rPr>
        <w:instrText xml:space="preserve"> SEQ Tabulka \* ARABIC </w:instrText>
      </w:r>
      <w:r w:rsidRPr="00D17312">
        <w:rPr>
          <w:noProof/>
          <w:color w:val="auto"/>
        </w:rPr>
        <w:fldChar w:fldCharType="separate"/>
      </w:r>
      <w:r w:rsidR="006E7F27">
        <w:rPr>
          <w:noProof/>
          <w:color w:val="auto"/>
        </w:rPr>
        <w:t>21</w:t>
      </w:r>
      <w:r w:rsidRPr="00D17312">
        <w:rPr>
          <w:noProof/>
          <w:color w:val="auto"/>
        </w:rPr>
        <w:fldChar w:fldCharType="end"/>
      </w:r>
      <w:r w:rsidRPr="00D17312">
        <w:rPr>
          <w:color w:val="auto"/>
        </w:rPr>
        <w:t>: OS – vyřizování trestních věcí dle krajů</w:t>
      </w:r>
      <w:bookmarkEnd w:id="192"/>
      <w:bookmarkEnd w:id="193"/>
      <w:bookmarkEnd w:id="194"/>
    </w:p>
    <w:tbl>
      <w:tblPr>
        <w:tblW w:w="9140" w:type="dxa"/>
        <w:tblCellMar>
          <w:left w:w="70" w:type="dxa"/>
          <w:right w:w="70" w:type="dxa"/>
        </w:tblCellMar>
        <w:tblLook w:val="04A0" w:firstRow="1" w:lastRow="0" w:firstColumn="1" w:lastColumn="0" w:noHBand="0" w:noVBand="1"/>
      </w:tblPr>
      <w:tblGrid>
        <w:gridCol w:w="2020"/>
        <w:gridCol w:w="1041"/>
        <w:gridCol w:w="829"/>
        <w:gridCol w:w="1041"/>
        <w:gridCol w:w="829"/>
        <w:gridCol w:w="1011"/>
        <w:gridCol w:w="829"/>
        <w:gridCol w:w="1540"/>
      </w:tblGrid>
      <w:tr w:rsidR="00A4083A" w:rsidRPr="00D17312" w:rsidTr="00A41CAB">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Nadřízený soud</w:t>
            </w:r>
          </w:p>
        </w:tc>
        <w:tc>
          <w:tcPr>
            <w:tcW w:w="5580" w:type="dxa"/>
            <w:gridSpan w:val="6"/>
            <w:tcBorders>
              <w:top w:val="double" w:sz="6" w:space="0" w:color="auto"/>
              <w:left w:val="nil"/>
              <w:bottom w:val="nil"/>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Míra vyřizování</w:t>
            </w:r>
          </w:p>
        </w:tc>
      </w:tr>
      <w:tr w:rsidR="00A4083A" w:rsidRPr="00D17312" w:rsidTr="00A41CAB">
        <w:trPr>
          <w:trHeight w:val="330"/>
        </w:trPr>
        <w:tc>
          <w:tcPr>
            <w:tcW w:w="202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870"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Nápad + obživa</w:t>
            </w:r>
          </w:p>
        </w:tc>
        <w:tc>
          <w:tcPr>
            <w:tcW w:w="1870" w:type="dxa"/>
            <w:gridSpan w:val="2"/>
            <w:tcBorders>
              <w:top w:val="nil"/>
              <w:left w:val="single" w:sz="4" w:space="0" w:color="auto"/>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Vyřízeno</w:t>
            </w:r>
          </w:p>
        </w:tc>
        <w:tc>
          <w:tcPr>
            <w:tcW w:w="1840" w:type="dxa"/>
            <w:gridSpan w:val="2"/>
            <w:tcBorders>
              <w:top w:val="nil"/>
              <w:left w:val="nil"/>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r>
      <w:tr w:rsidR="00A4083A" w:rsidRPr="00D17312" w:rsidTr="00A41CAB">
        <w:trPr>
          <w:trHeight w:val="330"/>
        </w:trPr>
        <w:tc>
          <w:tcPr>
            <w:tcW w:w="202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041"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9 652</w:t>
            </w:r>
          </w:p>
        </w:tc>
        <w:tc>
          <w:tcPr>
            <w:tcW w:w="829"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1041" w:type="dxa"/>
            <w:tcBorders>
              <w:top w:val="single" w:sz="4" w:space="0" w:color="auto"/>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9 670</w:t>
            </w:r>
          </w:p>
        </w:tc>
        <w:tc>
          <w:tcPr>
            <w:tcW w:w="829" w:type="dxa"/>
            <w:tcBorders>
              <w:top w:val="single" w:sz="4" w:space="0" w:color="auto"/>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1011"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1 245</w:t>
            </w:r>
          </w:p>
        </w:tc>
        <w:tc>
          <w:tcPr>
            <w:tcW w:w="829" w:type="dxa"/>
            <w:tcBorders>
              <w:top w:val="single" w:sz="4" w:space="0" w:color="auto"/>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100,2</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0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8 399</w:t>
            </w:r>
          </w:p>
        </w:tc>
        <w:tc>
          <w:tcPr>
            <w:tcW w:w="82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1041"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8 422</w:t>
            </w:r>
          </w:p>
        </w:tc>
        <w:tc>
          <w:tcPr>
            <w:tcW w:w="82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101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562</w:t>
            </w:r>
          </w:p>
        </w:tc>
        <w:tc>
          <w:tcPr>
            <w:tcW w:w="82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100,3</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0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4 817</w:t>
            </w:r>
          </w:p>
        </w:tc>
        <w:tc>
          <w:tcPr>
            <w:tcW w:w="82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1041"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4 825</w:t>
            </w:r>
          </w:p>
        </w:tc>
        <w:tc>
          <w:tcPr>
            <w:tcW w:w="82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101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688</w:t>
            </w:r>
          </w:p>
        </w:tc>
        <w:tc>
          <w:tcPr>
            <w:tcW w:w="82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100,2</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0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6 576</w:t>
            </w:r>
          </w:p>
        </w:tc>
        <w:tc>
          <w:tcPr>
            <w:tcW w:w="82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1041"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6 588</w:t>
            </w:r>
          </w:p>
        </w:tc>
        <w:tc>
          <w:tcPr>
            <w:tcW w:w="82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101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1 254</w:t>
            </w:r>
          </w:p>
        </w:tc>
        <w:tc>
          <w:tcPr>
            <w:tcW w:w="82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100,2</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0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12 264</w:t>
            </w:r>
          </w:p>
        </w:tc>
        <w:tc>
          <w:tcPr>
            <w:tcW w:w="82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1041"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12 407</w:t>
            </w:r>
          </w:p>
        </w:tc>
        <w:tc>
          <w:tcPr>
            <w:tcW w:w="82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101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3 493</w:t>
            </w:r>
          </w:p>
        </w:tc>
        <w:tc>
          <w:tcPr>
            <w:tcW w:w="82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101,2</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0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6 785</w:t>
            </w:r>
          </w:p>
        </w:tc>
        <w:tc>
          <w:tcPr>
            <w:tcW w:w="82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1041"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6 826</w:t>
            </w:r>
          </w:p>
        </w:tc>
        <w:tc>
          <w:tcPr>
            <w:tcW w:w="82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101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663</w:t>
            </w:r>
          </w:p>
        </w:tc>
        <w:tc>
          <w:tcPr>
            <w:tcW w:w="82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100,6</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0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11 210</w:t>
            </w:r>
          </w:p>
        </w:tc>
        <w:tc>
          <w:tcPr>
            <w:tcW w:w="82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w:t>
            </w:r>
            <w:r>
              <w:rPr>
                <w:rFonts w:eastAsia="Times New Roman"/>
                <w:sz w:val="20"/>
                <w:szCs w:val="20"/>
                <w:lang w:eastAsia="cs-CZ"/>
              </w:rPr>
              <w:t> %</w:t>
            </w:r>
          </w:p>
        </w:tc>
        <w:tc>
          <w:tcPr>
            <w:tcW w:w="1041"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11 334</w:t>
            </w:r>
          </w:p>
        </w:tc>
        <w:tc>
          <w:tcPr>
            <w:tcW w:w="82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101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1 673</w:t>
            </w:r>
          </w:p>
        </w:tc>
        <w:tc>
          <w:tcPr>
            <w:tcW w:w="82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101,1</w:t>
            </w:r>
            <w:r>
              <w:rPr>
                <w:rFonts w:eastAsia="Times New Roman"/>
                <w:szCs w:val="24"/>
                <w:lang w:eastAsia="cs-CZ"/>
              </w:rPr>
              <w:t> %</w:t>
            </w:r>
          </w:p>
        </w:tc>
      </w:tr>
      <w:tr w:rsidR="00A4083A" w:rsidRPr="00D17312" w:rsidTr="00A41CAB">
        <w:trPr>
          <w:trHeight w:val="330"/>
        </w:trPr>
        <w:tc>
          <w:tcPr>
            <w:tcW w:w="20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04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13 896</w:t>
            </w:r>
          </w:p>
        </w:tc>
        <w:tc>
          <w:tcPr>
            <w:tcW w:w="82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1041"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13 877</w:t>
            </w:r>
          </w:p>
        </w:tc>
        <w:tc>
          <w:tcPr>
            <w:tcW w:w="829"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101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2 687</w:t>
            </w:r>
          </w:p>
        </w:tc>
        <w:tc>
          <w:tcPr>
            <w:tcW w:w="829"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1540" w:type="dxa"/>
            <w:tcBorders>
              <w:top w:val="nil"/>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99,9</w:t>
            </w:r>
            <w:r>
              <w:rPr>
                <w:rFonts w:eastAsia="Times New Roman"/>
                <w:szCs w:val="24"/>
                <w:lang w:eastAsia="cs-CZ"/>
              </w:rPr>
              <w:t> %</w:t>
            </w:r>
          </w:p>
        </w:tc>
      </w:tr>
      <w:tr w:rsidR="00A4083A" w:rsidRPr="00D17312" w:rsidTr="00A41CAB">
        <w:trPr>
          <w:trHeight w:val="345"/>
        </w:trPr>
        <w:tc>
          <w:tcPr>
            <w:tcW w:w="20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04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73 599</w:t>
            </w:r>
          </w:p>
        </w:tc>
        <w:tc>
          <w:tcPr>
            <w:tcW w:w="82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+1</w:t>
            </w:r>
            <w:r>
              <w:rPr>
                <w:rFonts w:eastAsia="Times New Roman"/>
                <w:b/>
                <w:bCs/>
                <w:sz w:val="20"/>
                <w:szCs w:val="20"/>
                <w:lang w:eastAsia="cs-CZ"/>
              </w:rPr>
              <w:t> %</w:t>
            </w:r>
          </w:p>
        </w:tc>
        <w:tc>
          <w:tcPr>
            <w:tcW w:w="1041"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73 949</w:t>
            </w:r>
          </w:p>
        </w:tc>
        <w:tc>
          <w:tcPr>
            <w:tcW w:w="829"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+1</w:t>
            </w:r>
            <w:r>
              <w:rPr>
                <w:rFonts w:eastAsia="Times New Roman"/>
                <w:b/>
                <w:bCs/>
                <w:sz w:val="20"/>
                <w:szCs w:val="20"/>
                <w:lang w:eastAsia="cs-CZ"/>
              </w:rPr>
              <w:t> %</w:t>
            </w:r>
          </w:p>
        </w:tc>
        <w:tc>
          <w:tcPr>
            <w:tcW w:w="101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12 265</w:t>
            </w:r>
          </w:p>
        </w:tc>
        <w:tc>
          <w:tcPr>
            <w:tcW w:w="829"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-3</w:t>
            </w:r>
            <w:r>
              <w:rPr>
                <w:rFonts w:eastAsia="Times New Roman"/>
                <w:b/>
                <w:bCs/>
                <w:sz w:val="20"/>
                <w:szCs w:val="20"/>
                <w:lang w:eastAsia="cs-CZ"/>
              </w:rPr>
              <w:t> %</w:t>
            </w:r>
          </w:p>
        </w:tc>
        <w:tc>
          <w:tcPr>
            <w:tcW w:w="154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100,5</w:t>
            </w:r>
            <w:r>
              <w:rPr>
                <w:rFonts w:eastAsia="Times New Roman"/>
                <w:b/>
                <w:bCs/>
                <w:szCs w:val="24"/>
                <w:lang w:eastAsia="cs-CZ"/>
              </w:rPr>
              <w:t> %</w:t>
            </w:r>
          </w:p>
        </w:tc>
      </w:tr>
    </w:tbl>
    <w:p w:rsidR="00A4083A" w:rsidRPr="00D17312" w:rsidRDefault="00A4083A" w:rsidP="00A4083A">
      <w:pPr>
        <w:spacing w:line="240" w:lineRule="auto"/>
        <w:jc w:val="left"/>
        <w:rPr>
          <w:highlight w:val="yellow"/>
        </w:rPr>
      </w:pPr>
    </w:p>
    <w:p w:rsidR="00A4083A" w:rsidRPr="00D17312" w:rsidRDefault="00A4083A" w:rsidP="00A4083A">
      <w:pPr>
        <w:pStyle w:val="OdstavecASR"/>
      </w:pPr>
      <w:r w:rsidRPr="00D17312">
        <w:t>Míra vyřizování zůstává u trestních věcí v zásadě na stejné úrovni jako v roce 2017 a </w:t>
      </w:r>
      <w:r>
        <w:t>činí</w:t>
      </w:r>
      <w:r w:rsidRPr="00D17312">
        <w:t xml:space="preserve"> přibližně 100</w:t>
      </w:r>
      <w:r>
        <w:t> %</w:t>
      </w:r>
      <w:r w:rsidRPr="00D17312">
        <w:t xml:space="preserve"> ve všech krajích. Soudní kraj Severní Čechy (nadřízený soud KS Ústí nad Labem), tedy kraj, který vykazuje vysoké délky řízení a velké množství nedodělků, má opět nejvyšší míru vyřizování</w:t>
      </w:r>
      <w:r>
        <w:t>,</w:t>
      </w:r>
      <w:r w:rsidRPr="00D17312">
        <w:t xml:space="preserve"> </w:t>
      </w:r>
      <w:r>
        <w:t xml:space="preserve">ačkoliv </w:t>
      </w:r>
      <w:r w:rsidRPr="00D17312">
        <w:t>míra vyřizování klesá a nyní je jen velmi mírně nad 100</w:t>
      </w:r>
      <w:r>
        <w:t> %</w:t>
      </w:r>
      <w:r w:rsidRPr="00D17312">
        <w:t xml:space="preserve"> (v roce 2017 byla na 108,53</w:t>
      </w:r>
      <w:r>
        <w:t> %</w:t>
      </w:r>
      <w:r w:rsidRPr="00D17312">
        <w:t xml:space="preserve">). </w:t>
      </w:r>
      <w:r>
        <w:t>S</w:t>
      </w:r>
      <w:r w:rsidRPr="00D17312">
        <w:t>ituace v tomto kraji se</w:t>
      </w:r>
      <w:r>
        <w:t xml:space="preserve"> tedy i nadále</w:t>
      </w:r>
      <w:r w:rsidRPr="00D17312">
        <w:t xml:space="preserve"> (velmi) pomalu zlepšuje.</w:t>
      </w:r>
    </w:p>
    <w:p w:rsidR="00A4083A" w:rsidRPr="001F7B60" w:rsidRDefault="00A4083A" w:rsidP="00A4083A">
      <w:pPr>
        <w:pStyle w:val="Nadpis3"/>
        <w:rPr>
          <w:color w:val="auto"/>
        </w:rPr>
      </w:pPr>
      <w:bookmarkStart w:id="195" w:name="_Toc515871233"/>
      <w:bookmarkStart w:id="196" w:name="_Toc41546310"/>
      <w:bookmarkStart w:id="197" w:name="_Toc43903036"/>
      <w:r w:rsidRPr="001F7B60">
        <w:rPr>
          <w:color w:val="auto"/>
        </w:rPr>
        <w:t>Vyřizování věcí v přepočtu na soudce</w:t>
      </w:r>
      <w:bookmarkEnd w:id="195"/>
      <w:bookmarkEnd w:id="196"/>
      <w:bookmarkEnd w:id="197"/>
    </w:p>
    <w:p w:rsidR="00A4083A" w:rsidRPr="00D17312" w:rsidRDefault="00A4083A" w:rsidP="00A4083A">
      <w:pPr>
        <w:pStyle w:val="OdstavecASR"/>
      </w:pPr>
      <w:r w:rsidRPr="00D17312">
        <w:t>Trestní úsek je výrazně menší než úsek civilní. Proto může v přepočtu na soudce docházet k určitým výkyvům, a to především na úrovni jednotlivých soudů. U nejmenších soudů působí na trestním úseku pouze dva soudci. Dočasný pokles nebo nárůst v počtu soudců tedy může vést ke značnému nárůstu nebo poklesu nevyřízených věcí v přepočtu na soudce.</w:t>
      </w:r>
    </w:p>
    <w:p w:rsidR="00A4083A" w:rsidRPr="00D17312" w:rsidRDefault="00A4083A" w:rsidP="00A4083A">
      <w:r w:rsidRPr="00D17312">
        <w:t xml:space="preserve">Stejně jako u civilní agendy </w:t>
      </w:r>
      <w:r>
        <w:t xml:space="preserve">byla </w:t>
      </w:r>
      <w:r w:rsidRPr="00D17312">
        <w:t xml:space="preserve">tato podkapitola </w:t>
      </w:r>
      <w:r>
        <w:t>upravena, neboť</w:t>
      </w:r>
      <w:r w:rsidRPr="00D17312">
        <w:t xml:space="preserve"> Ministerstvo spravedlnosti má k dispozici přesnější data o počtu soudců. Detailnější informace lze najít v podkapitole 2.2.3.</w:t>
      </w:r>
    </w:p>
    <w:p w:rsidR="00A4083A" w:rsidRPr="00D17312" w:rsidRDefault="00A4083A" w:rsidP="00A4083A">
      <w:pPr>
        <w:pStyle w:val="OdstavecASR"/>
      </w:pPr>
      <w:r w:rsidRPr="00D17312">
        <w:t>Pokud bychom údaje porovnali s loňskými dat</w:t>
      </w:r>
      <w:r>
        <w:t>y</w:t>
      </w:r>
      <w:r w:rsidRPr="00D17312">
        <w:t xml:space="preserve">, počty věcí na </w:t>
      </w:r>
      <w:r>
        <w:t xml:space="preserve">počet soudcovských úvazků </w:t>
      </w:r>
      <w:r w:rsidRPr="00D17312">
        <w:t xml:space="preserve">jsou výrazně vyšší než počty věcí </w:t>
      </w:r>
      <w:r>
        <w:t xml:space="preserve">na evidenční počet soudců </w:t>
      </w:r>
      <w:r w:rsidRPr="00D17312">
        <w:t xml:space="preserve">v předchozím roce. To </w:t>
      </w:r>
      <w:r>
        <w:t>vyplývá</w:t>
      </w:r>
      <w:r w:rsidRPr="00D17312">
        <w:t xml:space="preserve"> z výše uvedených důvodů. </w:t>
      </w:r>
      <w:r>
        <w:t>Z aktuálních dat vychází přibližně</w:t>
      </w:r>
      <w:r w:rsidRPr="00D17312">
        <w:t xml:space="preserve"> 417 </w:t>
      </w:r>
      <w:r>
        <w:t xml:space="preserve">soudcovských </w:t>
      </w:r>
      <w:r w:rsidRPr="00D17312">
        <w:t xml:space="preserve">úvazků. </w:t>
      </w:r>
      <w:r>
        <w:t>Srovnáme-li t</w:t>
      </w:r>
      <w:r w:rsidRPr="00D17312">
        <w:t>ento údaj s evidenčním počtem soud</w:t>
      </w:r>
      <w:r>
        <w:t>c</w:t>
      </w:r>
      <w:r w:rsidRPr="00D17312">
        <w:t xml:space="preserve">ů z kapitoly 2.1 (462), </w:t>
      </w:r>
      <w:r>
        <w:t>zjistíme, že odpovídá přibližně</w:t>
      </w:r>
      <w:r w:rsidRPr="00D17312">
        <w:t xml:space="preserve"> 90</w:t>
      </w:r>
      <w:r>
        <w:t> %</w:t>
      </w:r>
      <w:r w:rsidRPr="00D17312">
        <w:t xml:space="preserve"> evidenčního počtu soudců. Po zaokrouhlení tedy lze říct, že asi 10</w:t>
      </w:r>
      <w:r>
        <w:t> %</w:t>
      </w:r>
      <w:r w:rsidRPr="00D17312">
        <w:t xml:space="preserve"> soudců (respektive úvazků, neboť soudci mohou soudit jen část roku) z evidenčního počtu ve skutečnosti během roku nesoudí z různých důvodů (předseda,</w:t>
      </w:r>
      <w:r>
        <w:t xml:space="preserve"> </w:t>
      </w:r>
      <w:r w:rsidRPr="00D17312">
        <w:t xml:space="preserve">místopředsedové, dlouhodobé nemoci, mateřské/rodičovské dovolené apod.). </w:t>
      </w:r>
      <w:r>
        <w:t xml:space="preserve">Číslo je tedy stejné </w:t>
      </w:r>
      <w:r w:rsidRPr="00D17312">
        <w:t>jako u civilního soudnictví.</w:t>
      </w:r>
    </w:p>
    <w:p w:rsidR="00A4083A" w:rsidRPr="00D17312" w:rsidRDefault="00A4083A" w:rsidP="00A4083A">
      <w:pPr>
        <w:pStyle w:val="OdstavecASR"/>
      </w:pPr>
    </w:p>
    <w:p w:rsidR="00A4083A" w:rsidRPr="00D17312" w:rsidRDefault="00A4083A" w:rsidP="00A4083A">
      <w:pPr>
        <w:pStyle w:val="Podnadpis"/>
        <w:rPr>
          <w:color w:val="auto"/>
        </w:rPr>
      </w:pPr>
      <w:bookmarkStart w:id="198" w:name="_Toc515871454"/>
      <w:bookmarkStart w:id="199" w:name="_Toc11133222"/>
      <w:bookmarkStart w:id="200" w:name="_Toc43931195"/>
      <w:r w:rsidRPr="00D17312">
        <w:rPr>
          <w:color w:val="auto"/>
        </w:rPr>
        <w:lastRenderedPageBreak/>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22</w:t>
      </w:r>
      <w:r w:rsidRPr="00D17312">
        <w:rPr>
          <w:noProof/>
          <w:color w:val="auto"/>
        </w:rPr>
        <w:fldChar w:fldCharType="end"/>
      </w:r>
      <w:r w:rsidRPr="00D17312">
        <w:rPr>
          <w:color w:val="auto"/>
        </w:rPr>
        <w:t>: OS – vyřizování trestních věcí na soudce dle krajů</w:t>
      </w:r>
      <w:bookmarkEnd w:id="198"/>
      <w:bookmarkEnd w:id="199"/>
      <w:bookmarkEnd w:id="200"/>
    </w:p>
    <w:tbl>
      <w:tblPr>
        <w:tblW w:w="8780" w:type="dxa"/>
        <w:tblCellMar>
          <w:left w:w="70" w:type="dxa"/>
          <w:right w:w="70" w:type="dxa"/>
        </w:tblCellMar>
        <w:tblLook w:val="04A0" w:firstRow="1" w:lastRow="0" w:firstColumn="1" w:lastColumn="0" w:noHBand="0" w:noVBand="1"/>
      </w:tblPr>
      <w:tblGrid>
        <w:gridCol w:w="2480"/>
        <w:gridCol w:w="1660"/>
        <w:gridCol w:w="2036"/>
        <w:gridCol w:w="1141"/>
        <w:gridCol w:w="1463"/>
      </w:tblGrid>
      <w:tr w:rsidR="00A4083A" w:rsidRPr="00D17312" w:rsidTr="00A41C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Nadřízený soud</w:t>
            </w:r>
          </w:p>
        </w:tc>
        <w:tc>
          <w:tcPr>
            <w:tcW w:w="166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soudců</w:t>
            </w:r>
          </w:p>
        </w:tc>
        <w:tc>
          <w:tcPr>
            <w:tcW w:w="4640" w:type="dxa"/>
            <w:gridSpan w:val="3"/>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věcí na soudce</w:t>
            </w:r>
          </w:p>
        </w:tc>
      </w:tr>
      <w:tr w:rsidR="00A4083A" w:rsidRPr="00D17312" w:rsidTr="00A41CAB">
        <w:trPr>
          <w:trHeight w:val="330"/>
        </w:trPr>
        <w:tc>
          <w:tcPr>
            <w:tcW w:w="24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66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2036"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Nápad + obživa</w:t>
            </w:r>
          </w:p>
        </w:tc>
        <w:tc>
          <w:tcPr>
            <w:tcW w:w="1141"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Vyřízeno</w:t>
            </w:r>
          </w:p>
        </w:tc>
        <w:tc>
          <w:tcPr>
            <w:tcW w:w="1463"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Nevyřízeno</w:t>
            </w:r>
          </w:p>
        </w:tc>
      </w:tr>
      <w:tr w:rsidR="00A4083A" w:rsidRPr="00D17312"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66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63,7</w:t>
            </w:r>
          </w:p>
        </w:tc>
        <w:tc>
          <w:tcPr>
            <w:tcW w:w="2036"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151,52</w:t>
            </w:r>
          </w:p>
        </w:tc>
        <w:tc>
          <w:tcPr>
            <w:tcW w:w="1141"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151,81</w:t>
            </w:r>
          </w:p>
        </w:tc>
        <w:tc>
          <w:tcPr>
            <w:tcW w:w="1463"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19,54</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40,75</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206,11</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206,67</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13,79</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30</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160,57</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160,83</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22,93</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41,8</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157,32</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157,61</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30,00</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67,4</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181,96</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184,08</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51,82</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36,05</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188,21</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189,35</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18,39</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59,15</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189,52</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191,61</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28,28</w:t>
            </w:r>
          </w:p>
        </w:tc>
      </w:tr>
      <w:tr w:rsidR="00A4083A" w:rsidRPr="00D17312"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6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78,2</w:t>
            </w:r>
          </w:p>
        </w:tc>
        <w:tc>
          <w:tcPr>
            <w:tcW w:w="203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177,70</w:t>
            </w:r>
          </w:p>
        </w:tc>
        <w:tc>
          <w:tcPr>
            <w:tcW w:w="114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177,46</w:t>
            </w:r>
          </w:p>
        </w:tc>
        <w:tc>
          <w:tcPr>
            <w:tcW w:w="146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34,36</w:t>
            </w:r>
          </w:p>
        </w:tc>
      </w:tr>
      <w:tr w:rsidR="00A4083A" w:rsidRPr="00D17312"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6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417,05</w:t>
            </w:r>
          </w:p>
        </w:tc>
        <w:tc>
          <w:tcPr>
            <w:tcW w:w="203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176,48</w:t>
            </w:r>
          </w:p>
        </w:tc>
        <w:tc>
          <w:tcPr>
            <w:tcW w:w="114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177,31</w:t>
            </w:r>
          </w:p>
        </w:tc>
        <w:tc>
          <w:tcPr>
            <w:tcW w:w="146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29,41</w:t>
            </w:r>
          </w:p>
        </w:tc>
      </w:tr>
    </w:tbl>
    <w:p w:rsidR="00A4083A" w:rsidRPr="00D17312" w:rsidRDefault="00A4083A" w:rsidP="00A4083A">
      <w:pPr>
        <w:rPr>
          <w:highlight w:val="yellow"/>
        </w:rPr>
      </w:pPr>
    </w:p>
    <w:p w:rsidR="00A4083A" w:rsidRPr="00D17312" w:rsidRDefault="00A4083A" w:rsidP="00A4083A">
      <w:pPr>
        <w:pStyle w:val="OdstavecASR"/>
      </w:pPr>
      <w:r w:rsidRPr="00D17312">
        <w:t xml:space="preserve">V tabulce vidíme, že výsledky (počty nevyřízených věcí na soudce) opět přibližně odpovídají délkám řízení – nejhorší situace je stále u OS, které spadají pod KS Ústí nad Labem. </w:t>
      </w:r>
      <w:r>
        <w:t>P</w:t>
      </w:r>
      <w:r w:rsidRPr="00D17312">
        <w:t>očet věcí na soudce mají nejvyšší soudy ve Středočeském kraji. Tyto soudy mají vysoký i počet příchozích věcí na soudce v civilní agendě.</w:t>
      </w:r>
    </w:p>
    <w:p w:rsidR="00A4083A" w:rsidRPr="00D17312" w:rsidRDefault="00A4083A" w:rsidP="00A4083A">
      <w:pPr>
        <w:pStyle w:val="Podnadpis"/>
        <w:rPr>
          <w:color w:val="auto"/>
        </w:rPr>
      </w:pPr>
      <w:bookmarkStart w:id="201" w:name="_Toc515871354"/>
      <w:bookmarkStart w:id="202" w:name="_Toc11135089"/>
      <w:bookmarkStart w:id="203" w:name="_Toc43841405"/>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25</w:t>
      </w:r>
      <w:r w:rsidRPr="00D17312">
        <w:rPr>
          <w:noProof/>
          <w:color w:val="auto"/>
        </w:rPr>
        <w:fldChar w:fldCharType="end"/>
      </w:r>
      <w:r w:rsidRPr="00D17312">
        <w:rPr>
          <w:color w:val="auto"/>
        </w:rPr>
        <w:t>: OS – počet nevyříz. trestních věcí na soudce u jednotlivých soudů</w:t>
      </w:r>
      <w:bookmarkEnd w:id="201"/>
      <w:bookmarkEnd w:id="202"/>
      <w:bookmarkEnd w:id="203"/>
    </w:p>
    <w:p w:rsidR="00A4083A" w:rsidRPr="00D17312" w:rsidRDefault="00A4083A" w:rsidP="00A4083A">
      <w:pPr>
        <w:pStyle w:val="OdstavecASR"/>
      </w:pPr>
      <w:r w:rsidRPr="00D17312">
        <w:rPr>
          <w:noProof/>
          <w:lang w:eastAsia="cs-CZ"/>
        </w:rPr>
        <w:drawing>
          <wp:inline distT="0" distB="0" distL="0" distR="0" wp14:anchorId="2DCD71C2" wp14:editId="3D91EE3A">
            <wp:extent cx="5759450" cy="3328623"/>
            <wp:effectExtent l="0" t="0" r="0" b="5715"/>
            <wp:docPr id="98" name="Obráze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59450" cy="3328623"/>
                    </a:xfrm>
                    <a:prstGeom prst="rect">
                      <a:avLst/>
                    </a:prstGeom>
                    <a:noFill/>
                    <a:ln>
                      <a:noFill/>
                    </a:ln>
                  </pic:spPr>
                </pic:pic>
              </a:graphicData>
            </a:graphic>
          </wp:inline>
        </w:drawing>
      </w:r>
      <w:r w:rsidRPr="00D17312">
        <w:rPr>
          <w:noProof/>
          <w:lang w:eastAsia="cs-CZ"/>
        </w:rPr>
        <w:drawing>
          <wp:anchor distT="0" distB="0" distL="114300" distR="114300" simplePos="0" relativeHeight="251669504" behindDoc="0" locked="0" layoutInCell="1" allowOverlap="1" wp14:anchorId="226CFD3D" wp14:editId="4A3BE2A7">
            <wp:simplePos x="0" y="0"/>
            <wp:positionH relativeFrom="margin">
              <wp:posOffset>4512310</wp:posOffset>
            </wp:positionH>
            <wp:positionV relativeFrom="paragraph">
              <wp:posOffset>104140</wp:posOffset>
            </wp:positionV>
            <wp:extent cx="1209600" cy="885600"/>
            <wp:effectExtent l="0" t="0" r="0" b="0"/>
            <wp:wrapNone/>
            <wp:docPr id="108" name="Obráze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09600" cy="88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F7B60">
        <w:t xml:space="preserve"> </w:t>
      </w:r>
      <w:r w:rsidRPr="00D17312">
        <w:t xml:space="preserve">V kartogramu opět </w:t>
      </w:r>
      <w:r>
        <w:t>vynikají</w:t>
      </w:r>
      <w:r w:rsidRPr="00D17312">
        <w:t xml:space="preserve"> především soudy v Severočeském kraji s nejvyššími počty nevyřízených věcí na soudce. Existují také výjimky v jiných krajích – například OS Bruntál v Severomoravském kraji nebo OS Uherské Hradiště v Jihomoravském kraji si v roce 2018 výrazně pohoršily. </w:t>
      </w:r>
      <w:r>
        <w:t xml:space="preserve">Z dat </w:t>
      </w:r>
      <w:r w:rsidRPr="00D17312">
        <w:t>však není možné vyčíst příčiny všech změn ve výkonnosti soudů. Například výše zmíněný OS Bruntál měl po dlouhou dobu dva soudce v dočasné pracovní neschopnosti</w:t>
      </w:r>
      <w:r>
        <w:t>, ale jak naznačují údaje za rok</w:t>
      </w:r>
      <w:r w:rsidRPr="00D17312">
        <w:t xml:space="preserve"> 2019</w:t>
      </w:r>
      <w:r>
        <w:t>, situace se u něj v poslední době zlepšila</w:t>
      </w:r>
      <w:r w:rsidRPr="00D17312">
        <w:t>.</w:t>
      </w:r>
    </w:p>
    <w:p w:rsidR="00A4083A" w:rsidRPr="00D17312" w:rsidRDefault="00A4083A" w:rsidP="00A4083A">
      <w:pPr>
        <w:pStyle w:val="OdstavecASR"/>
      </w:pPr>
      <w:r w:rsidRPr="00D17312">
        <w:lastRenderedPageBreak/>
        <w:t xml:space="preserve">Soudy s nejmenším počtem nevyřízených věcí v přepočtu na soudce jsou OS Benešov (6 věcí), OS Beroun (také 6) </w:t>
      </w:r>
      <w:r>
        <w:t xml:space="preserve">a </w:t>
      </w:r>
      <w:r w:rsidRPr="00D17312">
        <w:t xml:space="preserve">OS Svitavy (10). Naopak soudy s největším počtem nevyřízených věcí na soudce jsou OS Liberec (64), OS Uherské Hradiště (71) a na posledním místě OS Děčín s velmi vysokým počtem 114 nevyřízených věcí na soudce. </w:t>
      </w:r>
      <w:r>
        <w:t xml:space="preserve">V posledním případě </w:t>
      </w:r>
      <w:r w:rsidRPr="00D17312">
        <w:t xml:space="preserve">určitě hrála roli změna metodiky, </w:t>
      </w:r>
      <w:r>
        <w:t xml:space="preserve">neboť </w:t>
      </w:r>
      <w:r w:rsidRPr="00D17312">
        <w:t>při užití nové metodiky vyřizuj</w:t>
      </w:r>
      <w:r>
        <w:t>e</w:t>
      </w:r>
      <w:r w:rsidRPr="00D17312">
        <w:t xml:space="preserve"> trestní agendu 7,2 úvazku soudce</w:t>
      </w:r>
      <w:r>
        <w:t xml:space="preserve">; </w:t>
      </w:r>
      <w:r w:rsidRPr="00D17312">
        <w:t>dle staré metodiky to bylo 9.</w:t>
      </w:r>
    </w:p>
    <w:p w:rsidR="00A4083A" w:rsidRPr="00D17312" w:rsidRDefault="00A4083A" w:rsidP="00A4083A">
      <w:pPr>
        <w:pStyle w:val="Podnadpis"/>
        <w:keepNext w:val="0"/>
        <w:rPr>
          <w:color w:val="auto"/>
          <w:highlight w:val="yellow"/>
        </w:rPr>
      </w:pPr>
    </w:p>
    <w:p w:rsidR="00A4083A" w:rsidRPr="00D17312" w:rsidRDefault="00A4083A" w:rsidP="00A4083A">
      <w:pPr>
        <w:pStyle w:val="Nadpis3"/>
        <w:rPr>
          <w:color w:val="auto"/>
        </w:rPr>
      </w:pPr>
      <w:bookmarkStart w:id="204" w:name="_Toc515871234"/>
      <w:bookmarkStart w:id="205" w:name="_Toc43903037"/>
      <w:r w:rsidRPr="00D17312">
        <w:rPr>
          <w:color w:val="auto"/>
        </w:rPr>
        <w:t>Disposition time</w:t>
      </w:r>
      <w:bookmarkEnd w:id="204"/>
      <w:bookmarkEnd w:id="205"/>
    </w:p>
    <w:p w:rsidR="00A4083A" w:rsidRPr="00D17312" w:rsidRDefault="00A4083A" w:rsidP="00A4083A">
      <w:pPr>
        <w:pStyle w:val="OdstavecASR"/>
        <w:spacing w:before="0" w:after="0"/>
      </w:pPr>
      <w:r w:rsidRPr="00D17312">
        <w:t>Základní popis způsobu výpočtu a účelu tohoto ukazatele se nachází v části věnované civilnímu řízení u OS (podkapitola </w:t>
      </w:r>
      <w:r w:rsidRPr="00D17312">
        <w:fldChar w:fldCharType="begin"/>
      </w:r>
      <w:r w:rsidRPr="00D17312">
        <w:instrText xml:space="preserve"> REF _Ref510592105 \r \h  \* MERGEFORMAT </w:instrText>
      </w:r>
      <w:r w:rsidRPr="00D17312">
        <w:fldChar w:fldCharType="separate"/>
      </w:r>
      <w:r w:rsidR="006E7F27">
        <w:t>2.2.4</w:t>
      </w:r>
      <w:r w:rsidRPr="00D17312">
        <w:fldChar w:fldCharType="end"/>
      </w:r>
      <w:r w:rsidRPr="00D17312">
        <w:t>). Výsledky DT velmi silně korespondují s výsledky z předchozích podkapitol.</w:t>
      </w:r>
    </w:p>
    <w:p w:rsidR="00A4083A" w:rsidRPr="00D17312" w:rsidRDefault="00A4083A" w:rsidP="00A4083A">
      <w:pPr>
        <w:pStyle w:val="Podnadpis"/>
        <w:rPr>
          <w:color w:val="auto"/>
        </w:rPr>
      </w:pPr>
      <w:bookmarkStart w:id="206" w:name="_Toc515871358"/>
      <w:bookmarkStart w:id="207" w:name="_Toc11135092"/>
      <w:bookmarkStart w:id="208" w:name="_Toc43841406"/>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26</w:t>
      </w:r>
      <w:r w:rsidRPr="00D17312">
        <w:rPr>
          <w:noProof/>
          <w:color w:val="auto"/>
        </w:rPr>
        <w:fldChar w:fldCharType="end"/>
      </w:r>
      <w:r w:rsidRPr="00D17312">
        <w:rPr>
          <w:color w:val="auto"/>
        </w:rPr>
        <w:t>: OS – disposition time trestního řízení v letech 2008–201</w:t>
      </w:r>
      <w:bookmarkEnd w:id="206"/>
      <w:bookmarkEnd w:id="207"/>
      <w:r w:rsidRPr="00D17312">
        <w:rPr>
          <w:color w:val="auto"/>
        </w:rPr>
        <w:t>9</w:t>
      </w:r>
      <w:bookmarkEnd w:id="208"/>
    </w:p>
    <w:p w:rsidR="00A4083A" w:rsidRPr="00D17312" w:rsidRDefault="00A4083A" w:rsidP="00A4083A">
      <w:pPr>
        <w:rPr>
          <w:highlight w:val="yellow"/>
        </w:rPr>
      </w:pPr>
      <w:r w:rsidRPr="00D17312">
        <w:rPr>
          <w:noProof/>
          <w:lang w:eastAsia="cs-CZ"/>
        </w:rPr>
        <w:drawing>
          <wp:inline distT="0" distB="0" distL="0" distR="0" wp14:anchorId="7673042B" wp14:editId="3573EE37">
            <wp:extent cx="5114925" cy="3743325"/>
            <wp:effectExtent l="0" t="0" r="0" b="9525"/>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pPr>
      <w:bookmarkStart w:id="209" w:name="_Toc515871455"/>
      <w:bookmarkStart w:id="210" w:name="_Toc11133223"/>
      <w:r w:rsidRPr="00D17312">
        <w:t xml:space="preserve">Zajímavý je určitý pokles DT v roce 2013. Ten </w:t>
      </w:r>
      <w:r>
        <w:t>byl</w:t>
      </w:r>
      <w:r w:rsidRPr="00D17312">
        <w:t xml:space="preserve"> způsoben nárůstem v počtu napadlých (a tedy i vyřízených věcí) v tomto roce. Od roku 2013 je DT velmi stabilní. </w:t>
      </w:r>
      <w:r>
        <w:t>P</w:t>
      </w:r>
      <w:r w:rsidRPr="00D17312">
        <w:t xml:space="preserve">okles počtu vyřízených i nevyřízených věcí za celou ČR </w:t>
      </w:r>
      <w:r>
        <w:t>pokračoval</w:t>
      </w:r>
      <w:r w:rsidRPr="00D17312">
        <w:t xml:space="preserve"> přibližně stejným tempem. V roce 2019 počet příchozích věcí v zásadě stagnoval a počet nevyřízených věcí nepatrně poklesl, což vedlo k obdobnému poklesu v DT. Ten tak stále zůstává téměř neměnný. Dlouhodobý pokles v počtu nevyřízených věcí lze rozhodně považovat za pozitivní jev. Pokles v počtu vyřízených věcí sám o sobě pozitivním jevem není, ale vyplývá z poklesu v nápadu, který příznivý je.</w:t>
      </w:r>
    </w:p>
    <w:p w:rsidR="00A4083A" w:rsidRPr="00D17312" w:rsidRDefault="00A4083A" w:rsidP="00A4083A">
      <w:pPr>
        <w:spacing w:line="240" w:lineRule="auto"/>
        <w:jc w:val="left"/>
      </w:pPr>
      <w:r w:rsidRPr="00D17312">
        <w:br w:type="page"/>
      </w:r>
    </w:p>
    <w:p w:rsidR="00A4083A" w:rsidRPr="00D17312" w:rsidRDefault="00A4083A" w:rsidP="00A4083A">
      <w:pPr>
        <w:pStyle w:val="Podnadpis"/>
        <w:rPr>
          <w:color w:val="auto"/>
        </w:rPr>
      </w:pPr>
      <w:bookmarkStart w:id="211" w:name="_Toc43931196"/>
      <w:r w:rsidRPr="00D17312">
        <w:rPr>
          <w:color w:val="auto"/>
        </w:rPr>
        <w:lastRenderedPageBreak/>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23</w:t>
      </w:r>
      <w:r w:rsidRPr="00D17312">
        <w:rPr>
          <w:noProof/>
          <w:color w:val="auto"/>
        </w:rPr>
        <w:fldChar w:fldCharType="end"/>
      </w:r>
      <w:r w:rsidRPr="00D17312">
        <w:rPr>
          <w:color w:val="auto"/>
        </w:rPr>
        <w:t>: OS – disposition time trestního řízení dle krajů</w:t>
      </w:r>
      <w:bookmarkEnd w:id="209"/>
      <w:bookmarkEnd w:id="210"/>
      <w:bookmarkEnd w:id="211"/>
    </w:p>
    <w:tbl>
      <w:tblPr>
        <w:tblW w:w="5960" w:type="dxa"/>
        <w:tblCellMar>
          <w:left w:w="70" w:type="dxa"/>
          <w:right w:w="70" w:type="dxa"/>
        </w:tblCellMar>
        <w:tblLook w:val="04A0" w:firstRow="1" w:lastRow="0" w:firstColumn="1" w:lastColumn="0" w:noHBand="0" w:noVBand="1"/>
      </w:tblPr>
      <w:tblGrid>
        <w:gridCol w:w="2780"/>
        <w:gridCol w:w="1393"/>
        <w:gridCol w:w="1787"/>
      </w:tblGrid>
      <w:tr w:rsidR="00A4083A" w:rsidRPr="00D17312" w:rsidTr="00A41CAB">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Nadřízený 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Disposition time</w:t>
            </w:r>
          </w:p>
        </w:tc>
      </w:tr>
      <w:tr w:rsidR="00A4083A" w:rsidRPr="00D17312" w:rsidTr="00A41CAB">
        <w:trPr>
          <w:trHeight w:val="330"/>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39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47</w:t>
            </w:r>
          </w:p>
        </w:tc>
        <w:tc>
          <w:tcPr>
            <w:tcW w:w="178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39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w:t>
            </w:r>
          </w:p>
        </w:tc>
        <w:tc>
          <w:tcPr>
            <w:tcW w:w="178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39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52</w:t>
            </w:r>
          </w:p>
        </w:tc>
        <w:tc>
          <w:tcPr>
            <w:tcW w:w="178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39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69</w:t>
            </w:r>
          </w:p>
        </w:tc>
        <w:tc>
          <w:tcPr>
            <w:tcW w:w="178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39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103</w:t>
            </w:r>
          </w:p>
        </w:tc>
        <w:tc>
          <w:tcPr>
            <w:tcW w:w="178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39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35</w:t>
            </w:r>
          </w:p>
        </w:tc>
        <w:tc>
          <w:tcPr>
            <w:tcW w:w="178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39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54</w:t>
            </w:r>
          </w:p>
        </w:tc>
        <w:tc>
          <w:tcPr>
            <w:tcW w:w="178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r>
      <w:tr w:rsidR="00A4083A" w:rsidRPr="00D17312" w:rsidTr="00A41CAB">
        <w:trPr>
          <w:trHeight w:val="330"/>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39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71</w:t>
            </w:r>
          </w:p>
        </w:tc>
        <w:tc>
          <w:tcPr>
            <w:tcW w:w="1787"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w:t>
            </w:r>
            <w:r>
              <w:rPr>
                <w:rFonts w:eastAsia="Times New Roman"/>
                <w:sz w:val="20"/>
                <w:szCs w:val="20"/>
                <w:lang w:eastAsia="cs-CZ"/>
              </w:rPr>
              <w:t> %</w:t>
            </w:r>
          </w:p>
        </w:tc>
      </w:tr>
      <w:tr w:rsidR="00A4083A" w:rsidRPr="00D17312" w:rsidTr="00A41CAB">
        <w:trPr>
          <w:trHeight w:val="345"/>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39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61</w:t>
            </w:r>
          </w:p>
        </w:tc>
        <w:tc>
          <w:tcPr>
            <w:tcW w:w="1787"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-3</w:t>
            </w:r>
            <w:r>
              <w:rPr>
                <w:rFonts w:eastAsia="Times New Roman"/>
                <w:b/>
                <w:bCs/>
                <w:sz w:val="20"/>
                <w:szCs w:val="20"/>
                <w:lang w:eastAsia="cs-CZ"/>
              </w:rPr>
              <w:t> %</w:t>
            </w:r>
          </w:p>
        </w:tc>
      </w:tr>
    </w:tbl>
    <w:p w:rsidR="00A4083A" w:rsidRPr="00D17312" w:rsidRDefault="00A4083A" w:rsidP="00A4083A">
      <w:pPr>
        <w:rPr>
          <w:highlight w:val="yellow"/>
        </w:rPr>
      </w:pPr>
    </w:p>
    <w:p w:rsidR="00A4083A" w:rsidRDefault="00A4083A" w:rsidP="00A4083A">
      <w:pPr>
        <w:pStyle w:val="OdstavecASR"/>
      </w:pPr>
      <w:r w:rsidRPr="00D17312">
        <w:t>Celorepublikový DT zůstává takřka neměnný, v jednotlivých krajích ale k velmi malým změnám došlo. V roce 2019 ve všech krajích zůstal DT neměnný (Severomoravský kraj) nebo mírně klesl.</w:t>
      </w:r>
    </w:p>
    <w:p w:rsidR="00A4083A" w:rsidRPr="00D17312" w:rsidRDefault="00A4083A" w:rsidP="00A4083A">
      <w:pPr>
        <w:pStyle w:val="Podnadpis"/>
        <w:rPr>
          <w:color w:val="auto"/>
        </w:rPr>
      </w:pPr>
      <w:bookmarkStart w:id="212" w:name="_Toc515871359"/>
      <w:bookmarkStart w:id="213" w:name="_Toc11135093"/>
      <w:bookmarkStart w:id="214" w:name="_Toc43841407"/>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27</w:t>
      </w:r>
      <w:r w:rsidRPr="00D17312">
        <w:rPr>
          <w:noProof/>
          <w:color w:val="auto"/>
        </w:rPr>
        <w:fldChar w:fldCharType="end"/>
      </w:r>
      <w:r w:rsidRPr="00D17312">
        <w:rPr>
          <w:color w:val="auto"/>
        </w:rPr>
        <w:t>: OS – disposition time trestního řízení u jednotlivých soudů</w:t>
      </w:r>
      <w:bookmarkEnd w:id="212"/>
      <w:bookmarkEnd w:id="213"/>
      <w:bookmarkEnd w:id="214"/>
    </w:p>
    <w:p w:rsidR="00A4083A" w:rsidRPr="00D17312" w:rsidRDefault="00A4083A" w:rsidP="00A4083A">
      <w:pPr>
        <w:rPr>
          <w:highlight w:val="yellow"/>
        </w:rPr>
      </w:pPr>
      <w:r w:rsidRPr="00D17312">
        <w:rPr>
          <w:noProof/>
          <w:lang w:eastAsia="cs-CZ"/>
        </w:rPr>
        <w:drawing>
          <wp:inline distT="0" distB="0" distL="0" distR="0" wp14:anchorId="3B8692EA" wp14:editId="34BEFA2B">
            <wp:extent cx="5763600" cy="3330000"/>
            <wp:effectExtent l="0" t="0" r="8890" b="3810"/>
            <wp:docPr id="99" name="Obráze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63600" cy="3330000"/>
                    </a:xfrm>
                    <a:prstGeom prst="rect">
                      <a:avLst/>
                    </a:prstGeom>
                    <a:noFill/>
                    <a:ln>
                      <a:noFill/>
                    </a:ln>
                  </pic:spPr>
                </pic:pic>
              </a:graphicData>
            </a:graphic>
          </wp:inline>
        </w:drawing>
      </w:r>
      <w:r w:rsidRPr="00D17312">
        <w:rPr>
          <w:noProof/>
          <w:lang w:eastAsia="cs-CZ"/>
        </w:rPr>
        <w:drawing>
          <wp:anchor distT="0" distB="0" distL="114300" distR="114300" simplePos="0" relativeHeight="251670528" behindDoc="0" locked="0" layoutInCell="1" allowOverlap="1" wp14:anchorId="1D901153" wp14:editId="3AF55E7E">
            <wp:simplePos x="0" y="0"/>
            <wp:positionH relativeFrom="margin">
              <wp:posOffset>4483735</wp:posOffset>
            </wp:positionH>
            <wp:positionV relativeFrom="paragraph">
              <wp:posOffset>64135</wp:posOffset>
            </wp:positionV>
            <wp:extent cx="1209600" cy="885600"/>
            <wp:effectExtent l="0" t="0" r="0" b="0"/>
            <wp:wrapNone/>
            <wp:docPr id="111" name="Obráze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09600" cy="8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083A" w:rsidRDefault="00A4083A" w:rsidP="00A4083A">
      <w:pPr>
        <w:pStyle w:val="OdstavecASR"/>
      </w:pPr>
      <w:bookmarkStart w:id="215" w:name="_Toc515871360"/>
      <w:bookmarkStart w:id="216" w:name="_Toc11135094"/>
      <w:r w:rsidRPr="00D17312">
        <w:t xml:space="preserve">Data v kartogramu potvrzují závěry z předchozích podkapitol věnovaných délkám řízení a vyřizování věcí. Na krabicových grafech opět registrujeme snížení variability až na jednu výjimku – OS Děčín. Přestože nárůst u přepočtu na soudce lze vysvětlit změnou metodiky, </w:t>
      </w:r>
      <w:r>
        <w:t>u DT</w:t>
      </w:r>
      <w:r w:rsidRPr="00D17312">
        <w:t xml:space="preserve"> toto vysvětlení </w:t>
      </w:r>
      <w:r>
        <w:t>neplatí</w:t>
      </w:r>
      <w:r w:rsidRPr="00D17312">
        <w:t xml:space="preserve">. To spolu se značnými délkami řízení </w:t>
      </w:r>
      <w:r>
        <w:t>naznačuje</w:t>
      </w:r>
      <w:r w:rsidRPr="00D17312">
        <w:t xml:space="preserve">, že OS Děčín </w:t>
      </w:r>
      <w:r>
        <w:t xml:space="preserve">může mít </w:t>
      </w:r>
      <w:r w:rsidRPr="00D17312">
        <w:t>s vyřizováním trestní agendy</w:t>
      </w:r>
      <w:r>
        <w:t xml:space="preserve"> dlouhodobější problém, jehož náznaky byly patrné již ze s</w:t>
      </w:r>
      <w:r w:rsidRPr="00D17312">
        <w:t>tatistik v předchozích letech.</w:t>
      </w:r>
    </w:p>
    <w:p w:rsidR="00A4083A" w:rsidRPr="00D17312" w:rsidRDefault="00A4083A" w:rsidP="00A4083A">
      <w:pPr>
        <w:pStyle w:val="Podnadpis"/>
        <w:rPr>
          <w:color w:val="auto"/>
        </w:rPr>
      </w:pPr>
      <w:bookmarkStart w:id="217" w:name="_Toc43841408"/>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28</w:t>
      </w:r>
      <w:r w:rsidRPr="00D17312">
        <w:rPr>
          <w:noProof/>
          <w:color w:val="auto"/>
        </w:rPr>
        <w:fldChar w:fldCharType="end"/>
      </w:r>
      <w:r w:rsidRPr="00D17312">
        <w:rPr>
          <w:color w:val="auto"/>
        </w:rPr>
        <w:t>: OS – krabicové grafy, DT trestního řízení</w:t>
      </w:r>
      <w:bookmarkEnd w:id="215"/>
      <w:bookmarkEnd w:id="216"/>
      <w:bookmarkEnd w:id="217"/>
    </w:p>
    <w:p w:rsidR="00A4083A" w:rsidRPr="00D17312" w:rsidRDefault="00A4083A" w:rsidP="00A4083A">
      <w:pPr>
        <w:rPr>
          <w:highlight w:val="yellow"/>
        </w:rPr>
      </w:pPr>
      <w:r w:rsidRPr="00D17312">
        <w:rPr>
          <w:noProof/>
          <w:lang w:eastAsia="cs-CZ"/>
        </w:rPr>
        <w:drawing>
          <wp:inline distT="0" distB="0" distL="0" distR="0" wp14:anchorId="7236CA3B" wp14:editId="3AF93E0F">
            <wp:extent cx="5114925" cy="3743325"/>
            <wp:effectExtent l="0" t="0" r="0" b="952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pPr>
      <w:bookmarkStart w:id="218" w:name="_Toc515871235"/>
      <w:r w:rsidRPr="00D17312">
        <w:t>Závěrem můžeme uvést, že situace v trestní agendě v posledních letech stagnuje nebo se velmi mírně vylepšila. Pomalu se snižuje variabilita mezi soudy. Na rozdíl od civilního řízení na tom však má zásluhu především snižující se nápad a posilování trestních úseků vybraných soudů. Nicméně data ukazují i problém</w:t>
      </w:r>
      <w:r>
        <w:t xml:space="preserve">y několika soudů </w:t>
      </w:r>
      <w:r w:rsidRPr="00D17312">
        <w:t>s trestní agendou.</w:t>
      </w:r>
    </w:p>
    <w:p w:rsidR="00A4083A" w:rsidRPr="00D17312" w:rsidRDefault="00A4083A" w:rsidP="00A4083A">
      <w:pPr>
        <w:pStyle w:val="Nadpis3"/>
        <w:rPr>
          <w:color w:val="auto"/>
        </w:rPr>
      </w:pPr>
      <w:bookmarkStart w:id="219" w:name="_Toc43903038"/>
      <w:r w:rsidRPr="00D17312">
        <w:rPr>
          <w:color w:val="auto"/>
        </w:rPr>
        <w:t>Další statistiky</w:t>
      </w:r>
      <w:bookmarkEnd w:id="218"/>
      <w:bookmarkEnd w:id="219"/>
    </w:p>
    <w:p w:rsidR="00A4083A" w:rsidRPr="00D17312" w:rsidRDefault="00A4083A" w:rsidP="00A4083A">
      <w:pPr>
        <w:pStyle w:val="OdstavecASR"/>
        <w:rPr>
          <w:highlight w:val="yellow"/>
        </w:rPr>
      </w:pPr>
      <w:r w:rsidRPr="00D17312">
        <w:t>Data pochází ze statistických listů, zkoumáme tedy agendy T a Tm. I zde uvádíme několik příkladů dalších sledovaných statistik, podobně jako u civilního řízení je to míra odvolání a míra změny rozsudku. Připomínáme, že jsme u těchto statistik vyřadili věci vyřízené trestním příkazem, jejichž podíl na celkovém počtu věcí v této podkapitole také zkoumáme. Dále se zabýváme podílem věcí skončených trestním příkazem a nejčastějšími trestnými činy dle jednotlivých věkových skupin. Nakonec jsou v krátkosti uvedena data o vývoji ukládání peněžitých trestů od roku 2008.</w:t>
      </w:r>
    </w:p>
    <w:p w:rsidR="00A4083A" w:rsidRPr="00D17312" w:rsidRDefault="00A4083A" w:rsidP="00A4083A">
      <w:pPr>
        <w:spacing w:line="240" w:lineRule="auto"/>
        <w:jc w:val="left"/>
        <w:rPr>
          <w:highlight w:val="yellow"/>
        </w:rPr>
      </w:pPr>
      <w:r w:rsidRPr="00D17312">
        <w:rPr>
          <w:highlight w:val="yellow"/>
        </w:rPr>
        <w:br w:type="page"/>
      </w:r>
    </w:p>
    <w:p w:rsidR="00A4083A" w:rsidRPr="00D17312" w:rsidRDefault="00A4083A" w:rsidP="00A4083A">
      <w:pPr>
        <w:pStyle w:val="Podnadpis"/>
        <w:rPr>
          <w:color w:val="auto"/>
        </w:rPr>
      </w:pPr>
      <w:bookmarkStart w:id="220" w:name="_Toc515871456"/>
      <w:bookmarkStart w:id="221" w:name="_Toc11133224"/>
      <w:bookmarkStart w:id="222" w:name="_Toc43931197"/>
      <w:r w:rsidRPr="00D17312">
        <w:rPr>
          <w:color w:val="auto"/>
        </w:rPr>
        <w:lastRenderedPageBreak/>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24</w:t>
      </w:r>
      <w:r w:rsidRPr="00D17312">
        <w:rPr>
          <w:noProof/>
          <w:color w:val="auto"/>
        </w:rPr>
        <w:fldChar w:fldCharType="end"/>
      </w:r>
      <w:r w:rsidRPr="00D17312">
        <w:rPr>
          <w:color w:val="auto"/>
        </w:rPr>
        <w:t>: OS – míra odvolání dle krajů v trestním řízení</w:t>
      </w:r>
      <w:bookmarkEnd w:id="220"/>
      <w:bookmarkEnd w:id="221"/>
      <w:bookmarkEnd w:id="222"/>
    </w:p>
    <w:tbl>
      <w:tblPr>
        <w:tblW w:w="6300" w:type="dxa"/>
        <w:tblCellMar>
          <w:left w:w="70" w:type="dxa"/>
          <w:right w:w="70" w:type="dxa"/>
        </w:tblCellMar>
        <w:tblLook w:val="04A0" w:firstRow="1" w:lastRow="0" w:firstColumn="1" w:lastColumn="0" w:noHBand="0" w:noVBand="1"/>
      </w:tblPr>
      <w:tblGrid>
        <w:gridCol w:w="2780"/>
        <w:gridCol w:w="1493"/>
        <w:gridCol w:w="2027"/>
      </w:tblGrid>
      <w:tr w:rsidR="00A4083A" w:rsidRPr="00D17312" w:rsidTr="00A41CAB">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Nadřízený 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Míra odvolání (v</w:t>
            </w:r>
            <w:r>
              <w:rPr>
                <w:rFonts w:eastAsia="Times New Roman"/>
                <w:b/>
                <w:bCs/>
                <w:szCs w:val="24"/>
                <w:lang w:eastAsia="cs-CZ"/>
              </w:rPr>
              <w:t> %</w:t>
            </w:r>
            <w:r w:rsidRPr="00D17312">
              <w:rPr>
                <w:rFonts w:eastAsia="Times New Roman"/>
                <w:b/>
                <w:bCs/>
                <w:szCs w:val="24"/>
                <w:lang w:eastAsia="cs-CZ"/>
              </w:rPr>
              <w:t xml:space="preserve">) </w:t>
            </w:r>
          </w:p>
        </w:tc>
      </w:tr>
      <w:tr w:rsidR="00A4083A" w:rsidRPr="00D17312" w:rsidTr="00A41CAB">
        <w:trPr>
          <w:trHeight w:val="330"/>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49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30,49</w:t>
            </w:r>
          </w:p>
        </w:tc>
        <w:tc>
          <w:tcPr>
            <w:tcW w:w="20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+0,0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49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27,70</w:t>
            </w:r>
          </w:p>
        </w:tc>
        <w:tc>
          <w:tcPr>
            <w:tcW w:w="20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-1,7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49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22,10</w:t>
            </w:r>
          </w:p>
        </w:tc>
        <w:tc>
          <w:tcPr>
            <w:tcW w:w="20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+0,6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49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26,54</w:t>
            </w:r>
          </w:p>
        </w:tc>
        <w:tc>
          <w:tcPr>
            <w:tcW w:w="20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49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18,78</w:t>
            </w:r>
          </w:p>
        </w:tc>
        <w:tc>
          <w:tcPr>
            <w:tcW w:w="20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-1,9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49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26,30</w:t>
            </w:r>
          </w:p>
        </w:tc>
        <w:tc>
          <w:tcPr>
            <w:tcW w:w="20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+3,5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49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26,04</w:t>
            </w:r>
          </w:p>
        </w:tc>
        <w:tc>
          <w:tcPr>
            <w:tcW w:w="20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+0,9 p.b.</w:t>
            </w:r>
          </w:p>
        </w:tc>
      </w:tr>
      <w:tr w:rsidR="00A4083A" w:rsidRPr="00D17312" w:rsidTr="00A41CAB">
        <w:trPr>
          <w:trHeight w:val="330"/>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49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22,00</w:t>
            </w:r>
          </w:p>
        </w:tc>
        <w:tc>
          <w:tcPr>
            <w:tcW w:w="2027"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-3,6 p.b.</w:t>
            </w:r>
          </w:p>
        </w:tc>
      </w:tr>
      <w:tr w:rsidR="00A4083A" w:rsidRPr="00D17312" w:rsidTr="00A41CAB">
        <w:trPr>
          <w:trHeight w:val="345"/>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49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24,62</w:t>
            </w:r>
          </w:p>
        </w:tc>
        <w:tc>
          <w:tcPr>
            <w:tcW w:w="2027"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-0,5 p.b.</w:t>
            </w:r>
          </w:p>
        </w:tc>
      </w:tr>
    </w:tbl>
    <w:p w:rsidR="00A4083A" w:rsidRPr="00D17312" w:rsidRDefault="00A4083A" w:rsidP="00A4083A">
      <w:pPr>
        <w:rPr>
          <w:highlight w:val="yellow"/>
        </w:rPr>
      </w:pPr>
    </w:p>
    <w:p w:rsidR="00A4083A" w:rsidRPr="00D17312" w:rsidRDefault="00A4083A" w:rsidP="00A4083A">
      <w:pPr>
        <w:pStyle w:val="Podnadpis"/>
        <w:rPr>
          <w:color w:val="auto"/>
        </w:rPr>
      </w:pPr>
      <w:bookmarkStart w:id="223" w:name="_Toc515871361"/>
      <w:bookmarkStart w:id="224" w:name="_Toc11135095"/>
      <w:bookmarkStart w:id="225" w:name="_Toc43841409"/>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29</w:t>
      </w:r>
      <w:r w:rsidRPr="00D17312">
        <w:rPr>
          <w:noProof/>
          <w:color w:val="auto"/>
        </w:rPr>
        <w:fldChar w:fldCharType="end"/>
      </w:r>
      <w:r w:rsidRPr="00D17312">
        <w:rPr>
          <w:color w:val="auto"/>
        </w:rPr>
        <w:t>: OS – míra odvolání u jednotlivých soudů v trestním řízení</w:t>
      </w:r>
      <w:bookmarkEnd w:id="223"/>
      <w:bookmarkEnd w:id="224"/>
      <w:bookmarkEnd w:id="225"/>
    </w:p>
    <w:p w:rsidR="00A4083A" w:rsidRPr="00D17312" w:rsidRDefault="00A4083A" w:rsidP="00A4083A">
      <w:pPr>
        <w:spacing w:line="240" w:lineRule="auto"/>
        <w:jc w:val="left"/>
      </w:pPr>
      <w:r w:rsidRPr="00D17312">
        <w:rPr>
          <w:noProof/>
          <w:lang w:eastAsia="cs-CZ"/>
        </w:rPr>
        <w:drawing>
          <wp:inline distT="0" distB="0" distL="0" distR="0" wp14:anchorId="06CE8C69" wp14:editId="3CED4C25">
            <wp:extent cx="5760000" cy="3330000"/>
            <wp:effectExtent l="0" t="0" r="0" b="3810"/>
            <wp:docPr id="100" name="Obráze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60000" cy="3330000"/>
                    </a:xfrm>
                    <a:prstGeom prst="rect">
                      <a:avLst/>
                    </a:prstGeom>
                    <a:noFill/>
                    <a:ln>
                      <a:noFill/>
                    </a:ln>
                  </pic:spPr>
                </pic:pic>
              </a:graphicData>
            </a:graphic>
          </wp:inline>
        </w:drawing>
      </w:r>
      <w:r w:rsidRPr="00D17312">
        <w:t xml:space="preserve"> </w:t>
      </w:r>
      <w:r w:rsidRPr="00D17312">
        <w:rPr>
          <w:noProof/>
          <w:lang w:eastAsia="cs-CZ"/>
        </w:rPr>
        <w:drawing>
          <wp:anchor distT="0" distB="0" distL="114300" distR="114300" simplePos="0" relativeHeight="251671552" behindDoc="0" locked="0" layoutInCell="1" allowOverlap="1" wp14:anchorId="768F0386" wp14:editId="678734F2">
            <wp:simplePos x="0" y="0"/>
            <wp:positionH relativeFrom="column">
              <wp:posOffset>4500245</wp:posOffset>
            </wp:positionH>
            <wp:positionV relativeFrom="paragraph">
              <wp:posOffset>57150</wp:posOffset>
            </wp:positionV>
            <wp:extent cx="1209600" cy="885600"/>
            <wp:effectExtent l="0" t="0" r="0" b="0"/>
            <wp:wrapNone/>
            <wp:docPr id="114" name="Obráze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09600" cy="8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083A" w:rsidRPr="00D17312" w:rsidRDefault="00A4083A" w:rsidP="00A4083A">
      <w:pPr>
        <w:pStyle w:val="OdstavecASR"/>
        <w:keepNext/>
      </w:pPr>
      <w:bookmarkStart w:id="226" w:name="_Toc515871457"/>
      <w:r w:rsidRPr="00D17312">
        <w:t>Při pohledu na data o míře odvolání je třeba poukázat na několik věcí:</w:t>
      </w:r>
    </w:p>
    <w:p w:rsidR="00A4083A" w:rsidRPr="00D17312" w:rsidRDefault="00A4083A" w:rsidP="00A4083A">
      <w:pPr>
        <w:pStyle w:val="OdstavecASR"/>
        <w:numPr>
          <w:ilvl w:val="0"/>
          <w:numId w:val="12"/>
        </w:numPr>
      </w:pPr>
      <w:r w:rsidRPr="00D17312">
        <w:t>Míra odvolání v trestním řízení je vysoká – téměř třikrát vyšší než v řízení občanskoprávním. Odvolání je podáno přibližně v každém čtvrtém trestním řízení u okresního soudu.</w:t>
      </w:r>
    </w:p>
    <w:p w:rsidR="00A4083A" w:rsidRPr="00D17312" w:rsidRDefault="00A4083A" w:rsidP="00A4083A">
      <w:pPr>
        <w:pStyle w:val="OdstavecASR"/>
        <w:numPr>
          <w:ilvl w:val="0"/>
          <w:numId w:val="12"/>
        </w:numPr>
      </w:pPr>
      <w:r w:rsidRPr="00D17312">
        <w:t>Největší míra odvolání zůstává v Praze a suverénně nejnižší v Severočeském kraji</w:t>
      </w:r>
      <w:r>
        <w:t>.</w:t>
      </w:r>
      <w:r w:rsidRPr="00D17312">
        <w:t xml:space="preserve"> Částečně to zřejmě souvisí s rozdílnou agendou a s rozdíly v socioekonomických ukazatelích</w:t>
      </w:r>
      <w:r>
        <w:t>,</w:t>
      </w:r>
      <w:r w:rsidRPr="00D17312">
        <w:t xml:space="preserve"> </w:t>
      </w:r>
      <w:r>
        <w:t>u</w:t>
      </w:r>
      <w:r w:rsidRPr="00D17312">
        <w:t>spokojivé vysvětlení pro takto markantní rozdíl to však není. Rozdíly jsou totiž někdy značné i v rámci jednoho kraje.</w:t>
      </w:r>
    </w:p>
    <w:p w:rsidR="00A4083A" w:rsidRPr="00D17312" w:rsidRDefault="00A4083A" w:rsidP="00A4083A">
      <w:pPr>
        <w:pStyle w:val="OdstavecASR"/>
        <w:numPr>
          <w:ilvl w:val="0"/>
          <w:numId w:val="12"/>
        </w:numPr>
      </w:pPr>
      <w:r w:rsidRPr="00D17312">
        <w:t>Za pozornost stojí také opětovné zvýšení míry (v roce 2018 došlo ke značnému snížení) odvolání u OS spadajících pod KS Hradec Králové.</w:t>
      </w:r>
    </w:p>
    <w:p w:rsidR="00A4083A" w:rsidRPr="00D17312" w:rsidRDefault="00A4083A" w:rsidP="00A4083A">
      <w:pPr>
        <w:pStyle w:val="OdstavecASR"/>
        <w:numPr>
          <w:ilvl w:val="0"/>
          <w:numId w:val="12"/>
        </w:numPr>
      </w:pPr>
      <w:r w:rsidRPr="00D17312">
        <w:lastRenderedPageBreak/>
        <w:t>V míře odvolání mezi jednotlivými soudy jsou velké rozdíly – až šestinásobek u soudů s nejvyšší mírou odvolání oproti soudům s nejnižší mírou odvolání.</w:t>
      </w:r>
    </w:p>
    <w:p w:rsidR="00A4083A" w:rsidRPr="00D17312" w:rsidRDefault="00A4083A" w:rsidP="00A4083A">
      <w:pPr>
        <w:pStyle w:val="OdstavecASR"/>
      </w:pPr>
      <w:r w:rsidRPr="00D17312">
        <w:t>Soudy s nejnižší mírou odvolání v roce 2018 jsou OS Pelhřimov (7,14</w:t>
      </w:r>
      <w:r>
        <w:t> %</w:t>
      </w:r>
      <w:r w:rsidRPr="00D17312">
        <w:t>), OS Most (8,90</w:t>
      </w:r>
      <w:r>
        <w:t> %</w:t>
      </w:r>
      <w:r w:rsidRPr="00D17312">
        <w:t>) a OS Děčín (10,37</w:t>
      </w:r>
      <w:r>
        <w:t> %</w:t>
      </w:r>
      <w:r w:rsidRPr="00D17312">
        <w:t>). Nejvyšší míra odvolání naopak je u OS pro Prahu 1</w:t>
      </w:r>
      <w:r w:rsidRPr="00D17312" w:rsidDel="00D42872">
        <w:t xml:space="preserve"> </w:t>
      </w:r>
      <w:r w:rsidRPr="00D17312">
        <w:t>(42,69</w:t>
      </w:r>
      <w:r>
        <w:t> %</w:t>
      </w:r>
      <w:r w:rsidRPr="00D17312">
        <w:t>), OS Praha-západ (41,95%) a OS Plzeň-město (41,09</w:t>
      </w:r>
      <w:r>
        <w:t> %</w:t>
      </w:r>
      <w:r w:rsidRPr="00D17312">
        <w:t>).</w:t>
      </w:r>
    </w:p>
    <w:p w:rsidR="00A4083A" w:rsidRPr="00D17312" w:rsidRDefault="00A4083A" w:rsidP="00A4083A">
      <w:pPr>
        <w:pStyle w:val="OdstavecASR"/>
      </w:pPr>
      <w:r w:rsidRPr="00D17312">
        <w:t xml:space="preserve">Dalším sledovaným ukazatelem je míra změny rozsudku. Jedná se o podíl věcí v procentech, ve kterých odvolací soud na </w:t>
      </w:r>
      <w:r>
        <w:t>základě</w:t>
      </w:r>
      <w:r w:rsidRPr="00D17312">
        <w:t xml:space="preserve"> odvolání změnil rozhodnutí soudu I. stupně. Do změny rozsudku se započítávají i případy, kdy bylo rozhodnutí soudu I. stupně u odvolacího soudu zrušeno </w:t>
      </w:r>
      <w:r>
        <w:t>a </w:t>
      </w:r>
      <w:r w:rsidRPr="00D17312">
        <w:t>vráceno soudu I.</w:t>
      </w:r>
      <w:r>
        <w:t> </w:t>
      </w:r>
      <w:r w:rsidRPr="00D17312">
        <w:t>stupně.</w:t>
      </w:r>
    </w:p>
    <w:p w:rsidR="00A4083A" w:rsidRPr="00D17312" w:rsidRDefault="00A4083A" w:rsidP="00A4083A">
      <w:pPr>
        <w:pStyle w:val="Podnadpis"/>
        <w:rPr>
          <w:color w:val="auto"/>
        </w:rPr>
      </w:pPr>
      <w:bookmarkStart w:id="227" w:name="_Toc11133225"/>
      <w:bookmarkStart w:id="228" w:name="_Toc43931198"/>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25</w:t>
      </w:r>
      <w:r w:rsidRPr="00D17312">
        <w:rPr>
          <w:noProof/>
          <w:color w:val="auto"/>
        </w:rPr>
        <w:fldChar w:fldCharType="end"/>
      </w:r>
      <w:r w:rsidRPr="00D17312">
        <w:rPr>
          <w:color w:val="auto"/>
        </w:rPr>
        <w:t>: OS – míra změny rozsudku dle krajů v trestním řízení</w:t>
      </w:r>
      <w:bookmarkEnd w:id="226"/>
      <w:bookmarkEnd w:id="227"/>
      <w:bookmarkEnd w:id="228"/>
    </w:p>
    <w:tbl>
      <w:tblPr>
        <w:tblW w:w="6980" w:type="dxa"/>
        <w:tblCellMar>
          <w:left w:w="70" w:type="dxa"/>
          <w:right w:w="70" w:type="dxa"/>
        </w:tblCellMar>
        <w:tblLook w:val="04A0" w:firstRow="1" w:lastRow="0" w:firstColumn="1" w:lastColumn="0" w:noHBand="0" w:noVBand="1"/>
      </w:tblPr>
      <w:tblGrid>
        <w:gridCol w:w="2780"/>
        <w:gridCol w:w="1782"/>
        <w:gridCol w:w="2418"/>
      </w:tblGrid>
      <w:tr w:rsidR="00A4083A" w:rsidRPr="00D17312" w:rsidTr="00A41CAB">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Nadřízený soud</w:t>
            </w:r>
          </w:p>
        </w:tc>
        <w:tc>
          <w:tcPr>
            <w:tcW w:w="4200" w:type="dxa"/>
            <w:gridSpan w:val="2"/>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 xml:space="preserve">Míra změny rozsudku </w:t>
            </w:r>
          </w:p>
        </w:tc>
      </w:tr>
      <w:tr w:rsidR="00A4083A" w:rsidRPr="00D17312" w:rsidTr="00A41CAB">
        <w:trPr>
          <w:trHeight w:val="330"/>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78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45,61</w:t>
            </w:r>
            <w:r>
              <w:rPr>
                <w:rFonts w:eastAsia="Times New Roman"/>
                <w:szCs w:val="24"/>
                <w:lang w:eastAsia="cs-CZ"/>
              </w:rPr>
              <w:t> %</w:t>
            </w:r>
          </w:p>
        </w:tc>
        <w:tc>
          <w:tcPr>
            <w:tcW w:w="241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78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41,37</w:t>
            </w:r>
            <w:r>
              <w:rPr>
                <w:rFonts w:eastAsia="Times New Roman"/>
                <w:szCs w:val="24"/>
                <w:lang w:eastAsia="cs-CZ"/>
              </w:rPr>
              <w:t> %</w:t>
            </w:r>
          </w:p>
        </w:tc>
        <w:tc>
          <w:tcPr>
            <w:tcW w:w="241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-1,4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78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28,07</w:t>
            </w:r>
            <w:r>
              <w:rPr>
                <w:rFonts w:eastAsia="Times New Roman"/>
                <w:szCs w:val="24"/>
                <w:lang w:eastAsia="cs-CZ"/>
              </w:rPr>
              <w:t> %</w:t>
            </w:r>
          </w:p>
        </w:tc>
        <w:tc>
          <w:tcPr>
            <w:tcW w:w="241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-3,3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78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51,13</w:t>
            </w:r>
            <w:r>
              <w:rPr>
                <w:rFonts w:eastAsia="Times New Roman"/>
                <w:szCs w:val="24"/>
                <w:lang w:eastAsia="cs-CZ"/>
              </w:rPr>
              <w:t> %</w:t>
            </w:r>
          </w:p>
        </w:tc>
        <w:tc>
          <w:tcPr>
            <w:tcW w:w="241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-0.8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78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52,70</w:t>
            </w:r>
            <w:r>
              <w:rPr>
                <w:rFonts w:eastAsia="Times New Roman"/>
                <w:szCs w:val="24"/>
                <w:lang w:eastAsia="cs-CZ"/>
              </w:rPr>
              <w:t> %</w:t>
            </w:r>
          </w:p>
        </w:tc>
        <w:tc>
          <w:tcPr>
            <w:tcW w:w="241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-1,5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78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28,61</w:t>
            </w:r>
            <w:r>
              <w:rPr>
                <w:rFonts w:eastAsia="Times New Roman"/>
                <w:szCs w:val="24"/>
                <w:lang w:eastAsia="cs-CZ"/>
              </w:rPr>
              <w:t> %</w:t>
            </w:r>
          </w:p>
        </w:tc>
        <w:tc>
          <w:tcPr>
            <w:tcW w:w="241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+2,2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78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28,54</w:t>
            </w:r>
            <w:r>
              <w:rPr>
                <w:rFonts w:eastAsia="Times New Roman"/>
                <w:szCs w:val="24"/>
                <w:lang w:eastAsia="cs-CZ"/>
              </w:rPr>
              <w:t> %</w:t>
            </w:r>
          </w:p>
        </w:tc>
        <w:tc>
          <w:tcPr>
            <w:tcW w:w="241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+1,6 p.b.</w:t>
            </w:r>
          </w:p>
        </w:tc>
      </w:tr>
      <w:tr w:rsidR="00A4083A" w:rsidRPr="00D17312" w:rsidTr="00A41CAB">
        <w:trPr>
          <w:trHeight w:val="330"/>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782"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40,94</w:t>
            </w:r>
            <w:r>
              <w:rPr>
                <w:rFonts w:eastAsia="Times New Roman"/>
                <w:szCs w:val="24"/>
                <w:lang w:eastAsia="cs-CZ"/>
              </w:rPr>
              <w:t> %</w:t>
            </w:r>
          </w:p>
        </w:tc>
        <w:tc>
          <w:tcPr>
            <w:tcW w:w="2418"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-5,1 p.b.</w:t>
            </w:r>
          </w:p>
        </w:tc>
      </w:tr>
      <w:tr w:rsidR="00A4083A" w:rsidRPr="00D17312" w:rsidTr="00A41CAB">
        <w:trPr>
          <w:trHeight w:val="345"/>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782"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40,48</w:t>
            </w:r>
            <w:r>
              <w:rPr>
                <w:rFonts w:eastAsia="Times New Roman"/>
                <w:b/>
                <w:bCs/>
                <w:szCs w:val="24"/>
                <w:lang w:eastAsia="cs-CZ"/>
              </w:rPr>
              <w:t> %</w:t>
            </w:r>
          </w:p>
        </w:tc>
        <w:tc>
          <w:tcPr>
            <w:tcW w:w="2418"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-1,7 p.b.</w:t>
            </w:r>
          </w:p>
        </w:tc>
      </w:tr>
    </w:tbl>
    <w:p w:rsidR="00A4083A" w:rsidRPr="00D17312" w:rsidRDefault="00A4083A" w:rsidP="00A4083A">
      <w:pPr>
        <w:pStyle w:val="OdstavecASR"/>
        <w:rPr>
          <w:highlight w:val="yellow"/>
        </w:rPr>
      </w:pPr>
    </w:p>
    <w:p w:rsidR="00A4083A" w:rsidRPr="00D17312" w:rsidRDefault="00A4083A" w:rsidP="00A4083A">
      <w:pPr>
        <w:pStyle w:val="OdstavecASR"/>
      </w:pPr>
      <w:r w:rsidRPr="00D17312">
        <w:t>Míra změny rozsudku v trestním řízení zůstává na velmi nízké úrovni v Jihomoravském kraji a Východočeském kraji. Výrazně poklesla u OS spadajících pod KS Ostrava. Nejvyšší zůstává v Severočeském a Západočeském kraji, a to o více než 20 procentních bodů. Z okresních soudů mají nejnižší míru změny rozsudku OS Vyškov (10,25</w:t>
      </w:r>
      <w:r>
        <w:t> %</w:t>
      </w:r>
      <w:r w:rsidRPr="00D17312">
        <w:t>), OS Znojmo (12,50</w:t>
      </w:r>
      <w:r>
        <w:t> %</w:t>
      </w:r>
      <w:r w:rsidRPr="00D17312">
        <w:t>) a OS Český Krumlov (14,29</w:t>
      </w:r>
      <w:r>
        <w:t> %</w:t>
      </w:r>
      <w:r w:rsidRPr="00D17312">
        <w:t>). Na druhém konci se nacházejí OS Most (63,93</w:t>
      </w:r>
      <w:r>
        <w:t> %</w:t>
      </w:r>
      <w:r w:rsidRPr="00D17312">
        <w:t>), OS Litoměřice (64,35</w:t>
      </w:r>
      <w:r>
        <w:t> %</w:t>
      </w:r>
      <w:r w:rsidRPr="00D17312">
        <w:t>) a OS Děčín (65,08</w:t>
      </w:r>
      <w:r>
        <w:t> %</w:t>
      </w:r>
      <w:r w:rsidRPr="00D17312">
        <w:t>).</w:t>
      </w:r>
    </w:p>
    <w:p w:rsidR="00A4083A" w:rsidRPr="00D17312" w:rsidRDefault="00A4083A" w:rsidP="00A4083A">
      <w:pPr>
        <w:rPr>
          <w:highlight w:val="yellow"/>
        </w:rPr>
      </w:pPr>
    </w:p>
    <w:p w:rsidR="00A4083A" w:rsidRPr="00D17312" w:rsidRDefault="00A4083A" w:rsidP="00A4083A">
      <w:pPr>
        <w:pStyle w:val="Podnadpis"/>
        <w:rPr>
          <w:color w:val="auto"/>
        </w:rPr>
      </w:pPr>
      <w:bookmarkStart w:id="229" w:name="_Toc515871362"/>
      <w:bookmarkStart w:id="230" w:name="_Toc11135096"/>
      <w:bookmarkStart w:id="231" w:name="_Toc43841410"/>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30</w:t>
      </w:r>
      <w:r w:rsidRPr="00D17312">
        <w:rPr>
          <w:noProof/>
          <w:color w:val="auto"/>
        </w:rPr>
        <w:fldChar w:fldCharType="end"/>
      </w:r>
      <w:r w:rsidRPr="00D17312">
        <w:rPr>
          <w:color w:val="auto"/>
        </w:rPr>
        <w:t>: OS – míra změny rozsudku u jednotlivých soudů v trestním řízení</w:t>
      </w:r>
      <w:bookmarkEnd w:id="229"/>
      <w:bookmarkEnd w:id="230"/>
      <w:bookmarkEnd w:id="231"/>
    </w:p>
    <w:p w:rsidR="00A4083A" w:rsidRPr="00D17312" w:rsidRDefault="00A4083A" w:rsidP="00A4083A">
      <w:pPr>
        <w:rPr>
          <w:highlight w:val="yellow"/>
        </w:rPr>
      </w:pPr>
      <w:r w:rsidRPr="00D17312">
        <w:rPr>
          <w:noProof/>
          <w:lang w:eastAsia="cs-CZ"/>
        </w:rPr>
        <w:drawing>
          <wp:anchor distT="0" distB="0" distL="114300" distR="114300" simplePos="0" relativeHeight="251672576" behindDoc="0" locked="0" layoutInCell="1" allowOverlap="1" wp14:anchorId="49071F20" wp14:editId="3141E817">
            <wp:simplePos x="0" y="0"/>
            <wp:positionH relativeFrom="column">
              <wp:posOffset>4500245</wp:posOffset>
            </wp:positionH>
            <wp:positionV relativeFrom="paragraph">
              <wp:posOffset>71120</wp:posOffset>
            </wp:positionV>
            <wp:extent cx="1209600" cy="885600"/>
            <wp:effectExtent l="0" t="0" r="0" b="0"/>
            <wp:wrapNone/>
            <wp:docPr id="119" name="Obráze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209600" cy="88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7312">
        <w:rPr>
          <w:noProof/>
          <w:lang w:eastAsia="cs-CZ"/>
        </w:rPr>
        <w:drawing>
          <wp:inline distT="0" distB="0" distL="0" distR="0" wp14:anchorId="48718F8C" wp14:editId="479CDBDB">
            <wp:extent cx="5759450" cy="3328623"/>
            <wp:effectExtent l="0" t="0" r="0" b="5715"/>
            <wp:docPr id="117" name="Obráze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59450" cy="3328623"/>
                    </a:xfrm>
                    <a:prstGeom prst="rect">
                      <a:avLst/>
                    </a:prstGeom>
                    <a:noFill/>
                    <a:ln>
                      <a:noFill/>
                    </a:ln>
                  </pic:spPr>
                </pic:pic>
              </a:graphicData>
            </a:graphic>
          </wp:inline>
        </w:drawing>
      </w:r>
    </w:p>
    <w:p w:rsidR="00A4083A" w:rsidRPr="00D17312" w:rsidRDefault="00A4083A" w:rsidP="00A4083A">
      <w:pPr>
        <w:pStyle w:val="OdstavecASR"/>
      </w:pPr>
      <w:r w:rsidRPr="00D17312">
        <w:t>Nakonec ještě krátce porovnáme rok 2019 s rokem 2018. V roce 2019 byla míra odvolání dle současné metodiky 24,62</w:t>
      </w:r>
      <w:r>
        <w:t> % </w:t>
      </w:r>
      <w:r w:rsidRPr="00D17312">
        <w:t>a míra změny rozsudku 40,48</w:t>
      </w:r>
      <w:r>
        <w:t> %</w:t>
      </w:r>
      <w:r w:rsidRPr="00D17312">
        <w:t>. Celková míra změny rozsudku tedy byla tedy asi 9,97</w:t>
      </w:r>
      <w:r>
        <w:t> %</w:t>
      </w:r>
      <w:r w:rsidRPr="00D17312">
        <w:t>. Poprvé za poslední roky tedy klesla pod 10</w:t>
      </w:r>
      <w:r>
        <w:t> %</w:t>
      </w:r>
      <w:r w:rsidRPr="00D17312">
        <w:t>. Z toho ale nelze nic usuzovat, dlouhodobě je v zásadě konstantní. Míra celkové změny rozsudku se v roce 2016 rovnala 25,76</w:t>
      </w:r>
      <w:r>
        <w:t> % </w:t>
      </w:r>
      <w:r w:rsidRPr="00D17312">
        <w:t>× 39,40</w:t>
      </w:r>
      <w:r>
        <w:t> % </w:t>
      </w:r>
      <w:r w:rsidRPr="00D17312">
        <w:rPr>
          <w:rFonts w:ascii="Cambria Math" w:hAnsi="Cambria Math" w:cs="Cambria Math"/>
        </w:rPr>
        <w:t>≐</w:t>
      </w:r>
      <w:r w:rsidRPr="00D17312">
        <w:rPr>
          <w:rFonts w:cs="Cambria Math"/>
        </w:rPr>
        <w:t xml:space="preserve"> </w:t>
      </w:r>
      <w:r w:rsidRPr="00D17312">
        <w:t>10,15</w:t>
      </w:r>
      <w:r>
        <w:t> %</w:t>
      </w:r>
      <w:r w:rsidRPr="00D17312">
        <w:t>, v roce 2017 24,39</w:t>
      </w:r>
      <w:r>
        <w:t> % </w:t>
      </w:r>
      <w:r w:rsidRPr="00D17312">
        <w:t>× 42,18</w:t>
      </w:r>
      <w:r>
        <w:t> % </w:t>
      </w:r>
      <w:r w:rsidRPr="00D17312">
        <w:rPr>
          <w:rFonts w:ascii="Cambria Math" w:hAnsi="Cambria Math" w:cs="Cambria Math"/>
        </w:rPr>
        <w:t>≐</w:t>
      </w:r>
      <w:r w:rsidRPr="00D17312">
        <w:rPr>
          <w:rFonts w:cs="Cambria Math"/>
        </w:rPr>
        <w:t xml:space="preserve"> </w:t>
      </w:r>
      <w:r w:rsidRPr="00D17312">
        <w:t>10,29 a v roce 2018 byla 25,13</w:t>
      </w:r>
      <w:r>
        <w:t> % </w:t>
      </w:r>
      <w:r w:rsidRPr="00D17312">
        <w:t>× 42,22</w:t>
      </w:r>
      <w:r>
        <w:t> % </w:t>
      </w:r>
      <w:r w:rsidRPr="00D17312">
        <w:rPr>
          <w:rFonts w:ascii="Cambria Math" w:hAnsi="Cambria Math" w:cs="Cambria Math"/>
        </w:rPr>
        <w:t xml:space="preserve">≐ </w:t>
      </w:r>
      <w:r w:rsidRPr="00D17312">
        <w:t>10,61.</w:t>
      </w:r>
    </w:p>
    <w:p w:rsidR="00A4083A" w:rsidRPr="00D17312" w:rsidRDefault="00A4083A" w:rsidP="00A4083A">
      <w:pPr>
        <w:pStyle w:val="OdstavecASR"/>
      </w:pPr>
      <w:r w:rsidRPr="00D17312">
        <w:t>Výše uvedená data jsou očištěna o věci skončené trestním příkazem, nicméně údaj o využívání tohoto nástroje je významný. Proto je v následujícím grafu uveden podíl věcí, které byly pravomocně skončeny trestním příkazem.</w:t>
      </w:r>
    </w:p>
    <w:p w:rsidR="00A4083A" w:rsidRDefault="00A4083A" w:rsidP="00A4083A">
      <w:pPr>
        <w:pStyle w:val="OdstavecASR"/>
      </w:pPr>
      <w:r w:rsidRPr="00D17312">
        <w:t>Nárůst podílu v roce 2013 je dán tím, že s účinností od 1. 1. 2012 byla posunuta nejvyšší zákonná trestní sazba pro věci, které lze řešit ve zkráceném přípravném řízení</w:t>
      </w:r>
      <w:r>
        <w:t>,</w:t>
      </w:r>
      <w:r w:rsidRPr="00D17312">
        <w:t xml:space="preserve"> ze tří na pět let. Tyto věci lze</w:t>
      </w:r>
      <w:r>
        <w:t xml:space="preserve"> rovněž</w:t>
      </w:r>
      <w:r w:rsidRPr="00D17312">
        <w:t xml:space="preserve"> u soudů vyřídit trestním příkazem. Došlo tedy k nárůstu počtu věcí řešených ve zkráceném přípravném řízení, a rozšířil se tak okruh věcí, které lze trestním příkazem</w:t>
      </w:r>
      <w:r w:rsidRPr="004D4CB8">
        <w:t xml:space="preserve"> </w:t>
      </w:r>
      <w:r w:rsidRPr="00D17312">
        <w:t>vyřídit. K nárůstu ve statistikách došlo až v roce 2013 kvůli časovému posunu (četnost využití se zvyšovala postupně, roli hraje také délka řízení u soudů). Po roce 2013 je v řadě vidět klesající tendenci až do roku 2016. To zřejmě ukazuje, že pozorovaný pokles celkové kriminality se týká zejména méně závažných věcí, ze kterých se věci řešené trestním příkazem rekrutují, závažnější kriminalita zřejmě klesá méně či vůbec. Tento trend se otočil v roce 2017 a podíl věcí vyřízených trestním příkazem opět začal růst.</w:t>
      </w:r>
    </w:p>
    <w:p w:rsidR="00A4083A" w:rsidRPr="00D17312" w:rsidRDefault="00A4083A" w:rsidP="00A4083A">
      <w:pPr>
        <w:pStyle w:val="Podnadpis"/>
        <w:rPr>
          <w:color w:val="auto"/>
        </w:rPr>
      </w:pPr>
      <w:bookmarkStart w:id="232" w:name="_Toc43841411"/>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31</w:t>
      </w:r>
      <w:r w:rsidRPr="00D17312">
        <w:rPr>
          <w:noProof/>
          <w:color w:val="auto"/>
        </w:rPr>
        <w:fldChar w:fldCharType="end"/>
      </w:r>
      <w:r w:rsidRPr="00D17312">
        <w:rPr>
          <w:color w:val="auto"/>
        </w:rPr>
        <w:t>: OS – podíl věcí skončených trestním příkazem v letech 2008–2019</w:t>
      </w:r>
      <w:bookmarkEnd w:id="232"/>
    </w:p>
    <w:p w:rsidR="00A4083A" w:rsidRPr="00D17312" w:rsidRDefault="00A4083A" w:rsidP="00A4083A">
      <w:pPr>
        <w:pStyle w:val="OdstavecASR"/>
      </w:pPr>
      <w:r w:rsidRPr="00D17312">
        <w:rPr>
          <w:noProof/>
          <w:lang w:eastAsia="cs-CZ"/>
        </w:rPr>
        <w:drawing>
          <wp:inline distT="0" distB="0" distL="0" distR="0" wp14:anchorId="67AB2CE9" wp14:editId="2CE6C402">
            <wp:extent cx="5114925" cy="3743325"/>
            <wp:effectExtent l="0" t="0" r="0" b="952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Default="00A4083A" w:rsidP="00A4083A">
      <w:pPr>
        <w:pStyle w:val="OdstavecASR"/>
      </w:pPr>
      <w:r w:rsidRPr="00D17312">
        <w:t>Jako další statistiku v této kapitole</w:t>
      </w:r>
      <w:r>
        <w:t xml:space="preserve"> pro zajímavost</w:t>
      </w:r>
      <w:r w:rsidRPr="00D17312">
        <w:t xml:space="preserve"> uvádíme nejběžnější trestné činy dle věkových kategorií a </w:t>
      </w:r>
      <w:r>
        <w:t xml:space="preserve">připojujeme též </w:t>
      </w:r>
      <w:r w:rsidRPr="00D17312">
        <w:t xml:space="preserve">graf s věkovou strukturou obžalovaných. </w:t>
      </w:r>
      <w:r>
        <w:t xml:space="preserve">Všechna data </w:t>
      </w:r>
      <w:r w:rsidRPr="00D17312">
        <w:t>jsou za rok 2019.</w:t>
      </w:r>
    </w:p>
    <w:p w:rsidR="00A4083A" w:rsidRPr="00D17312" w:rsidRDefault="00A4083A" w:rsidP="00A4083A">
      <w:pPr>
        <w:pStyle w:val="Podnadpis"/>
        <w:rPr>
          <w:color w:val="auto"/>
        </w:rPr>
      </w:pPr>
      <w:bookmarkStart w:id="233" w:name="_Toc43931199"/>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26</w:t>
      </w:r>
      <w:r w:rsidRPr="00D17312">
        <w:rPr>
          <w:color w:val="auto"/>
        </w:rPr>
        <w:fldChar w:fldCharType="end"/>
      </w:r>
      <w:r w:rsidRPr="00D17312">
        <w:rPr>
          <w:color w:val="auto"/>
        </w:rPr>
        <w:t>: OS – nejčastější trestné činy dle věkových skupin</w:t>
      </w:r>
      <w:bookmarkEnd w:id="233"/>
    </w:p>
    <w:tbl>
      <w:tblPr>
        <w:tblW w:w="9072" w:type="dxa"/>
        <w:tblCellMar>
          <w:left w:w="70" w:type="dxa"/>
          <w:right w:w="70" w:type="dxa"/>
        </w:tblCellMar>
        <w:tblLook w:val="04A0" w:firstRow="1" w:lastRow="0" w:firstColumn="1" w:lastColumn="0" w:noHBand="0" w:noVBand="1"/>
      </w:tblPr>
      <w:tblGrid>
        <w:gridCol w:w="1360"/>
        <w:gridCol w:w="1160"/>
        <w:gridCol w:w="1449"/>
        <w:gridCol w:w="1160"/>
        <w:gridCol w:w="1392"/>
        <w:gridCol w:w="1160"/>
        <w:gridCol w:w="1391"/>
      </w:tblGrid>
      <w:tr w:rsidR="00A4083A" w:rsidRPr="00D17312" w:rsidTr="00A41CAB">
        <w:trPr>
          <w:trHeight w:val="345"/>
        </w:trPr>
        <w:tc>
          <w:tcPr>
            <w:tcW w:w="136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Věková skupina</w:t>
            </w:r>
          </w:p>
        </w:tc>
        <w:tc>
          <w:tcPr>
            <w:tcW w:w="1160" w:type="dxa"/>
            <w:tcBorders>
              <w:top w:val="double" w:sz="6" w:space="0" w:color="auto"/>
              <w:left w:val="single" w:sz="4" w:space="0" w:color="auto"/>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Paragraf</w:t>
            </w:r>
          </w:p>
        </w:tc>
        <w:tc>
          <w:tcPr>
            <w:tcW w:w="1449" w:type="dxa"/>
            <w:tcBorders>
              <w:top w:val="double" w:sz="6" w:space="0" w:color="auto"/>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Podíl v</w:t>
            </w:r>
            <w:r>
              <w:rPr>
                <w:rFonts w:eastAsia="Times New Roman"/>
                <w:b/>
                <w:szCs w:val="24"/>
                <w:lang w:eastAsia="cs-CZ"/>
              </w:rPr>
              <w:t> %</w:t>
            </w:r>
          </w:p>
        </w:tc>
        <w:tc>
          <w:tcPr>
            <w:tcW w:w="116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Paragraf</w:t>
            </w:r>
          </w:p>
        </w:tc>
        <w:tc>
          <w:tcPr>
            <w:tcW w:w="1392" w:type="dxa"/>
            <w:tcBorders>
              <w:top w:val="double" w:sz="6" w:space="0" w:color="auto"/>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Podíl v</w:t>
            </w:r>
            <w:r>
              <w:rPr>
                <w:rFonts w:eastAsia="Times New Roman"/>
                <w:b/>
                <w:szCs w:val="24"/>
                <w:lang w:eastAsia="cs-CZ"/>
              </w:rPr>
              <w:t> %</w:t>
            </w:r>
          </w:p>
        </w:tc>
        <w:tc>
          <w:tcPr>
            <w:tcW w:w="116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Paragraf</w:t>
            </w:r>
          </w:p>
        </w:tc>
        <w:tc>
          <w:tcPr>
            <w:tcW w:w="1391"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Podíl v</w:t>
            </w:r>
            <w:r>
              <w:rPr>
                <w:rFonts w:eastAsia="Times New Roman"/>
                <w:b/>
                <w:szCs w:val="24"/>
                <w:lang w:eastAsia="cs-CZ"/>
              </w:rPr>
              <w:t> %</w:t>
            </w:r>
          </w:p>
        </w:tc>
      </w:tr>
      <w:tr w:rsidR="00A4083A" w:rsidRPr="00D17312" w:rsidTr="00A41CAB">
        <w:trPr>
          <w:trHeight w:val="330"/>
        </w:trPr>
        <w:tc>
          <w:tcPr>
            <w:tcW w:w="136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15 až 24 let</w:t>
            </w:r>
          </w:p>
        </w:tc>
        <w:tc>
          <w:tcPr>
            <w:tcW w:w="116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205</w:t>
            </w:r>
          </w:p>
        </w:tc>
        <w:tc>
          <w:tcPr>
            <w:tcW w:w="1449" w:type="dxa"/>
            <w:tcBorders>
              <w:top w:val="nil"/>
              <w:left w:val="nil"/>
              <w:bottom w:val="single" w:sz="4"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25,07</w:t>
            </w:r>
          </w:p>
        </w:tc>
        <w:tc>
          <w:tcPr>
            <w:tcW w:w="11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274</w:t>
            </w:r>
          </w:p>
        </w:tc>
        <w:tc>
          <w:tcPr>
            <w:tcW w:w="1392" w:type="dxa"/>
            <w:tcBorders>
              <w:top w:val="nil"/>
              <w:left w:val="nil"/>
              <w:bottom w:val="single" w:sz="4"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10,23</w:t>
            </w:r>
          </w:p>
        </w:tc>
        <w:tc>
          <w:tcPr>
            <w:tcW w:w="11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337</w:t>
            </w:r>
          </w:p>
        </w:tc>
        <w:tc>
          <w:tcPr>
            <w:tcW w:w="139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8,11</w:t>
            </w:r>
          </w:p>
        </w:tc>
      </w:tr>
      <w:tr w:rsidR="00A4083A" w:rsidRPr="00D17312" w:rsidTr="00A41CAB">
        <w:trPr>
          <w:trHeight w:val="315"/>
        </w:trPr>
        <w:tc>
          <w:tcPr>
            <w:tcW w:w="136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25 až 34 let</w:t>
            </w:r>
          </w:p>
        </w:tc>
        <w:tc>
          <w:tcPr>
            <w:tcW w:w="116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205</w:t>
            </w:r>
          </w:p>
        </w:tc>
        <w:tc>
          <w:tcPr>
            <w:tcW w:w="1449" w:type="dxa"/>
            <w:tcBorders>
              <w:top w:val="nil"/>
              <w:left w:val="nil"/>
              <w:bottom w:val="single" w:sz="4"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23,47</w:t>
            </w:r>
          </w:p>
        </w:tc>
        <w:tc>
          <w:tcPr>
            <w:tcW w:w="11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337</w:t>
            </w:r>
          </w:p>
        </w:tc>
        <w:tc>
          <w:tcPr>
            <w:tcW w:w="1392" w:type="dxa"/>
            <w:tcBorders>
              <w:top w:val="nil"/>
              <w:left w:val="nil"/>
              <w:bottom w:val="single" w:sz="4"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13,25</w:t>
            </w:r>
          </w:p>
        </w:tc>
        <w:tc>
          <w:tcPr>
            <w:tcW w:w="11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274</w:t>
            </w:r>
          </w:p>
        </w:tc>
        <w:tc>
          <w:tcPr>
            <w:tcW w:w="139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13,24</w:t>
            </w:r>
          </w:p>
        </w:tc>
      </w:tr>
      <w:tr w:rsidR="00A4083A" w:rsidRPr="00D17312" w:rsidTr="00A41CAB">
        <w:trPr>
          <w:trHeight w:val="315"/>
        </w:trPr>
        <w:tc>
          <w:tcPr>
            <w:tcW w:w="136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35 až 44 let</w:t>
            </w:r>
          </w:p>
        </w:tc>
        <w:tc>
          <w:tcPr>
            <w:tcW w:w="116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205</w:t>
            </w:r>
          </w:p>
        </w:tc>
        <w:tc>
          <w:tcPr>
            <w:tcW w:w="1449" w:type="dxa"/>
            <w:tcBorders>
              <w:top w:val="nil"/>
              <w:left w:val="nil"/>
              <w:bottom w:val="single" w:sz="4"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16,87</w:t>
            </w:r>
          </w:p>
        </w:tc>
        <w:tc>
          <w:tcPr>
            <w:tcW w:w="11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196</w:t>
            </w:r>
          </w:p>
        </w:tc>
        <w:tc>
          <w:tcPr>
            <w:tcW w:w="1392" w:type="dxa"/>
            <w:tcBorders>
              <w:top w:val="nil"/>
              <w:left w:val="nil"/>
              <w:bottom w:val="single" w:sz="4"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15,21</w:t>
            </w:r>
          </w:p>
        </w:tc>
        <w:tc>
          <w:tcPr>
            <w:tcW w:w="11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274</w:t>
            </w:r>
          </w:p>
        </w:tc>
        <w:tc>
          <w:tcPr>
            <w:tcW w:w="139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14,11</w:t>
            </w:r>
          </w:p>
        </w:tc>
      </w:tr>
      <w:tr w:rsidR="00A4083A" w:rsidRPr="00D17312" w:rsidTr="00A41CAB">
        <w:trPr>
          <w:trHeight w:val="315"/>
        </w:trPr>
        <w:tc>
          <w:tcPr>
            <w:tcW w:w="136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45 až 54 let</w:t>
            </w:r>
          </w:p>
        </w:tc>
        <w:tc>
          <w:tcPr>
            <w:tcW w:w="116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274</w:t>
            </w:r>
          </w:p>
        </w:tc>
        <w:tc>
          <w:tcPr>
            <w:tcW w:w="1449" w:type="dxa"/>
            <w:tcBorders>
              <w:top w:val="nil"/>
              <w:left w:val="nil"/>
              <w:bottom w:val="single" w:sz="4"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19,14</w:t>
            </w:r>
          </w:p>
        </w:tc>
        <w:tc>
          <w:tcPr>
            <w:tcW w:w="11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337</w:t>
            </w:r>
          </w:p>
        </w:tc>
        <w:tc>
          <w:tcPr>
            <w:tcW w:w="1392" w:type="dxa"/>
            <w:tcBorders>
              <w:top w:val="nil"/>
              <w:left w:val="nil"/>
              <w:bottom w:val="single" w:sz="4"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13,41</w:t>
            </w:r>
          </w:p>
        </w:tc>
        <w:tc>
          <w:tcPr>
            <w:tcW w:w="11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196</w:t>
            </w:r>
          </w:p>
        </w:tc>
        <w:tc>
          <w:tcPr>
            <w:tcW w:w="139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12,98</w:t>
            </w:r>
          </w:p>
        </w:tc>
      </w:tr>
      <w:tr w:rsidR="00A4083A" w:rsidRPr="00D17312" w:rsidTr="00A41CAB">
        <w:trPr>
          <w:trHeight w:val="315"/>
        </w:trPr>
        <w:tc>
          <w:tcPr>
            <w:tcW w:w="136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55 až 64 let</w:t>
            </w:r>
          </w:p>
        </w:tc>
        <w:tc>
          <w:tcPr>
            <w:tcW w:w="116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274</w:t>
            </w:r>
          </w:p>
        </w:tc>
        <w:tc>
          <w:tcPr>
            <w:tcW w:w="1449" w:type="dxa"/>
            <w:tcBorders>
              <w:top w:val="nil"/>
              <w:left w:val="nil"/>
              <w:bottom w:val="single" w:sz="4"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25,72</w:t>
            </w:r>
          </w:p>
        </w:tc>
        <w:tc>
          <w:tcPr>
            <w:tcW w:w="11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337</w:t>
            </w:r>
          </w:p>
        </w:tc>
        <w:tc>
          <w:tcPr>
            <w:tcW w:w="1392" w:type="dxa"/>
            <w:tcBorders>
              <w:top w:val="nil"/>
              <w:left w:val="nil"/>
              <w:bottom w:val="single" w:sz="4"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12,03</w:t>
            </w:r>
          </w:p>
        </w:tc>
        <w:tc>
          <w:tcPr>
            <w:tcW w:w="11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205</w:t>
            </w:r>
          </w:p>
        </w:tc>
        <w:tc>
          <w:tcPr>
            <w:tcW w:w="139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10,98</w:t>
            </w:r>
          </w:p>
        </w:tc>
      </w:tr>
      <w:tr w:rsidR="00A4083A" w:rsidRPr="00D17312" w:rsidTr="00A41CAB">
        <w:trPr>
          <w:trHeight w:val="315"/>
        </w:trPr>
        <w:tc>
          <w:tcPr>
            <w:tcW w:w="136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65 až 74 let</w:t>
            </w:r>
          </w:p>
        </w:tc>
        <w:tc>
          <w:tcPr>
            <w:tcW w:w="116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274</w:t>
            </w:r>
          </w:p>
        </w:tc>
        <w:tc>
          <w:tcPr>
            <w:tcW w:w="1449" w:type="dxa"/>
            <w:tcBorders>
              <w:top w:val="nil"/>
              <w:left w:val="nil"/>
              <w:bottom w:val="single" w:sz="4"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26,19</w:t>
            </w:r>
          </w:p>
        </w:tc>
        <w:tc>
          <w:tcPr>
            <w:tcW w:w="11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337</w:t>
            </w:r>
          </w:p>
        </w:tc>
        <w:tc>
          <w:tcPr>
            <w:tcW w:w="1392" w:type="dxa"/>
            <w:tcBorders>
              <w:top w:val="nil"/>
              <w:left w:val="nil"/>
              <w:bottom w:val="single" w:sz="4"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10,98</w:t>
            </w:r>
          </w:p>
        </w:tc>
        <w:tc>
          <w:tcPr>
            <w:tcW w:w="11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147</w:t>
            </w:r>
          </w:p>
        </w:tc>
        <w:tc>
          <w:tcPr>
            <w:tcW w:w="139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8,98</w:t>
            </w:r>
          </w:p>
        </w:tc>
      </w:tr>
      <w:tr w:rsidR="00A4083A" w:rsidRPr="00D17312" w:rsidTr="00A41CAB">
        <w:trPr>
          <w:trHeight w:val="330"/>
        </w:trPr>
        <w:tc>
          <w:tcPr>
            <w:tcW w:w="136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75 a více let</w:t>
            </w:r>
          </w:p>
        </w:tc>
        <w:tc>
          <w:tcPr>
            <w:tcW w:w="1160"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147</w:t>
            </w:r>
          </w:p>
        </w:tc>
        <w:tc>
          <w:tcPr>
            <w:tcW w:w="1449" w:type="dxa"/>
            <w:tcBorders>
              <w:top w:val="nil"/>
              <w:left w:val="nil"/>
              <w:bottom w:val="double" w:sz="6"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24,22</w:t>
            </w:r>
          </w:p>
        </w:tc>
        <w:tc>
          <w:tcPr>
            <w:tcW w:w="11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148</w:t>
            </w:r>
          </w:p>
        </w:tc>
        <w:tc>
          <w:tcPr>
            <w:tcW w:w="1392" w:type="dxa"/>
            <w:tcBorders>
              <w:top w:val="nil"/>
              <w:left w:val="nil"/>
              <w:bottom w:val="double" w:sz="6"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18,01</w:t>
            </w:r>
          </w:p>
        </w:tc>
        <w:tc>
          <w:tcPr>
            <w:tcW w:w="11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274</w:t>
            </w:r>
          </w:p>
        </w:tc>
        <w:tc>
          <w:tcPr>
            <w:tcW w:w="139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14,91</w:t>
            </w:r>
          </w:p>
        </w:tc>
      </w:tr>
    </w:tbl>
    <w:p w:rsidR="00A4083A" w:rsidRPr="00D17312" w:rsidRDefault="00A4083A" w:rsidP="00A4083A">
      <w:pPr>
        <w:pStyle w:val="OdstavecASR"/>
      </w:pPr>
    </w:p>
    <w:p w:rsidR="00A4083A" w:rsidRPr="00D17312" w:rsidRDefault="00A4083A" w:rsidP="00A4083A">
      <w:pPr>
        <w:pStyle w:val="OdstavecASR"/>
      </w:pPr>
      <w:r w:rsidRPr="00F44D20">
        <w:t xml:space="preserve">V tabulce se převážně vyskytují tři zdaleka nejběžnější trestné činy: </w:t>
      </w:r>
      <w:r w:rsidRPr="00866B5D">
        <w:rPr>
          <w:i/>
        </w:rPr>
        <w:t>krádež</w:t>
      </w:r>
      <w:r w:rsidRPr="00F44D20">
        <w:t xml:space="preserve"> (§</w:t>
      </w:r>
      <w:r>
        <w:t> </w:t>
      </w:r>
      <w:r w:rsidRPr="00F44D20">
        <w:t xml:space="preserve">205 trestního zákoníku), </w:t>
      </w:r>
      <w:r w:rsidRPr="00866B5D">
        <w:rPr>
          <w:i/>
        </w:rPr>
        <w:t>ohrožení pod vlivem návykové látky</w:t>
      </w:r>
      <w:r w:rsidRPr="00F44D20">
        <w:t xml:space="preserve"> (§</w:t>
      </w:r>
      <w:r>
        <w:t> </w:t>
      </w:r>
      <w:r w:rsidRPr="00F44D20">
        <w:t xml:space="preserve">274 trestního zákoníku) a </w:t>
      </w:r>
      <w:r w:rsidRPr="00866B5D">
        <w:rPr>
          <w:i/>
        </w:rPr>
        <w:t>maření výkonu úředního rozhodnutí a vykázání</w:t>
      </w:r>
      <w:r w:rsidRPr="00F44D20">
        <w:t xml:space="preserve"> (§</w:t>
      </w:r>
      <w:r>
        <w:t xml:space="preserve"> </w:t>
      </w:r>
      <w:r w:rsidRPr="00F44D20">
        <w:t>337 trestního zákoníku). Jedná se zdaleka nejběžnější trestné činy, a proto jsou samozřejmě i ve výše uvedené tabulce. Přestože se jedná pouze o jednoduchý pohled na data, lze z tabulky vyčíst několik zajímavých údajů:</w:t>
      </w:r>
      <w:r>
        <w:t xml:space="preserve"> </w:t>
      </w:r>
      <w:r w:rsidRPr="00D17312">
        <w:t xml:space="preserve">Trestný čin </w:t>
      </w:r>
      <w:r w:rsidRPr="00D17312">
        <w:rPr>
          <w:i/>
        </w:rPr>
        <w:t>krádeže</w:t>
      </w:r>
      <w:r w:rsidRPr="00D17312">
        <w:t xml:space="preserve"> převládá u</w:t>
      </w:r>
      <w:r>
        <w:t> </w:t>
      </w:r>
      <w:r w:rsidRPr="00D17312">
        <w:t>mladších věkových skupin, později ho „nahradí“ jiné trestné činy.</w:t>
      </w:r>
    </w:p>
    <w:p w:rsidR="00A4083A" w:rsidRPr="00D17312" w:rsidRDefault="00A4083A" w:rsidP="00A4083A">
      <w:pPr>
        <w:pStyle w:val="OdstavecASR"/>
        <w:numPr>
          <w:ilvl w:val="0"/>
          <w:numId w:val="22"/>
        </w:numPr>
      </w:pPr>
      <w:r w:rsidRPr="00D17312">
        <w:t xml:space="preserve">U lidí ve věku 35 až 54 let je velmi běžným trestným činem </w:t>
      </w:r>
      <w:r w:rsidRPr="00D17312">
        <w:rPr>
          <w:i/>
        </w:rPr>
        <w:t>zanedbání povinné výživy</w:t>
      </w:r>
      <w:r w:rsidRPr="00D17312">
        <w:t xml:space="preserve"> (§ 196 trestního zákoníku), zatímco u ostatních věkových skupin je tento trestný čin méně </w:t>
      </w:r>
      <w:r w:rsidRPr="00D17312">
        <w:lastRenderedPageBreak/>
        <w:t>obvyklý. Důvod je nasnadě – mladší lidé děti často zatím nemají nebo mají, ale dítě žije s oběma rodiči. Starší lidé už mají dospělé děti.</w:t>
      </w:r>
    </w:p>
    <w:p w:rsidR="00A4083A" w:rsidRDefault="00A4083A" w:rsidP="00A4083A">
      <w:pPr>
        <w:pStyle w:val="OdstavecASR"/>
        <w:numPr>
          <w:ilvl w:val="0"/>
          <w:numId w:val="22"/>
        </w:numPr>
      </w:pPr>
      <w:r w:rsidRPr="00D17312">
        <w:t xml:space="preserve">Zajímavý je výskyt trestného činu </w:t>
      </w:r>
      <w:r w:rsidRPr="00D17312">
        <w:rPr>
          <w:i/>
        </w:rPr>
        <w:t>těžké ublížení na zdraví z nedbalosti</w:t>
      </w:r>
      <w:r w:rsidRPr="00D17312">
        <w:t xml:space="preserve"> (§</w:t>
      </w:r>
      <w:r>
        <w:t> </w:t>
      </w:r>
      <w:r w:rsidRPr="00D17312">
        <w:t>147 trestního zákoníku) osob nad 65 let. Úmyslná trestná činnost už v tomto věku klesá, a naopak stoupá relativní počet nehod, kdy starší lidé omylem ublíží sobě či někomu jinému (partnerce/partnerovi). Počet pozorování je ale již u těchto věkových skupin poměrně malý.</w:t>
      </w:r>
    </w:p>
    <w:p w:rsidR="00A4083A" w:rsidRPr="00D17312" w:rsidRDefault="00A4083A" w:rsidP="00A4083A">
      <w:pPr>
        <w:pStyle w:val="OdstavecASR"/>
      </w:pPr>
      <w:r w:rsidRPr="00D17312">
        <w:t>Výše jsme krátce diskutovali věk a počet pozorování, proto může být zajímavé podívat se na věkovou strukturu obžalovaných osob. Ta je znázorněna v</w:t>
      </w:r>
      <w:r>
        <w:t> </w:t>
      </w:r>
      <w:r w:rsidRPr="00D17312">
        <w:t>histogramu</w:t>
      </w:r>
      <w:r>
        <w:t xml:space="preserve"> </w:t>
      </w:r>
      <w:r w:rsidRPr="00D17312">
        <w:t>níže.</w:t>
      </w:r>
    </w:p>
    <w:p w:rsidR="00A4083A" w:rsidRPr="00D17312" w:rsidRDefault="00A4083A" w:rsidP="00A4083A">
      <w:pPr>
        <w:pStyle w:val="Podnadpis"/>
        <w:rPr>
          <w:color w:val="auto"/>
        </w:rPr>
      </w:pPr>
      <w:bookmarkStart w:id="234" w:name="_Toc43841412"/>
      <w:r w:rsidRPr="00D17312">
        <w:rPr>
          <w:color w:val="auto"/>
        </w:rPr>
        <w:t xml:space="preserve">Graf </w:t>
      </w:r>
      <w:r w:rsidRPr="00D17312">
        <w:rPr>
          <w:noProof/>
          <w:color w:val="auto"/>
        </w:rPr>
        <w:fldChar w:fldCharType="begin"/>
      </w:r>
      <w:r w:rsidRPr="00D17312">
        <w:rPr>
          <w:noProof/>
          <w:color w:val="auto"/>
        </w:rPr>
        <w:instrText xml:space="preserve"> SEQ Graf \* ARABIC </w:instrText>
      </w:r>
      <w:r w:rsidRPr="00D17312">
        <w:rPr>
          <w:noProof/>
          <w:color w:val="auto"/>
        </w:rPr>
        <w:fldChar w:fldCharType="separate"/>
      </w:r>
      <w:r w:rsidR="006E7F27">
        <w:rPr>
          <w:noProof/>
          <w:color w:val="auto"/>
        </w:rPr>
        <w:t>32</w:t>
      </w:r>
      <w:r w:rsidRPr="00D17312">
        <w:rPr>
          <w:noProof/>
          <w:color w:val="auto"/>
        </w:rPr>
        <w:fldChar w:fldCharType="end"/>
      </w:r>
      <w:r w:rsidRPr="00D17312">
        <w:rPr>
          <w:color w:val="auto"/>
        </w:rPr>
        <w:t>: OS – věková struktura obžalovaných</w:t>
      </w:r>
      <w:bookmarkEnd w:id="234"/>
    </w:p>
    <w:p w:rsidR="00A4083A" w:rsidRPr="00D17312" w:rsidRDefault="00A4083A" w:rsidP="00A4083A">
      <w:pPr>
        <w:spacing w:line="240" w:lineRule="auto"/>
        <w:jc w:val="left"/>
      </w:pPr>
      <w:r w:rsidRPr="00D17312">
        <w:rPr>
          <w:noProof/>
          <w:lang w:eastAsia="cs-CZ"/>
        </w:rPr>
        <w:drawing>
          <wp:inline distT="0" distB="0" distL="0" distR="0" wp14:anchorId="2BFA40A4" wp14:editId="3A8EAB18">
            <wp:extent cx="5114925" cy="3743325"/>
            <wp:effectExtent l="0" t="0" r="0" b="952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spacing w:line="240" w:lineRule="auto"/>
        <w:jc w:val="left"/>
      </w:pPr>
    </w:p>
    <w:p w:rsidR="00A4083A" w:rsidRDefault="00A4083A" w:rsidP="00A4083A">
      <w:pPr>
        <w:pStyle w:val="OdstavecASR"/>
      </w:pPr>
      <w:r w:rsidRPr="00D17312">
        <w:t>Věková struktura obžalovaných asi nikoho nepřekvapí. Trestní odpovědnost</w:t>
      </w:r>
      <w:r w:rsidRPr="00D17312">
        <w:rPr>
          <w:rStyle w:val="Znakapoznpodarou"/>
        </w:rPr>
        <w:footnoteReference w:id="9"/>
      </w:r>
      <w:r w:rsidRPr="00D17312">
        <w:t xml:space="preserve"> podle zákona vzniká ne dříve než dnem, který následuje po dni patnáctých narozenin, proto nejnižší věk obžalovaných nemůže být </w:t>
      </w:r>
      <w:r>
        <w:t xml:space="preserve">nižší či roven </w:t>
      </w:r>
      <w:r w:rsidRPr="00D17312">
        <w:t>15 let</w:t>
      </w:r>
      <w:r>
        <w:t>ům</w:t>
      </w:r>
      <w:r w:rsidRPr="00D17312">
        <w:t>. Nejvíce obžalovaných osob je pak ve věku 25 až 29 let. Velmi četně jsou zastoupeny i osoby ve věku 20 až 24 let a 30 až 44 let. U vyšších věkových skupin pak následuje prudký pokles v četnosti.</w:t>
      </w:r>
    </w:p>
    <w:p w:rsidR="00A4083A" w:rsidRPr="00D17312" w:rsidRDefault="00A4083A" w:rsidP="00A4083A">
      <w:pPr>
        <w:pStyle w:val="OdstavecASR"/>
      </w:pPr>
      <w:r w:rsidRPr="00D17312">
        <w:t xml:space="preserve">Nakonec se podíváme na ukládání peněžitých trestů. Níže uvedená data jsou získána ze statistických listů a týkají se odsouzených osob. </w:t>
      </w:r>
      <w:r>
        <w:t>S</w:t>
      </w:r>
      <w:r w:rsidRPr="00D17312">
        <w:t xml:space="preserve">ouhrnné a úhrnné tresty </w:t>
      </w:r>
      <w:r>
        <w:t xml:space="preserve">tak </w:t>
      </w:r>
      <w:r w:rsidRPr="00D17312">
        <w:t xml:space="preserve">nejsou započteny. </w:t>
      </w:r>
      <w:r>
        <w:t>D</w:t>
      </w:r>
      <w:r w:rsidRPr="00D17312">
        <w:t>ata se vztahují ke všem případům, kdy byl uložený peněžitý trest</w:t>
      </w:r>
      <w:r>
        <w:t>, t</w:t>
      </w:r>
      <w:r w:rsidRPr="00D17312">
        <w:t xml:space="preserve">edy </w:t>
      </w:r>
      <w:r>
        <w:t xml:space="preserve">jak k těm, </w:t>
      </w:r>
      <w:r w:rsidRPr="00D17312">
        <w:t>kdy byl trest uložen jako hlavní sankce</w:t>
      </w:r>
      <w:r>
        <w:t>, tak</w:t>
      </w:r>
      <w:r w:rsidRPr="00D17312">
        <w:t xml:space="preserve"> k případům, kdy byl trest uložen jako další sankce, například vedle trestu odnětí svobody.</w:t>
      </w:r>
    </w:p>
    <w:p w:rsidR="00A4083A" w:rsidRPr="00D17312" w:rsidRDefault="00A4083A" w:rsidP="00A4083A">
      <w:pPr>
        <w:pStyle w:val="OdstavecASR"/>
      </w:pPr>
      <w:r w:rsidRPr="00D17312">
        <w:lastRenderedPageBreak/>
        <w:t xml:space="preserve">Tento statistický údaj je uveden </w:t>
      </w:r>
      <w:r>
        <w:t xml:space="preserve">s ohledem na </w:t>
      </w:r>
      <w:r w:rsidRPr="00D17312">
        <w:t>snah</w:t>
      </w:r>
      <w:r>
        <w:t>u</w:t>
      </w:r>
      <w:r w:rsidRPr="00D17312">
        <w:t xml:space="preserve"> vlády, Ministerstva spravedlnosti</w:t>
      </w:r>
      <w:r>
        <w:t>,</w:t>
      </w:r>
      <w:r w:rsidRPr="00D17312">
        <w:t xml:space="preserve"> Nejvyššího soudu a Nejvyššího státní zastupitelství o zvýšení počtu ukládaných peněžitých trestů jak </w:t>
      </w:r>
      <w:r>
        <w:t xml:space="preserve">prostřednictvím </w:t>
      </w:r>
      <w:r w:rsidRPr="00D17312">
        <w:t>legislativní</w:t>
      </w:r>
      <w:r>
        <w:t>ch</w:t>
      </w:r>
      <w:r w:rsidRPr="00D17312">
        <w:t xml:space="preserve"> opatření, tak apelem nejen na soudy, ale i </w:t>
      </w:r>
      <w:r>
        <w:t xml:space="preserve">na </w:t>
      </w:r>
      <w:r w:rsidRPr="00D17312">
        <w:t xml:space="preserve">státní zastupitelství, policejní orgány a Probační mediační službu. V počtu (a podílu na celkovém počtu odsouzených osob) uložených </w:t>
      </w:r>
      <w:r>
        <w:t xml:space="preserve">peněžitých </w:t>
      </w:r>
      <w:r w:rsidRPr="00D17312">
        <w:t>trestů totiž ČR výrazně zaostává za okolními státy. Zdá se tedy vhodné prozkoumat, zda přijatá opatření opravdu vedou ke zvýšení počtu uložených</w:t>
      </w:r>
      <w:r>
        <w:t xml:space="preserve"> peněžitých</w:t>
      </w:r>
      <w:r w:rsidRPr="00D17312">
        <w:t xml:space="preserve"> trestů. </w:t>
      </w:r>
      <w:r>
        <w:t xml:space="preserve">Nejedná </w:t>
      </w:r>
      <w:r w:rsidRPr="00D17312">
        <w:t xml:space="preserve">se </w:t>
      </w:r>
      <w:r>
        <w:t>nicméně</w:t>
      </w:r>
      <w:r w:rsidRPr="00D17312">
        <w:t xml:space="preserve"> o podrobnou analýzu, která </w:t>
      </w:r>
      <w:r>
        <w:t xml:space="preserve">by </w:t>
      </w:r>
      <w:r w:rsidRPr="00D17312">
        <w:t>přesah</w:t>
      </w:r>
      <w:r>
        <w:t>ovala</w:t>
      </w:r>
      <w:r w:rsidRPr="00D17312">
        <w:t xml:space="preserve"> plánovaný rozsah zprávy.</w:t>
      </w:r>
    </w:p>
    <w:p w:rsidR="00A4083A" w:rsidRPr="00D17312" w:rsidRDefault="00A4083A" w:rsidP="00A4083A">
      <w:pPr>
        <w:pStyle w:val="OdstavecASR"/>
      </w:pPr>
      <w:r>
        <w:t>V</w:t>
      </w:r>
      <w:r w:rsidRPr="00D17312">
        <w:t xml:space="preserve"> prvním grafu je uvedena celková částka peněžitých trestů uložených odsouzeným osobám u okresních soudů. </w:t>
      </w:r>
      <w:r>
        <w:t>S</w:t>
      </w:r>
      <w:r w:rsidRPr="00D17312">
        <w:t>uma uložených trestů od roku 2009 klesala až na částku 85 014</w:t>
      </w:r>
      <w:r>
        <w:t> </w:t>
      </w:r>
      <w:r w:rsidRPr="00D17312">
        <w:t>000</w:t>
      </w:r>
      <w:r>
        <w:t> </w:t>
      </w:r>
      <w:r w:rsidRPr="00D17312">
        <w:t>Kč. Následně došlo k přijetí výše uvedených opatření a částka začala velmi rychle růst. Skokově vzrostla především mezi lety 2017 a 2018. V roce 2019 byla celková suma uložených peněžitých trestů 252 320</w:t>
      </w:r>
      <w:r>
        <w:t> </w:t>
      </w:r>
      <w:r w:rsidRPr="00D17312">
        <w:t>000</w:t>
      </w:r>
      <w:r>
        <w:t> </w:t>
      </w:r>
      <w:r w:rsidRPr="00D17312">
        <w:t>Kč, tedy téměř trojnásobek částky v roce 2015.</w:t>
      </w:r>
    </w:p>
    <w:p w:rsidR="00A4083A" w:rsidRPr="00D17312" w:rsidRDefault="00A4083A" w:rsidP="00A4083A">
      <w:pPr>
        <w:pStyle w:val="Podnadpis"/>
        <w:rPr>
          <w:color w:val="auto"/>
        </w:rPr>
      </w:pPr>
      <w:bookmarkStart w:id="235" w:name="_Toc43841413"/>
      <w:r w:rsidRPr="00D17312">
        <w:rPr>
          <w:color w:val="auto"/>
        </w:rPr>
        <w:t xml:space="preserve">Graf </w:t>
      </w:r>
      <w:r w:rsidRPr="00D17312">
        <w:rPr>
          <w:noProof/>
          <w:color w:val="auto"/>
        </w:rPr>
        <w:fldChar w:fldCharType="begin"/>
      </w:r>
      <w:r w:rsidRPr="00D17312">
        <w:rPr>
          <w:noProof/>
          <w:color w:val="auto"/>
        </w:rPr>
        <w:instrText xml:space="preserve"> SEQ Graf \* ARABIC </w:instrText>
      </w:r>
      <w:r w:rsidRPr="00D17312">
        <w:rPr>
          <w:noProof/>
          <w:color w:val="auto"/>
        </w:rPr>
        <w:fldChar w:fldCharType="separate"/>
      </w:r>
      <w:r w:rsidR="006E7F27">
        <w:rPr>
          <w:noProof/>
          <w:color w:val="auto"/>
        </w:rPr>
        <w:t>33</w:t>
      </w:r>
      <w:r w:rsidRPr="00D17312">
        <w:rPr>
          <w:noProof/>
          <w:color w:val="auto"/>
        </w:rPr>
        <w:fldChar w:fldCharType="end"/>
      </w:r>
      <w:r w:rsidRPr="00D17312">
        <w:rPr>
          <w:color w:val="auto"/>
        </w:rPr>
        <w:t>: OS – suma uložených peněžitých trestů</w:t>
      </w:r>
      <w:bookmarkEnd w:id="235"/>
    </w:p>
    <w:p w:rsidR="00A4083A" w:rsidRDefault="00A4083A" w:rsidP="00A4083A">
      <w:pPr>
        <w:spacing w:line="240" w:lineRule="auto"/>
        <w:jc w:val="left"/>
      </w:pPr>
      <w:r w:rsidRPr="00D17312">
        <w:rPr>
          <w:noProof/>
          <w:lang w:eastAsia="cs-CZ"/>
        </w:rPr>
        <w:drawing>
          <wp:inline distT="0" distB="0" distL="0" distR="0" wp14:anchorId="0E46978E" wp14:editId="4530E246">
            <wp:extent cx="5115560" cy="3743960"/>
            <wp:effectExtent l="0" t="0" r="0" b="8890"/>
            <wp:docPr id="110" name="Obráze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rsidR="00A4083A" w:rsidRPr="00D17312" w:rsidRDefault="00A4083A" w:rsidP="00A4083A">
      <w:pPr>
        <w:spacing w:line="240" w:lineRule="auto"/>
        <w:jc w:val="left"/>
      </w:pPr>
    </w:p>
    <w:p w:rsidR="00A4083A" w:rsidRPr="00D17312" w:rsidRDefault="00A4083A" w:rsidP="00A4083A">
      <w:pPr>
        <w:pStyle w:val="OdstavecASR"/>
      </w:pPr>
      <w:bookmarkStart w:id="236" w:name="_Ref41031750"/>
      <w:r w:rsidRPr="00D17312">
        <w:t xml:space="preserve">Dále je třeba </w:t>
      </w:r>
      <w:r>
        <w:t>zkoumat</w:t>
      </w:r>
      <w:r w:rsidRPr="00D17312">
        <w:t>, zda rostl počet uložených peněžitých trestů, jejich výše</w:t>
      </w:r>
      <w:r>
        <w:t>,</w:t>
      </w:r>
      <w:r w:rsidRPr="00D17312">
        <w:t xml:space="preserve"> nebo obojí. Následující graf dává na tuto otázku jasnou odpověď.</w:t>
      </w:r>
    </w:p>
    <w:p w:rsidR="00A4083A" w:rsidRPr="00D17312" w:rsidRDefault="00A4083A" w:rsidP="00A4083A">
      <w:pPr>
        <w:pStyle w:val="Podnadpis"/>
        <w:rPr>
          <w:color w:val="auto"/>
        </w:rPr>
      </w:pPr>
      <w:bookmarkStart w:id="237" w:name="_Toc43841414"/>
      <w:r w:rsidRPr="00D17312">
        <w:rPr>
          <w:color w:val="auto"/>
        </w:rPr>
        <w:lastRenderedPageBreak/>
        <w:t xml:space="preserve">Graf </w:t>
      </w:r>
      <w:r w:rsidRPr="00D17312">
        <w:rPr>
          <w:noProof/>
          <w:color w:val="auto"/>
        </w:rPr>
        <w:fldChar w:fldCharType="begin"/>
      </w:r>
      <w:r w:rsidRPr="00D17312">
        <w:rPr>
          <w:noProof/>
          <w:color w:val="auto"/>
        </w:rPr>
        <w:instrText xml:space="preserve"> SEQ Graf \* ARABIC </w:instrText>
      </w:r>
      <w:r w:rsidRPr="00D17312">
        <w:rPr>
          <w:noProof/>
          <w:color w:val="auto"/>
        </w:rPr>
        <w:fldChar w:fldCharType="separate"/>
      </w:r>
      <w:r w:rsidR="006E7F27">
        <w:rPr>
          <w:noProof/>
          <w:color w:val="auto"/>
        </w:rPr>
        <w:t>34</w:t>
      </w:r>
      <w:r w:rsidRPr="00D17312">
        <w:rPr>
          <w:noProof/>
          <w:color w:val="auto"/>
        </w:rPr>
        <w:fldChar w:fldCharType="end"/>
      </w:r>
      <w:bookmarkEnd w:id="236"/>
      <w:r w:rsidRPr="00D17312">
        <w:rPr>
          <w:color w:val="auto"/>
        </w:rPr>
        <w:t>: OS – počet a průměrná výše uložených peněžitých trestů</w:t>
      </w:r>
      <w:bookmarkEnd w:id="237"/>
    </w:p>
    <w:p w:rsidR="00A4083A" w:rsidRPr="00D17312" w:rsidRDefault="00A4083A" w:rsidP="00A4083A">
      <w:pPr>
        <w:spacing w:line="240" w:lineRule="auto"/>
        <w:jc w:val="left"/>
      </w:pPr>
      <w:r w:rsidRPr="00D17312">
        <w:rPr>
          <w:noProof/>
          <w:lang w:eastAsia="cs-CZ"/>
        </w:rPr>
        <w:drawing>
          <wp:inline distT="0" distB="0" distL="0" distR="0" wp14:anchorId="7F658067" wp14:editId="73FBDB9D">
            <wp:extent cx="5115560" cy="3743960"/>
            <wp:effectExtent l="0" t="0" r="0" b="8890"/>
            <wp:docPr id="112" name="Obráze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rsidR="00A4083A" w:rsidRPr="00D17312" w:rsidRDefault="00A4083A" w:rsidP="00A4083A">
      <w:pPr>
        <w:spacing w:line="240" w:lineRule="auto"/>
        <w:jc w:val="left"/>
      </w:pPr>
    </w:p>
    <w:p w:rsidR="00A4083A" w:rsidRDefault="00A4083A" w:rsidP="00A4083A">
      <w:pPr>
        <w:pStyle w:val="OdstavecASR"/>
      </w:pPr>
      <w:r>
        <w:t>P</w:t>
      </w:r>
      <w:r w:rsidRPr="00D17312">
        <w:t>růměrná výše peněžitých trestů je v nominálních hodnotách stále přibližně stejná, od roku 2015 se příliš nezměnila. Došlo k mírnému nárůstu oproti roku 2015, nicméně ne například ve srovnání s rokem 2014. Téměř celý růst v celkové částce uložených trestů je tedy způsoben nárůstem počtu uložených peněžitých trestů.</w:t>
      </w:r>
    </w:p>
    <w:p w:rsidR="00A4083A" w:rsidRPr="00D17312" w:rsidRDefault="00A4083A" w:rsidP="00A4083A">
      <w:pPr>
        <w:pStyle w:val="OdstavecASR"/>
      </w:pPr>
      <w:r w:rsidRPr="00D17312">
        <w:t xml:space="preserve">Nakonec je třeba ještě zmínit, že </w:t>
      </w:r>
      <w:r>
        <w:t xml:space="preserve">celkový </w:t>
      </w:r>
      <w:r w:rsidRPr="00D17312">
        <w:t xml:space="preserve">počet odsouzených mezitím klesl. </w:t>
      </w:r>
      <w:r>
        <w:t>P</w:t>
      </w:r>
      <w:r w:rsidRPr="00D17312">
        <w:t>odíl osob, kterým byl uložen peněžitý trest</w:t>
      </w:r>
      <w:r>
        <w:t>,</w:t>
      </w:r>
      <w:r w:rsidRPr="00D17312">
        <w:t xml:space="preserve"> na celkovém počtu odsouzených osob, se </w:t>
      </w:r>
      <w:r>
        <w:t xml:space="preserve">tedy </w:t>
      </w:r>
      <w:r w:rsidRPr="00D17312">
        <w:t xml:space="preserve">zvýšil ještě </w:t>
      </w:r>
      <w:r>
        <w:t>výrazněji, k</w:t>
      </w:r>
      <w:r w:rsidRPr="00D17312">
        <w:t>onkrétně z 5,4</w:t>
      </w:r>
      <w:r>
        <w:t> %</w:t>
      </w:r>
      <w:r w:rsidRPr="00D17312">
        <w:t xml:space="preserve"> v roce 2015 na 17,7</w:t>
      </w:r>
      <w:r>
        <w:t> %</w:t>
      </w:r>
      <w:r w:rsidRPr="00D17312">
        <w:t xml:space="preserve"> v roce 2019.</w:t>
      </w:r>
    </w:p>
    <w:p w:rsidR="00A4083A" w:rsidRPr="00D17312" w:rsidRDefault="00A4083A" w:rsidP="00A4083A">
      <w:pPr>
        <w:pStyle w:val="OdstavecASR"/>
      </w:pPr>
      <w:r>
        <w:t>V</w:t>
      </w:r>
      <w:r w:rsidRPr="00D17312">
        <w:t xml:space="preserve">ýše uvedené </w:t>
      </w:r>
      <w:r>
        <w:t xml:space="preserve">údaje se však týkají pouze ukládání </w:t>
      </w:r>
      <w:r w:rsidRPr="00D17312">
        <w:t>peněžitý</w:t>
      </w:r>
      <w:r>
        <w:t>ch</w:t>
      </w:r>
      <w:r w:rsidRPr="00D17312">
        <w:t xml:space="preserve"> trestů. Druhou </w:t>
      </w:r>
      <w:r>
        <w:t xml:space="preserve">stranou mince je otázka, zda je peněžitý trest splněn, nebo zda v důsledku jeho </w:t>
      </w:r>
      <w:r w:rsidRPr="00D17312">
        <w:t xml:space="preserve">neplnění, tedy neplacení (byť jen z části) soud musí rozhodnout o tzv. přeměně </w:t>
      </w:r>
      <w:r>
        <w:t>na</w:t>
      </w:r>
      <w:r w:rsidRPr="00D17312">
        <w:t> trest jiný. Od roku 2013 novelou provedenou zákonem č. 390/2012 Sb. přibyly k běžnému nařízení výkonu náhradního trestu odnětí svobody</w:t>
      </w:r>
      <w:r w:rsidRPr="00D17312">
        <w:rPr>
          <w:rStyle w:val="Znakapoznpodarou"/>
        </w:rPr>
        <w:footnoteReference w:id="10"/>
      </w:r>
      <w:r w:rsidRPr="00D17312">
        <w:t xml:space="preserve"> (NEPO) další dvě alternativní přeměny, a to v trest domácí</w:t>
      </w:r>
      <w:r>
        <w:t>ho</w:t>
      </w:r>
      <w:r w:rsidRPr="00D17312">
        <w:t xml:space="preserve"> vězení (DV) nebo v trest obecně prospěšných prací (OPP). V následující tabulce se tedy ještě krátce podíváme na pravomocné přeměny peněžitých trestů v jiný trest. Z ní vyplývají zajímavé skutečnosti:</w:t>
      </w:r>
    </w:p>
    <w:p w:rsidR="00A4083A" w:rsidRPr="00D17312" w:rsidRDefault="00A4083A" w:rsidP="00A4083A">
      <w:pPr>
        <w:pStyle w:val="OdstavecASR"/>
        <w:numPr>
          <w:ilvl w:val="0"/>
          <w:numId w:val="22"/>
        </w:numPr>
      </w:pPr>
      <w:r w:rsidRPr="00D17312">
        <w:t>Rok 2009 představuje nejvyšší počet přeměn, resp. nařízení výkonu náhradního trestu odnětí svobody (NEPO)</w:t>
      </w:r>
      <w:r>
        <w:t>.</w:t>
      </w:r>
      <w:r w:rsidRPr="00D17312">
        <w:t xml:space="preserve"> </w:t>
      </w:r>
      <w:r>
        <w:t>N</w:t>
      </w:r>
      <w:r w:rsidRPr="00D17312">
        <w:t xml:space="preserve">ásledně až do roku 2015 </w:t>
      </w:r>
      <w:r>
        <w:t xml:space="preserve">počet těchto přeměn </w:t>
      </w:r>
      <w:r w:rsidRPr="00D17312">
        <w:t>významně klesl na nejnižší stav. To zcela koresponduje s</w:t>
      </w:r>
      <w:r>
        <w:t> </w:t>
      </w:r>
      <w:r w:rsidRPr="00D17312">
        <w:t>poklesem</w:t>
      </w:r>
      <w:r>
        <w:t xml:space="preserve"> počtu</w:t>
      </w:r>
      <w:r w:rsidRPr="00D17312">
        <w:t xml:space="preserve"> ukládaných peněžitých trestů.</w:t>
      </w:r>
    </w:p>
    <w:p w:rsidR="00A4083A" w:rsidRPr="004E0FAF" w:rsidRDefault="00A4083A" w:rsidP="00A4083A">
      <w:pPr>
        <w:pStyle w:val="OdstavecASR"/>
        <w:numPr>
          <w:ilvl w:val="0"/>
          <w:numId w:val="22"/>
        </w:numPr>
      </w:pPr>
      <w:r w:rsidRPr="00D17312">
        <w:t>Z nových alternativních přeměn od roku 2013 se místo nařízení náhradního trestu odnětí svobody velmi často, dokonce v prvních dvou letech dokonce více, využívá přeměna v trest obecně prospěšných prací</w:t>
      </w:r>
      <w:r w:rsidRPr="004E0FAF">
        <w:t xml:space="preserve">. Využívá se nejen vzhledem k diametrálním rozdílům </w:t>
      </w:r>
      <w:r w:rsidRPr="004E0FAF">
        <w:lastRenderedPageBreak/>
        <w:t>v nákladech státu na výkon těchto trestů, ale i z pohledu menšího zásahu do lidských svobod.</w:t>
      </w:r>
    </w:p>
    <w:p w:rsidR="00A4083A" w:rsidRPr="00D17312" w:rsidRDefault="00A4083A" w:rsidP="00A4083A">
      <w:pPr>
        <w:pStyle w:val="OdstavecASR"/>
        <w:numPr>
          <w:ilvl w:val="0"/>
          <w:numId w:val="22"/>
        </w:numPr>
      </w:pPr>
      <w:r w:rsidRPr="00D17312">
        <w:t>Počet přeměn v trest odnětí svobody, resp. nařízení výkonu náhradního trestu odnětí svobody, a z části i přeměn v trest obecně prospěšných prací sice od roku 2018 znovu narůstají, ale nerostou tak rychle jako počet uložených trestů a nedosahují ani úrovně před rokem 2010.</w:t>
      </w:r>
    </w:p>
    <w:p w:rsidR="00A4083A" w:rsidRPr="00D17312" w:rsidRDefault="00A4083A" w:rsidP="00A4083A">
      <w:pPr>
        <w:pStyle w:val="OdstavecASR"/>
      </w:pPr>
      <w:r>
        <w:t>L</w:t>
      </w:r>
      <w:r w:rsidRPr="00D17312">
        <w:t xml:space="preserve">ze </w:t>
      </w:r>
      <w:r>
        <w:t xml:space="preserve">tak konstatovat, </w:t>
      </w:r>
      <w:r w:rsidRPr="00D17312">
        <w:t>ž</w:t>
      </w:r>
      <w:r>
        <w:t>e</w:t>
      </w:r>
      <w:r w:rsidRPr="00D17312">
        <w:t xml:space="preserve"> iniciativa přinesla </w:t>
      </w:r>
      <w:r>
        <w:t>častější</w:t>
      </w:r>
      <w:r w:rsidRPr="00D17312">
        <w:t xml:space="preserve"> ukládání peněžitých trestů a zatím ve stejném poměru nevzrostly přeměny peněžitého trestu v jiný trest. </w:t>
      </w:r>
      <w:r>
        <w:t xml:space="preserve">Situaci je nicméně nutné dále monitorovat s ohledem na prodlení mezi nesplněním uloženého peněžitého trestu a okamžikem, kdy soud z tohoto důvodu </w:t>
      </w:r>
      <w:r w:rsidRPr="00D17312">
        <w:t>přistoupí k případné přeměně trestu.</w:t>
      </w:r>
    </w:p>
    <w:p w:rsidR="00A4083A" w:rsidRPr="00D17312" w:rsidRDefault="00A4083A" w:rsidP="00A4083A">
      <w:pPr>
        <w:pStyle w:val="Podnadpis"/>
        <w:rPr>
          <w:color w:val="auto"/>
        </w:rPr>
      </w:pPr>
      <w:bookmarkStart w:id="238" w:name="_Toc43931200"/>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27</w:t>
      </w:r>
      <w:r w:rsidRPr="00D17312">
        <w:rPr>
          <w:color w:val="auto"/>
        </w:rPr>
        <w:fldChar w:fldCharType="end"/>
      </w:r>
      <w:r w:rsidRPr="00D17312">
        <w:rPr>
          <w:color w:val="auto"/>
        </w:rPr>
        <w:t>: OS – pravomocné přeměny peněžitého trestu v jiný trest</w:t>
      </w:r>
      <w:bookmarkEnd w:id="238"/>
    </w:p>
    <w:tbl>
      <w:tblPr>
        <w:tblW w:w="6440" w:type="dxa"/>
        <w:tblCellMar>
          <w:left w:w="70" w:type="dxa"/>
          <w:right w:w="70" w:type="dxa"/>
        </w:tblCellMar>
        <w:tblLook w:val="04A0" w:firstRow="1" w:lastRow="0" w:firstColumn="1" w:lastColumn="0" w:noHBand="0" w:noVBand="1"/>
      </w:tblPr>
      <w:tblGrid>
        <w:gridCol w:w="1080"/>
        <w:gridCol w:w="1624"/>
        <w:gridCol w:w="829"/>
        <w:gridCol w:w="1131"/>
        <w:gridCol w:w="1776"/>
      </w:tblGrid>
      <w:tr w:rsidR="00A4083A" w:rsidRPr="00D17312" w:rsidTr="00A41CAB">
        <w:trPr>
          <w:trHeight w:val="330"/>
        </w:trPr>
        <w:tc>
          <w:tcPr>
            <w:tcW w:w="108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Rok</w:t>
            </w:r>
          </w:p>
        </w:tc>
        <w:tc>
          <w:tcPr>
            <w:tcW w:w="5360" w:type="dxa"/>
            <w:gridSpan w:val="4"/>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Pravomocná přeměna v</w:t>
            </w:r>
          </w:p>
        </w:tc>
      </w:tr>
      <w:tr w:rsidR="00A4083A" w:rsidRPr="00D17312" w:rsidTr="00A41CAB">
        <w:trPr>
          <w:trHeight w:val="330"/>
        </w:trPr>
        <w:tc>
          <w:tcPr>
            <w:tcW w:w="10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624"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NEPO</w:t>
            </w:r>
          </w:p>
        </w:tc>
        <w:tc>
          <w:tcPr>
            <w:tcW w:w="82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DV</w:t>
            </w:r>
          </w:p>
        </w:tc>
        <w:tc>
          <w:tcPr>
            <w:tcW w:w="1131"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OPP</w:t>
            </w:r>
          </w:p>
        </w:tc>
        <w:tc>
          <w:tcPr>
            <w:tcW w:w="1776"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Celkem</w:t>
            </w:r>
          </w:p>
        </w:tc>
      </w:tr>
      <w:tr w:rsidR="00A4083A" w:rsidRPr="00D17312" w:rsidTr="00A41CAB">
        <w:trPr>
          <w:trHeight w:val="330"/>
        </w:trPr>
        <w:tc>
          <w:tcPr>
            <w:tcW w:w="10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2008</w:t>
            </w:r>
          </w:p>
        </w:tc>
        <w:tc>
          <w:tcPr>
            <w:tcW w:w="162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697</w:t>
            </w:r>
          </w:p>
        </w:tc>
        <w:tc>
          <w:tcPr>
            <w:tcW w:w="82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w:t>
            </w:r>
          </w:p>
        </w:tc>
        <w:tc>
          <w:tcPr>
            <w:tcW w:w="1131"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w:t>
            </w:r>
          </w:p>
        </w:tc>
        <w:tc>
          <w:tcPr>
            <w:tcW w:w="1776"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697</w:t>
            </w:r>
          </w:p>
        </w:tc>
      </w:tr>
      <w:tr w:rsidR="00A4083A" w:rsidRPr="00D17312" w:rsidTr="00A41CAB">
        <w:trPr>
          <w:trHeight w:val="315"/>
        </w:trPr>
        <w:tc>
          <w:tcPr>
            <w:tcW w:w="10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2009</w:t>
            </w:r>
          </w:p>
        </w:tc>
        <w:tc>
          <w:tcPr>
            <w:tcW w:w="162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903</w:t>
            </w:r>
          </w:p>
        </w:tc>
        <w:tc>
          <w:tcPr>
            <w:tcW w:w="82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w:t>
            </w:r>
          </w:p>
        </w:tc>
        <w:tc>
          <w:tcPr>
            <w:tcW w:w="1131"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w:t>
            </w:r>
          </w:p>
        </w:tc>
        <w:tc>
          <w:tcPr>
            <w:tcW w:w="1776"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903</w:t>
            </w:r>
          </w:p>
        </w:tc>
      </w:tr>
      <w:tr w:rsidR="00A4083A" w:rsidRPr="00D17312" w:rsidTr="00A41CAB">
        <w:trPr>
          <w:trHeight w:val="315"/>
        </w:trPr>
        <w:tc>
          <w:tcPr>
            <w:tcW w:w="10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2010</w:t>
            </w:r>
          </w:p>
        </w:tc>
        <w:tc>
          <w:tcPr>
            <w:tcW w:w="162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317</w:t>
            </w:r>
          </w:p>
        </w:tc>
        <w:tc>
          <w:tcPr>
            <w:tcW w:w="82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w:t>
            </w:r>
          </w:p>
        </w:tc>
        <w:tc>
          <w:tcPr>
            <w:tcW w:w="1131"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w:t>
            </w:r>
          </w:p>
        </w:tc>
        <w:tc>
          <w:tcPr>
            <w:tcW w:w="1776"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317</w:t>
            </w:r>
          </w:p>
        </w:tc>
      </w:tr>
      <w:tr w:rsidR="00A4083A" w:rsidRPr="00D17312" w:rsidTr="00A41CAB">
        <w:trPr>
          <w:trHeight w:val="315"/>
        </w:trPr>
        <w:tc>
          <w:tcPr>
            <w:tcW w:w="10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2011</w:t>
            </w:r>
          </w:p>
        </w:tc>
        <w:tc>
          <w:tcPr>
            <w:tcW w:w="162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166</w:t>
            </w:r>
          </w:p>
        </w:tc>
        <w:tc>
          <w:tcPr>
            <w:tcW w:w="82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w:t>
            </w:r>
          </w:p>
        </w:tc>
        <w:tc>
          <w:tcPr>
            <w:tcW w:w="1131"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w:t>
            </w:r>
          </w:p>
        </w:tc>
        <w:tc>
          <w:tcPr>
            <w:tcW w:w="1776"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166</w:t>
            </w:r>
          </w:p>
        </w:tc>
      </w:tr>
      <w:tr w:rsidR="00A4083A" w:rsidRPr="00D17312" w:rsidTr="00A41CAB">
        <w:trPr>
          <w:trHeight w:val="315"/>
        </w:trPr>
        <w:tc>
          <w:tcPr>
            <w:tcW w:w="10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2012</w:t>
            </w:r>
          </w:p>
        </w:tc>
        <w:tc>
          <w:tcPr>
            <w:tcW w:w="162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111</w:t>
            </w:r>
          </w:p>
        </w:tc>
        <w:tc>
          <w:tcPr>
            <w:tcW w:w="82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w:t>
            </w:r>
          </w:p>
        </w:tc>
        <w:tc>
          <w:tcPr>
            <w:tcW w:w="1131"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w:t>
            </w:r>
          </w:p>
        </w:tc>
        <w:tc>
          <w:tcPr>
            <w:tcW w:w="1776"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111</w:t>
            </w:r>
          </w:p>
        </w:tc>
      </w:tr>
      <w:tr w:rsidR="00A4083A" w:rsidRPr="00D17312" w:rsidTr="00A41CAB">
        <w:trPr>
          <w:trHeight w:val="315"/>
        </w:trPr>
        <w:tc>
          <w:tcPr>
            <w:tcW w:w="10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2013</w:t>
            </w:r>
          </w:p>
        </w:tc>
        <w:tc>
          <w:tcPr>
            <w:tcW w:w="162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77</w:t>
            </w:r>
          </w:p>
        </w:tc>
        <w:tc>
          <w:tcPr>
            <w:tcW w:w="82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w:t>
            </w:r>
          </w:p>
        </w:tc>
        <w:tc>
          <w:tcPr>
            <w:tcW w:w="1131"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83</w:t>
            </w:r>
          </w:p>
        </w:tc>
        <w:tc>
          <w:tcPr>
            <w:tcW w:w="1776"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165</w:t>
            </w:r>
          </w:p>
        </w:tc>
      </w:tr>
      <w:tr w:rsidR="00A4083A" w:rsidRPr="00D17312" w:rsidTr="00A41CAB">
        <w:trPr>
          <w:trHeight w:val="315"/>
        </w:trPr>
        <w:tc>
          <w:tcPr>
            <w:tcW w:w="10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2014</w:t>
            </w:r>
          </w:p>
        </w:tc>
        <w:tc>
          <w:tcPr>
            <w:tcW w:w="162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82</w:t>
            </w:r>
          </w:p>
        </w:tc>
        <w:tc>
          <w:tcPr>
            <w:tcW w:w="82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w:t>
            </w:r>
          </w:p>
        </w:tc>
        <w:tc>
          <w:tcPr>
            <w:tcW w:w="1131"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88</w:t>
            </w:r>
          </w:p>
        </w:tc>
        <w:tc>
          <w:tcPr>
            <w:tcW w:w="1776"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171</w:t>
            </w:r>
          </w:p>
        </w:tc>
      </w:tr>
      <w:tr w:rsidR="00A4083A" w:rsidRPr="00D17312" w:rsidTr="00A41CAB">
        <w:trPr>
          <w:trHeight w:val="315"/>
        </w:trPr>
        <w:tc>
          <w:tcPr>
            <w:tcW w:w="10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2015</w:t>
            </w:r>
          </w:p>
        </w:tc>
        <w:tc>
          <w:tcPr>
            <w:tcW w:w="162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69</w:t>
            </w:r>
          </w:p>
        </w:tc>
        <w:tc>
          <w:tcPr>
            <w:tcW w:w="82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w:t>
            </w:r>
          </w:p>
        </w:tc>
        <w:tc>
          <w:tcPr>
            <w:tcW w:w="1131"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49</w:t>
            </w:r>
          </w:p>
        </w:tc>
        <w:tc>
          <w:tcPr>
            <w:tcW w:w="1776"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119</w:t>
            </w:r>
          </w:p>
        </w:tc>
      </w:tr>
      <w:tr w:rsidR="00A4083A" w:rsidRPr="00D17312" w:rsidTr="00A41CAB">
        <w:trPr>
          <w:trHeight w:val="315"/>
        </w:trPr>
        <w:tc>
          <w:tcPr>
            <w:tcW w:w="10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2016</w:t>
            </w:r>
          </w:p>
        </w:tc>
        <w:tc>
          <w:tcPr>
            <w:tcW w:w="162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75</w:t>
            </w:r>
          </w:p>
        </w:tc>
        <w:tc>
          <w:tcPr>
            <w:tcW w:w="82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w:t>
            </w:r>
          </w:p>
        </w:tc>
        <w:tc>
          <w:tcPr>
            <w:tcW w:w="1131"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44</w:t>
            </w:r>
          </w:p>
        </w:tc>
        <w:tc>
          <w:tcPr>
            <w:tcW w:w="1776"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121</w:t>
            </w:r>
          </w:p>
        </w:tc>
      </w:tr>
      <w:tr w:rsidR="00A4083A" w:rsidRPr="00D17312" w:rsidTr="00A41CAB">
        <w:trPr>
          <w:trHeight w:val="315"/>
        </w:trPr>
        <w:tc>
          <w:tcPr>
            <w:tcW w:w="10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2017</w:t>
            </w:r>
          </w:p>
        </w:tc>
        <w:tc>
          <w:tcPr>
            <w:tcW w:w="162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70</w:t>
            </w:r>
          </w:p>
        </w:tc>
        <w:tc>
          <w:tcPr>
            <w:tcW w:w="82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w:t>
            </w:r>
          </w:p>
        </w:tc>
        <w:tc>
          <w:tcPr>
            <w:tcW w:w="1131"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61</w:t>
            </w:r>
          </w:p>
        </w:tc>
        <w:tc>
          <w:tcPr>
            <w:tcW w:w="1776"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131</w:t>
            </w:r>
          </w:p>
        </w:tc>
      </w:tr>
      <w:tr w:rsidR="00A4083A" w:rsidRPr="00D17312" w:rsidTr="00A41CAB">
        <w:trPr>
          <w:trHeight w:val="315"/>
        </w:trPr>
        <w:tc>
          <w:tcPr>
            <w:tcW w:w="10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2018</w:t>
            </w:r>
          </w:p>
        </w:tc>
        <w:tc>
          <w:tcPr>
            <w:tcW w:w="162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105</w:t>
            </w:r>
          </w:p>
        </w:tc>
        <w:tc>
          <w:tcPr>
            <w:tcW w:w="82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w:t>
            </w:r>
          </w:p>
        </w:tc>
        <w:tc>
          <w:tcPr>
            <w:tcW w:w="1131"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76</w:t>
            </w:r>
          </w:p>
        </w:tc>
        <w:tc>
          <w:tcPr>
            <w:tcW w:w="1776"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182</w:t>
            </w:r>
          </w:p>
        </w:tc>
      </w:tr>
      <w:tr w:rsidR="00A4083A" w:rsidRPr="00D17312" w:rsidTr="00A41CAB">
        <w:trPr>
          <w:trHeight w:val="330"/>
        </w:trPr>
        <w:tc>
          <w:tcPr>
            <w:tcW w:w="108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2019</w:t>
            </w:r>
          </w:p>
        </w:tc>
        <w:tc>
          <w:tcPr>
            <w:tcW w:w="1624"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147</w:t>
            </w:r>
          </w:p>
        </w:tc>
        <w:tc>
          <w:tcPr>
            <w:tcW w:w="82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w:t>
            </w:r>
          </w:p>
        </w:tc>
        <w:tc>
          <w:tcPr>
            <w:tcW w:w="1131"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88</w:t>
            </w:r>
          </w:p>
        </w:tc>
        <w:tc>
          <w:tcPr>
            <w:tcW w:w="1776"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236</w:t>
            </w:r>
          </w:p>
        </w:tc>
      </w:tr>
    </w:tbl>
    <w:p w:rsidR="00A4083A" w:rsidRPr="00D17312" w:rsidRDefault="00A4083A" w:rsidP="00A4083A">
      <w:pPr>
        <w:pStyle w:val="OdstavecASR"/>
      </w:pPr>
    </w:p>
    <w:p w:rsidR="00A4083A" w:rsidRPr="00D17312" w:rsidRDefault="00A4083A" w:rsidP="00A4083A">
      <w:pPr>
        <w:pStyle w:val="OdstavecASR"/>
      </w:pPr>
      <w:r w:rsidRPr="00D17312">
        <w:br w:type="page"/>
      </w:r>
    </w:p>
    <w:p w:rsidR="00A4083A" w:rsidRPr="00D17312" w:rsidRDefault="00A4083A" w:rsidP="00A4083A">
      <w:pPr>
        <w:pStyle w:val="Nadpis2"/>
      </w:pPr>
      <w:bookmarkStart w:id="239" w:name="_Ref511307913"/>
      <w:bookmarkStart w:id="240" w:name="_Toc515871236"/>
      <w:bookmarkStart w:id="241" w:name="_Toc43903039"/>
      <w:r w:rsidRPr="00D17312">
        <w:lastRenderedPageBreak/>
        <w:t>Opatrovnická agenda</w:t>
      </w:r>
      <w:bookmarkEnd w:id="239"/>
      <w:bookmarkEnd w:id="240"/>
      <w:bookmarkEnd w:id="241"/>
    </w:p>
    <w:p w:rsidR="00A4083A" w:rsidRPr="00D17312" w:rsidRDefault="00A4083A" w:rsidP="00A4083A">
      <w:pPr>
        <w:pStyle w:val="OdstavecASR"/>
      </w:pPr>
      <w:r w:rsidRPr="00D17312">
        <w:t xml:space="preserve">Z hlediska statistického vykazování je sledování opatrovnické agendy nejjednodušší. Ve statistickém pozorování ve výkazech totiž nedocházelo k žádným velkým změnám. Stejně jako u civilního řízení zahrnuje opatrovnická agenda několik rejstříků. Zdaleka nejvýznamnější, a pro soud časově i jinak nejnáročnější, je agenda zahrnující řízení ohledně svéprávnosti a opatrovnictví člověka, péče soudu o nezletilé apod., tedy </w:t>
      </w:r>
      <w:r>
        <w:t>věci vedené v rejstříku P a Nc.</w:t>
      </w:r>
    </w:p>
    <w:p w:rsidR="00A4083A" w:rsidRPr="00D17312" w:rsidRDefault="00A4083A" w:rsidP="00A4083A">
      <w:pPr>
        <w:pStyle w:val="Nadpis3"/>
        <w:rPr>
          <w:color w:val="auto"/>
        </w:rPr>
      </w:pPr>
      <w:bookmarkStart w:id="242" w:name="_Toc515871237"/>
      <w:bookmarkStart w:id="243" w:name="_Toc43903040"/>
      <w:r w:rsidRPr="00D17312">
        <w:rPr>
          <w:color w:val="auto"/>
        </w:rPr>
        <w:t>Délka řízení</w:t>
      </w:r>
      <w:bookmarkEnd w:id="242"/>
      <w:bookmarkEnd w:id="243"/>
    </w:p>
    <w:p w:rsidR="00A4083A" w:rsidRPr="00D17312" w:rsidRDefault="00A4083A" w:rsidP="00A4083A">
      <w:pPr>
        <w:pStyle w:val="OdstavecASR"/>
      </w:pPr>
      <w:r w:rsidRPr="00D17312">
        <w:t>Platí stejné poznámky jako u civilního řízení. Délku řízení tedy zjišťujeme ze statistických listů a uvádíme v kalendářních dnech ode dne nápadu do dne konečného vyřízení soudem I. stupně. Statistiky týkající se délky řízení jsou v této agendě dostupné až od roku 2009.</w:t>
      </w:r>
    </w:p>
    <w:p w:rsidR="00A4083A" w:rsidRPr="00D17312" w:rsidRDefault="00A4083A" w:rsidP="00A4083A">
      <w:pPr>
        <w:pStyle w:val="OdstavecASR"/>
        <w:rPr>
          <w:highlight w:val="yellow"/>
        </w:rPr>
      </w:pPr>
      <w:r w:rsidRPr="00D17312">
        <w:t>Délka řízení byla až do roku 2015 velmi stabilní, v letech 2015 a 2016 došlo k náhlému nárůstu následovanému tříletým poklesem. Příčinu zmíněného nárůstu můžeme spatřovat především v nabytí účinnosti zákona č. 89/2012 S</w:t>
      </w:r>
      <w:r>
        <w:t>b., občanský zákoník (o. z.</w:t>
      </w:r>
      <w:r w:rsidRPr="00D17312">
        <w:t>), podle kterého bylo třeba do tří let přezkoumat všechny osoby, kterým byla omezena svéprávnost</w:t>
      </w:r>
      <w:r>
        <w:t>.</w:t>
      </w:r>
      <w:r w:rsidRPr="00D17312">
        <w:rPr>
          <w:rStyle w:val="Znakapoznpodarou"/>
        </w:rPr>
        <w:footnoteReference w:id="11"/>
      </w:r>
      <w:r w:rsidRPr="00D17312">
        <w:t xml:space="preserve"> Přibyly i další druhy rozhodování (podpůrná opatření při narušení schopnosti zletilého právně jednat apod.). Došlo tak k velkému rozšíření obsahu opatrovnické agendy soudů, jak ukazuje další podkapitola. Pokles délky řízení v letech 2017–2019 byl pravděpodobně ovlivněn zejména přijetím novely </w:t>
      </w:r>
      <w:r>
        <w:t>o. z.</w:t>
      </w:r>
      <w:r w:rsidRPr="00D17312">
        <w:t xml:space="preserve"> proveden</w:t>
      </w:r>
      <w:r>
        <w:t>é</w:t>
      </w:r>
      <w:r w:rsidRPr="00D17312">
        <w:t xml:space="preserve"> zákonem č.</w:t>
      </w:r>
      <w:r>
        <w:t> </w:t>
      </w:r>
      <w:r w:rsidRPr="00D17312">
        <w:t>460/2016 Sb., která prodlužuje v některých případech dobu přezkumu osob zbavených či omezených ve svéprávnosti před rokem 2014 ze 3 na 5 let</w:t>
      </w:r>
      <w:r>
        <w:t xml:space="preserve"> (§ 59 o. z.</w:t>
      </w:r>
      <w:r w:rsidRPr="00D17312">
        <w:t>).</w:t>
      </w:r>
    </w:p>
    <w:p w:rsidR="00A4083A" w:rsidRPr="00D17312" w:rsidRDefault="00A4083A" w:rsidP="00A4083A">
      <w:pPr>
        <w:rPr>
          <w:highlight w:val="yellow"/>
        </w:rPr>
      </w:pPr>
    </w:p>
    <w:p w:rsidR="00A4083A" w:rsidRPr="00D17312" w:rsidRDefault="00A4083A" w:rsidP="00A4083A">
      <w:pPr>
        <w:rPr>
          <w:highlight w:val="yellow"/>
        </w:rPr>
      </w:pPr>
    </w:p>
    <w:p w:rsidR="00A4083A" w:rsidRPr="00D17312" w:rsidRDefault="00A4083A" w:rsidP="00A4083A">
      <w:pPr>
        <w:pStyle w:val="Podnadpis"/>
        <w:rPr>
          <w:color w:val="auto"/>
        </w:rPr>
      </w:pPr>
      <w:bookmarkStart w:id="244" w:name="_Toc515871365"/>
      <w:bookmarkStart w:id="245" w:name="_Toc11135097"/>
      <w:bookmarkStart w:id="246" w:name="_Toc43841415"/>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35</w:t>
      </w:r>
      <w:r w:rsidRPr="00D17312">
        <w:rPr>
          <w:noProof/>
          <w:color w:val="auto"/>
        </w:rPr>
        <w:fldChar w:fldCharType="end"/>
      </w:r>
      <w:r w:rsidRPr="00D17312">
        <w:rPr>
          <w:color w:val="auto"/>
        </w:rPr>
        <w:t>: OS – délka řízení v opatrovnické agendě v letech 2010–201</w:t>
      </w:r>
      <w:bookmarkEnd w:id="244"/>
      <w:bookmarkEnd w:id="245"/>
      <w:r w:rsidRPr="00D17312">
        <w:rPr>
          <w:color w:val="auto"/>
        </w:rPr>
        <w:t>9</w:t>
      </w:r>
      <w:bookmarkEnd w:id="246"/>
    </w:p>
    <w:p w:rsidR="00A4083A" w:rsidRPr="00D17312" w:rsidRDefault="00A4083A" w:rsidP="00A4083A">
      <w:r w:rsidRPr="00D17312">
        <w:rPr>
          <w:noProof/>
          <w:lang w:eastAsia="cs-CZ"/>
        </w:rPr>
        <w:drawing>
          <wp:inline distT="0" distB="0" distL="0" distR="0" wp14:anchorId="2024FAF7" wp14:editId="45BCA2FB">
            <wp:extent cx="5114925" cy="3743325"/>
            <wp:effectExtent l="0" t="0" r="0" b="9525"/>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rPr>
          <w:highlight w:val="yellow"/>
        </w:rPr>
      </w:pPr>
    </w:p>
    <w:p w:rsidR="00A4083A" w:rsidRPr="00D17312" w:rsidRDefault="00A4083A" w:rsidP="00A4083A">
      <w:pPr>
        <w:pStyle w:val="OdstavecASR"/>
      </w:pPr>
      <w:r w:rsidRPr="00D17312">
        <w:t>Podle zkušeností soudů nová agenda samozřejmě představuje dodatečnou zátěž. Hlavní problém ale ležel ve vyhotovování znaleckých posudků potřebných pro přezkum svéprávnosti. Znalci byli natolik zahlceni, že odmítali zpracovávat nové věci do doby, než zpracovali ty, které jim byly přiděleny dříve. Na znalecké posudky soudy čekaly a dosud čekají šest měsíců, někdy i déle. To se samozřejmě promítlo do celkové délky řízení. Jak bylo zmíněno již dříve, reálné změny ve vyřizování agendy se do délky řízení promítají s určitým zpožděním. Nárůst v délce řízení je tedy patrný až v roce 2015 a 2016 a násled</w:t>
      </w:r>
      <w:r>
        <w:t>uje</w:t>
      </w:r>
      <w:r w:rsidRPr="00D17312">
        <w:t xml:space="preserve"> pokles v letech 2017 a 2018. V roce 2019 pokles pokračoval a délky řízení se již prakticky vrátily na úroveň před účinností </w:t>
      </w:r>
      <w:r>
        <w:t>o. z.</w:t>
      </w:r>
      <w:r w:rsidRPr="00D17312">
        <w:t xml:space="preserve"> Klesl především percentil 90 a průměr</w:t>
      </w:r>
      <w:r>
        <w:t>,</w:t>
      </w:r>
      <w:r w:rsidRPr="00D17312">
        <w:t xml:space="preserve"> </w:t>
      </w:r>
      <w:r>
        <w:t>c</w:t>
      </w:r>
      <w:r w:rsidRPr="00D17312">
        <w:t>ož znamená, že relativně klesl počet věcí, které nejsou vyřízeny dlouhou dobu.</w:t>
      </w:r>
    </w:p>
    <w:p w:rsidR="00A4083A" w:rsidRPr="00D17312" w:rsidRDefault="00A4083A" w:rsidP="00A4083A">
      <w:pPr>
        <w:pStyle w:val="OdstavecASR"/>
      </w:pPr>
      <w:r w:rsidRPr="00D17312">
        <w:t xml:space="preserve">Délky řízení byly ovlivněny faktorem, že v letech 2016 až 2018 převýšil počet vyřízených věcí počet věcí příchozích. Zdá se tedy, že výše popsané problémy v této agendě, které nastaly po nabytí účinnosti </w:t>
      </w:r>
      <w:r>
        <w:t>o. z.</w:t>
      </w:r>
      <w:r w:rsidRPr="00D17312">
        <w:t>, se částečně podařilo vyřešit. Dílčí vliv může plynout i z opatření některých soudů na posílení opatrovnických oddělení.</w:t>
      </w:r>
    </w:p>
    <w:p w:rsidR="00A4083A" w:rsidRPr="00D17312" w:rsidRDefault="00A4083A" w:rsidP="00A4083A">
      <w:pPr>
        <w:spacing w:line="240" w:lineRule="auto"/>
        <w:jc w:val="left"/>
        <w:rPr>
          <w:highlight w:val="yellow"/>
        </w:rPr>
      </w:pPr>
      <w:r w:rsidRPr="00D17312">
        <w:rPr>
          <w:highlight w:val="yellow"/>
        </w:rPr>
        <w:br w:type="page"/>
      </w:r>
    </w:p>
    <w:p w:rsidR="00A4083A" w:rsidRPr="00D17312" w:rsidRDefault="00A4083A" w:rsidP="00A4083A">
      <w:pPr>
        <w:pStyle w:val="Podnadpis"/>
        <w:rPr>
          <w:color w:val="auto"/>
        </w:rPr>
      </w:pPr>
      <w:bookmarkStart w:id="247" w:name="_Toc515871460"/>
      <w:bookmarkStart w:id="248" w:name="_Toc11133228"/>
      <w:bookmarkStart w:id="249" w:name="_Toc43931201"/>
      <w:r w:rsidRPr="00D17312">
        <w:rPr>
          <w:color w:val="auto"/>
        </w:rPr>
        <w:lastRenderedPageBreak/>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28</w:t>
      </w:r>
      <w:r w:rsidRPr="00D17312">
        <w:rPr>
          <w:noProof/>
          <w:color w:val="auto"/>
        </w:rPr>
        <w:fldChar w:fldCharType="end"/>
      </w:r>
      <w:r w:rsidRPr="00D17312">
        <w:rPr>
          <w:color w:val="auto"/>
        </w:rPr>
        <w:t>: OS – délky řízení v opatrovnické agendě dle krajů</w:t>
      </w:r>
      <w:bookmarkEnd w:id="247"/>
      <w:bookmarkEnd w:id="248"/>
      <w:bookmarkEnd w:id="249"/>
    </w:p>
    <w:tbl>
      <w:tblPr>
        <w:tblW w:w="7521" w:type="dxa"/>
        <w:tblCellMar>
          <w:left w:w="70" w:type="dxa"/>
          <w:right w:w="70" w:type="dxa"/>
        </w:tblCellMar>
        <w:tblLook w:val="04A0" w:firstRow="1" w:lastRow="0" w:firstColumn="1" w:lastColumn="0" w:noHBand="0" w:noVBand="1"/>
      </w:tblPr>
      <w:tblGrid>
        <w:gridCol w:w="2480"/>
        <w:gridCol w:w="728"/>
        <w:gridCol w:w="980"/>
        <w:gridCol w:w="505"/>
        <w:gridCol w:w="1120"/>
        <w:gridCol w:w="728"/>
        <w:gridCol w:w="980"/>
      </w:tblGrid>
      <w:tr w:rsidR="00A4083A" w:rsidRPr="00D17312" w:rsidTr="00A41C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Nadřízený soud</w:t>
            </w:r>
          </w:p>
        </w:tc>
        <w:tc>
          <w:tcPr>
            <w:tcW w:w="5041" w:type="dxa"/>
            <w:gridSpan w:val="6"/>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Délka řízení</w:t>
            </w:r>
          </w:p>
        </w:tc>
      </w:tr>
      <w:tr w:rsidR="00A4083A" w:rsidRPr="00D17312" w:rsidTr="00A41CAB">
        <w:trPr>
          <w:trHeight w:val="330"/>
        </w:trPr>
        <w:tc>
          <w:tcPr>
            <w:tcW w:w="24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708"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Průměr</w:t>
            </w:r>
          </w:p>
        </w:tc>
        <w:tc>
          <w:tcPr>
            <w:tcW w:w="1625" w:type="dxa"/>
            <w:gridSpan w:val="2"/>
            <w:tcBorders>
              <w:top w:val="nil"/>
              <w:left w:val="single" w:sz="4" w:space="0" w:color="auto"/>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Medián</w:t>
            </w:r>
          </w:p>
        </w:tc>
        <w:tc>
          <w:tcPr>
            <w:tcW w:w="1708"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Percentil 90</w:t>
            </w:r>
          </w:p>
        </w:tc>
      </w:tr>
      <w:tr w:rsidR="00A4083A" w:rsidRPr="00D17312"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728"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158</w:t>
            </w:r>
          </w:p>
        </w:tc>
        <w:tc>
          <w:tcPr>
            <w:tcW w:w="980"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c>
          <w:tcPr>
            <w:tcW w:w="50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83</w:t>
            </w:r>
          </w:p>
        </w:tc>
        <w:tc>
          <w:tcPr>
            <w:tcW w:w="1120"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c>
          <w:tcPr>
            <w:tcW w:w="728"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353</w:t>
            </w:r>
          </w:p>
        </w:tc>
        <w:tc>
          <w:tcPr>
            <w:tcW w:w="980"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72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97</w:t>
            </w:r>
          </w:p>
        </w:tc>
        <w:tc>
          <w:tcPr>
            <w:tcW w:w="9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50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63</w:t>
            </w:r>
          </w:p>
        </w:tc>
        <w:tc>
          <w:tcPr>
            <w:tcW w:w="1120"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c>
          <w:tcPr>
            <w:tcW w:w="72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212</w:t>
            </w:r>
          </w:p>
        </w:tc>
        <w:tc>
          <w:tcPr>
            <w:tcW w:w="9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72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72</w:t>
            </w:r>
          </w:p>
        </w:tc>
        <w:tc>
          <w:tcPr>
            <w:tcW w:w="9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w:t>
            </w:r>
            <w:r>
              <w:rPr>
                <w:rFonts w:eastAsia="Times New Roman"/>
                <w:sz w:val="20"/>
                <w:szCs w:val="20"/>
                <w:lang w:eastAsia="cs-CZ"/>
              </w:rPr>
              <w:t> %</w:t>
            </w:r>
          </w:p>
        </w:tc>
        <w:tc>
          <w:tcPr>
            <w:tcW w:w="50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46</w:t>
            </w:r>
          </w:p>
        </w:tc>
        <w:tc>
          <w:tcPr>
            <w:tcW w:w="1120"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72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146</w:t>
            </w:r>
          </w:p>
        </w:tc>
        <w:tc>
          <w:tcPr>
            <w:tcW w:w="9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72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106</w:t>
            </w:r>
          </w:p>
        </w:tc>
        <w:tc>
          <w:tcPr>
            <w:tcW w:w="9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50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69</w:t>
            </w:r>
          </w:p>
        </w:tc>
        <w:tc>
          <w:tcPr>
            <w:tcW w:w="1120"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72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225</w:t>
            </w:r>
          </w:p>
        </w:tc>
        <w:tc>
          <w:tcPr>
            <w:tcW w:w="9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72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162</w:t>
            </w:r>
          </w:p>
        </w:tc>
        <w:tc>
          <w:tcPr>
            <w:tcW w:w="9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-23</w:t>
            </w:r>
            <w:r>
              <w:rPr>
                <w:rFonts w:eastAsia="Times New Roman"/>
                <w:sz w:val="20"/>
                <w:szCs w:val="20"/>
                <w:lang w:eastAsia="cs-CZ"/>
              </w:rPr>
              <w:t> %</w:t>
            </w:r>
          </w:p>
        </w:tc>
        <w:tc>
          <w:tcPr>
            <w:tcW w:w="50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87</w:t>
            </w:r>
          </w:p>
        </w:tc>
        <w:tc>
          <w:tcPr>
            <w:tcW w:w="1120"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-14</w:t>
            </w:r>
            <w:r>
              <w:rPr>
                <w:rFonts w:eastAsia="Times New Roman"/>
                <w:sz w:val="20"/>
                <w:szCs w:val="20"/>
                <w:lang w:eastAsia="cs-CZ"/>
              </w:rPr>
              <w:t> %</w:t>
            </w:r>
          </w:p>
        </w:tc>
        <w:tc>
          <w:tcPr>
            <w:tcW w:w="72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356</w:t>
            </w:r>
          </w:p>
        </w:tc>
        <w:tc>
          <w:tcPr>
            <w:tcW w:w="9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-38</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72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110</w:t>
            </w:r>
          </w:p>
        </w:tc>
        <w:tc>
          <w:tcPr>
            <w:tcW w:w="9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50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70</w:t>
            </w:r>
          </w:p>
        </w:tc>
        <w:tc>
          <w:tcPr>
            <w:tcW w:w="1120"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72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235</w:t>
            </w:r>
          </w:p>
        </w:tc>
        <w:tc>
          <w:tcPr>
            <w:tcW w:w="9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72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150</w:t>
            </w:r>
          </w:p>
        </w:tc>
        <w:tc>
          <w:tcPr>
            <w:tcW w:w="9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-12</w:t>
            </w:r>
            <w:r>
              <w:rPr>
                <w:rFonts w:eastAsia="Times New Roman"/>
                <w:sz w:val="20"/>
                <w:szCs w:val="20"/>
                <w:lang w:eastAsia="cs-CZ"/>
              </w:rPr>
              <w:t> %</w:t>
            </w:r>
          </w:p>
        </w:tc>
        <w:tc>
          <w:tcPr>
            <w:tcW w:w="50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96</w:t>
            </w:r>
          </w:p>
        </w:tc>
        <w:tc>
          <w:tcPr>
            <w:tcW w:w="1120"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72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310</w:t>
            </w:r>
          </w:p>
        </w:tc>
        <w:tc>
          <w:tcPr>
            <w:tcW w:w="98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-19</w:t>
            </w:r>
            <w:r>
              <w:rPr>
                <w:rFonts w:eastAsia="Times New Roman"/>
                <w:sz w:val="20"/>
                <w:szCs w:val="20"/>
                <w:lang w:eastAsia="cs-CZ"/>
              </w:rPr>
              <w:t> %</w:t>
            </w:r>
          </w:p>
        </w:tc>
      </w:tr>
      <w:tr w:rsidR="00A4083A" w:rsidRPr="00D17312"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728"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123</w:t>
            </w:r>
          </w:p>
        </w:tc>
        <w:tc>
          <w:tcPr>
            <w:tcW w:w="98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505"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85</w:t>
            </w:r>
          </w:p>
        </w:tc>
        <w:tc>
          <w:tcPr>
            <w:tcW w:w="1120"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728"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248</w:t>
            </w:r>
          </w:p>
        </w:tc>
        <w:tc>
          <w:tcPr>
            <w:tcW w:w="98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r>
      <w:tr w:rsidR="00A4083A" w:rsidRPr="00D17312"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728"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126</w:t>
            </w:r>
          </w:p>
        </w:tc>
        <w:tc>
          <w:tcPr>
            <w:tcW w:w="98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-9</w:t>
            </w:r>
            <w:r>
              <w:rPr>
                <w:rFonts w:eastAsia="Times New Roman"/>
                <w:b/>
                <w:bCs/>
                <w:sz w:val="20"/>
                <w:szCs w:val="20"/>
                <w:lang w:eastAsia="cs-CZ"/>
              </w:rPr>
              <w:t> %</w:t>
            </w:r>
          </w:p>
        </w:tc>
        <w:tc>
          <w:tcPr>
            <w:tcW w:w="505"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77</w:t>
            </w:r>
          </w:p>
        </w:tc>
        <w:tc>
          <w:tcPr>
            <w:tcW w:w="1120"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-3</w:t>
            </w:r>
            <w:r>
              <w:rPr>
                <w:rFonts w:eastAsia="Times New Roman"/>
                <w:b/>
                <w:bCs/>
                <w:sz w:val="20"/>
                <w:szCs w:val="20"/>
                <w:lang w:eastAsia="cs-CZ"/>
              </w:rPr>
              <w:t> %</w:t>
            </w:r>
          </w:p>
        </w:tc>
        <w:tc>
          <w:tcPr>
            <w:tcW w:w="728"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265</w:t>
            </w:r>
          </w:p>
        </w:tc>
        <w:tc>
          <w:tcPr>
            <w:tcW w:w="98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-13</w:t>
            </w:r>
            <w:r>
              <w:rPr>
                <w:rFonts w:eastAsia="Times New Roman"/>
                <w:b/>
                <w:bCs/>
                <w:sz w:val="20"/>
                <w:szCs w:val="20"/>
                <w:lang w:eastAsia="cs-CZ"/>
              </w:rPr>
              <w:t> %</w:t>
            </w:r>
          </w:p>
        </w:tc>
      </w:tr>
    </w:tbl>
    <w:p w:rsidR="00A4083A" w:rsidRPr="00D17312" w:rsidRDefault="00A4083A" w:rsidP="00A4083A">
      <w:pPr>
        <w:rPr>
          <w:highlight w:val="yellow"/>
        </w:rPr>
      </w:pPr>
    </w:p>
    <w:p w:rsidR="00A4083A" w:rsidRPr="00D17312" w:rsidRDefault="00A4083A" w:rsidP="00A4083A">
      <w:pPr>
        <w:pStyle w:val="OdstavecASR"/>
      </w:pPr>
      <w:r w:rsidRPr="00D17312">
        <w:t xml:space="preserve">Z tabulky a kartogramu vyplývá, že situace v opatrovnické agendě je přibližně stejná jako v agendě občanskoprávní (délky v opatrovnických řízeních jsou však přibližně poloviční). </w:t>
      </w:r>
      <w:r>
        <w:t>N</w:t>
      </w:r>
      <w:r w:rsidRPr="00D17312">
        <w:t xml:space="preserve">ejvyšší délky řízení </w:t>
      </w:r>
      <w:r>
        <w:t xml:space="preserve">tedy </w:t>
      </w:r>
      <w:r w:rsidRPr="00D17312">
        <w:t xml:space="preserve">opětovně vykazují soudy v Severočeském a Jihomoravském kraji. Nově se k nim rovněž přidala Praha, což je ale způsobeno tím, že v obou krajích výrazně klesla délka řízení a Prahu tedy vlastně dohnaly. Celkově lze říct, že mezi kraji nejsou nyní příliš velké rozdíly </w:t>
      </w:r>
      <w:r>
        <w:t>s</w:t>
      </w:r>
      <w:r w:rsidRPr="00D17312">
        <w:t> výjimkou Jihočeského kraje, kde jsou délky řízení výrazně nižší.</w:t>
      </w:r>
    </w:p>
    <w:p w:rsidR="00A4083A" w:rsidRDefault="00A4083A" w:rsidP="00A4083A">
      <w:pPr>
        <w:pStyle w:val="OdstavecASR"/>
      </w:pPr>
      <w:r w:rsidRPr="00D17312">
        <w:t>Jediný kraj, kde délky řízení stouply, je Středočeský. Tento kraj si ovšem vede dlouhodobě velice dobře a určitý nárůst v délce řízení tedy nepředstavuje problém.</w:t>
      </w:r>
    </w:p>
    <w:p w:rsidR="00A4083A" w:rsidRPr="00D17312" w:rsidRDefault="00A4083A" w:rsidP="00A4083A">
      <w:pPr>
        <w:pStyle w:val="OdstavecASR"/>
      </w:pPr>
      <w:r w:rsidRPr="00D17312">
        <w:t>Nejrychleji vyřizovaly opatrovnickou agendu v roce 2019 následující soudy: OS Jindřichův Hradec (mediánová délka řízení 33 dnů), OS Svitavy (37 dnů) a OS Tábor (40 dnů). Naopak nejpomalejší je OS pro Prahu 1, kde je mediánová délka řízení 172 dnů (zde je třeba zmínit, že soud vyřizuje malé množství opatrovnických věcí). Následuje OS Znojmo (155 dnů) a OS Děčín 7 (140 dnů). Za zmínku stojí OS Chomutov, kde vykázaná délka řízení klesla z 202 dnů na 110, tedy v zásadě na polovinu. Soud rovněž vyřizuje více věcí, než mu přijde. Uvedené statistiky dokládají zlepšení situace.</w:t>
      </w:r>
    </w:p>
    <w:p w:rsidR="00A4083A" w:rsidRPr="00D17312" w:rsidRDefault="00A4083A" w:rsidP="00A4083A">
      <w:pPr>
        <w:pStyle w:val="OdstavecASR"/>
        <w:rPr>
          <w:highlight w:val="yellow"/>
        </w:rPr>
      </w:pPr>
    </w:p>
    <w:p w:rsidR="00A4083A" w:rsidRPr="00D17312" w:rsidRDefault="00A4083A" w:rsidP="00A4083A">
      <w:pPr>
        <w:pStyle w:val="Podnadpis"/>
        <w:rPr>
          <w:color w:val="auto"/>
        </w:rPr>
      </w:pPr>
      <w:bookmarkStart w:id="250" w:name="_Toc515871366"/>
      <w:bookmarkStart w:id="251" w:name="_Toc11135098"/>
      <w:bookmarkStart w:id="252" w:name="_Toc43841416"/>
      <w:bookmarkStart w:id="253" w:name="_Toc515871367"/>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36</w:t>
      </w:r>
      <w:r w:rsidRPr="00D17312">
        <w:rPr>
          <w:noProof/>
          <w:color w:val="auto"/>
        </w:rPr>
        <w:fldChar w:fldCharType="end"/>
      </w:r>
      <w:r w:rsidRPr="00D17312">
        <w:rPr>
          <w:color w:val="auto"/>
        </w:rPr>
        <w:t>: OS – mediánové délky řízení v opatrov. agendě u jednotlivých soudů</w:t>
      </w:r>
      <w:bookmarkEnd w:id="250"/>
      <w:bookmarkEnd w:id="251"/>
      <w:bookmarkEnd w:id="252"/>
    </w:p>
    <w:p w:rsidR="00A4083A" w:rsidRPr="00D17312" w:rsidRDefault="00A4083A" w:rsidP="00A4083A">
      <w:r w:rsidRPr="00D17312">
        <w:rPr>
          <w:noProof/>
          <w:lang w:eastAsia="cs-CZ"/>
        </w:rPr>
        <w:drawing>
          <wp:inline distT="0" distB="0" distL="0" distR="0" wp14:anchorId="70C55B6F" wp14:editId="5E51B2E0">
            <wp:extent cx="5760000" cy="3330000"/>
            <wp:effectExtent l="0" t="0" r="0" b="3810"/>
            <wp:docPr id="101" name="Obráze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60000" cy="3330000"/>
                    </a:xfrm>
                    <a:prstGeom prst="rect">
                      <a:avLst/>
                    </a:prstGeom>
                    <a:noFill/>
                    <a:ln>
                      <a:noFill/>
                    </a:ln>
                  </pic:spPr>
                </pic:pic>
              </a:graphicData>
            </a:graphic>
          </wp:inline>
        </w:drawing>
      </w:r>
      <w:r w:rsidRPr="00D17312">
        <w:rPr>
          <w:noProof/>
          <w:lang w:eastAsia="cs-CZ"/>
        </w:rPr>
        <w:drawing>
          <wp:anchor distT="0" distB="0" distL="114300" distR="114300" simplePos="0" relativeHeight="251673600" behindDoc="0" locked="0" layoutInCell="1" allowOverlap="1" wp14:anchorId="7F481775" wp14:editId="0BB8ECC7">
            <wp:simplePos x="0" y="0"/>
            <wp:positionH relativeFrom="column">
              <wp:posOffset>4528820</wp:posOffset>
            </wp:positionH>
            <wp:positionV relativeFrom="paragraph">
              <wp:posOffset>61595</wp:posOffset>
            </wp:positionV>
            <wp:extent cx="1209600" cy="885600"/>
            <wp:effectExtent l="0" t="0" r="0" b="0"/>
            <wp:wrapNone/>
            <wp:docPr id="122" name="Obráze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9600" cy="8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083A" w:rsidRPr="00D17312" w:rsidRDefault="00A4083A" w:rsidP="00A4083A">
      <w:pPr>
        <w:pStyle w:val="Podnadpis"/>
        <w:rPr>
          <w:color w:val="auto"/>
        </w:rPr>
      </w:pPr>
      <w:bookmarkStart w:id="254" w:name="_Toc11135099"/>
      <w:bookmarkStart w:id="255" w:name="_Toc43841417"/>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37</w:t>
      </w:r>
      <w:r w:rsidRPr="00D17312">
        <w:rPr>
          <w:noProof/>
          <w:color w:val="auto"/>
        </w:rPr>
        <w:fldChar w:fldCharType="end"/>
      </w:r>
      <w:r w:rsidRPr="00D17312">
        <w:rPr>
          <w:color w:val="auto"/>
        </w:rPr>
        <w:t>: OS – krabicové grafy, mediánové délky opatrovnického řízení</w:t>
      </w:r>
      <w:bookmarkEnd w:id="253"/>
      <w:bookmarkEnd w:id="254"/>
      <w:bookmarkEnd w:id="255"/>
    </w:p>
    <w:p w:rsidR="00A4083A" w:rsidRPr="00D17312" w:rsidRDefault="00A4083A" w:rsidP="00A4083A">
      <w:r w:rsidRPr="00D17312">
        <w:rPr>
          <w:noProof/>
          <w:lang w:eastAsia="cs-CZ"/>
        </w:rPr>
        <w:drawing>
          <wp:inline distT="0" distB="0" distL="0" distR="0" wp14:anchorId="506038C7" wp14:editId="166F03C3">
            <wp:extent cx="5114925" cy="3743325"/>
            <wp:effectExtent l="0" t="0" r="0" b="9525"/>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pPr>
      <w:r w:rsidRPr="00D17312">
        <w:t>Z krabicových grafů vidíme, že v rozdílech mezi soudy nedocházelo k žádným větším změnám. OS Chomutov (vždy nejvíce odlehlá hodnota) se v letech 2009 až 2013 dařilo po</w:t>
      </w:r>
      <w:r>
        <w:t>stupně snižovat délku řízení. O. z.</w:t>
      </w:r>
      <w:r w:rsidRPr="00D17312">
        <w:t xml:space="preserve"> tento trend ale zvrátil a délka řízení v Chomutově v letech 2015 a 2016 opět rychle narůstala, až se v roce 2018 zařadil po bok ostatních OS. V roce 2019 již je jediná odlehlá hodnota – OS pro Prahu 1. Situace tedy z hlediska statistické variability vypadá dobře.</w:t>
      </w:r>
    </w:p>
    <w:p w:rsidR="00A4083A" w:rsidRPr="00D17312" w:rsidRDefault="00A4083A" w:rsidP="00A4083A">
      <w:pPr>
        <w:pStyle w:val="OdstavecASR"/>
      </w:pPr>
    </w:p>
    <w:p w:rsidR="00A4083A" w:rsidRPr="00D17312" w:rsidRDefault="00A4083A" w:rsidP="00A4083A">
      <w:pPr>
        <w:pStyle w:val="Nadpis3"/>
        <w:keepNext w:val="0"/>
        <w:keepLines w:val="0"/>
        <w:rPr>
          <w:color w:val="auto"/>
        </w:rPr>
      </w:pPr>
      <w:bookmarkStart w:id="256" w:name="_Ref515022661"/>
      <w:bookmarkStart w:id="257" w:name="_Toc515871238"/>
      <w:bookmarkStart w:id="258" w:name="_Toc43903041"/>
      <w:r w:rsidRPr="00D17312">
        <w:rPr>
          <w:color w:val="auto"/>
        </w:rPr>
        <w:lastRenderedPageBreak/>
        <w:t>Vyřizování věcí</w:t>
      </w:r>
      <w:bookmarkEnd w:id="256"/>
      <w:bookmarkEnd w:id="257"/>
      <w:bookmarkEnd w:id="258"/>
    </w:p>
    <w:p w:rsidR="00A4083A" w:rsidRPr="00D17312" w:rsidRDefault="00A4083A" w:rsidP="00A4083A">
      <w:pPr>
        <w:pStyle w:val="OdstavecASR"/>
      </w:pPr>
      <w:r w:rsidRPr="00D17312">
        <w:t>Z grafu níž</w:t>
      </w:r>
      <w:r>
        <w:t>e je zřejmý výše zmíněný dopad o. z.</w:t>
      </w:r>
      <w:r w:rsidRPr="00D17312">
        <w:t xml:space="preserve"> V počtu napadlých věcí se samozřejmě projevil již v roce 2014. Vidíme, že nárůst počtu napadlých věcí byl opravdu velmi významný – více než 40</w:t>
      </w:r>
      <w:r>
        <w:t> %</w:t>
      </w:r>
      <w:r w:rsidRPr="00D17312">
        <w:t>. Soudy byly schopny částečně reagovat a značně se zvýšil počet vyřízených věcí. Nárůst v počtu napadlých věcí byl ale větší než počet vyřízených věcí a počet nevyřízených věcí tak začal růst. Počet napadlých věcí poklesl až v roce 2016 a v roce 2017. To je zřejmě způsobeno hlavně tím, že všechny přezkumy svéprávnosti byly zahájeny v letech 2014 a 2015. Soudům se podařilo v roce 2016 udržet počet vyřízených věcí na úrovni z roku 2015 a také v roce 2017 udržet počet vyřízených věcí nad nápadem. Díky tomu počet nevyřízených věcí klesal. Soudům pomohlo prodloužení lhůty na přezkum svéprávnosti pro určité případy ze tří na</w:t>
      </w:r>
      <w:r>
        <w:t xml:space="preserve"> pět let vyplývající z novely o. z.</w:t>
      </w:r>
      <w:r w:rsidRPr="00D17312">
        <w:t xml:space="preserve"> přijaté na konci </w:t>
      </w:r>
      <w:r>
        <w:t xml:space="preserve">roku </w:t>
      </w:r>
      <w:r w:rsidRPr="00D17312">
        <w:t>2016. Nicméně je třeba uvést, že počet nesvéprávných osob (tedy celkový rozsah agendy přezkumů svéprávnosti) je jen cca 36 tisíc, což znamená, že se na nárůstu nápadu podílí jen asi jednou čtvrtinou, zbytek js</w:t>
      </w:r>
      <w:r>
        <w:t>ou další nové agendy zavedené o. z</w:t>
      </w:r>
      <w:r w:rsidRPr="00D17312">
        <w:t>. Tyto nové agendy také stojí za růstem nápadu v letech 2018 a 2019, protože, jak již bylo konstatováno, všechny přezkumy svéprávnosti byly zahájeny již v letech 2014 a 2015.</w:t>
      </w:r>
    </w:p>
    <w:p w:rsidR="00A4083A" w:rsidRDefault="00A4083A" w:rsidP="00A4083A">
      <w:pPr>
        <w:pStyle w:val="OdstavecASR"/>
      </w:pPr>
      <w:r w:rsidRPr="00D17312">
        <w:t>V roce 2019 mírně narostl nápad a soudy vyřídily méně věcí, než k nim přišlo, rozdíl byl nicméně malý – míra vyřizování byla 99</w:t>
      </w:r>
      <w:r>
        <w:t> %</w:t>
      </w:r>
      <w:r w:rsidRPr="00D17312">
        <w:t>.</w:t>
      </w:r>
    </w:p>
    <w:p w:rsidR="00A4083A" w:rsidRPr="00D17312" w:rsidRDefault="00A4083A" w:rsidP="00A4083A">
      <w:pPr>
        <w:rPr>
          <w:highlight w:val="yellow"/>
        </w:rPr>
      </w:pPr>
    </w:p>
    <w:p w:rsidR="00A4083A" w:rsidRPr="00D17312" w:rsidRDefault="00A4083A" w:rsidP="00A4083A">
      <w:pPr>
        <w:pStyle w:val="Podnadpis"/>
        <w:rPr>
          <w:color w:val="auto"/>
        </w:rPr>
      </w:pPr>
      <w:bookmarkStart w:id="259" w:name="_Toc515871368"/>
      <w:bookmarkStart w:id="260" w:name="_Toc11135100"/>
      <w:bookmarkStart w:id="261" w:name="_Toc43841418"/>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38</w:t>
      </w:r>
      <w:r w:rsidRPr="00D17312">
        <w:rPr>
          <w:noProof/>
          <w:color w:val="auto"/>
        </w:rPr>
        <w:fldChar w:fldCharType="end"/>
      </w:r>
      <w:r w:rsidRPr="00D17312">
        <w:rPr>
          <w:color w:val="auto"/>
        </w:rPr>
        <w:t>: OS – vyřizování věcí v opatrovnické agendě v letech 2008–</w:t>
      </w:r>
      <w:bookmarkEnd w:id="259"/>
      <w:r w:rsidRPr="00D17312">
        <w:rPr>
          <w:color w:val="auto"/>
        </w:rPr>
        <w:t>201</w:t>
      </w:r>
      <w:bookmarkEnd w:id="260"/>
      <w:r w:rsidRPr="00D17312">
        <w:rPr>
          <w:color w:val="auto"/>
        </w:rPr>
        <w:t>9</w:t>
      </w:r>
      <w:bookmarkEnd w:id="261"/>
    </w:p>
    <w:p w:rsidR="00A4083A" w:rsidRPr="00D17312" w:rsidRDefault="00BF1DA1" w:rsidP="00A4083A">
      <w:pPr>
        <w:pStyle w:val="OdstavecASR"/>
      </w:pPr>
      <w:r w:rsidRPr="00BF1DA1">
        <w:rPr>
          <w:noProof/>
          <w:lang w:eastAsia="cs-CZ"/>
        </w:rPr>
        <w:drawing>
          <wp:inline distT="0" distB="0" distL="0" distR="0">
            <wp:extent cx="5112385" cy="3745230"/>
            <wp:effectExtent l="0" t="0" r="0" b="762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A4083A" w:rsidRPr="00D17312" w:rsidRDefault="00A4083A" w:rsidP="00A4083A">
      <w:pPr>
        <w:rPr>
          <w:highlight w:val="yellow"/>
        </w:rPr>
      </w:pPr>
      <w:bookmarkStart w:id="262" w:name="_Toc515871461"/>
    </w:p>
    <w:p w:rsidR="00A4083A" w:rsidRPr="00D17312" w:rsidRDefault="00A4083A" w:rsidP="00A4083A">
      <w:pPr>
        <w:rPr>
          <w:highlight w:val="yellow"/>
        </w:rPr>
      </w:pPr>
    </w:p>
    <w:p w:rsidR="00A4083A" w:rsidRPr="00D17312" w:rsidRDefault="00A4083A" w:rsidP="00A4083A">
      <w:pPr>
        <w:rPr>
          <w:highlight w:val="yellow"/>
        </w:rPr>
      </w:pPr>
    </w:p>
    <w:p w:rsidR="00A4083A" w:rsidRPr="00D17312" w:rsidRDefault="00A4083A" w:rsidP="00A4083A">
      <w:pPr>
        <w:pStyle w:val="Podnadpis"/>
        <w:rPr>
          <w:color w:val="auto"/>
        </w:rPr>
      </w:pPr>
      <w:bookmarkStart w:id="263" w:name="_Toc11133229"/>
      <w:bookmarkStart w:id="264" w:name="_Toc43931202"/>
      <w:r w:rsidRPr="00D17312">
        <w:rPr>
          <w:color w:val="auto"/>
        </w:rPr>
        <w:lastRenderedPageBreak/>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29</w:t>
      </w:r>
      <w:r w:rsidRPr="00D17312">
        <w:rPr>
          <w:noProof/>
          <w:color w:val="auto"/>
        </w:rPr>
        <w:fldChar w:fldCharType="end"/>
      </w:r>
      <w:r w:rsidRPr="00D17312">
        <w:rPr>
          <w:color w:val="auto"/>
        </w:rPr>
        <w:t>: OS – vyřizování opatrovnických věcí dle krajů</w:t>
      </w:r>
      <w:bookmarkEnd w:id="262"/>
      <w:bookmarkEnd w:id="263"/>
      <w:bookmarkEnd w:id="264"/>
    </w:p>
    <w:tbl>
      <w:tblPr>
        <w:tblW w:w="9140" w:type="dxa"/>
        <w:tblCellMar>
          <w:left w:w="70" w:type="dxa"/>
          <w:right w:w="70" w:type="dxa"/>
        </w:tblCellMar>
        <w:tblLook w:val="04A0" w:firstRow="1" w:lastRow="0" w:firstColumn="1" w:lastColumn="0" w:noHBand="0" w:noVBand="1"/>
      </w:tblPr>
      <w:tblGrid>
        <w:gridCol w:w="2020"/>
        <w:gridCol w:w="1057"/>
        <w:gridCol w:w="767"/>
        <w:gridCol w:w="1113"/>
        <w:gridCol w:w="767"/>
        <w:gridCol w:w="960"/>
        <w:gridCol w:w="916"/>
        <w:gridCol w:w="1540"/>
      </w:tblGrid>
      <w:tr w:rsidR="00A4083A" w:rsidRPr="00D17312" w:rsidTr="00A41CAB">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Nadřízený soud</w:t>
            </w:r>
          </w:p>
        </w:tc>
        <w:tc>
          <w:tcPr>
            <w:tcW w:w="5580" w:type="dxa"/>
            <w:gridSpan w:val="6"/>
            <w:tcBorders>
              <w:top w:val="double" w:sz="6" w:space="0" w:color="auto"/>
              <w:left w:val="nil"/>
              <w:bottom w:val="nil"/>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Míra vyřizování</w:t>
            </w:r>
          </w:p>
        </w:tc>
      </w:tr>
      <w:tr w:rsidR="00A4083A" w:rsidRPr="00D17312" w:rsidTr="00A41CAB">
        <w:trPr>
          <w:trHeight w:val="330"/>
        </w:trPr>
        <w:tc>
          <w:tcPr>
            <w:tcW w:w="202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824"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Nápad + obživa</w:t>
            </w:r>
          </w:p>
        </w:tc>
        <w:tc>
          <w:tcPr>
            <w:tcW w:w="1880" w:type="dxa"/>
            <w:gridSpan w:val="2"/>
            <w:tcBorders>
              <w:top w:val="nil"/>
              <w:left w:val="single" w:sz="4" w:space="0" w:color="auto"/>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Vyřízeno</w:t>
            </w:r>
          </w:p>
        </w:tc>
        <w:tc>
          <w:tcPr>
            <w:tcW w:w="1876" w:type="dxa"/>
            <w:gridSpan w:val="2"/>
            <w:tcBorders>
              <w:top w:val="nil"/>
              <w:left w:val="nil"/>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r>
      <w:tr w:rsidR="00A4083A" w:rsidRPr="00D17312" w:rsidTr="00A41CAB">
        <w:trPr>
          <w:trHeight w:val="330"/>
        </w:trPr>
        <w:tc>
          <w:tcPr>
            <w:tcW w:w="202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057"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16 005</w:t>
            </w:r>
          </w:p>
        </w:tc>
        <w:tc>
          <w:tcPr>
            <w:tcW w:w="767"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1113" w:type="dxa"/>
            <w:tcBorders>
              <w:top w:val="single" w:sz="4" w:space="0" w:color="auto"/>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15 825</w:t>
            </w:r>
          </w:p>
        </w:tc>
        <w:tc>
          <w:tcPr>
            <w:tcW w:w="767" w:type="dxa"/>
            <w:tcBorders>
              <w:top w:val="single" w:sz="4" w:space="0" w:color="auto"/>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96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5 397</w:t>
            </w:r>
          </w:p>
        </w:tc>
        <w:tc>
          <w:tcPr>
            <w:tcW w:w="916" w:type="dxa"/>
            <w:tcBorders>
              <w:top w:val="single" w:sz="4" w:space="0" w:color="auto"/>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98,9</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05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21 090</w:t>
            </w:r>
          </w:p>
        </w:tc>
        <w:tc>
          <w:tcPr>
            <w:tcW w:w="76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1113"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21 121</w:t>
            </w:r>
          </w:p>
        </w:tc>
        <w:tc>
          <w:tcPr>
            <w:tcW w:w="76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c>
          <w:tcPr>
            <w:tcW w:w="9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4 891</w:t>
            </w:r>
          </w:p>
        </w:tc>
        <w:tc>
          <w:tcPr>
            <w:tcW w:w="916"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100,1</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05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10 142</w:t>
            </w:r>
          </w:p>
        </w:tc>
        <w:tc>
          <w:tcPr>
            <w:tcW w:w="76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1113"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10 099</w:t>
            </w:r>
          </w:p>
        </w:tc>
        <w:tc>
          <w:tcPr>
            <w:tcW w:w="76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w:t>
            </w:r>
            <w:r>
              <w:rPr>
                <w:rFonts w:eastAsia="Times New Roman"/>
                <w:sz w:val="20"/>
                <w:szCs w:val="20"/>
                <w:lang w:eastAsia="cs-CZ"/>
              </w:rPr>
              <w:t> %</w:t>
            </w:r>
          </w:p>
        </w:tc>
        <w:tc>
          <w:tcPr>
            <w:tcW w:w="9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1 725</w:t>
            </w:r>
          </w:p>
        </w:tc>
        <w:tc>
          <w:tcPr>
            <w:tcW w:w="916"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99,6</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05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14 228</w:t>
            </w:r>
          </w:p>
        </w:tc>
        <w:tc>
          <w:tcPr>
            <w:tcW w:w="76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w:t>
            </w:r>
            <w:r>
              <w:rPr>
                <w:rFonts w:eastAsia="Times New Roman"/>
                <w:sz w:val="20"/>
                <w:szCs w:val="20"/>
                <w:lang w:eastAsia="cs-CZ"/>
              </w:rPr>
              <w:t> %</w:t>
            </w:r>
          </w:p>
        </w:tc>
        <w:tc>
          <w:tcPr>
            <w:tcW w:w="1113"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14 009</w:t>
            </w:r>
          </w:p>
        </w:tc>
        <w:tc>
          <w:tcPr>
            <w:tcW w:w="76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9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3 495</w:t>
            </w:r>
          </w:p>
        </w:tc>
        <w:tc>
          <w:tcPr>
            <w:tcW w:w="916"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98,5</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05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20 240</w:t>
            </w:r>
          </w:p>
        </w:tc>
        <w:tc>
          <w:tcPr>
            <w:tcW w:w="76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c>
          <w:tcPr>
            <w:tcW w:w="1113"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20 209</w:t>
            </w:r>
          </w:p>
        </w:tc>
        <w:tc>
          <w:tcPr>
            <w:tcW w:w="76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w:t>
            </w:r>
            <w:r>
              <w:rPr>
                <w:rFonts w:eastAsia="Times New Roman"/>
                <w:sz w:val="20"/>
                <w:szCs w:val="20"/>
                <w:lang w:eastAsia="cs-CZ"/>
              </w:rPr>
              <w:t> %</w:t>
            </w:r>
          </w:p>
        </w:tc>
        <w:tc>
          <w:tcPr>
            <w:tcW w:w="9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6 566</w:t>
            </w:r>
          </w:p>
        </w:tc>
        <w:tc>
          <w:tcPr>
            <w:tcW w:w="916"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99,8</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05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16 949</w:t>
            </w:r>
          </w:p>
        </w:tc>
        <w:tc>
          <w:tcPr>
            <w:tcW w:w="76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1113"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16 845</w:t>
            </w:r>
          </w:p>
        </w:tc>
        <w:tc>
          <w:tcPr>
            <w:tcW w:w="76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w:t>
            </w:r>
            <w:r>
              <w:rPr>
                <w:rFonts w:eastAsia="Times New Roman"/>
                <w:sz w:val="20"/>
                <w:szCs w:val="20"/>
                <w:lang w:eastAsia="cs-CZ"/>
              </w:rPr>
              <w:t> %</w:t>
            </w:r>
          </w:p>
        </w:tc>
        <w:tc>
          <w:tcPr>
            <w:tcW w:w="9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4 647</w:t>
            </w:r>
          </w:p>
        </w:tc>
        <w:tc>
          <w:tcPr>
            <w:tcW w:w="916"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99,4</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05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23 157</w:t>
            </w:r>
          </w:p>
        </w:tc>
        <w:tc>
          <w:tcPr>
            <w:tcW w:w="76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1113"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22 923</w:t>
            </w:r>
          </w:p>
        </w:tc>
        <w:tc>
          <w:tcPr>
            <w:tcW w:w="76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9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7 944</w:t>
            </w:r>
          </w:p>
        </w:tc>
        <w:tc>
          <w:tcPr>
            <w:tcW w:w="916"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99,0</w:t>
            </w:r>
            <w:r>
              <w:rPr>
                <w:rFonts w:eastAsia="Times New Roman"/>
                <w:szCs w:val="24"/>
                <w:lang w:eastAsia="cs-CZ"/>
              </w:rPr>
              <w:t> %</w:t>
            </w:r>
          </w:p>
        </w:tc>
      </w:tr>
      <w:tr w:rsidR="00A4083A" w:rsidRPr="00D17312" w:rsidTr="00A41CAB">
        <w:trPr>
          <w:trHeight w:val="330"/>
        </w:trPr>
        <w:tc>
          <w:tcPr>
            <w:tcW w:w="20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057"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27 340</w:t>
            </w:r>
          </w:p>
        </w:tc>
        <w:tc>
          <w:tcPr>
            <w:tcW w:w="767"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1113"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26 566</w:t>
            </w:r>
          </w:p>
        </w:tc>
        <w:tc>
          <w:tcPr>
            <w:tcW w:w="767"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9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8 324</w:t>
            </w:r>
          </w:p>
        </w:tc>
        <w:tc>
          <w:tcPr>
            <w:tcW w:w="916"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+10</w:t>
            </w:r>
            <w:r>
              <w:rPr>
                <w:rFonts w:eastAsia="Times New Roman"/>
                <w:sz w:val="20"/>
                <w:szCs w:val="20"/>
                <w:lang w:eastAsia="cs-CZ"/>
              </w:rPr>
              <w:t> %</w:t>
            </w:r>
          </w:p>
        </w:tc>
        <w:tc>
          <w:tcPr>
            <w:tcW w:w="1540" w:type="dxa"/>
            <w:tcBorders>
              <w:top w:val="nil"/>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97,2</w:t>
            </w:r>
            <w:r>
              <w:rPr>
                <w:rFonts w:eastAsia="Times New Roman"/>
                <w:szCs w:val="24"/>
                <w:lang w:eastAsia="cs-CZ"/>
              </w:rPr>
              <w:t> %</w:t>
            </w:r>
          </w:p>
        </w:tc>
      </w:tr>
      <w:tr w:rsidR="00A4083A" w:rsidRPr="00D17312" w:rsidTr="00A41CAB">
        <w:trPr>
          <w:trHeight w:val="345"/>
        </w:trPr>
        <w:tc>
          <w:tcPr>
            <w:tcW w:w="20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057"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149 151</w:t>
            </w:r>
          </w:p>
        </w:tc>
        <w:tc>
          <w:tcPr>
            <w:tcW w:w="767"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+3</w:t>
            </w:r>
            <w:r>
              <w:rPr>
                <w:rFonts w:eastAsia="Times New Roman"/>
                <w:b/>
                <w:bCs/>
                <w:sz w:val="20"/>
                <w:szCs w:val="20"/>
                <w:lang w:eastAsia="cs-CZ"/>
              </w:rPr>
              <w:t> %</w:t>
            </w:r>
          </w:p>
        </w:tc>
        <w:tc>
          <w:tcPr>
            <w:tcW w:w="1113"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147 597</w:t>
            </w:r>
          </w:p>
        </w:tc>
        <w:tc>
          <w:tcPr>
            <w:tcW w:w="767"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+2</w:t>
            </w:r>
            <w:r>
              <w:rPr>
                <w:rFonts w:eastAsia="Times New Roman"/>
                <w:b/>
                <w:bCs/>
                <w:sz w:val="20"/>
                <w:szCs w:val="20"/>
                <w:lang w:eastAsia="cs-CZ"/>
              </w:rPr>
              <w:t> %</w:t>
            </w:r>
          </w:p>
        </w:tc>
        <w:tc>
          <w:tcPr>
            <w:tcW w:w="9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42 989</w:t>
            </w:r>
          </w:p>
        </w:tc>
        <w:tc>
          <w:tcPr>
            <w:tcW w:w="916"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+4</w:t>
            </w:r>
            <w:r>
              <w:rPr>
                <w:rFonts w:eastAsia="Times New Roman"/>
                <w:b/>
                <w:bCs/>
                <w:sz w:val="20"/>
                <w:szCs w:val="20"/>
                <w:lang w:eastAsia="cs-CZ"/>
              </w:rPr>
              <w:t> %</w:t>
            </w:r>
          </w:p>
        </w:tc>
        <w:tc>
          <w:tcPr>
            <w:tcW w:w="154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99,0</w:t>
            </w:r>
            <w:r>
              <w:rPr>
                <w:rFonts w:eastAsia="Times New Roman"/>
                <w:b/>
                <w:bCs/>
                <w:szCs w:val="24"/>
                <w:lang w:eastAsia="cs-CZ"/>
              </w:rPr>
              <w:t> %</w:t>
            </w:r>
          </w:p>
        </w:tc>
      </w:tr>
    </w:tbl>
    <w:p w:rsidR="00A4083A" w:rsidRPr="00D17312" w:rsidRDefault="00A4083A" w:rsidP="00A4083A">
      <w:pPr>
        <w:rPr>
          <w:highlight w:val="yellow"/>
        </w:rPr>
      </w:pPr>
    </w:p>
    <w:p w:rsidR="00A4083A" w:rsidRPr="00D17312" w:rsidRDefault="00A4083A" w:rsidP="00A4083A">
      <w:pPr>
        <w:pStyle w:val="OdstavecASR"/>
      </w:pPr>
      <w:r w:rsidRPr="00D17312">
        <w:t>V tabulce vidíme, že v roce 2019 došlo k dalšímu poklesu míry vyřizování a že pouze OS ve Středočeském kraji vyřídily více věcí, než přišlo. V ostatních krajích pak byla míra vyřizování těsně pod 100</w:t>
      </w:r>
      <w:r>
        <w:t> %</w:t>
      </w:r>
      <w:r w:rsidRPr="00D17312">
        <w:t>, v Severomoravském kraji o něco nižší.</w:t>
      </w:r>
    </w:p>
    <w:p w:rsidR="00A4083A" w:rsidRPr="00D17312" w:rsidRDefault="00A4083A" w:rsidP="00A4083A">
      <w:pPr>
        <w:pStyle w:val="Nadpis3"/>
        <w:rPr>
          <w:color w:val="auto"/>
        </w:rPr>
      </w:pPr>
      <w:bookmarkStart w:id="265" w:name="_Toc43903042"/>
      <w:r w:rsidRPr="00D17312">
        <w:rPr>
          <w:color w:val="auto"/>
        </w:rPr>
        <w:t>Vyřizování v přepočtu na soudce</w:t>
      </w:r>
      <w:bookmarkEnd w:id="265"/>
    </w:p>
    <w:p w:rsidR="00A4083A" w:rsidRPr="00D17312" w:rsidRDefault="00A4083A" w:rsidP="00A4083A">
      <w:r w:rsidRPr="00D17312">
        <w:t>Díky nově získaným datům je možné provést přepočet na soudce i u opatrovnické agendy. Bližší informace k novým datům o počtu soudc</w:t>
      </w:r>
      <w:r>
        <w:t>ovských</w:t>
      </w:r>
      <w:r w:rsidRPr="00D17312">
        <w:t xml:space="preserve"> úvazků </w:t>
      </w:r>
      <w:r>
        <w:t>se nacházejí</w:t>
      </w:r>
      <w:r w:rsidRPr="00D17312">
        <w:t xml:space="preserve"> v podkapitole 2.2.3.</w:t>
      </w:r>
    </w:p>
    <w:p w:rsidR="00A4083A" w:rsidRPr="00D17312" w:rsidRDefault="00A4083A" w:rsidP="00A4083A">
      <w:pPr>
        <w:rPr>
          <w:highlight w:val="yellow"/>
        </w:rPr>
      </w:pPr>
    </w:p>
    <w:p w:rsidR="00A4083A" w:rsidRPr="00D17312" w:rsidRDefault="00A4083A" w:rsidP="00A4083A">
      <w:pPr>
        <w:pStyle w:val="Podnadpis"/>
        <w:rPr>
          <w:color w:val="auto"/>
        </w:rPr>
      </w:pPr>
      <w:bookmarkStart w:id="266" w:name="_Toc43931203"/>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30</w:t>
      </w:r>
      <w:r w:rsidRPr="00D17312">
        <w:rPr>
          <w:color w:val="auto"/>
        </w:rPr>
        <w:fldChar w:fldCharType="end"/>
      </w:r>
      <w:r w:rsidRPr="00D17312">
        <w:rPr>
          <w:color w:val="auto"/>
        </w:rPr>
        <w:t>: OS – vyřizování opatrovnických věcí na soudce dle krajů</w:t>
      </w:r>
      <w:bookmarkEnd w:id="266"/>
    </w:p>
    <w:tbl>
      <w:tblPr>
        <w:tblW w:w="8780" w:type="dxa"/>
        <w:tblCellMar>
          <w:left w:w="70" w:type="dxa"/>
          <w:right w:w="70" w:type="dxa"/>
        </w:tblCellMar>
        <w:tblLook w:val="04A0" w:firstRow="1" w:lastRow="0" w:firstColumn="1" w:lastColumn="0" w:noHBand="0" w:noVBand="1"/>
      </w:tblPr>
      <w:tblGrid>
        <w:gridCol w:w="2480"/>
        <w:gridCol w:w="1660"/>
        <w:gridCol w:w="2036"/>
        <w:gridCol w:w="1141"/>
        <w:gridCol w:w="1463"/>
      </w:tblGrid>
      <w:tr w:rsidR="00A4083A" w:rsidRPr="00D17312" w:rsidTr="00A41C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Nadřízený soud</w:t>
            </w:r>
          </w:p>
        </w:tc>
        <w:tc>
          <w:tcPr>
            <w:tcW w:w="166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soudců</w:t>
            </w:r>
          </w:p>
        </w:tc>
        <w:tc>
          <w:tcPr>
            <w:tcW w:w="4640" w:type="dxa"/>
            <w:gridSpan w:val="3"/>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věcí na soudce</w:t>
            </w:r>
          </w:p>
        </w:tc>
      </w:tr>
      <w:tr w:rsidR="00A4083A" w:rsidRPr="00D17312" w:rsidTr="00A41CAB">
        <w:trPr>
          <w:trHeight w:val="330"/>
        </w:trPr>
        <w:tc>
          <w:tcPr>
            <w:tcW w:w="24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66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2036"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Nápad + obživa</w:t>
            </w:r>
          </w:p>
        </w:tc>
        <w:tc>
          <w:tcPr>
            <w:tcW w:w="1141"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Vyřízeno</w:t>
            </w:r>
          </w:p>
        </w:tc>
        <w:tc>
          <w:tcPr>
            <w:tcW w:w="1463"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Nevyřízeno</w:t>
            </w:r>
          </w:p>
        </w:tc>
      </w:tr>
      <w:tr w:rsidR="00A4083A" w:rsidRPr="00D17312"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66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38,4</w:t>
            </w:r>
          </w:p>
        </w:tc>
        <w:tc>
          <w:tcPr>
            <w:tcW w:w="2036"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416,80</w:t>
            </w:r>
          </w:p>
        </w:tc>
        <w:tc>
          <w:tcPr>
            <w:tcW w:w="1141"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412,11</w:t>
            </w:r>
          </w:p>
        </w:tc>
        <w:tc>
          <w:tcPr>
            <w:tcW w:w="1463"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140,55</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50,07</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421,21</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421,83</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97,68</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24,95</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406,49</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404,77</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69,14</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33,7</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422,20</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415,70</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103,71</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50</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404,80</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404,18</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131,32</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38,65</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438,53</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435,83</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120,23</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56,9</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406,98</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402,86</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139,61</w:t>
            </w:r>
          </w:p>
        </w:tc>
      </w:tr>
      <w:tr w:rsidR="00A4083A" w:rsidRPr="00D17312"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6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73,9</w:t>
            </w:r>
          </w:p>
        </w:tc>
        <w:tc>
          <w:tcPr>
            <w:tcW w:w="203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369,96</w:t>
            </w:r>
          </w:p>
        </w:tc>
        <w:tc>
          <w:tcPr>
            <w:tcW w:w="114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359,49</w:t>
            </w:r>
          </w:p>
        </w:tc>
        <w:tc>
          <w:tcPr>
            <w:tcW w:w="146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112,64</w:t>
            </w:r>
          </w:p>
        </w:tc>
      </w:tr>
      <w:tr w:rsidR="00A4083A" w:rsidRPr="00D17312"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6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366,57</w:t>
            </w:r>
          </w:p>
        </w:tc>
        <w:tc>
          <w:tcPr>
            <w:tcW w:w="203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406,88</w:t>
            </w:r>
          </w:p>
        </w:tc>
        <w:tc>
          <w:tcPr>
            <w:tcW w:w="114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402,64</w:t>
            </w:r>
          </w:p>
        </w:tc>
        <w:tc>
          <w:tcPr>
            <w:tcW w:w="146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117,27</w:t>
            </w:r>
          </w:p>
        </w:tc>
      </w:tr>
    </w:tbl>
    <w:p w:rsidR="00A4083A" w:rsidRPr="00D17312" w:rsidRDefault="00A4083A" w:rsidP="00A4083A">
      <w:pPr>
        <w:rPr>
          <w:highlight w:val="yellow"/>
        </w:rPr>
      </w:pPr>
    </w:p>
    <w:p w:rsidR="00A4083A" w:rsidRPr="00D17312" w:rsidRDefault="00A4083A" w:rsidP="00A4083A">
      <w:r w:rsidRPr="00D17312">
        <w:t>V tabulce vidíme, že počty na soudce jsou poměrně vyrovnané. U nápadu a vyřízených věcí mírně vybočuje Ostrava a u nevyřízených věcí na soudce jsou na tom lépe OS spadající pod KS Praha a KS České Budějovice (obdobně jako u délek řízení). Z jednotlivých soudů jsou pak na tom nejlépe Příbram (37), Český Krumlov (50) a Tábor (57). Nejvyšší počet věcí na soudce naopak vykazují Znojmo (268), Děčín (240) a Havlíčkův Brod (204).</w:t>
      </w:r>
    </w:p>
    <w:p w:rsidR="00A4083A" w:rsidRPr="00D17312" w:rsidRDefault="00A4083A" w:rsidP="00A4083A">
      <w:pPr>
        <w:pStyle w:val="Podnadpis"/>
        <w:rPr>
          <w:color w:val="auto"/>
        </w:rPr>
      </w:pPr>
      <w:bookmarkStart w:id="267" w:name="_Toc43841419"/>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39</w:t>
      </w:r>
      <w:r w:rsidRPr="00D17312">
        <w:rPr>
          <w:noProof/>
          <w:color w:val="auto"/>
        </w:rPr>
        <w:fldChar w:fldCharType="end"/>
      </w:r>
      <w:r w:rsidRPr="00D17312">
        <w:rPr>
          <w:color w:val="auto"/>
        </w:rPr>
        <w:t>: OS – počet nevyříz. opatrov. věcí na soudce u jednotlivých soudů</w:t>
      </w:r>
      <w:bookmarkEnd w:id="267"/>
    </w:p>
    <w:p w:rsidR="00A4083A" w:rsidRPr="00D17312" w:rsidRDefault="007106B6" w:rsidP="00A4083A">
      <w:r w:rsidRPr="00D17312">
        <w:rPr>
          <w:noProof/>
          <w:lang w:eastAsia="cs-CZ"/>
        </w:rPr>
        <w:drawing>
          <wp:anchor distT="0" distB="0" distL="114300" distR="114300" simplePos="0" relativeHeight="251674624" behindDoc="0" locked="0" layoutInCell="1" allowOverlap="1" wp14:anchorId="30487D7D" wp14:editId="6802FAE0">
            <wp:simplePos x="0" y="0"/>
            <wp:positionH relativeFrom="column">
              <wp:posOffset>4504966</wp:posOffset>
            </wp:positionH>
            <wp:positionV relativeFrom="paragraph">
              <wp:posOffset>45693</wp:posOffset>
            </wp:positionV>
            <wp:extent cx="1209600" cy="885600"/>
            <wp:effectExtent l="0" t="0" r="0" b="0"/>
            <wp:wrapNone/>
            <wp:docPr id="128" name="Obráze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09600" cy="88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083A" w:rsidRPr="00D17312">
        <w:rPr>
          <w:noProof/>
          <w:lang w:eastAsia="cs-CZ"/>
        </w:rPr>
        <w:drawing>
          <wp:inline distT="0" distB="0" distL="0" distR="0" wp14:anchorId="711B4F3F" wp14:editId="3FBC279D">
            <wp:extent cx="5760000" cy="3330000"/>
            <wp:effectExtent l="0" t="0" r="0" b="3810"/>
            <wp:docPr id="104" name="Obráz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60000" cy="3330000"/>
                    </a:xfrm>
                    <a:prstGeom prst="rect">
                      <a:avLst/>
                    </a:prstGeom>
                    <a:noFill/>
                    <a:ln>
                      <a:noFill/>
                    </a:ln>
                  </pic:spPr>
                </pic:pic>
              </a:graphicData>
            </a:graphic>
          </wp:inline>
        </w:drawing>
      </w:r>
    </w:p>
    <w:p w:rsidR="00A4083A" w:rsidRPr="00D17312" w:rsidRDefault="00A4083A" w:rsidP="00A4083A">
      <w:pPr>
        <w:rPr>
          <w:highlight w:val="yellow"/>
        </w:rPr>
      </w:pPr>
    </w:p>
    <w:p w:rsidR="00A4083A" w:rsidRPr="00D17312" w:rsidRDefault="00A4083A" w:rsidP="00A4083A">
      <w:pPr>
        <w:pStyle w:val="Nadpis3"/>
        <w:rPr>
          <w:color w:val="auto"/>
        </w:rPr>
      </w:pPr>
      <w:bookmarkStart w:id="268" w:name="_Toc43903043"/>
      <w:bookmarkStart w:id="269" w:name="_Toc515871369"/>
      <w:r w:rsidRPr="00D17312">
        <w:rPr>
          <w:color w:val="auto"/>
        </w:rPr>
        <w:t>Disposition time</w:t>
      </w:r>
      <w:bookmarkEnd w:id="268"/>
    </w:p>
    <w:p w:rsidR="00A4083A" w:rsidRPr="00D17312" w:rsidRDefault="00A4083A" w:rsidP="00A4083A">
      <w:pPr>
        <w:pStyle w:val="OdstavecASR"/>
        <w:spacing w:before="0" w:after="0"/>
      </w:pPr>
      <w:bookmarkStart w:id="270" w:name="_Toc11135101"/>
      <w:r w:rsidRPr="00D17312">
        <w:t>Základní popis způsobu výpočtu a účelu tohoto ukazatele se nachází v části věnované civilnímu řízení u OS (podkapitola </w:t>
      </w:r>
      <w:r w:rsidRPr="00D17312">
        <w:fldChar w:fldCharType="begin"/>
      </w:r>
      <w:r w:rsidRPr="00D17312">
        <w:instrText xml:space="preserve"> REF _Ref510592105 \r \h  \* MERGEFORMAT </w:instrText>
      </w:r>
      <w:r w:rsidRPr="00D17312">
        <w:fldChar w:fldCharType="separate"/>
      </w:r>
      <w:r w:rsidR="006E7F27">
        <w:t>2.2.4</w:t>
      </w:r>
      <w:r w:rsidRPr="00D17312">
        <w:fldChar w:fldCharType="end"/>
      </w:r>
      <w:r w:rsidRPr="00D17312">
        <w:t>). Výsledky DT silně korespondují s výsledky z předchozích podkapitol.</w:t>
      </w:r>
    </w:p>
    <w:p w:rsidR="00A4083A" w:rsidRPr="00D17312" w:rsidRDefault="00A4083A" w:rsidP="00A4083A">
      <w:pPr>
        <w:pStyle w:val="Podnadpis"/>
        <w:rPr>
          <w:color w:val="auto"/>
        </w:rPr>
      </w:pPr>
      <w:bookmarkStart w:id="271" w:name="_Toc43841420"/>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40</w:t>
      </w:r>
      <w:r w:rsidRPr="00D17312">
        <w:rPr>
          <w:noProof/>
          <w:color w:val="auto"/>
        </w:rPr>
        <w:fldChar w:fldCharType="end"/>
      </w:r>
      <w:r w:rsidRPr="00D17312">
        <w:rPr>
          <w:color w:val="auto"/>
        </w:rPr>
        <w:t>: OS – disposition time v opatrovnické agendě v letech 2008–201</w:t>
      </w:r>
      <w:bookmarkEnd w:id="269"/>
      <w:bookmarkEnd w:id="270"/>
      <w:r w:rsidRPr="00D17312">
        <w:rPr>
          <w:color w:val="auto"/>
        </w:rPr>
        <w:t>9</w:t>
      </w:r>
      <w:bookmarkEnd w:id="271"/>
    </w:p>
    <w:p w:rsidR="00A4083A" w:rsidRPr="00D17312" w:rsidRDefault="00A4083A" w:rsidP="00A4083A">
      <w:pPr>
        <w:pStyle w:val="OdstavecASR"/>
        <w:rPr>
          <w:highlight w:val="yellow"/>
        </w:rPr>
      </w:pPr>
      <w:r w:rsidRPr="00D17312">
        <w:rPr>
          <w:noProof/>
          <w:lang w:eastAsia="cs-CZ"/>
        </w:rPr>
        <w:drawing>
          <wp:inline distT="0" distB="0" distL="0" distR="0" wp14:anchorId="555F54BE" wp14:editId="4542D00B">
            <wp:extent cx="5114925" cy="3743325"/>
            <wp:effectExtent l="0" t="0" r="0" b="9525"/>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Default="00A4083A" w:rsidP="00A4083A">
      <w:pPr>
        <w:pStyle w:val="OdstavecASR"/>
      </w:pPr>
      <w:bookmarkStart w:id="272" w:name="_Toc515871462"/>
      <w:bookmarkStart w:id="273" w:name="_Toc11133230"/>
      <w:r w:rsidRPr="00D17312">
        <w:lastRenderedPageBreak/>
        <w:t>V roce 2014 je patrný obrovský nárůst DT. Ten je způsoben výše popsaným velkým nárůstem v počtu nevyřízených věcí. Počet vyřízených věcí vzrostl méně, což vedlo k nárůstu DT. V roce 2015 vzrostl výrazněji počet vyřízených věcí, takže DT klesl. V roce 2016 pak klesl nápad a tím i nevyřízené věci. Došlo tedy k poklesu DT na úroveň roku 2014. V roce 2017 poklesl počet vyřízených i nevyřízených věcí asi o 12</w:t>
      </w:r>
      <w:r>
        <w:t> %</w:t>
      </w:r>
      <w:r w:rsidRPr="00D17312">
        <w:t>. DT tím pádem zůstal stejný jako v roce 2016. V roce 2018 se vyřídilo více věcí než v roce 2017, přičemž počet nevyřízených věcí příliš neklesal – výsledkem je nejlepší hodnota DT za posledních 10 let</w:t>
      </w:r>
      <w:r>
        <w:t>.</w:t>
      </w:r>
      <w:r w:rsidRPr="00D17312">
        <w:t xml:space="preserve"> </w:t>
      </w:r>
      <w:r>
        <w:t>V</w:t>
      </w:r>
      <w:r w:rsidRPr="00D17312">
        <w:t xml:space="preserve">e srovnání posledních 10 let </w:t>
      </w:r>
      <w:r>
        <w:t xml:space="preserve">tedy </w:t>
      </w:r>
      <w:r w:rsidRPr="00D17312">
        <w:t>pracovaly opatrovnické soudy v roce 2018 nejefektivněji (DT nevyjadřuje délku řízení, ale za kolik dní by soud vyřídil věci bez nového nápadu). V roce 2019 došlo spíše ke kosmetickému nárůstu na 106 – vzrostl počet nevyřízených i vyřízených věcí</w:t>
      </w:r>
      <w:r>
        <w:t xml:space="preserve"> a</w:t>
      </w:r>
      <w:r w:rsidRPr="00D17312">
        <w:t xml:space="preserve"> </w:t>
      </w:r>
      <w:r>
        <w:t>n</w:t>
      </w:r>
      <w:r w:rsidRPr="00D17312">
        <w:t>árůst v počtu nevyřízených věcí velmi mírně převýšil nárůst v počtu věcí vyřízených.</w:t>
      </w:r>
    </w:p>
    <w:p w:rsidR="00A4083A" w:rsidRPr="00D17312" w:rsidRDefault="00A4083A" w:rsidP="00A4083A">
      <w:pPr>
        <w:pStyle w:val="Podnadpis"/>
        <w:rPr>
          <w:color w:val="auto"/>
        </w:rPr>
      </w:pPr>
      <w:bookmarkStart w:id="274" w:name="_Toc43931204"/>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31</w:t>
      </w:r>
      <w:r w:rsidRPr="00D17312">
        <w:rPr>
          <w:noProof/>
          <w:color w:val="auto"/>
        </w:rPr>
        <w:fldChar w:fldCharType="end"/>
      </w:r>
      <w:r w:rsidRPr="00D17312">
        <w:rPr>
          <w:color w:val="auto"/>
        </w:rPr>
        <w:t>: OS – disposition time v opatrovnické agendě dle krajů</w:t>
      </w:r>
      <w:bookmarkEnd w:id="272"/>
      <w:bookmarkEnd w:id="273"/>
      <w:bookmarkEnd w:id="274"/>
    </w:p>
    <w:tbl>
      <w:tblPr>
        <w:tblW w:w="5960" w:type="dxa"/>
        <w:tblCellMar>
          <w:left w:w="70" w:type="dxa"/>
          <w:right w:w="70" w:type="dxa"/>
        </w:tblCellMar>
        <w:tblLook w:val="04A0" w:firstRow="1" w:lastRow="0" w:firstColumn="1" w:lastColumn="0" w:noHBand="0" w:noVBand="1"/>
      </w:tblPr>
      <w:tblGrid>
        <w:gridCol w:w="2780"/>
        <w:gridCol w:w="1253"/>
        <w:gridCol w:w="1927"/>
      </w:tblGrid>
      <w:tr w:rsidR="00A4083A" w:rsidRPr="00D17312" w:rsidTr="00A41CAB">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Nadřízený 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Disposition time</w:t>
            </w:r>
          </w:p>
        </w:tc>
      </w:tr>
      <w:tr w:rsidR="00A4083A" w:rsidRPr="00D17312" w:rsidTr="00A41CAB">
        <w:trPr>
          <w:trHeight w:val="330"/>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124</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85</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62</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91</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119</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101</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126</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w:t>
            </w:r>
            <w:r>
              <w:rPr>
                <w:rFonts w:eastAsia="Times New Roman"/>
                <w:sz w:val="20"/>
                <w:szCs w:val="20"/>
                <w:lang w:eastAsia="cs-CZ"/>
              </w:rPr>
              <w:t> %</w:t>
            </w:r>
          </w:p>
        </w:tc>
      </w:tr>
      <w:tr w:rsidR="00A4083A" w:rsidRPr="00D17312" w:rsidTr="00A41CAB">
        <w:trPr>
          <w:trHeight w:val="330"/>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25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114</w:t>
            </w:r>
          </w:p>
        </w:tc>
        <w:tc>
          <w:tcPr>
            <w:tcW w:w="1927"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+13</w:t>
            </w:r>
            <w:r>
              <w:rPr>
                <w:rFonts w:eastAsia="Times New Roman"/>
                <w:sz w:val="20"/>
                <w:szCs w:val="20"/>
                <w:lang w:eastAsia="cs-CZ"/>
              </w:rPr>
              <w:t> %</w:t>
            </w:r>
          </w:p>
        </w:tc>
      </w:tr>
      <w:tr w:rsidR="00A4083A" w:rsidRPr="00D17312" w:rsidTr="00A41CAB">
        <w:trPr>
          <w:trHeight w:val="345"/>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25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106</w:t>
            </w:r>
          </w:p>
        </w:tc>
        <w:tc>
          <w:tcPr>
            <w:tcW w:w="1927"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+2</w:t>
            </w:r>
            <w:r>
              <w:rPr>
                <w:rFonts w:eastAsia="Times New Roman"/>
                <w:b/>
                <w:bCs/>
                <w:sz w:val="20"/>
                <w:szCs w:val="20"/>
                <w:lang w:eastAsia="cs-CZ"/>
              </w:rPr>
              <w:t> %</w:t>
            </w:r>
          </w:p>
        </w:tc>
      </w:tr>
    </w:tbl>
    <w:p w:rsidR="00A4083A" w:rsidRPr="00D17312" w:rsidRDefault="00A4083A" w:rsidP="00A4083A">
      <w:pPr>
        <w:pStyle w:val="OdstavecASR"/>
        <w:rPr>
          <w:highlight w:val="yellow"/>
        </w:rPr>
      </w:pPr>
    </w:p>
    <w:p w:rsidR="00A4083A" w:rsidRPr="00D17312" w:rsidRDefault="00A4083A" w:rsidP="00A4083A">
      <w:pPr>
        <w:pStyle w:val="Podnadpis"/>
        <w:rPr>
          <w:color w:val="auto"/>
        </w:rPr>
      </w:pPr>
      <w:bookmarkStart w:id="275" w:name="_Toc515871370"/>
      <w:bookmarkStart w:id="276" w:name="_Toc11135102"/>
      <w:bookmarkStart w:id="277" w:name="_Toc43841421"/>
      <w:r w:rsidRPr="00D17312">
        <w:rPr>
          <w:color w:val="auto"/>
        </w:rPr>
        <w:t xml:space="preserve">Graf </w:t>
      </w:r>
      <w:r w:rsidRPr="00D17312">
        <w:rPr>
          <w:noProof/>
          <w:color w:val="auto"/>
        </w:rPr>
        <w:fldChar w:fldCharType="begin"/>
      </w:r>
      <w:r w:rsidRPr="00D17312">
        <w:rPr>
          <w:noProof/>
          <w:color w:val="auto"/>
        </w:rPr>
        <w:instrText xml:space="preserve"> SEQ Graf \* ARABIC </w:instrText>
      </w:r>
      <w:r w:rsidRPr="00D17312">
        <w:rPr>
          <w:noProof/>
          <w:color w:val="auto"/>
        </w:rPr>
        <w:fldChar w:fldCharType="separate"/>
      </w:r>
      <w:r w:rsidR="006E7F27">
        <w:rPr>
          <w:noProof/>
          <w:color w:val="auto"/>
        </w:rPr>
        <w:t>41</w:t>
      </w:r>
      <w:r w:rsidRPr="00D17312">
        <w:rPr>
          <w:noProof/>
          <w:color w:val="auto"/>
        </w:rPr>
        <w:fldChar w:fldCharType="end"/>
      </w:r>
      <w:r w:rsidRPr="00D17312">
        <w:rPr>
          <w:color w:val="auto"/>
        </w:rPr>
        <w:t>: OS – disposition time v opatrovnické agendě u jednotlivých soudů</w:t>
      </w:r>
      <w:bookmarkEnd w:id="275"/>
      <w:bookmarkEnd w:id="276"/>
      <w:bookmarkEnd w:id="277"/>
    </w:p>
    <w:p w:rsidR="00A4083A" w:rsidRDefault="00A4083A" w:rsidP="00A4083A">
      <w:pPr>
        <w:pStyle w:val="OdstavecASR"/>
      </w:pPr>
      <w:r w:rsidRPr="00D17312">
        <w:rPr>
          <w:noProof/>
          <w:lang w:eastAsia="cs-CZ"/>
        </w:rPr>
        <w:drawing>
          <wp:anchor distT="0" distB="0" distL="114300" distR="114300" simplePos="0" relativeHeight="251675648" behindDoc="0" locked="0" layoutInCell="1" allowOverlap="1" wp14:anchorId="2F3419BA" wp14:editId="7CCBC557">
            <wp:simplePos x="0" y="0"/>
            <wp:positionH relativeFrom="column">
              <wp:posOffset>4507829</wp:posOffset>
            </wp:positionH>
            <wp:positionV relativeFrom="paragraph">
              <wp:posOffset>80010</wp:posOffset>
            </wp:positionV>
            <wp:extent cx="1209600" cy="885600"/>
            <wp:effectExtent l="0" t="0" r="0" b="0"/>
            <wp:wrapNone/>
            <wp:docPr id="130" name="Obráze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209600" cy="88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7312">
        <w:rPr>
          <w:noProof/>
          <w:lang w:eastAsia="cs-CZ"/>
        </w:rPr>
        <w:drawing>
          <wp:inline distT="0" distB="0" distL="0" distR="0" wp14:anchorId="305E9377" wp14:editId="374C159F">
            <wp:extent cx="5760000" cy="3330000"/>
            <wp:effectExtent l="0" t="0" r="0" b="3810"/>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60000" cy="3330000"/>
                    </a:xfrm>
                    <a:prstGeom prst="rect">
                      <a:avLst/>
                    </a:prstGeom>
                    <a:noFill/>
                    <a:ln>
                      <a:noFill/>
                    </a:ln>
                  </pic:spPr>
                </pic:pic>
              </a:graphicData>
            </a:graphic>
          </wp:inline>
        </w:drawing>
      </w:r>
    </w:p>
    <w:p w:rsidR="00A4083A" w:rsidRDefault="00A4083A" w:rsidP="00A4083A">
      <w:pPr>
        <w:pStyle w:val="OdstavecASR"/>
      </w:pPr>
      <w:r w:rsidRPr="00D17312">
        <w:lastRenderedPageBreak/>
        <w:t xml:space="preserve">Okresní soudy v působnosti KS Ústí nad Labem již nevykazují nejvyšší disposition time, jako tomu bylo v předchozích letech, ale dotáhly se na soudy z jiných krajů. Na kartogramu vidíme, že Severočeský kraj již není zdaleka „nejčervenější“. Vyrovnanost potvrzuje i </w:t>
      </w:r>
      <w:r>
        <w:t>krabicový graf</w:t>
      </w:r>
      <w:r w:rsidRPr="00D17312">
        <w:t>, kde vidíme pouze jednu odlehlou hodnotu.</w:t>
      </w:r>
    </w:p>
    <w:p w:rsidR="00A4083A" w:rsidRPr="00D17312" w:rsidRDefault="00A4083A" w:rsidP="00A4083A">
      <w:pPr>
        <w:pStyle w:val="OdstavecASR"/>
      </w:pPr>
      <w:r w:rsidRPr="00D17312">
        <w:t xml:space="preserve">Jak jsme </w:t>
      </w:r>
      <w:r>
        <w:t>uvedli</w:t>
      </w:r>
      <w:r w:rsidRPr="00D17312">
        <w:t xml:space="preserve"> již dříve, ukazatel disposition time slouží zejména k porovnání mezi jednotlivými soudy a nesmí </w:t>
      </w:r>
      <w:r>
        <w:t>být</w:t>
      </w:r>
      <w:r w:rsidRPr="00D17312">
        <w:t xml:space="preserve"> zaměňov</w:t>
      </w:r>
      <w:r>
        <w:t>án</w:t>
      </w:r>
      <w:r w:rsidRPr="00D17312">
        <w:t xml:space="preserve"> s délkou řízení.</w:t>
      </w:r>
    </w:p>
    <w:p w:rsidR="00A4083A" w:rsidRPr="00D17312" w:rsidRDefault="00A4083A" w:rsidP="00A4083A">
      <w:pPr>
        <w:pStyle w:val="Podnadpis"/>
        <w:rPr>
          <w:rStyle w:val="PodnadpisChar"/>
          <w:color w:val="auto"/>
        </w:rPr>
      </w:pPr>
      <w:r w:rsidRPr="00D17312">
        <w:t>Graf 46: OS – krabicové grafy, DT opatrovnické agendy</w:t>
      </w:r>
    </w:p>
    <w:p w:rsidR="00A4083A" w:rsidRPr="00D17312" w:rsidRDefault="00A4083A" w:rsidP="00A4083A">
      <w:pPr>
        <w:spacing w:line="240" w:lineRule="auto"/>
        <w:jc w:val="left"/>
        <w:rPr>
          <w:highlight w:val="yellow"/>
        </w:rPr>
      </w:pPr>
      <w:r w:rsidRPr="00D17312">
        <w:rPr>
          <w:noProof/>
          <w:lang w:eastAsia="cs-CZ"/>
        </w:rPr>
        <w:drawing>
          <wp:inline distT="0" distB="0" distL="0" distR="0" wp14:anchorId="7CE642FC" wp14:editId="28A4AFAA">
            <wp:extent cx="5114925" cy="3743325"/>
            <wp:effectExtent l="0" t="0" r="0" b="9525"/>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pPr>
      <w:r w:rsidRPr="00D17312">
        <w:t>Data v této kapitole můžeme shrnout tak, že před rokem 2014 byla situace v opatrovnické agendě velmi podobná situaci v agendě občanskoprávní, a pokud jde o rozdíly mezi soudy, problémy měly především okresní soudy spadající pod KS Brno a KS Ústí nad Labem. V letech 2014 a 2015 došlo k velkému nárůstu v počtu napadlých věcí. To negativně ovlivnilo rychlost vyřizování agendy v celé ČR. Na některé soudy byl dopad horší než na jiné. V letech 2015 a 2016 se soudům pozvolna dařilo vyrovnat se s nárůstem vyřizované agendy a tento trend pokračoval i v letech 2017 a 2018, kdy se rozdíly mezi jednotlivými okresními soudy dále zmenšovaly (šedé boxy jsou kompaktnější, „vousy“ kratší a odlehlé OS / body jsou blíže k hornímu „vousu“, tedy přibližují se k ostatním okresním soudům). V roce 2019 nedošlo k velkým změnám oproti roku 2018.</w:t>
      </w:r>
    </w:p>
    <w:p w:rsidR="00A4083A" w:rsidRPr="00D17312" w:rsidRDefault="00A4083A" w:rsidP="00A4083A">
      <w:pPr>
        <w:spacing w:line="240" w:lineRule="auto"/>
        <w:jc w:val="left"/>
        <w:rPr>
          <w:highlight w:val="yellow"/>
        </w:rPr>
      </w:pPr>
    </w:p>
    <w:p w:rsidR="00A4083A" w:rsidRPr="00D17312" w:rsidRDefault="00A4083A" w:rsidP="00A4083A">
      <w:pPr>
        <w:spacing w:line="240" w:lineRule="auto"/>
        <w:jc w:val="left"/>
        <w:rPr>
          <w:highlight w:val="yellow"/>
        </w:rPr>
      </w:pPr>
      <w:r w:rsidRPr="00D17312">
        <w:rPr>
          <w:highlight w:val="yellow"/>
        </w:rPr>
        <w:br w:type="page"/>
      </w:r>
    </w:p>
    <w:p w:rsidR="00A4083A" w:rsidRPr="00D17312" w:rsidRDefault="00A4083A" w:rsidP="00A4083A">
      <w:pPr>
        <w:pStyle w:val="Nadpis3"/>
        <w:rPr>
          <w:color w:val="auto"/>
        </w:rPr>
      </w:pPr>
      <w:bookmarkStart w:id="278" w:name="_Toc515871240"/>
      <w:bookmarkStart w:id="279" w:name="_Toc43903044"/>
      <w:r w:rsidRPr="00D17312">
        <w:rPr>
          <w:color w:val="auto"/>
        </w:rPr>
        <w:lastRenderedPageBreak/>
        <w:t>Další statistiky</w:t>
      </w:r>
      <w:bookmarkEnd w:id="278"/>
      <w:bookmarkEnd w:id="279"/>
    </w:p>
    <w:p w:rsidR="00A4083A" w:rsidRPr="00D17312" w:rsidRDefault="00A4083A" w:rsidP="00A4083A">
      <w:pPr>
        <w:pStyle w:val="OdstavecASR"/>
      </w:pPr>
      <w:r w:rsidRPr="00D17312">
        <w:t>Jednou z největších a nejvýznamnějších agend, které jsou na opatrovnickém úseku soudů vyřizovány, je rozhodování o</w:t>
      </w:r>
      <w:r>
        <w:t> výživném (nyní § 910 a násl. o. z.</w:t>
      </w:r>
      <w:r w:rsidRPr="00D17312">
        <w:t>), tedy rozhodování o tom, který z rodičů a kolik má platit na výživu svého nezletilého potomka (případně zletilého dítěte, bylo-li řízení zahájeno před nabytím jeho zletilosti). Zde uvedené statistiky se týkají prvního rozhodnutí o vyživovací povinnosti a údaje (v Kč event. v</w:t>
      </w:r>
      <w:r>
        <w:t> %</w:t>
      </w:r>
      <w:r w:rsidRPr="00D17312">
        <w:t>) se vztahují k jednomu dítěti.</w:t>
      </w:r>
    </w:p>
    <w:p w:rsidR="00A4083A" w:rsidRPr="00D17312" w:rsidRDefault="00A4083A" w:rsidP="00A4083A">
      <w:pPr>
        <w:pStyle w:val="Podnadpis"/>
        <w:rPr>
          <w:color w:val="auto"/>
        </w:rPr>
      </w:pPr>
      <w:bookmarkStart w:id="280" w:name="_Ref510766269"/>
      <w:bookmarkStart w:id="281" w:name="_Toc515871372"/>
      <w:bookmarkStart w:id="282" w:name="_Toc11135103"/>
      <w:bookmarkStart w:id="283" w:name="_Toc43841422"/>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42</w:t>
      </w:r>
      <w:r w:rsidRPr="00D17312">
        <w:rPr>
          <w:noProof/>
          <w:color w:val="auto"/>
        </w:rPr>
        <w:fldChar w:fldCharType="end"/>
      </w:r>
      <w:bookmarkEnd w:id="280"/>
      <w:r w:rsidRPr="00D17312">
        <w:rPr>
          <w:color w:val="auto"/>
        </w:rPr>
        <w:t>: OS – průměrná výše výživného dle povinné osoby v letech 2012–</w:t>
      </w:r>
      <w:bookmarkEnd w:id="281"/>
      <w:bookmarkEnd w:id="282"/>
      <w:r w:rsidRPr="00D17312">
        <w:rPr>
          <w:color w:val="auto"/>
        </w:rPr>
        <w:t>2019</w:t>
      </w:r>
      <w:bookmarkEnd w:id="283"/>
    </w:p>
    <w:p w:rsidR="00A4083A" w:rsidRPr="00D17312" w:rsidRDefault="00A4083A" w:rsidP="00A4083A">
      <w:pPr>
        <w:pStyle w:val="OdstavecASR"/>
      </w:pPr>
      <w:r w:rsidRPr="00D17312">
        <w:rPr>
          <w:noProof/>
          <w:lang w:eastAsia="cs-CZ"/>
        </w:rPr>
        <w:drawing>
          <wp:inline distT="0" distB="0" distL="0" distR="0" wp14:anchorId="50F3D8CF" wp14:editId="35D1650D">
            <wp:extent cx="5114925" cy="37433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pPr>
      <w:r w:rsidRPr="00D17312">
        <w:t>V grafu výše vidíme, že průměrné výživné stanovené otci je asi dvakrát vyšší než průměrné výživné stano</w:t>
      </w:r>
      <w:r>
        <w:t>vo</w:t>
      </w:r>
      <w:r w:rsidRPr="00D17312">
        <w:t>vané matce a je potřebné dále tento vývoj sledovat. Rozdíl je způsoben několika faktory:</w:t>
      </w:r>
    </w:p>
    <w:p w:rsidR="00A4083A" w:rsidRPr="00D17312" w:rsidRDefault="00A4083A" w:rsidP="00A4083A">
      <w:pPr>
        <w:pStyle w:val="Odstavecseseznamem"/>
        <w:numPr>
          <w:ilvl w:val="0"/>
          <w:numId w:val="13"/>
        </w:numPr>
      </w:pPr>
      <w:r w:rsidRPr="00D17312">
        <w:t>Při určování výživného soud přihlíží k majetkovým poměrům povinného. Průměrná mzda žen v ČR je menší než průměrná mzda mužů a logicky je tedy mužům stanovena povinnost platit vyšší výživné. To ovšem vysvětluje pouze část rozdílu, protože mzda mužů není ani zdaleka dvakrát vyšší než mzda žen a při růstu hrubých mezd žen dochází ke snižování podílu jim určeného výživného na jejich příjmu. Například ve 4. čtvrtletí 2019 byla podle Českého statistického úřadu mediánová hrubá měsíční mzda žen 28 481 Kč, u mužů 33 814 Kč. Hrubé mzdy vykazované ČSÚ navíc nezahrnují přídavky na děti a jiné eventuální přiznané dávky.</w:t>
      </w:r>
    </w:p>
    <w:p w:rsidR="00A4083A" w:rsidRPr="00D17312" w:rsidRDefault="00A4083A" w:rsidP="00A4083A">
      <w:pPr>
        <w:pStyle w:val="Odstavecseseznamem"/>
        <w:numPr>
          <w:ilvl w:val="0"/>
          <w:numId w:val="13"/>
        </w:numPr>
        <w:rPr>
          <w:b/>
          <w:spacing w:val="15"/>
        </w:rPr>
      </w:pPr>
      <w:r w:rsidRPr="00D17312">
        <w:t>V dalším grafu vidíme, že u matek je podíl výživného na čistém měsíčním příjmu nižší než u otců. To souvisí právě s výší příjmů. Snížení disponibilního příjmu má větší dopad na lidi s nižšími mzdami.</w:t>
      </w:r>
    </w:p>
    <w:p w:rsidR="00A4083A" w:rsidRPr="00D17312" w:rsidRDefault="00A4083A" w:rsidP="00A4083A">
      <w:pPr>
        <w:pStyle w:val="Odstavecseseznamem"/>
        <w:numPr>
          <w:ilvl w:val="0"/>
          <w:numId w:val="13"/>
        </w:numPr>
        <w:rPr>
          <w:b/>
          <w:spacing w:val="15"/>
        </w:rPr>
      </w:pPr>
      <w:r w:rsidRPr="00D17312">
        <w:t>Rozdíl mezi příjmy otce a matky, kteří vedou spor o výživné, je větší než rozdíl mezi příjmy mužů a žen v celé populaci ČR. To je zřejmě dáno tím, že matky se musí starat o dítě v nižším věku, což se negativně projevuje v jejich příjmech.</w:t>
      </w:r>
    </w:p>
    <w:p w:rsidR="00A4083A" w:rsidRPr="00D17312" w:rsidRDefault="00A4083A" w:rsidP="00A4083A">
      <w:pPr>
        <w:pStyle w:val="Podnadpis"/>
        <w:rPr>
          <w:color w:val="auto"/>
        </w:rPr>
      </w:pPr>
      <w:bookmarkStart w:id="284" w:name="_Ref510766313"/>
      <w:bookmarkStart w:id="285" w:name="_Toc515871373"/>
      <w:bookmarkStart w:id="286" w:name="_Toc11135104"/>
      <w:bookmarkStart w:id="287" w:name="_Toc43841423"/>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43</w:t>
      </w:r>
      <w:r w:rsidRPr="00D17312">
        <w:rPr>
          <w:noProof/>
          <w:color w:val="auto"/>
        </w:rPr>
        <w:fldChar w:fldCharType="end"/>
      </w:r>
      <w:bookmarkEnd w:id="284"/>
      <w:r w:rsidRPr="00D17312">
        <w:rPr>
          <w:color w:val="auto"/>
        </w:rPr>
        <w:t>: OS – podíl na příjmu povinné osoby v letech 2012–201</w:t>
      </w:r>
      <w:bookmarkEnd w:id="285"/>
      <w:bookmarkEnd w:id="286"/>
      <w:r w:rsidRPr="00D17312">
        <w:rPr>
          <w:color w:val="auto"/>
        </w:rPr>
        <w:t>9</w:t>
      </w:r>
      <w:bookmarkEnd w:id="287"/>
    </w:p>
    <w:p w:rsidR="00A4083A" w:rsidRPr="00D17312" w:rsidRDefault="00A4083A" w:rsidP="00A4083A">
      <w:pPr>
        <w:rPr>
          <w:highlight w:val="yellow"/>
        </w:rPr>
      </w:pPr>
      <w:r w:rsidRPr="00D17312">
        <w:rPr>
          <w:noProof/>
          <w:lang w:eastAsia="cs-CZ"/>
        </w:rPr>
        <w:drawing>
          <wp:inline distT="0" distB="0" distL="0" distR="0" wp14:anchorId="3D1E741F" wp14:editId="54599F47">
            <wp:extent cx="5114925" cy="374332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pPr>
      <w:r w:rsidRPr="00D17312">
        <w:t>V případě, že je povinnost platit výživné stanovena oběma rodičům, zachycují statistiky pouze vyšší z obou částek. Vzhledem k výši příjmů se obvykle jedná o částku stanovenou otci. Částky jsou v průměru nižší než částky stanovené pouze otcům, protože dítě má v tomto případě zajištěn příjem od obou rodičů.</w:t>
      </w:r>
    </w:p>
    <w:p w:rsidR="00A4083A" w:rsidRPr="00D17312" w:rsidRDefault="00A4083A" w:rsidP="00A4083A">
      <w:pPr>
        <w:pStyle w:val="OdstavecASR"/>
      </w:pPr>
      <w:r w:rsidRPr="00D17312">
        <w:t>V grafech vidíme, že průměrná stanovená částka výživného na jedno dítě roste, podíl stanoveného výživného na čistém měsíčním příjmu povinné osoby přitom klesá. To lze vysvětlit zlepšují</w:t>
      </w:r>
      <w:r>
        <w:t>cí</w:t>
      </w:r>
      <w:r w:rsidRPr="00D17312">
        <w:t xml:space="preserve"> se ekonomickou situací v ČR a zvyšováním příjmů nejen povinných osob. Za normálních okolností by tento trend pravděpodobně pokračoval.</w:t>
      </w:r>
    </w:p>
    <w:p w:rsidR="00A4083A" w:rsidRPr="00D17312" w:rsidRDefault="00A4083A" w:rsidP="00A4083A">
      <w:pPr>
        <w:pStyle w:val="OdstavecASR"/>
      </w:pPr>
      <w:r w:rsidRPr="00D17312">
        <w:t>Plošný graf (viz seznam pojmů) dále zachycuje statistiku, která úzce souvisí s rozhodováním o výživném, totiž to, jak často je dítě svěřeno do péče matce, otci, jiné fyzické osobě či oběma rodičům do společné nebo střídavé péče. V necelých 80</w:t>
      </w:r>
      <w:r>
        <w:t> %</w:t>
      </w:r>
      <w:r w:rsidRPr="00D17312">
        <w:t xml:space="preserve"> případů svěřil soud dítě do péče matce. Vidíme ovšem, že podíl tohoto tradičního modelu postupně pozvolna klesá ve prospěch alternativních řešení. K tomuto trendu přispívá zřejmě nejen judikatura českého Ústavního soudu</w:t>
      </w:r>
      <w:r>
        <w:t>;</w:t>
      </w:r>
      <w:r w:rsidRPr="00D17312">
        <w:t xml:space="preserve"> můžeme se domnívat, že </w:t>
      </w:r>
      <w:r>
        <w:t>ke změně</w:t>
      </w:r>
      <w:r w:rsidRPr="00D17312">
        <w:t xml:space="preserve"> rozhodovací prax</w:t>
      </w:r>
      <w:r>
        <w:t xml:space="preserve">e </w:t>
      </w:r>
      <w:r w:rsidRPr="00D17312">
        <w:t xml:space="preserve">může </w:t>
      </w:r>
      <w:r>
        <w:t xml:space="preserve">přispívat </w:t>
      </w:r>
      <w:r w:rsidRPr="00D17312">
        <w:t>i celospolečenské klima, odborn</w:t>
      </w:r>
      <w:r>
        <w:t>é</w:t>
      </w:r>
      <w:r w:rsidRPr="00D17312">
        <w:t xml:space="preserve"> disku</w:t>
      </w:r>
      <w:r>
        <w:t>se</w:t>
      </w:r>
      <w:r w:rsidRPr="00D17312">
        <w:t xml:space="preserve"> o rozhodování o dětech na mezinárodní úrovni a další</w:t>
      </w:r>
      <w:r>
        <w:t xml:space="preserve"> faktory</w:t>
      </w:r>
      <w:r w:rsidRPr="00D17312">
        <w:t>.</w:t>
      </w:r>
    </w:p>
    <w:p w:rsidR="00A4083A" w:rsidRPr="00D17312" w:rsidRDefault="00A4083A" w:rsidP="00A4083A">
      <w:pPr>
        <w:pStyle w:val="OdstavecASR"/>
      </w:pPr>
      <w:r w:rsidRPr="00D17312">
        <w:t>V řeči konkrétních čísel podíl</w:t>
      </w:r>
      <w:r>
        <w:t xml:space="preserve"> případů</w:t>
      </w:r>
      <w:r w:rsidRPr="00D17312">
        <w:t>, kdy soud svěřil dítě do péče matce, klesl z 86,6</w:t>
      </w:r>
      <w:r>
        <w:t> %</w:t>
      </w:r>
      <w:r w:rsidRPr="00D17312">
        <w:t xml:space="preserve"> v roce 2012 na 78,8</w:t>
      </w:r>
      <w:r>
        <w:t> %</w:t>
      </w:r>
      <w:r w:rsidRPr="00D17312">
        <w:t xml:space="preserve"> v roce 2018. Podíl případů, kdy bylo dítě do péče svěřeno oběma rodičům, se výrazně zvýšil z 5,2</w:t>
      </w:r>
      <w:r>
        <w:t> %</w:t>
      </w:r>
      <w:r w:rsidRPr="00D17312">
        <w:t xml:space="preserve"> v roce 2012 na 12,8</w:t>
      </w:r>
      <w:r>
        <w:t> %</w:t>
      </w:r>
      <w:r w:rsidRPr="00D17312">
        <w:t xml:space="preserve"> v roce 2018. V roce 2019 nárůst akceleroval, a</w:t>
      </w:r>
      <w:r>
        <w:t> </w:t>
      </w:r>
      <w:r w:rsidRPr="00D17312">
        <w:t>zatímco podíl dětí svěřených do péče otce zůstal stejný, podíl dětí svěřených do péče matky klesl na úkor případů, kdy bylo dítě svěřeno oběma rodičům. V roce 2019 bylo svěřeno do péče oběma rodičům 15,5</w:t>
      </w:r>
      <w:r>
        <w:t> %</w:t>
      </w:r>
      <w:r w:rsidRPr="00D17312">
        <w:t xml:space="preserve"> dětí.</w:t>
      </w:r>
    </w:p>
    <w:p w:rsidR="00A4083A" w:rsidRPr="00D17312" w:rsidRDefault="00A4083A" w:rsidP="00A4083A">
      <w:pPr>
        <w:pStyle w:val="OdstavecASR"/>
      </w:pPr>
      <w:r w:rsidRPr="00D17312">
        <w:lastRenderedPageBreak/>
        <w:t>Od roku 2014 jsou k dispozici také o něco podrobnější data. U svěření dítěte do péče obou rodičů se rozlišuje, jestli se jednalo o péči střídavou nebo o péči společnou. Data ukazují, že svěření do střídavé péče je častější a že frekvence využití roste jak u střídavé péče, tak i u péče společné.</w:t>
      </w:r>
    </w:p>
    <w:p w:rsidR="00A4083A" w:rsidRPr="00D17312" w:rsidRDefault="00A4083A" w:rsidP="00A4083A">
      <w:pPr>
        <w:pStyle w:val="Podnadpis"/>
        <w:rPr>
          <w:color w:val="auto"/>
        </w:rPr>
      </w:pPr>
      <w:bookmarkStart w:id="288" w:name="_Toc515871374"/>
      <w:bookmarkStart w:id="289" w:name="_Toc11135105"/>
      <w:bookmarkStart w:id="290" w:name="_Toc43841424"/>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44</w:t>
      </w:r>
      <w:r w:rsidRPr="00D17312">
        <w:rPr>
          <w:noProof/>
          <w:color w:val="auto"/>
        </w:rPr>
        <w:fldChar w:fldCharType="end"/>
      </w:r>
      <w:r w:rsidRPr="00D17312">
        <w:rPr>
          <w:color w:val="auto"/>
        </w:rPr>
        <w:t>: OS – svěřování dítěte do péče</w:t>
      </w:r>
      <w:bookmarkEnd w:id="288"/>
      <w:bookmarkEnd w:id="289"/>
      <w:bookmarkEnd w:id="290"/>
    </w:p>
    <w:p w:rsidR="00A4083A" w:rsidRPr="00D17312" w:rsidRDefault="00A4083A" w:rsidP="00A4083A">
      <w:pPr>
        <w:rPr>
          <w:highlight w:val="yellow"/>
        </w:rPr>
      </w:pPr>
      <w:r w:rsidRPr="00D17312">
        <w:rPr>
          <w:noProof/>
          <w:lang w:eastAsia="cs-CZ"/>
        </w:rPr>
        <w:drawing>
          <wp:inline distT="0" distB="0" distL="0" distR="0" wp14:anchorId="0D4054B7" wp14:editId="77FEB5DC">
            <wp:extent cx="5114925" cy="3743325"/>
            <wp:effectExtent l="0" t="0" r="0" b="9525"/>
            <wp:docPr id="106" name="Obráze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rPr>
          <w:highlight w:val="yellow"/>
        </w:rPr>
      </w:pPr>
    </w:p>
    <w:p w:rsidR="00A4083A" w:rsidRPr="00D17312" w:rsidRDefault="00A4083A" w:rsidP="00A4083A">
      <w:pPr>
        <w:pStyle w:val="OdstavecASR"/>
      </w:pPr>
      <w:r w:rsidRPr="00D17312">
        <w:t>Poslední graf v této podkapitole se zabývá věkovou strukturou dětí, u nichž proběhlo řízení o péči o nezletilé. Průhledné sloupce zobrazují věkovou strukturu dětí, u kterých došlo k prvnímu rozhodnutí o svěření do péče. Jedná se o data vztahující se ke stejné skupině věcí jako graf výše. Zelené sloupce ukazují věkovou strukturu dětí, u nichž bylo rozhodnuto o péči o dítě pouze v případě, kdy dojde k rozvodu rodičů.</w:t>
      </w:r>
    </w:p>
    <w:p w:rsidR="00A4083A" w:rsidRDefault="00A4083A" w:rsidP="00A4083A">
      <w:pPr>
        <w:pStyle w:val="OdstavecASR"/>
      </w:pPr>
      <w:r w:rsidRPr="00D17312">
        <w:t>Na histogramu je vidět zcela jasný rozdíl mezi oběma skupinami. Věk dítěte při rozhodování o péči v případě rozvodu je celkem logicky výrazně vyšší. U prvního rozhodnutí obecně jsou děti nejčastěji ve věku od 1 do 5 let. U rozhodnutí v případě rozvodu je nejvíce dětí ve věku 7 až 10 let. Toto rozložení se celkem logicky mezi kalendářními roky nemění.</w:t>
      </w:r>
    </w:p>
    <w:p w:rsidR="00A4083A" w:rsidRPr="00D17312" w:rsidRDefault="00A4083A" w:rsidP="00A4083A">
      <w:pPr>
        <w:pStyle w:val="Podnadpis"/>
        <w:rPr>
          <w:color w:val="auto"/>
        </w:rPr>
      </w:pPr>
      <w:bookmarkStart w:id="291" w:name="_Toc515871375"/>
      <w:bookmarkStart w:id="292" w:name="_Toc11135106"/>
      <w:bookmarkStart w:id="293" w:name="_Toc43841425"/>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45</w:t>
      </w:r>
      <w:r w:rsidRPr="00D17312">
        <w:rPr>
          <w:noProof/>
          <w:color w:val="auto"/>
        </w:rPr>
        <w:fldChar w:fldCharType="end"/>
      </w:r>
      <w:r w:rsidRPr="00D17312">
        <w:rPr>
          <w:color w:val="auto"/>
        </w:rPr>
        <w:t>: OS – věkové složení dětí v řízení o péči o nezletilé</w:t>
      </w:r>
      <w:bookmarkEnd w:id="291"/>
      <w:bookmarkEnd w:id="292"/>
      <w:bookmarkEnd w:id="293"/>
    </w:p>
    <w:p w:rsidR="00A4083A" w:rsidRPr="00D17312" w:rsidRDefault="00A4083A" w:rsidP="00A4083A">
      <w:pPr>
        <w:spacing w:line="240" w:lineRule="auto"/>
        <w:jc w:val="left"/>
      </w:pPr>
      <w:r w:rsidRPr="00D17312">
        <w:t xml:space="preserve"> </w:t>
      </w:r>
      <w:r w:rsidRPr="00D17312">
        <w:rPr>
          <w:noProof/>
          <w:lang w:eastAsia="cs-CZ"/>
        </w:rPr>
        <w:drawing>
          <wp:inline distT="0" distB="0" distL="0" distR="0" wp14:anchorId="0193C0C5" wp14:editId="1C57052F">
            <wp:extent cx="5114925" cy="3743325"/>
            <wp:effectExtent l="0" t="0" r="0" b="9525"/>
            <wp:docPr id="141" name="Obráze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spacing w:line="240" w:lineRule="auto"/>
        <w:jc w:val="left"/>
      </w:pPr>
      <w:r w:rsidRPr="00D17312">
        <w:br w:type="page"/>
      </w:r>
    </w:p>
    <w:p w:rsidR="00A4083A" w:rsidRPr="00D17312" w:rsidRDefault="00A4083A" w:rsidP="00A4083A">
      <w:pPr>
        <w:pStyle w:val="Nadpis2"/>
      </w:pPr>
      <w:bookmarkStart w:id="294" w:name="_Toc43903045"/>
      <w:r w:rsidRPr="00D17312">
        <w:lastRenderedPageBreak/>
        <w:t>DEA</w:t>
      </w:r>
      <w:bookmarkEnd w:id="294"/>
    </w:p>
    <w:p w:rsidR="00A4083A" w:rsidRPr="00D17312" w:rsidRDefault="00A4083A" w:rsidP="00A4083A">
      <w:pPr>
        <w:pStyle w:val="OdstavecASR"/>
      </w:pPr>
      <w:r w:rsidRPr="00D17312">
        <w:t>Jak jsme uvedli již výše, Ministerstvo spravedlnosti sleduje i jiné statistické údaje než ty, které byly zachyceny v předchozích částech této zprávy, a používá i výrazně složitější ukazatele a metody. Velmi dobrým příkladem je tzv. DEA (Data Envelopment Analysis, analýza obalu dat). Tato kapitola se věnuje právě analýze technické efektiv</w:t>
      </w:r>
      <w:r>
        <w:t>nosti</w:t>
      </w:r>
      <w:r w:rsidRPr="00D17312">
        <w:t xml:space="preserve"> českých soudů pomocí DEA. Dovolujeme si upozornit, že metoda je výrazně složitější než obvykle sledované a publikované údaje, v důsledku čehož se se tato kapitola výrazně liší od ostatních kapitol této zprávy celkovým pojetím, grafickou úpravou i strukturou.</w:t>
      </w:r>
    </w:p>
    <w:p w:rsidR="00A4083A" w:rsidRPr="00D17312" w:rsidRDefault="00A4083A" w:rsidP="00A4083A">
      <w:pPr>
        <w:pStyle w:val="OdstavecASR"/>
      </w:pPr>
      <w:r w:rsidRPr="00D17312">
        <w:t>V samotné kapitole uvádíme pouze výsledky, jejich interpretace a srovnání s rokem 2017 (v roce 2018 analýza provedena nebyla). Bližší popis metody (teorie, literatura, metodika, specifikace modelu) naleznete v příloze. Zde vysvětlíme pouze několik pojmů důležitých pro interpretaci výsledků.</w:t>
      </w:r>
    </w:p>
    <w:p w:rsidR="00A4083A" w:rsidRPr="00D17312" w:rsidRDefault="00A4083A" w:rsidP="00A4083A">
      <w:pPr>
        <w:pStyle w:val="OdstavecASR"/>
      </w:pPr>
      <w:bookmarkStart w:id="295" w:name="_Ref510015479"/>
      <w:bookmarkStart w:id="296" w:name="_Toc515871242"/>
      <w:r w:rsidRPr="00D17312">
        <w:t xml:space="preserve">Hlavním problematickým bodem </w:t>
      </w:r>
      <w:r>
        <w:t>tohoto typu</w:t>
      </w:r>
      <w:r w:rsidRPr="00D17312">
        <w:t xml:space="preserve"> zkoumání je nalezení vhodného způsobu kvantifikace výstupu a tím definice </w:t>
      </w:r>
      <w:r w:rsidRPr="00D17312">
        <w:rPr>
          <w:i/>
        </w:rPr>
        <w:t>efektivního</w:t>
      </w:r>
      <w:r w:rsidRPr="00D17312">
        <w:t xml:space="preserve"> výstupu: jde jednak o správné zohlednění různé distribuce náročnosti věcí u různých soudů a jednak o zohlednění </w:t>
      </w:r>
      <w:r w:rsidRPr="00D17312">
        <w:rPr>
          <w:i/>
        </w:rPr>
        <w:t>kvality</w:t>
      </w:r>
      <w:r w:rsidRPr="00D17312">
        <w:t xml:space="preserve"> vydávaných rozhodnutí. I přes tuto výhradu jsou ovšem výsledky pro porovnání jednotlivých soudů užitečné a slouží jako základ dalšího zkoumání práce těch soudů, které se výrazně odlišují.</w:t>
      </w:r>
    </w:p>
    <w:p w:rsidR="00A4083A" w:rsidRPr="00D17312" w:rsidRDefault="00A4083A" w:rsidP="00A4083A">
      <w:pPr>
        <w:pStyle w:val="Nadpis3"/>
        <w:rPr>
          <w:color w:val="auto"/>
        </w:rPr>
      </w:pPr>
      <w:bookmarkStart w:id="297" w:name="_Ref43838090"/>
      <w:bookmarkStart w:id="298" w:name="_Toc43903046"/>
      <w:r w:rsidRPr="00D17312">
        <w:rPr>
          <w:color w:val="auto"/>
        </w:rPr>
        <w:t>Výsledky a jejich interpretace</w:t>
      </w:r>
      <w:bookmarkEnd w:id="295"/>
      <w:bookmarkEnd w:id="296"/>
      <w:bookmarkEnd w:id="297"/>
      <w:bookmarkEnd w:id="298"/>
    </w:p>
    <w:p w:rsidR="00A4083A" w:rsidRPr="00D17312" w:rsidRDefault="00A4083A" w:rsidP="00A4083A">
      <w:pPr>
        <w:pStyle w:val="OdstavecASR"/>
      </w:pPr>
      <w:r w:rsidRPr="00D17312">
        <w:t>Je třeba zdůraznit, že veškeré závěry se týkají</w:t>
      </w:r>
      <w:r w:rsidRPr="00D17312">
        <w:rPr>
          <w:b/>
        </w:rPr>
        <w:t xml:space="preserve"> relativní</w:t>
      </w:r>
      <w:r w:rsidRPr="00D17312">
        <w:t xml:space="preserve"> efektivnosti, </w:t>
      </w:r>
      <w:r w:rsidRPr="00D17312">
        <w:rPr>
          <w:b/>
        </w:rPr>
        <w:t>nikoliv absolutní</w:t>
      </w:r>
      <w:r w:rsidRPr="00D17312">
        <w:t>. Soudy tedy porovnáváme mezi sebou nikoliv s nějakým externím standardem. Hlavní výsledky uvádíme v tabulce 31.</w:t>
      </w:r>
    </w:p>
    <w:p w:rsidR="00A4083A" w:rsidRPr="00D17312" w:rsidRDefault="00A4083A" w:rsidP="00A4083A">
      <w:pPr>
        <w:pStyle w:val="OdstavecASR"/>
      </w:pPr>
      <w:r w:rsidRPr="00D17312">
        <w:t>První tři sloupce udávají efektiv</w:t>
      </w:r>
      <w:r>
        <w:t>nost</w:t>
      </w:r>
      <w:r w:rsidRPr="00D17312">
        <w:t>. První sloupec (CRS_TE) udává celkovou technickou efektiv</w:t>
      </w:r>
      <w:r>
        <w:t>nost</w:t>
      </w:r>
      <w:r w:rsidRPr="00D17312">
        <w:t xml:space="preserve"> (ta má dvě složky</w:t>
      </w:r>
      <w:r>
        <w:t>,</w:t>
      </w:r>
      <w:r w:rsidRPr="00D17312">
        <w:t xml:space="preserve"> „čist</w:t>
      </w:r>
      <w:r>
        <w:t>ou</w:t>
      </w:r>
      <w:r w:rsidRPr="00D17312">
        <w:t xml:space="preserve"> technick</w:t>
      </w:r>
      <w:r>
        <w:t>ou</w:t>
      </w:r>
      <w:r w:rsidRPr="00D17312">
        <w:t xml:space="preserve"> efektivnost“ a „efektivnost vzhledem k velikosti“).</w:t>
      </w:r>
    </w:p>
    <w:p w:rsidR="00A4083A" w:rsidRPr="00D17312" w:rsidRDefault="00A4083A" w:rsidP="00A4083A">
      <w:pPr>
        <w:pStyle w:val="OdstavecASR"/>
      </w:pPr>
      <w:r w:rsidRPr="00D17312">
        <w:t>Druhý sloupec (VRS_TE) udává tzv. „čistou“ technickou efektiv</w:t>
      </w:r>
      <w:r>
        <w:t>nost</w:t>
      </w:r>
      <w:r w:rsidRPr="00D17312">
        <w:t xml:space="preserve"> (jak dobře soud funguje, nezohledňuje se jeho velikost). Získaná míra neefektivnosti je tedy způsobena pouze horším fungováním soudu.</w:t>
      </w:r>
    </w:p>
    <w:p w:rsidR="00A4083A" w:rsidRPr="00D17312" w:rsidRDefault="00A4083A" w:rsidP="00A4083A">
      <w:pPr>
        <w:pStyle w:val="OdstavecASR"/>
      </w:pPr>
      <w:r w:rsidRPr="00D17312">
        <w:t>Třetí sloupec (Scale) udává míru efektivnosti danou velikostí soudu. Je vypočítán jako podíl CRS_TE/VRS_TE.</w:t>
      </w:r>
    </w:p>
    <w:p w:rsidR="00A4083A" w:rsidRPr="00D17312" w:rsidRDefault="00A4083A" w:rsidP="00A4083A">
      <w:pPr>
        <w:pStyle w:val="OdstavecASR"/>
      </w:pPr>
      <w:r w:rsidRPr="00D17312">
        <w:t xml:space="preserve">Sloupce mohou nabývat hodnoty od nuly do jedné. Jedna značí stoprocentní efektivnost, např. </w:t>
      </w:r>
      <w:r>
        <w:t xml:space="preserve">hodnota </w:t>
      </w:r>
      <w:r w:rsidRPr="00D17312">
        <w:t>0,09 by značila devítiprocentní efektivnost.</w:t>
      </w:r>
    </w:p>
    <w:p w:rsidR="00A4083A" w:rsidRPr="00D17312" w:rsidRDefault="00A4083A" w:rsidP="00A4083A">
      <w:pPr>
        <w:pStyle w:val="OdstavecASR"/>
      </w:pPr>
      <w:r w:rsidRPr="00D17312">
        <w:t xml:space="preserve">Poslední sloupec udává, jaké výnosy z rozsahu soud vykazuje (respektive </w:t>
      </w:r>
      <w:r>
        <w:t xml:space="preserve">jaká je </w:t>
      </w:r>
      <w:r w:rsidRPr="00D17312">
        <w:t>jeho efektivní projekce). Může se jednat o rostoucí výnosy z rozsahu (IRS), konstantní výnosy z rozsahu (CRS – v tom případě je jeho velikost ideální) nebo klesající výnosy z rozsahu (DRS).</w:t>
      </w:r>
    </w:p>
    <w:p w:rsidR="00A4083A" w:rsidRPr="00D17312" w:rsidRDefault="00A4083A" w:rsidP="00A4083A">
      <w:pPr>
        <w:pStyle w:val="OdstavecASR"/>
      </w:pPr>
      <w:r w:rsidRPr="00D17312">
        <w:t>Pro lepší pochopení uvádíme příklady interpretace: OS v Klatovech má skóre: CRS_TE = 0,945 VRS_TE = 0,973, Scale = 0,972, RTS = IRS. Soud je tedy efektivní asi na 94,5</w:t>
      </w:r>
      <w:r>
        <w:t> %</w:t>
      </w:r>
      <w:r w:rsidRPr="00D17312">
        <w:t>. Soud sám o sobě funguje efektivně na 97,3</w:t>
      </w:r>
      <w:r>
        <w:t> %</w:t>
      </w:r>
      <w:r w:rsidRPr="00D17312">
        <w:t xml:space="preserve">. Jeho neefektivnost je částečně způsobena ne </w:t>
      </w:r>
      <w:r>
        <w:t>zcela</w:t>
      </w:r>
      <w:r w:rsidRPr="00D17312">
        <w:t xml:space="preserve"> vhodnou velikostí – soud je díky ní efektivní jen na 97,2</w:t>
      </w:r>
      <w:r>
        <w:t> %</w:t>
      </w:r>
      <w:r w:rsidRPr="00D17312">
        <w:t>. IRS značí, že soud vykazuje rostoucí výnosy z rozsahu. Ideálně by tedy měl soud být o něco větší, než ve skutečnosti je.</w:t>
      </w:r>
    </w:p>
    <w:p w:rsidR="00A4083A" w:rsidRPr="00D17312" w:rsidRDefault="00A4083A" w:rsidP="00A4083A">
      <w:pPr>
        <w:pStyle w:val="OdstavecASR"/>
      </w:pPr>
      <w:r w:rsidRPr="00D17312">
        <w:lastRenderedPageBreak/>
        <w:t>Tabulka ukazuje, že v ČR je celkem 25 čistě technicky efektivních soudů. Patnáct z těchto soudů ztrácí efektivnost kvůli nevhodné velikosti. V roce 2017 to bylo 16 čistě technicky efektivních soudů, 9 z nich ztrácelo efektivnost kvůli nevhodné velikosti.</w:t>
      </w:r>
    </w:p>
    <w:p w:rsidR="00A4083A" w:rsidRPr="00D17312" w:rsidRDefault="00A4083A" w:rsidP="00A4083A">
      <w:pPr>
        <w:pStyle w:val="OdstavecASR"/>
      </w:pPr>
      <w:r w:rsidRPr="00D17312">
        <w:t xml:space="preserve">Naopak nejméně efektivní </w:t>
      </w:r>
      <w:r>
        <w:t>jsou</w:t>
      </w:r>
      <w:r w:rsidRPr="00D17312">
        <w:t xml:space="preserve"> OS pro Prahu 7 (CRS_TE = 0,747, což je zdaleka nejhorší výsledek</w:t>
      </w:r>
      <w:r>
        <w:t>),</w:t>
      </w:r>
      <w:r w:rsidRPr="00D17312">
        <w:t xml:space="preserve"> OS v Břeclavi a ve Znojmě (CRS_TE = 0,863). Výrazně větší ztráta v efektivnosti plyne z horší čisté technické efektivnosti (VRS_TE) než ze ztráty efektivnosti kvůli velikosti soudu (Scale). Především OS pro Prahu 7 </w:t>
      </w:r>
      <w:r>
        <w:t xml:space="preserve">vykazuje i další nepříznivé </w:t>
      </w:r>
      <w:r w:rsidRPr="00D17312">
        <w:t xml:space="preserve">statistické ukazatele </w:t>
      </w:r>
      <w:r>
        <w:t>popsané výše</w:t>
      </w:r>
      <w:r w:rsidRPr="00D17312">
        <w:t xml:space="preserve">. Tyto výsledky naznačují, že u soudu zřejmě v současnosti </w:t>
      </w:r>
      <w:r>
        <w:t xml:space="preserve">existuje </w:t>
      </w:r>
      <w:r w:rsidRPr="00D17312">
        <w:t xml:space="preserve">problém, </w:t>
      </w:r>
      <w:r>
        <w:t xml:space="preserve">který pravděpodobně vyplývá z </w:t>
      </w:r>
      <w:r w:rsidRPr="00D17312">
        <w:t>dlouhodob</w:t>
      </w:r>
      <w:r>
        <w:t>é</w:t>
      </w:r>
      <w:r w:rsidRPr="00D17312">
        <w:t xml:space="preserve"> nepřítomnost</w:t>
      </w:r>
      <w:r>
        <w:t>i</w:t>
      </w:r>
      <w:r w:rsidRPr="00D17312">
        <w:t xml:space="preserve"> soudce na civilním úseku soudu. OS Praha 7 totiž patří v Praze k těm nejmenším (</w:t>
      </w:r>
      <w:r>
        <w:fldChar w:fldCharType="begin"/>
      </w:r>
      <w:r>
        <w:instrText xml:space="preserve"> REF  _Ref41044837 \h \* Lower </w:instrText>
      </w:r>
      <w:r>
        <w:fldChar w:fldCharType="separate"/>
      </w:r>
      <w:r w:rsidR="006E7F27" w:rsidRPr="00D427F3">
        <w:t xml:space="preserve">graf </w:t>
      </w:r>
      <w:r w:rsidR="006E7F27">
        <w:rPr>
          <w:noProof/>
        </w:rPr>
        <w:t>3</w:t>
      </w:r>
      <w:r>
        <w:fldChar w:fldCharType="end"/>
      </w:r>
      <w:r w:rsidRPr="00D17312">
        <w:t>). U soudů</w:t>
      </w:r>
      <w:r>
        <w:t>,</w:t>
      </w:r>
      <w:r w:rsidRPr="00D17312">
        <w:t xml:space="preserve"> jako je Ústí nad Labem či MS v</w:t>
      </w:r>
      <w:r>
        <w:t> </w:t>
      </w:r>
      <w:r w:rsidRPr="00D17312">
        <w:t>Brně</w:t>
      </w:r>
      <w:r>
        <w:t>,</w:t>
      </w:r>
      <w:r w:rsidRPr="00D17312">
        <w:t xml:space="preserve"> plynou problémy spíše z minulosti.</w:t>
      </w:r>
    </w:p>
    <w:p w:rsidR="00A4083A" w:rsidRPr="00D17312" w:rsidRDefault="00A4083A" w:rsidP="00A4083A">
      <w:pPr>
        <w:pStyle w:val="OdstavecASR"/>
      </w:pPr>
      <w:r w:rsidRPr="00D17312">
        <w:t>Celková efektivnost soudů v ČR je 94,0</w:t>
      </w:r>
      <w:r>
        <w:t> %</w:t>
      </w:r>
      <w:r w:rsidRPr="00D17312">
        <w:t>, čistá technická efektivnost je 95,7</w:t>
      </w:r>
      <w:r>
        <w:t> %</w:t>
      </w:r>
      <w:r w:rsidRPr="00D17312">
        <w:t>, efektivnost dle velikosti je 98,3</w:t>
      </w:r>
      <w:r>
        <w:t> %</w:t>
      </w:r>
      <w:r w:rsidRPr="00D17312">
        <w:t>. Soudy v ČR tedy velmi málo ztrácí efektivnost kvůli velikosti. Kvůli velikosti takto ztrácí efektivnost hlavně soudy v Ostravě a v Brně (které jsou příliš velké) a soudy v Semilech, Pelhřimově a Jeseníku (které jsou naopak příliš malé).</w:t>
      </w:r>
    </w:p>
    <w:p w:rsidR="00A4083A" w:rsidRPr="00D17312" w:rsidRDefault="00A4083A" w:rsidP="00A4083A">
      <w:pPr>
        <w:pStyle w:val="OdstavecASR"/>
      </w:pPr>
      <w:r w:rsidRPr="00D17312">
        <w:t>V této zprávě je zachycena pouze část výsledků analýzy. Dalšími výstupy DEA jsou:</w:t>
      </w:r>
    </w:p>
    <w:p w:rsidR="00A4083A" w:rsidRPr="00D17312" w:rsidRDefault="00A4083A" w:rsidP="00A4083A">
      <w:pPr>
        <w:pStyle w:val="OdstavecASR"/>
        <w:numPr>
          <w:ilvl w:val="0"/>
          <w:numId w:val="8"/>
        </w:numPr>
      </w:pPr>
      <w:bookmarkStart w:id="299" w:name="_Toc515871243"/>
      <w:r w:rsidRPr="00D17312">
        <w:t>Přídatné proměnné. Ty ukazují, o kolik je třeba u daného soudu snížit daný vstup (počet soudců nebo ostatních zaměstnanců ve výkonu) a zároveň zachovat vážený počet vyřízených věcí, aby se stal soud efektivním.</w:t>
      </w:r>
    </w:p>
    <w:p w:rsidR="00A4083A" w:rsidRPr="00D17312" w:rsidRDefault="00A4083A" w:rsidP="00A4083A">
      <w:pPr>
        <w:pStyle w:val="OdstavecASR"/>
        <w:numPr>
          <w:ilvl w:val="0"/>
          <w:numId w:val="8"/>
        </w:numPr>
      </w:pPr>
      <w:r w:rsidRPr="00D17312">
        <w:t xml:space="preserve">Referenční soudy. </w:t>
      </w:r>
      <w:r>
        <w:t>J</w:t>
      </w:r>
      <w:r w:rsidRPr="00D17312">
        <w:t>sou zkoumány plně efektivní soudy. Neefektivní soud je vždy porovnáván s jedním nebo více efektivními soudy a právě vzhledem k nim je určena jeho neefektivnost. U soudů, které vystupují jako referenční soudy zřídka, není závěr o jejich efektivnosti statisticky robustní.</w:t>
      </w:r>
    </w:p>
    <w:p w:rsidR="00A4083A" w:rsidRPr="00D17312" w:rsidRDefault="00A4083A" w:rsidP="00A4083A">
      <w:pPr>
        <w:pStyle w:val="OdstavecASR"/>
        <w:numPr>
          <w:ilvl w:val="0"/>
          <w:numId w:val="8"/>
        </w:numPr>
      </w:pPr>
      <w:r w:rsidRPr="00D17312">
        <w:t>Je zkoumáno, zda existuje vztah mezi velikostí soudu a efektiv</w:t>
      </w:r>
      <w:r>
        <w:t>ností</w:t>
      </w:r>
      <w:r w:rsidRPr="00D17312">
        <w:t xml:space="preserve"> soudu.</w:t>
      </w:r>
    </w:p>
    <w:p w:rsidR="00A4083A" w:rsidRPr="00D17312" w:rsidRDefault="00A4083A" w:rsidP="00A4083A">
      <w:pPr>
        <w:pStyle w:val="OdstavecASR"/>
        <w:numPr>
          <w:ilvl w:val="0"/>
          <w:numId w:val="8"/>
        </w:numPr>
      </w:pPr>
      <w:r w:rsidRPr="00D17312">
        <w:t>Jsou využity jiné specifikace modelu, zapojeny jiné proměnné apod.</w:t>
      </w:r>
    </w:p>
    <w:p w:rsidR="00A4083A" w:rsidRPr="00D17312" w:rsidRDefault="00A4083A" w:rsidP="00A4083A">
      <w:pPr>
        <w:pStyle w:val="Nadpis3"/>
        <w:rPr>
          <w:color w:val="auto"/>
        </w:rPr>
      </w:pPr>
      <w:bookmarkStart w:id="300" w:name="_Toc43903047"/>
      <w:r w:rsidRPr="00D17312">
        <w:rPr>
          <w:color w:val="auto"/>
        </w:rPr>
        <w:t>Srovnání s rokem 201</w:t>
      </w:r>
      <w:bookmarkEnd w:id="299"/>
      <w:r w:rsidRPr="00D17312">
        <w:rPr>
          <w:color w:val="auto"/>
        </w:rPr>
        <w:t>7</w:t>
      </w:r>
      <w:bookmarkEnd w:id="300"/>
    </w:p>
    <w:p w:rsidR="00A4083A" w:rsidRPr="00D17312" w:rsidRDefault="00A4083A" w:rsidP="00A4083A">
      <w:pPr>
        <w:pStyle w:val="OdstavecASR"/>
      </w:pPr>
      <w:r w:rsidRPr="00D17312">
        <w:t>Nabízí se otázka, jak se mění efektivnost soudů mezi lety. Tedy, zda jsou některé soudy konzistentně efektivní a jiné stále neefektivní</w:t>
      </w:r>
      <w:r>
        <w:t xml:space="preserve">, a zda </w:t>
      </w:r>
      <w:r w:rsidRPr="00D17312">
        <w:t>se mezi lety nějak mění celková efektivnost soudů v ČR. Logicky můžeme předpokládat, že mezi jednotlivými roky dochází jen k malé změně v efektivnosti. V přechozím roce (výroční statistická zpráva za rok 2018) nebyla analýza provedena, a proto je srovnání provedeno s rokem 2017.</w:t>
      </w:r>
    </w:p>
    <w:p w:rsidR="00A4083A" w:rsidRPr="00D17312" w:rsidRDefault="00A4083A" w:rsidP="00A4083A">
      <w:pPr>
        <w:pStyle w:val="OdstavecASR"/>
      </w:pPr>
      <w:r w:rsidRPr="00D17312">
        <w:t>Na druhou otázku lze odpovědět velmi rychle. V roce 201</w:t>
      </w:r>
      <w:r>
        <w:t>9</w:t>
      </w:r>
      <w:r w:rsidRPr="00D17312">
        <w:t xml:space="preserve"> byla celková efektivnost soudů v ČR 94,0</w:t>
      </w:r>
      <w:r>
        <w:t> %</w:t>
      </w:r>
      <w:r w:rsidRPr="00D17312">
        <w:t>, čistá technická efektivnost 95,7</w:t>
      </w:r>
      <w:r>
        <w:t> % </w:t>
      </w:r>
      <w:r w:rsidRPr="00D17312">
        <w:t>a efektivnost dle velikosti 98,3</w:t>
      </w:r>
      <w:r>
        <w:t> %</w:t>
      </w:r>
      <w:r w:rsidRPr="00D17312">
        <w:t>. Za rok 2017 byly tyto hodnoty 89,2</w:t>
      </w:r>
      <w:r>
        <w:t> %</w:t>
      </w:r>
      <w:r w:rsidRPr="00D17312">
        <w:t>, 91,6</w:t>
      </w:r>
      <w:r>
        <w:t> % </w:t>
      </w:r>
      <w:r w:rsidRPr="00D17312">
        <w:t>a 97,5</w:t>
      </w:r>
      <w:r>
        <w:t> %</w:t>
      </w:r>
      <w:r w:rsidRPr="00D17312">
        <w:t>. V roce 2017 bylo technicky efektivních 16 soudů, v roce 2019 jich bylo 25.</w:t>
      </w:r>
    </w:p>
    <w:p w:rsidR="00A4083A" w:rsidRDefault="00A4083A" w:rsidP="00A4083A">
      <w:pPr>
        <w:pStyle w:val="OdstavecASR"/>
      </w:pPr>
      <w:r w:rsidRPr="00D17312">
        <w:t xml:space="preserve">Vidíme tedy, že situace se výrazně zlepšila. Připomínáme, že se jedná o relativní srovnání. Znamená to, že se zmenšily rozdíly mezi „horšími“ a „lepšími“ soudy. To je v plném souladu s daty z předchozích kapitol (viz například </w:t>
      </w:r>
      <w:r>
        <w:t>krabicové grafy</w:t>
      </w:r>
      <w:r w:rsidRPr="00D17312">
        <w:t>).</w:t>
      </w:r>
    </w:p>
    <w:p w:rsidR="00A4083A" w:rsidRPr="00D17312" w:rsidRDefault="00A4083A" w:rsidP="00A4083A">
      <w:pPr>
        <w:spacing w:line="240" w:lineRule="auto"/>
        <w:jc w:val="left"/>
        <w:rPr>
          <w:rFonts w:eastAsia="Times New Roman"/>
          <w:b/>
          <w:iCs/>
          <w:spacing w:val="15"/>
          <w:szCs w:val="24"/>
        </w:rPr>
      </w:pPr>
      <w:r w:rsidRPr="00D17312">
        <w:br w:type="page"/>
      </w:r>
    </w:p>
    <w:p w:rsidR="00A4083A" w:rsidRPr="00D17312" w:rsidRDefault="00A4083A" w:rsidP="00A4083A">
      <w:pPr>
        <w:pStyle w:val="Podnadpis"/>
        <w:rPr>
          <w:color w:val="auto"/>
        </w:rPr>
      </w:pPr>
      <w:bookmarkStart w:id="301" w:name="_Toc43931205"/>
      <w:r w:rsidRPr="00D17312">
        <w:rPr>
          <w:color w:val="auto"/>
        </w:rPr>
        <w:lastRenderedPageBreak/>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32</w:t>
      </w:r>
      <w:r w:rsidRPr="00D17312">
        <w:rPr>
          <w:color w:val="auto"/>
        </w:rPr>
        <w:fldChar w:fldCharType="end"/>
      </w:r>
      <w:r w:rsidRPr="00D17312">
        <w:rPr>
          <w:color w:val="auto"/>
        </w:rPr>
        <w:t>: OS, DEA – výsledky</w:t>
      </w:r>
      <w:bookmarkEnd w:id="301"/>
    </w:p>
    <w:tbl>
      <w:tblPr>
        <w:tblW w:w="8840" w:type="dxa"/>
        <w:tblCellMar>
          <w:left w:w="70" w:type="dxa"/>
          <w:right w:w="70" w:type="dxa"/>
        </w:tblCellMar>
        <w:tblLook w:val="04A0" w:firstRow="1" w:lastRow="0" w:firstColumn="1" w:lastColumn="0" w:noHBand="0" w:noVBand="1"/>
      </w:tblPr>
      <w:tblGrid>
        <w:gridCol w:w="2320"/>
        <w:gridCol w:w="2200"/>
        <w:gridCol w:w="1080"/>
        <w:gridCol w:w="1080"/>
        <w:gridCol w:w="1080"/>
        <w:gridCol w:w="1080"/>
      </w:tblGrid>
      <w:tr w:rsidR="00A4083A" w:rsidRPr="00D17312" w:rsidTr="00A41CAB">
        <w:trPr>
          <w:trHeight w:val="255"/>
        </w:trPr>
        <w:tc>
          <w:tcPr>
            <w:tcW w:w="232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220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Nadřízený soud</w:t>
            </w:r>
          </w:p>
        </w:tc>
        <w:tc>
          <w:tcPr>
            <w:tcW w:w="108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CRS_TE</w:t>
            </w:r>
          </w:p>
        </w:tc>
        <w:tc>
          <w:tcPr>
            <w:tcW w:w="108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VRS_TE</w:t>
            </w:r>
          </w:p>
        </w:tc>
        <w:tc>
          <w:tcPr>
            <w:tcW w:w="108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Scale</w:t>
            </w:r>
          </w:p>
        </w:tc>
        <w:tc>
          <w:tcPr>
            <w:tcW w:w="108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RTS</w:t>
            </w:r>
          </w:p>
        </w:tc>
      </w:tr>
      <w:tr w:rsidR="00A4083A" w:rsidRPr="00D17312" w:rsidTr="00A41CAB">
        <w:trPr>
          <w:trHeight w:val="255"/>
        </w:trPr>
        <w:tc>
          <w:tcPr>
            <w:tcW w:w="2320" w:type="dxa"/>
            <w:tcBorders>
              <w:top w:val="double" w:sz="6"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Praha 1</w:t>
            </w:r>
          </w:p>
        </w:tc>
        <w:tc>
          <w:tcPr>
            <w:tcW w:w="2200" w:type="dxa"/>
            <w:tcBorders>
              <w:top w:val="double" w:sz="6"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080" w:type="dxa"/>
            <w:tcBorders>
              <w:top w:val="double" w:sz="6"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double" w:sz="6"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double" w:sz="6"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double" w:sz="6"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CRS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Praha 4</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Praha 5</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CRS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Praha 8</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CRS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Praha 10</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CRS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Mladá Boleslav</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CRS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Nymburk</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0,993</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0,993</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Příbram</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0,981</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0,981</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Rakovník</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CRS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Prachatice</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0,937</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0,937</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Domažlice</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0,953</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0,953</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Karlovy Vary</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CRS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Plzeň-město</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0,966</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0,966</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Rokycany</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0,947</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0,947</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Tachov</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0,976</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0,976</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Most</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CRS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Chrudim</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0,949</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0,949</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Náchod</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CRS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Semily</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0,876</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0,876</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Brno-město</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0,893</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0,893</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Uherské Hradiště</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0,977</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0,977</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Jeseník</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0,931</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0,931</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Nový Jičín</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CRS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Olomouc</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0,976</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0,976</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Ostrava</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0,932</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0,932</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Hradec Králové</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0,985</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0,995</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Praha-východ</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0,984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0,993</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0,991</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Teplice</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0,965</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0,991</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Karviná</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0,961</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0,991</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Trutnov</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0,969</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0,979</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Zlín</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0,982</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0,989</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0,993</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Opava</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0,987</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0,987</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Plzeň-sever</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0,956</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0,987</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0,969</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Mělník</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0,981</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0,984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0,997</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Sokolov</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0,977</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0,996</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České Budějovice</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0,935</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0,976</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0,957</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Praha 9</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0,954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0,976</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0,978</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Praha-západ</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0,971</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0,997</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Strakonice</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0,973</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Ústí nad Orlicí</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0,972</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0,973</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0,999</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Český Krumlov</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0,969</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0,973</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0,996</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Jičín</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0,944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0,973</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Klatovy</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0,945</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0,973</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0,972</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Pelhřimov</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0,972</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0,927</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Kladno</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0,969</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0,999</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Frýdek-Místek</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0,951</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0,968</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0,982</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lastRenderedPageBreak/>
              <w:t>Jablonec nad Nisou</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0,965</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0,965</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Kolín</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0,956</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0,964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0,992</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Praha 3</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0,957</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0,962</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Třebíč</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0,958</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0,958</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0,999</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Tábor</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0,942</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0,956</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0,986</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Hodonín</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0,942</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0,950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0,991</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Ústí nad Labem</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0,942</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0,950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0,992</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Česká Lípa</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0,941</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0,948</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0,992</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Rychnov nad Kněžnou</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0,934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0,948</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0,986</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Děčín</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0,940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0,945</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0,995</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Jihlava</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0,939</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0,944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0,995</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Benešov</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0,940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0,944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0,995</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Praha 6</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0,936</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0,942</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Písek</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0,936</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0,942</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Šumperk</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0,924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0,938</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0,985</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Kutná Hora</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0,919</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0,935</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0,983</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Přerov</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0,932</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0,933</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0,999</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Svitavy</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0,927</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0,932</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Pardubice</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0,908</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0,928</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0,979</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Cheb</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0,926</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0,927</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0,999</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Havlíčkův Brod</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0,914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0,924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Liberec</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0,911</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0,911</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Kroměříž</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0,908</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0,911</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0,997</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Prostějov</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0,910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0,988</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Vyškov</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0,880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0,910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0,967</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Beroun</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0,902</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0,909</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0,992</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Bruntál</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0,892</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0,905</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0,986</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Vsetín</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0,902</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0,904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0,997</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Brno-venkov</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0,903</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0,997</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Litoměřice</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0,893</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0,902</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Louny</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0,894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0,895</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0,998</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Praha 2</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0,859</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0,891</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0,965</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Plzeň-jih</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0,880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0,889</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Chomutov</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0,870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0,887</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0,981</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Jindřichův Hradec</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0,874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0,884</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0,989</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Blansko</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0,879</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0,880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0,999</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Žďár nad Sázavou</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0,873</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0,875</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0,998</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Znojmo</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0,863</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0,865</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0,998</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DRS</w:t>
            </w:r>
          </w:p>
        </w:tc>
      </w:tr>
      <w:tr w:rsidR="00A4083A" w:rsidRPr="00D17312" w:rsidTr="00A41CAB">
        <w:trPr>
          <w:trHeight w:val="255"/>
        </w:trPr>
        <w:tc>
          <w:tcPr>
            <w:tcW w:w="232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Břeclav</w:t>
            </w:r>
          </w:p>
        </w:tc>
        <w:tc>
          <w:tcPr>
            <w:tcW w:w="220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0,863</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0,863</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p>
        </w:tc>
        <w:tc>
          <w:tcPr>
            <w:tcW w:w="1080" w:type="dxa"/>
            <w:tcBorders>
              <w:top w:val="single" w:sz="8" w:space="0" w:color="auto"/>
              <w:left w:val="nil"/>
              <w:bottom w:val="single" w:sz="8"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single" w:sz="8"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Praha 7</w:t>
            </w:r>
          </w:p>
        </w:tc>
        <w:tc>
          <w:tcPr>
            <w:tcW w:w="2200" w:type="dxa"/>
            <w:tcBorders>
              <w:top w:val="single" w:sz="8"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080" w:type="dxa"/>
            <w:tcBorders>
              <w:top w:val="single" w:sz="8"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0,747</w:t>
            </w:r>
          </w:p>
        </w:tc>
        <w:tc>
          <w:tcPr>
            <w:tcW w:w="1080" w:type="dxa"/>
            <w:tcBorders>
              <w:top w:val="single" w:sz="8"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0,749</w:t>
            </w:r>
          </w:p>
        </w:tc>
        <w:tc>
          <w:tcPr>
            <w:tcW w:w="1080" w:type="dxa"/>
            <w:tcBorders>
              <w:top w:val="single" w:sz="8"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0,998</w:t>
            </w:r>
          </w:p>
        </w:tc>
        <w:tc>
          <w:tcPr>
            <w:tcW w:w="1080" w:type="dxa"/>
            <w:tcBorders>
              <w:top w:val="single" w:sz="8"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IRS</w:t>
            </w:r>
          </w:p>
        </w:tc>
      </w:tr>
      <w:tr w:rsidR="00A4083A" w:rsidRPr="00D17312" w:rsidTr="00A41CAB">
        <w:trPr>
          <w:trHeight w:val="255"/>
        </w:trPr>
        <w:tc>
          <w:tcPr>
            <w:tcW w:w="232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220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w:t>
            </w:r>
          </w:p>
        </w:tc>
        <w:tc>
          <w:tcPr>
            <w:tcW w:w="108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0,940</w:t>
            </w:r>
          </w:p>
        </w:tc>
        <w:tc>
          <w:tcPr>
            <w:tcW w:w="108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0,957</w:t>
            </w:r>
          </w:p>
        </w:tc>
        <w:tc>
          <w:tcPr>
            <w:tcW w:w="108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0,983</w:t>
            </w:r>
          </w:p>
        </w:tc>
        <w:tc>
          <w:tcPr>
            <w:tcW w:w="108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w:t>
            </w:r>
          </w:p>
        </w:tc>
      </w:tr>
    </w:tbl>
    <w:p w:rsidR="00A4083A" w:rsidRPr="00D17312" w:rsidRDefault="00A4083A" w:rsidP="00A4083A">
      <w:pPr>
        <w:rPr>
          <w:highlight w:val="yellow"/>
        </w:rPr>
      </w:pPr>
    </w:p>
    <w:p w:rsidR="00A4083A" w:rsidRPr="00D17312" w:rsidRDefault="00A4083A" w:rsidP="00A4083A">
      <w:pPr>
        <w:spacing w:line="240" w:lineRule="auto"/>
        <w:jc w:val="left"/>
        <w:rPr>
          <w:highlight w:val="yellow"/>
        </w:rPr>
      </w:pPr>
      <w:r w:rsidRPr="00D17312">
        <w:rPr>
          <w:highlight w:val="yellow"/>
        </w:rPr>
        <w:br w:type="page"/>
      </w:r>
    </w:p>
    <w:p w:rsidR="00A4083A" w:rsidRPr="00D17312" w:rsidRDefault="00A4083A" w:rsidP="00A4083A">
      <w:pPr>
        <w:pStyle w:val="Nadpis1"/>
      </w:pPr>
      <w:bookmarkStart w:id="302" w:name="_Toc515871244"/>
      <w:bookmarkStart w:id="303" w:name="_Toc43903048"/>
      <w:r w:rsidRPr="00D17312">
        <w:lastRenderedPageBreak/>
        <w:t>Krajské soudy</w:t>
      </w:r>
      <w:bookmarkEnd w:id="302"/>
      <w:bookmarkEnd w:id="303"/>
    </w:p>
    <w:p w:rsidR="00A4083A" w:rsidRPr="00D17312" w:rsidRDefault="00A4083A" w:rsidP="00A4083A">
      <w:pPr>
        <w:pStyle w:val="OdstavecASR"/>
      </w:pPr>
      <w:r w:rsidRPr="00D17312">
        <w:t>Tato část výroční zprávy obsahuje data, která se týkají všech krajských soudů (KS) v ČR, tedy sedmi krajských soudů a Městského soudu v Praze.</w:t>
      </w:r>
    </w:p>
    <w:p w:rsidR="00A4083A" w:rsidRPr="00D17312" w:rsidRDefault="00A4083A" w:rsidP="00A4083A">
      <w:pPr>
        <w:pStyle w:val="OdstavecASR"/>
      </w:pPr>
      <w:r w:rsidRPr="00D17312">
        <w:t>Struktura je velmi podobná struktuře části 2. V první podkapitole jsou uvedeny statistiky, které se týkají počtu soudců a počtu zaměstnanců ve výkonu. Další kapitoly se věnují jednotlivým soudním agendám. Krajské soudy jsou soudy prvoinstančními a odvolacími. Vyřizují tři hlavní typy agend – civilní včetně obchodní, trestní a správní. V této zprávě jsou civilní (občanskoprávní) a obchodní agenda vykázány dohromady, z obchodní agendy jsou ale zvlášť vykázány insolvence a dále incidenční spory. Civilní a trestní agendy se dále dělí na prvostupňové a odvolací. Tato část má tedy celkem osm částí věnovaných personálu, civilní a obchodní prvostupňové agendě, civilní odvolací agendě, trestní prvostupňové agendě, trestní odvolací agendě, správní agendě, insolvencím a incidenčním sporům.</w:t>
      </w:r>
    </w:p>
    <w:p w:rsidR="00A4083A" w:rsidRPr="00D17312" w:rsidRDefault="00A4083A" w:rsidP="00A4083A">
      <w:pPr>
        <w:pStyle w:val="OdstavecASR"/>
      </w:pPr>
      <w:r w:rsidRPr="00D17312">
        <w:t>Ve struktuře agendy krajských soudů proběhly v nedávné době výrazné změny. Na jednu stranu došlo od roku 2014 k přesunu většiny prvostupňových obchodněprávních sporů na okresní soudy, na druhou stranu od roku 2008 postupně narůstala agenda insolvencí fyzických osob – nepodnikatelů (tzv. spotřebitelské insolvence), která do té doby prakticky neexistovala.</w:t>
      </w:r>
    </w:p>
    <w:p w:rsidR="00A4083A" w:rsidRPr="00D17312" w:rsidRDefault="00A4083A" w:rsidP="00A4083A">
      <w:pPr>
        <w:pStyle w:val="OdstavecASR"/>
      </w:pPr>
      <w:r w:rsidRPr="00D17312">
        <w:t>Pro většinu agend (tedy ve většině podkapitol) uvádíme délky řízení v kalendářních dnech (průměr, medián a percentil 90). Dále pak prezentujeme data týkající se vyřizování věci – nápad + obživlé věci, vyřízené věci a nevyřízené věci. Nakonec uvádíme další zajímavé statistiky, jako je např. míra odvolání. Údaje jsou většinou graficky zobrazeny v časových řadách pro celou ČR a dále pak v tabulkách pro jednotlivé soudy v roce 2018. Pro krajské soudy je nově častěji využíván přepočet na soudce, neboť stejně jako u soudů okresních jsou k dispozici nová a podrobnější data.</w:t>
      </w:r>
    </w:p>
    <w:p w:rsidR="00A4083A" w:rsidRPr="00D17312" w:rsidRDefault="00A4083A" w:rsidP="00A4083A">
      <w:pPr>
        <w:pStyle w:val="Nadpis2"/>
        <w:keepNext w:val="0"/>
      </w:pPr>
      <w:bookmarkStart w:id="304" w:name="_Toc515871245"/>
      <w:bookmarkStart w:id="305" w:name="_Toc43903049"/>
      <w:r w:rsidRPr="00D17312">
        <w:t>Personál</w:t>
      </w:r>
      <w:bookmarkEnd w:id="304"/>
      <w:bookmarkEnd w:id="305"/>
    </w:p>
    <w:p w:rsidR="00A4083A" w:rsidRPr="00D17312" w:rsidRDefault="00A4083A" w:rsidP="00A4083A">
      <w:pPr>
        <w:pStyle w:val="OdstavecASR"/>
      </w:pPr>
      <w:r w:rsidRPr="00D17312">
        <w:t>Struktura kapitoly je stejná jako u okresních soudů – jedna část se věnuje soudcům, druhá se zaměřuje na ostatní personál ve výkonu a třetí se věnuje přísedícím.</w:t>
      </w:r>
    </w:p>
    <w:p w:rsidR="00A4083A" w:rsidRPr="00D17312" w:rsidRDefault="00A4083A" w:rsidP="00A4083A">
      <w:pPr>
        <w:pStyle w:val="Nadpis3"/>
        <w:keepNext w:val="0"/>
        <w:rPr>
          <w:color w:val="auto"/>
        </w:rPr>
      </w:pPr>
      <w:bookmarkStart w:id="306" w:name="_Toc515871246"/>
      <w:bookmarkStart w:id="307" w:name="_Toc43903050"/>
      <w:r w:rsidRPr="00D17312">
        <w:rPr>
          <w:color w:val="auto"/>
        </w:rPr>
        <w:t>Soudci</w:t>
      </w:r>
      <w:bookmarkEnd w:id="306"/>
      <w:bookmarkEnd w:id="307"/>
    </w:p>
    <w:p w:rsidR="00A4083A" w:rsidRDefault="00A4083A" w:rsidP="00A4083A">
      <w:pPr>
        <w:pStyle w:val="OdstavecASR"/>
      </w:pPr>
      <w:r w:rsidRPr="00D17312">
        <w:t>Z grafu je patrný vývoj v evidenčním a plánovaném počtu soudců. Jak jsme uvedli již v podkapitole 2.1.1, je celkový plánovaný počet soudců v ČR prakticky neměnný (3 062 nebo 3 063) a soudci jsou „pouze“ přerozdělováni mezi jednotlivé články soudní soustavy. V tomto přerozdělení si můžeme v delší časové řadě povšimnout stabilního trendu od roku 2013. U OS docházelo k mírnému postupnému snižování počtu plánovaných soudců (1 817 vs. 1 761), u KS naopak k postupnému zvyšování plánovaného počtu soudců (1 001 vs. 1 057). V roce 2019 se trend zastavil a došlo k poklesu. Všechny výše diskutované změny jsou ale marginální.</w:t>
      </w:r>
    </w:p>
    <w:p w:rsidR="00A4083A" w:rsidRPr="00D17312" w:rsidRDefault="00A4083A" w:rsidP="00A4083A">
      <w:pPr>
        <w:pStyle w:val="OdstavecASR"/>
      </w:pPr>
      <w:r w:rsidRPr="00D17312">
        <w:t>Evidenční počet soudců KS zůstává stabilní. Především je ale dlouhodobě nižší než plánovaný počet soudců (-9</w:t>
      </w:r>
      <w:r>
        <w:t> % </w:t>
      </w:r>
      <w:r w:rsidRPr="00D17312">
        <w:t>v roce 2018). U OS je evidenční počet soudců oproti plánovanému v roce 2018 vyšší a zdá se tedy, že předsedové krajských soudů dlouhodobě „dotují“ okresní soudy na úkor svých soudů. Počet soudkyň a soudců na MD/RD zde neuvádíme. U KS obvykle působí starší soudkyně a soudci než u soudů okresních a počet soudkyň a soudců na MD/RD je tedy velmi nízký.</w:t>
      </w:r>
    </w:p>
    <w:p w:rsidR="00A4083A" w:rsidRPr="00D17312" w:rsidRDefault="00A4083A" w:rsidP="00A4083A">
      <w:pPr>
        <w:pStyle w:val="Podnadpis"/>
        <w:rPr>
          <w:color w:val="auto"/>
        </w:rPr>
      </w:pPr>
      <w:bookmarkStart w:id="308" w:name="_Ref512499826"/>
      <w:bookmarkStart w:id="309" w:name="_Toc515871376"/>
      <w:bookmarkStart w:id="310" w:name="_Toc11135107"/>
      <w:bookmarkStart w:id="311" w:name="_Toc43841426"/>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46</w:t>
      </w:r>
      <w:r w:rsidRPr="00D17312">
        <w:rPr>
          <w:noProof/>
          <w:color w:val="auto"/>
        </w:rPr>
        <w:fldChar w:fldCharType="end"/>
      </w:r>
      <w:bookmarkEnd w:id="308"/>
      <w:r w:rsidRPr="00D17312">
        <w:rPr>
          <w:color w:val="auto"/>
        </w:rPr>
        <w:t>: KS – počet soudců v letech 2008–201</w:t>
      </w:r>
      <w:bookmarkEnd w:id="309"/>
      <w:bookmarkEnd w:id="310"/>
      <w:r w:rsidRPr="00D17312">
        <w:rPr>
          <w:color w:val="auto"/>
        </w:rPr>
        <w:t>9</w:t>
      </w:r>
      <w:bookmarkEnd w:id="311"/>
    </w:p>
    <w:p w:rsidR="00A4083A" w:rsidRPr="00D17312" w:rsidRDefault="00A4083A" w:rsidP="00A4083A">
      <w:pPr>
        <w:rPr>
          <w:highlight w:val="yellow"/>
        </w:rPr>
      </w:pPr>
      <w:r w:rsidRPr="00D17312">
        <w:rPr>
          <w:noProof/>
          <w:lang w:eastAsia="cs-CZ"/>
        </w:rPr>
        <w:drawing>
          <wp:inline distT="0" distB="0" distL="0" distR="0" wp14:anchorId="516E97B8" wp14:editId="1ABF434D">
            <wp:extent cx="5115560" cy="3743960"/>
            <wp:effectExtent l="0" t="0" r="0" b="8890"/>
            <wp:docPr id="115" name="Obráze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rsidR="00A4083A" w:rsidRPr="00D17312" w:rsidRDefault="00A4083A" w:rsidP="00A4083A">
      <w:pPr>
        <w:pStyle w:val="OdstavecASR"/>
      </w:pPr>
      <w:r w:rsidRPr="00D17312">
        <w:fldChar w:fldCharType="begin"/>
      </w:r>
      <w:r w:rsidRPr="00D17312">
        <w:instrText xml:space="preserve"> REF _Ref513289709 \h  \* MERGEFORMAT </w:instrText>
      </w:r>
      <w:r w:rsidRPr="00D17312">
        <w:fldChar w:fldCharType="separate"/>
      </w:r>
      <w:r w:rsidR="006E7F27" w:rsidRPr="00D17312">
        <w:t xml:space="preserve">Graf </w:t>
      </w:r>
      <w:r w:rsidR="006E7F27">
        <w:rPr>
          <w:noProof/>
        </w:rPr>
        <w:t>47</w:t>
      </w:r>
      <w:r w:rsidRPr="00D17312">
        <w:fldChar w:fldCharType="end"/>
      </w:r>
      <w:r w:rsidRPr="00D17312">
        <w:t xml:space="preserve"> zachycuje evidenční počet soudců KS dle jednotlivých úseků. Podobně jako u okresních soudů je v roce 201</w:t>
      </w:r>
      <w:r w:rsidR="00190D77">
        <w:t>9</w:t>
      </w:r>
      <w:r w:rsidRPr="00D17312">
        <w:t xml:space="preserve"> civilní a obchodní úsek asi třikrát větší než trestní úsek. Správní úsek je navíc přibližně dvaapůlkrát menší než úsek trestní. Poměr velikostí úseků je také velmi stabilní.</w:t>
      </w:r>
    </w:p>
    <w:p w:rsidR="00A4083A" w:rsidRPr="00D17312" w:rsidRDefault="00A4083A" w:rsidP="00A4083A">
      <w:pPr>
        <w:pStyle w:val="Podnadpis"/>
        <w:rPr>
          <w:color w:val="auto"/>
        </w:rPr>
      </w:pPr>
      <w:bookmarkStart w:id="312" w:name="_Ref513289709"/>
      <w:bookmarkStart w:id="313" w:name="_Toc515871377"/>
      <w:bookmarkStart w:id="314" w:name="_Toc11135108"/>
      <w:bookmarkStart w:id="315" w:name="_Toc43841427"/>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47</w:t>
      </w:r>
      <w:r w:rsidRPr="00D17312">
        <w:rPr>
          <w:noProof/>
          <w:color w:val="auto"/>
        </w:rPr>
        <w:fldChar w:fldCharType="end"/>
      </w:r>
      <w:bookmarkEnd w:id="312"/>
      <w:r w:rsidRPr="00D17312">
        <w:rPr>
          <w:color w:val="auto"/>
        </w:rPr>
        <w:t>: KS – evidenční počet soudců dle soudních úseků v letech 2008–201</w:t>
      </w:r>
      <w:bookmarkEnd w:id="313"/>
      <w:bookmarkEnd w:id="314"/>
      <w:r w:rsidRPr="00D17312">
        <w:rPr>
          <w:color w:val="auto"/>
        </w:rPr>
        <w:t>9</w:t>
      </w:r>
      <w:bookmarkEnd w:id="315"/>
    </w:p>
    <w:p w:rsidR="00A4083A" w:rsidRPr="00D17312" w:rsidRDefault="00A4083A" w:rsidP="00A4083A">
      <w:pPr>
        <w:rPr>
          <w:highlight w:val="yellow"/>
        </w:rPr>
      </w:pPr>
      <w:r w:rsidRPr="00D17312">
        <w:rPr>
          <w:noProof/>
          <w:lang w:eastAsia="cs-CZ"/>
        </w:rPr>
        <w:drawing>
          <wp:inline distT="0" distB="0" distL="0" distR="0" wp14:anchorId="3685ADDA" wp14:editId="416B459C">
            <wp:extent cx="5115560" cy="3743960"/>
            <wp:effectExtent l="0" t="0" r="0" b="8890"/>
            <wp:docPr id="116" name="Obráze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rsidR="00A4083A" w:rsidRPr="00D17312" w:rsidRDefault="00A4083A" w:rsidP="00A4083A">
      <w:pPr>
        <w:rPr>
          <w:highlight w:val="yellow"/>
        </w:rPr>
      </w:pPr>
    </w:p>
    <w:p w:rsidR="00A4083A" w:rsidRPr="00D17312" w:rsidRDefault="00A4083A" w:rsidP="00A4083A">
      <w:pPr>
        <w:pStyle w:val="Podnadpis"/>
        <w:rPr>
          <w:color w:val="auto"/>
        </w:rPr>
      </w:pPr>
      <w:bookmarkStart w:id="316" w:name="_Ref10547086"/>
      <w:bookmarkStart w:id="317" w:name="_Toc515871464"/>
      <w:bookmarkStart w:id="318" w:name="_Ref10547080"/>
      <w:bookmarkStart w:id="319" w:name="_Toc11133231"/>
      <w:bookmarkStart w:id="320" w:name="_Toc43931206"/>
      <w:r w:rsidRPr="00D17312">
        <w:rPr>
          <w:color w:val="auto"/>
        </w:rPr>
        <w:lastRenderedPageBreak/>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33</w:t>
      </w:r>
      <w:r w:rsidRPr="00D17312">
        <w:rPr>
          <w:noProof/>
          <w:color w:val="auto"/>
        </w:rPr>
        <w:fldChar w:fldCharType="end"/>
      </w:r>
      <w:bookmarkEnd w:id="316"/>
      <w:r w:rsidRPr="00D17312">
        <w:rPr>
          <w:color w:val="auto"/>
        </w:rPr>
        <w:t>: KS – počet soudců dle soudů</w:t>
      </w:r>
      <w:bookmarkEnd w:id="317"/>
      <w:bookmarkEnd w:id="318"/>
      <w:bookmarkEnd w:id="319"/>
      <w:bookmarkEnd w:id="320"/>
    </w:p>
    <w:tbl>
      <w:tblPr>
        <w:tblW w:w="8880" w:type="dxa"/>
        <w:tblCellMar>
          <w:left w:w="70" w:type="dxa"/>
          <w:right w:w="70" w:type="dxa"/>
        </w:tblCellMar>
        <w:tblLook w:val="04A0" w:firstRow="1" w:lastRow="0" w:firstColumn="1" w:lastColumn="0" w:noHBand="0" w:noVBand="1"/>
      </w:tblPr>
      <w:tblGrid>
        <w:gridCol w:w="2000"/>
        <w:gridCol w:w="1264"/>
        <w:gridCol w:w="1330"/>
        <w:gridCol w:w="1620"/>
        <w:gridCol w:w="1655"/>
        <w:gridCol w:w="1011"/>
      </w:tblGrid>
      <w:tr w:rsidR="00A4083A" w:rsidRPr="00D17312" w:rsidTr="00A41CAB">
        <w:trPr>
          <w:trHeight w:val="330"/>
        </w:trPr>
        <w:tc>
          <w:tcPr>
            <w:tcW w:w="200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1264" w:type="dxa"/>
            <w:vMerge w:val="restart"/>
            <w:tcBorders>
              <w:top w:val="double" w:sz="6" w:space="0" w:color="auto"/>
              <w:left w:val="nil"/>
              <w:bottom w:val="double" w:sz="6" w:space="0" w:color="000000"/>
              <w:right w:val="nil"/>
            </w:tcBorders>
            <w:shd w:val="clear" w:color="auto" w:fill="auto"/>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Plánovaný počet soudců</w:t>
            </w:r>
          </w:p>
        </w:tc>
        <w:tc>
          <w:tcPr>
            <w:tcW w:w="5616" w:type="dxa"/>
            <w:gridSpan w:val="4"/>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Evidenční počet soudců</w:t>
            </w:r>
          </w:p>
        </w:tc>
      </w:tr>
      <w:tr w:rsidR="00A4083A" w:rsidRPr="00D17312" w:rsidTr="00A41CAB">
        <w:trPr>
          <w:trHeight w:val="645"/>
        </w:trPr>
        <w:tc>
          <w:tcPr>
            <w:tcW w:w="200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264"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330" w:type="dxa"/>
            <w:tcBorders>
              <w:top w:val="nil"/>
              <w:left w:val="nil"/>
              <w:bottom w:val="double" w:sz="6" w:space="0" w:color="auto"/>
              <w:right w:val="nil"/>
            </w:tcBorders>
            <w:shd w:val="clear" w:color="auto" w:fill="auto"/>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Civ. + obch. úsek</w:t>
            </w:r>
          </w:p>
        </w:tc>
        <w:tc>
          <w:tcPr>
            <w:tcW w:w="162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Trestní úsek</w:t>
            </w:r>
          </w:p>
        </w:tc>
        <w:tc>
          <w:tcPr>
            <w:tcW w:w="1655"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Správní úsek</w:t>
            </w:r>
          </w:p>
        </w:tc>
        <w:tc>
          <w:tcPr>
            <w:tcW w:w="1011"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Celkem</w:t>
            </w:r>
          </w:p>
        </w:tc>
      </w:tr>
      <w:tr w:rsidR="00A4083A" w:rsidRPr="00D17312" w:rsidTr="00A41CAB">
        <w:trPr>
          <w:trHeight w:val="330"/>
        </w:trPr>
        <w:tc>
          <w:tcPr>
            <w:tcW w:w="200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264"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248</w:t>
            </w:r>
          </w:p>
        </w:tc>
        <w:tc>
          <w:tcPr>
            <w:tcW w:w="133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148</w:t>
            </w:r>
          </w:p>
        </w:tc>
        <w:tc>
          <w:tcPr>
            <w:tcW w:w="162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41</w:t>
            </w:r>
          </w:p>
        </w:tc>
        <w:tc>
          <w:tcPr>
            <w:tcW w:w="1655"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30</w:t>
            </w:r>
          </w:p>
        </w:tc>
        <w:tc>
          <w:tcPr>
            <w:tcW w:w="1011"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219</w:t>
            </w:r>
          </w:p>
        </w:tc>
      </w:tr>
      <w:tr w:rsidR="00A4083A" w:rsidRPr="00D17312" w:rsidTr="00A41CAB">
        <w:trPr>
          <w:trHeight w:val="315"/>
        </w:trPr>
        <w:tc>
          <w:tcPr>
            <w:tcW w:w="2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26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111</w:t>
            </w:r>
          </w:p>
        </w:tc>
        <w:tc>
          <w:tcPr>
            <w:tcW w:w="133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62</w:t>
            </w:r>
          </w:p>
        </w:tc>
        <w:tc>
          <w:tcPr>
            <w:tcW w:w="16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25</w:t>
            </w:r>
          </w:p>
        </w:tc>
        <w:tc>
          <w:tcPr>
            <w:tcW w:w="16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w:t>
            </w:r>
          </w:p>
        </w:tc>
        <w:tc>
          <w:tcPr>
            <w:tcW w:w="101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93</w:t>
            </w:r>
          </w:p>
        </w:tc>
      </w:tr>
      <w:tr w:rsidR="00A4083A" w:rsidRPr="00D17312" w:rsidTr="00A41CAB">
        <w:trPr>
          <w:trHeight w:val="315"/>
        </w:trPr>
        <w:tc>
          <w:tcPr>
            <w:tcW w:w="2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26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56</w:t>
            </w:r>
          </w:p>
        </w:tc>
        <w:tc>
          <w:tcPr>
            <w:tcW w:w="133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37</w:t>
            </w:r>
          </w:p>
        </w:tc>
        <w:tc>
          <w:tcPr>
            <w:tcW w:w="16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w:t>
            </w:r>
          </w:p>
        </w:tc>
        <w:tc>
          <w:tcPr>
            <w:tcW w:w="16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w:t>
            </w:r>
          </w:p>
        </w:tc>
        <w:tc>
          <w:tcPr>
            <w:tcW w:w="101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57</w:t>
            </w:r>
          </w:p>
        </w:tc>
      </w:tr>
      <w:tr w:rsidR="00A4083A" w:rsidRPr="00D17312" w:rsidTr="00A41CAB">
        <w:trPr>
          <w:trHeight w:val="315"/>
        </w:trPr>
        <w:tc>
          <w:tcPr>
            <w:tcW w:w="2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26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86</w:t>
            </w:r>
          </w:p>
        </w:tc>
        <w:tc>
          <w:tcPr>
            <w:tcW w:w="133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45</w:t>
            </w:r>
          </w:p>
        </w:tc>
        <w:tc>
          <w:tcPr>
            <w:tcW w:w="16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21</w:t>
            </w:r>
          </w:p>
        </w:tc>
        <w:tc>
          <w:tcPr>
            <w:tcW w:w="16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w:t>
            </w:r>
          </w:p>
        </w:tc>
        <w:tc>
          <w:tcPr>
            <w:tcW w:w="101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73</w:t>
            </w:r>
          </w:p>
        </w:tc>
      </w:tr>
      <w:tr w:rsidR="00A4083A" w:rsidRPr="00D17312" w:rsidTr="00A41CAB">
        <w:trPr>
          <w:trHeight w:val="315"/>
        </w:trPr>
        <w:tc>
          <w:tcPr>
            <w:tcW w:w="2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26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122</w:t>
            </w:r>
          </w:p>
        </w:tc>
        <w:tc>
          <w:tcPr>
            <w:tcW w:w="133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83</w:t>
            </w:r>
          </w:p>
        </w:tc>
        <w:tc>
          <w:tcPr>
            <w:tcW w:w="16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27</w:t>
            </w:r>
          </w:p>
        </w:tc>
        <w:tc>
          <w:tcPr>
            <w:tcW w:w="16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w:t>
            </w:r>
          </w:p>
        </w:tc>
        <w:tc>
          <w:tcPr>
            <w:tcW w:w="101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116</w:t>
            </w:r>
          </w:p>
        </w:tc>
      </w:tr>
      <w:tr w:rsidR="00A4083A" w:rsidRPr="00D17312" w:rsidTr="00A41CAB">
        <w:trPr>
          <w:trHeight w:val="315"/>
        </w:trPr>
        <w:tc>
          <w:tcPr>
            <w:tcW w:w="2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26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88</w:t>
            </w:r>
          </w:p>
        </w:tc>
        <w:tc>
          <w:tcPr>
            <w:tcW w:w="133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55</w:t>
            </w:r>
          </w:p>
        </w:tc>
        <w:tc>
          <w:tcPr>
            <w:tcW w:w="16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19</w:t>
            </w:r>
          </w:p>
        </w:tc>
        <w:tc>
          <w:tcPr>
            <w:tcW w:w="16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w:t>
            </w:r>
          </w:p>
        </w:tc>
        <w:tc>
          <w:tcPr>
            <w:tcW w:w="101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84</w:t>
            </w:r>
          </w:p>
        </w:tc>
      </w:tr>
      <w:tr w:rsidR="00A4083A" w:rsidRPr="00D17312" w:rsidTr="00A41CAB">
        <w:trPr>
          <w:trHeight w:val="315"/>
        </w:trPr>
        <w:tc>
          <w:tcPr>
            <w:tcW w:w="2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26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167</w:t>
            </w:r>
          </w:p>
        </w:tc>
        <w:tc>
          <w:tcPr>
            <w:tcW w:w="133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117</w:t>
            </w:r>
          </w:p>
        </w:tc>
        <w:tc>
          <w:tcPr>
            <w:tcW w:w="16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34</w:t>
            </w:r>
          </w:p>
        </w:tc>
        <w:tc>
          <w:tcPr>
            <w:tcW w:w="16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w:t>
            </w:r>
          </w:p>
        </w:tc>
        <w:tc>
          <w:tcPr>
            <w:tcW w:w="101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169</w:t>
            </w:r>
          </w:p>
        </w:tc>
      </w:tr>
      <w:tr w:rsidR="00A4083A" w:rsidRPr="00D17312" w:rsidTr="00A41CAB">
        <w:trPr>
          <w:trHeight w:val="330"/>
        </w:trPr>
        <w:tc>
          <w:tcPr>
            <w:tcW w:w="200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264"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157</w:t>
            </w:r>
          </w:p>
        </w:tc>
        <w:tc>
          <w:tcPr>
            <w:tcW w:w="133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84</w:t>
            </w:r>
          </w:p>
        </w:tc>
        <w:tc>
          <w:tcPr>
            <w:tcW w:w="16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41</w:t>
            </w:r>
          </w:p>
        </w:tc>
        <w:tc>
          <w:tcPr>
            <w:tcW w:w="1655"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w:t>
            </w:r>
          </w:p>
        </w:tc>
        <w:tc>
          <w:tcPr>
            <w:tcW w:w="101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136</w:t>
            </w:r>
          </w:p>
        </w:tc>
      </w:tr>
      <w:tr w:rsidR="00A4083A" w:rsidRPr="00D17312" w:rsidTr="00A41CAB">
        <w:trPr>
          <w:trHeight w:val="345"/>
        </w:trPr>
        <w:tc>
          <w:tcPr>
            <w:tcW w:w="200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264"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1 035</w:t>
            </w:r>
          </w:p>
        </w:tc>
        <w:tc>
          <w:tcPr>
            <w:tcW w:w="133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631</w:t>
            </w:r>
          </w:p>
        </w:tc>
        <w:tc>
          <w:tcPr>
            <w:tcW w:w="16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222</w:t>
            </w:r>
          </w:p>
        </w:tc>
        <w:tc>
          <w:tcPr>
            <w:tcW w:w="1655"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94</w:t>
            </w:r>
          </w:p>
        </w:tc>
        <w:tc>
          <w:tcPr>
            <w:tcW w:w="101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947</w:t>
            </w:r>
          </w:p>
        </w:tc>
      </w:tr>
    </w:tbl>
    <w:p w:rsidR="00A4083A" w:rsidRPr="00D17312" w:rsidRDefault="00A4083A" w:rsidP="00A4083A">
      <w:pPr>
        <w:rPr>
          <w:highlight w:val="yellow"/>
        </w:rPr>
      </w:pPr>
    </w:p>
    <w:p w:rsidR="00A4083A" w:rsidRPr="00D17312" w:rsidRDefault="00A4083A" w:rsidP="00A4083A">
      <w:pPr>
        <w:pStyle w:val="OdstavecASR"/>
      </w:pPr>
      <w:r w:rsidRPr="00D17312">
        <w:t>Velmi mírné pohyby v počtu soudců jsou vidět i mezi jednotlivými KS. Poměry mezi velikostmi úseků jsou u všech krajských soudů podobné. Existují zde ale určité odchylky, například MS v Praze má relativně menší trestní úsek. Jak je z tabulky patrné, největší je MS Praha a nejmenší je KS České Budějovice. MS Praha je asi čtyřikrát až pětkrát větší než KS České Budějovice.</w:t>
      </w:r>
    </w:p>
    <w:p w:rsidR="00A4083A" w:rsidRPr="00D17312" w:rsidRDefault="00A4083A" w:rsidP="00A4083A">
      <w:pPr>
        <w:pStyle w:val="OdstavecASR"/>
      </w:pPr>
      <w:r w:rsidRPr="00D17312">
        <w:t>Velikost soudů (počet soudců) je stejně jako u OS určena dle systemizace, zohledňuje tedy počet napadlých věcí. Ten pak vyplývá z ukazatelů, jako je počet obyvatel, nezaměstnanost apod.</w:t>
      </w:r>
    </w:p>
    <w:p w:rsidR="00A4083A" w:rsidRPr="00D17312" w:rsidRDefault="00A4083A" w:rsidP="00A4083A">
      <w:pPr>
        <w:pStyle w:val="OdstavecASR"/>
      </w:pPr>
      <w:r w:rsidRPr="00D17312">
        <w:t>Další graf a tabulka zobrazují podíl žen v soudnictví v časových řadách a podle soudů.</w:t>
      </w:r>
    </w:p>
    <w:p w:rsidR="00A4083A" w:rsidRPr="00D17312" w:rsidRDefault="00A4083A" w:rsidP="00A4083A">
      <w:pPr>
        <w:pStyle w:val="Podnadpis"/>
        <w:rPr>
          <w:color w:val="auto"/>
        </w:rPr>
      </w:pPr>
      <w:bookmarkStart w:id="321" w:name="_Toc515871378"/>
      <w:bookmarkStart w:id="322" w:name="_Toc11135109"/>
      <w:bookmarkStart w:id="323" w:name="_Toc43841428"/>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48</w:t>
      </w:r>
      <w:r w:rsidRPr="00D17312">
        <w:rPr>
          <w:noProof/>
          <w:color w:val="auto"/>
        </w:rPr>
        <w:fldChar w:fldCharType="end"/>
      </w:r>
      <w:r w:rsidRPr="00D17312">
        <w:rPr>
          <w:color w:val="auto"/>
        </w:rPr>
        <w:t>: KS – evidenční počet soudců dle pohlaví v letech 2008–201</w:t>
      </w:r>
      <w:bookmarkEnd w:id="321"/>
      <w:bookmarkEnd w:id="322"/>
      <w:r w:rsidRPr="00D17312">
        <w:rPr>
          <w:color w:val="auto"/>
        </w:rPr>
        <w:t>9</w:t>
      </w:r>
      <w:bookmarkEnd w:id="323"/>
    </w:p>
    <w:p w:rsidR="00A4083A" w:rsidRPr="00D17312" w:rsidRDefault="00A4083A" w:rsidP="00A4083A">
      <w:pPr>
        <w:rPr>
          <w:highlight w:val="yellow"/>
        </w:rPr>
      </w:pPr>
      <w:r w:rsidRPr="00D17312">
        <w:rPr>
          <w:noProof/>
          <w:lang w:eastAsia="cs-CZ"/>
        </w:rPr>
        <w:drawing>
          <wp:inline distT="0" distB="0" distL="0" distR="0" wp14:anchorId="4B5A3B1A" wp14:editId="5F9A2E95">
            <wp:extent cx="5115560" cy="3743960"/>
            <wp:effectExtent l="0" t="0" r="0" b="8890"/>
            <wp:docPr id="118" name="Obráze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rsidR="00A4083A" w:rsidRPr="00D17312" w:rsidRDefault="00A4083A" w:rsidP="00A4083A">
      <w:pPr>
        <w:pStyle w:val="Podnadpis"/>
        <w:rPr>
          <w:color w:val="auto"/>
        </w:rPr>
      </w:pPr>
      <w:bookmarkStart w:id="324" w:name="_Toc515871465"/>
      <w:bookmarkStart w:id="325" w:name="_Toc11133232"/>
      <w:bookmarkStart w:id="326" w:name="_Toc43931207"/>
      <w:r w:rsidRPr="00D17312">
        <w:rPr>
          <w:color w:val="auto"/>
        </w:rPr>
        <w:lastRenderedPageBreak/>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34</w:t>
      </w:r>
      <w:r w:rsidRPr="00D17312">
        <w:rPr>
          <w:noProof/>
          <w:color w:val="auto"/>
        </w:rPr>
        <w:fldChar w:fldCharType="end"/>
      </w:r>
      <w:r w:rsidRPr="00D17312">
        <w:rPr>
          <w:color w:val="auto"/>
        </w:rPr>
        <w:t>: KS – evidenční počet soudců dle pohlaví a soudů</w:t>
      </w:r>
      <w:bookmarkEnd w:id="324"/>
      <w:bookmarkEnd w:id="325"/>
      <w:bookmarkEnd w:id="326"/>
    </w:p>
    <w:tbl>
      <w:tblPr>
        <w:tblW w:w="6800" w:type="dxa"/>
        <w:tblCellMar>
          <w:left w:w="70" w:type="dxa"/>
          <w:right w:w="70" w:type="dxa"/>
        </w:tblCellMar>
        <w:tblLook w:val="04A0" w:firstRow="1" w:lastRow="0" w:firstColumn="1" w:lastColumn="0" w:noHBand="0" w:noVBand="1"/>
      </w:tblPr>
      <w:tblGrid>
        <w:gridCol w:w="2480"/>
        <w:gridCol w:w="1113"/>
        <w:gridCol w:w="1607"/>
        <w:gridCol w:w="1600"/>
      </w:tblGrid>
      <w:tr w:rsidR="00A4083A" w:rsidRPr="00D17312" w:rsidTr="00A41C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2720" w:type="dxa"/>
            <w:gridSpan w:val="2"/>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Evidenční počet</w:t>
            </w:r>
          </w:p>
        </w:tc>
        <w:tc>
          <w:tcPr>
            <w:tcW w:w="1600" w:type="dxa"/>
            <w:vMerge w:val="restart"/>
            <w:tcBorders>
              <w:top w:val="double" w:sz="6" w:space="0" w:color="auto"/>
              <w:left w:val="nil"/>
              <w:bottom w:val="double" w:sz="6" w:space="0" w:color="000000"/>
              <w:right w:val="nil"/>
            </w:tcBorders>
            <w:shd w:val="clear" w:color="auto" w:fill="auto"/>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Podíl žen v</w:t>
            </w:r>
            <w:r>
              <w:rPr>
                <w:rFonts w:eastAsia="Times New Roman"/>
                <w:b/>
                <w:bCs/>
                <w:szCs w:val="24"/>
                <w:lang w:eastAsia="cs-CZ"/>
              </w:rPr>
              <w:t> %</w:t>
            </w:r>
          </w:p>
        </w:tc>
      </w:tr>
      <w:tr w:rsidR="00A4083A" w:rsidRPr="00D17312" w:rsidTr="00A41CAB">
        <w:trPr>
          <w:trHeight w:val="330"/>
        </w:trPr>
        <w:tc>
          <w:tcPr>
            <w:tcW w:w="24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113"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Žen</w:t>
            </w:r>
          </w:p>
        </w:tc>
        <w:tc>
          <w:tcPr>
            <w:tcW w:w="1607"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Mužů</w:t>
            </w:r>
          </w:p>
        </w:tc>
        <w:tc>
          <w:tcPr>
            <w:tcW w:w="160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r>
      <w:tr w:rsidR="00A4083A" w:rsidRPr="00D17312"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113"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140</w:t>
            </w:r>
          </w:p>
        </w:tc>
        <w:tc>
          <w:tcPr>
            <w:tcW w:w="1607"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79</w:t>
            </w:r>
          </w:p>
        </w:tc>
        <w:tc>
          <w:tcPr>
            <w:tcW w:w="160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63,93</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11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61</w:t>
            </w:r>
          </w:p>
        </w:tc>
        <w:tc>
          <w:tcPr>
            <w:tcW w:w="160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32</w:t>
            </w:r>
          </w:p>
        </w:tc>
        <w:tc>
          <w:tcPr>
            <w:tcW w:w="16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65,59</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11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27</w:t>
            </w:r>
          </w:p>
        </w:tc>
        <w:tc>
          <w:tcPr>
            <w:tcW w:w="160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30</w:t>
            </w:r>
          </w:p>
        </w:tc>
        <w:tc>
          <w:tcPr>
            <w:tcW w:w="16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47,37</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11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41</w:t>
            </w:r>
          </w:p>
        </w:tc>
        <w:tc>
          <w:tcPr>
            <w:tcW w:w="160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32</w:t>
            </w:r>
          </w:p>
        </w:tc>
        <w:tc>
          <w:tcPr>
            <w:tcW w:w="16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56,16</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11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61</w:t>
            </w:r>
          </w:p>
        </w:tc>
        <w:tc>
          <w:tcPr>
            <w:tcW w:w="160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55</w:t>
            </w:r>
          </w:p>
        </w:tc>
        <w:tc>
          <w:tcPr>
            <w:tcW w:w="16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52,59</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11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35</w:t>
            </w:r>
          </w:p>
        </w:tc>
        <w:tc>
          <w:tcPr>
            <w:tcW w:w="160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49</w:t>
            </w:r>
          </w:p>
        </w:tc>
        <w:tc>
          <w:tcPr>
            <w:tcW w:w="16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41,67</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11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81</w:t>
            </w:r>
          </w:p>
        </w:tc>
        <w:tc>
          <w:tcPr>
            <w:tcW w:w="160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88</w:t>
            </w:r>
          </w:p>
        </w:tc>
        <w:tc>
          <w:tcPr>
            <w:tcW w:w="16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47,93</w:t>
            </w:r>
          </w:p>
        </w:tc>
      </w:tr>
      <w:tr w:rsidR="00A4083A" w:rsidRPr="00D17312"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11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70</w:t>
            </w:r>
          </w:p>
        </w:tc>
        <w:tc>
          <w:tcPr>
            <w:tcW w:w="1607"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66</w:t>
            </w:r>
          </w:p>
        </w:tc>
        <w:tc>
          <w:tcPr>
            <w:tcW w:w="160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51,47</w:t>
            </w:r>
          </w:p>
        </w:tc>
      </w:tr>
      <w:tr w:rsidR="00A4083A" w:rsidRPr="00D17312"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11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516</w:t>
            </w:r>
          </w:p>
        </w:tc>
        <w:tc>
          <w:tcPr>
            <w:tcW w:w="1607"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431</w:t>
            </w:r>
          </w:p>
        </w:tc>
        <w:tc>
          <w:tcPr>
            <w:tcW w:w="160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54,49</w:t>
            </w:r>
          </w:p>
        </w:tc>
      </w:tr>
    </w:tbl>
    <w:p w:rsidR="00A4083A" w:rsidRPr="00D17312" w:rsidRDefault="00A4083A" w:rsidP="00A4083A"/>
    <w:p w:rsidR="00A4083A" w:rsidRPr="00D17312" w:rsidRDefault="00A4083A" w:rsidP="00A4083A">
      <w:pPr>
        <w:pStyle w:val="OdstavecASR"/>
      </w:pPr>
      <w:bookmarkStart w:id="327" w:name="_Toc515871379"/>
      <w:r w:rsidRPr="00D17312">
        <w:t>Z dat můžeme vyvodit několik zajímavých závěrů:</w:t>
      </w:r>
    </w:p>
    <w:p w:rsidR="00A4083A" w:rsidRPr="00D17312" w:rsidRDefault="00A4083A" w:rsidP="00A4083A">
      <w:pPr>
        <w:pStyle w:val="OdstavecASR"/>
        <w:numPr>
          <w:ilvl w:val="0"/>
          <w:numId w:val="15"/>
        </w:numPr>
      </w:pPr>
      <w:r w:rsidRPr="00D17312">
        <w:t>Stejně jako u OS působí i u krajských soudů více soudkyň než soudců. Podíl žen je ale nižší než u okresních soudů (66,96</w:t>
      </w:r>
      <w:r>
        <w:t> %</w:t>
      </w:r>
      <w:r w:rsidRPr="00D17312">
        <w:t>, viz tabulka č. 2). Jak uvidíme níže, tento jev se dále prohlubuje nejen s každým dalším rokem, ale také s každým dalším stupněm soudní soustavy, což ukazuje, že soudnictví v současné době zřejmě stále nenabízí stejné příležitosti mužům a ženám.</w:t>
      </w:r>
    </w:p>
    <w:p w:rsidR="00A4083A" w:rsidRPr="00D17312" w:rsidRDefault="00A4083A" w:rsidP="00A4083A">
      <w:pPr>
        <w:pStyle w:val="OdstavecASR"/>
        <w:numPr>
          <w:ilvl w:val="0"/>
          <w:numId w:val="15"/>
        </w:numPr>
      </w:pPr>
      <w:r w:rsidRPr="00D17312">
        <w:t>Rozdíly mezi soudy jsou výrazně větší než u okresních soudů. Nejvyšší podíl žen mezi soudci má KS Praha (66</w:t>
      </w:r>
      <w:r>
        <w:t> %</w:t>
      </w:r>
      <w:r w:rsidRPr="00D17312">
        <w:t>) a nejnižší KS Hradec Králové (42</w:t>
      </w:r>
      <w:r>
        <w:t> %</w:t>
      </w:r>
      <w:r w:rsidRPr="00D17312">
        <w:t>), což je asi o 24 procentních bodů méně.</w:t>
      </w:r>
    </w:p>
    <w:p w:rsidR="00A4083A" w:rsidRPr="00D17312" w:rsidRDefault="00A4083A" w:rsidP="00A4083A">
      <w:pPr>
        <w:pStyle w:val="OdstavecASR"/>
        <w:numPr>
          <w:ilvl w:val="0"/>
          <w:numId w:val="15"/>
        </w:numPr>
      </w:pPr>
      <w:r w:rsidRPr="00D17312">
        <w:t>Podíl žen v krajském soudnictví velmi zvolna klesá. V roce 2008 byl podíl žen kolem 60</w:t>
      </w:r>
      <w:r>
        <w:t> %</w:t>
      </w:r>
      <w:r w:rsidRPr="00D17312">
        <w:t xml:space="preserve">, v roce </w:t>
      </w:r>
      <w:r w:rsidR="00190D77">
        <w:t>2019</w:t>
      </w:r>
      <w:r w:rsidRPr="00D17312">
        <w:t xml:space="preserve"> je již téměř o šest procentních bodů nižší (v průběhu roku 2017 odešlo 10 soudkyň a přišlo 12 soudců krajských soudů, v roce 2018 odešly další 4 soudkyně a přibylo 10 nových soudců krajských soudů, v roce 2019 ubylo 10 soudkyň a přibyli 2 soudci). Analýza příčin této skutečnosti </w:t>
      </w:r>
      <w:r>
        <w:t xml:space="preserve">by překročila </w:t>
      </w:r>
      <w:r w:rsidRPr="00D17312">
        <w:t>rámec této zprávy.</w:t>
      </w:r>
    </w:p>
    <w:p w:rsidR="00A4083A" w:rsidRPr="00D17312" w:rsidRDefault="00A4083A" w:rsidP="00A4083A">
      <w:pPr>
        <w:pStyle w:val="OdstavecASR"/>
      </w:pPr>
      <w:r w:rsidRPr="00D17312">
        <w:t>Dále uvádíme data ohledně věku soudců.</w:t>
      </w:r>
    </w:p>
    <w:p w:rsidR="00A4083A" w:rsidRPr="00D17312" w:rsidRDefault="00A4083A" w:rsidP="00A4083A">
      <w:pPr>
        <w:pStyle w:val="Podnadpis"/>
        <w:rPr>
          <w:color w:val="auto"/>
        </w:rPr>
      </w:pPr>
      <w:bookmarkStart w:id="328" w:name="_Toc11135110"/>
      <w:bookmarkStart w:id="329" w:name="_Toc43841429"/>
      <w:r w:rsidRPr="00D17312">
        <w:rPr>
          <w:color w:val="auto"/>
        </w:rPr>
        <w:lastRenderedPageBreak/>
        <w:t xml:space="preserve">Graf </w:t>
      </w:r>
      <w:r w:rsidRPr="00D17312">
        <w:rPr>
          <w:noProof/>
          <w:color w:val="auto"/>
        </w:rPr>
        <w:fldChar w:fldCharType="begin"/>
      </w:r>
      <w:r w:rsidRPr="00D17312">
        <w:rPr>
          <w:noProof/>
          <w:color w:val="auto"/>
        </w:rPr>
        <w:instrText xml:space="preserve"> SEQ Graf \* ARABIC </w:instrText>
      </w:r>
      <w:r w:rsidRPr="00D17312">
        <w:rPr>
          <w:noProof/>
          <w:color w:val="auto"/>
        </w:rPr>
        <w:fldChar w:fldCharType="separate"/>
      </w:r>
      <w:r w:rsidR="006E7F27">
        <w:rPr>
          <w:noProof/>
          <w:color w:val="auto"/>
        </w:rPr>
        <w:t>49</w:t>
      </w:r>
      <w:r w:rsidRPr="00D17312">
        <w:rPr>
          <w:noProof/>
          <w:color w:val="auto"/>
        </w:rPr>
        <w:fldChar w:fldCharType="end"/>
      </w:r>
      <w:r w:rsidRPr="00D17312">
        <w:rPr>
          <w:color w:val="auto"/>
        </w:rPr>
        <w:t>: KS – věkové složení soudců v letech 2008–201</w:t>
      </w:r>
      <w:bookmarkEnd w:id="327"/>
      <w:bookmarkEnd w:id="328"/>
      <w:r w:rsidRPr="00D17312">
        <w:rPr>
          <w:color w:val="auto"/>
        </w:rPr>
        <w:t>9</w:t>
      </w:r>
      <w:bookmarkEnd w:id="329"/>
    </w:p>
    <w:p w:rsidR="00A4083A" w:rsidRPr="00D17312" w:rsidRDefault="00A4083A" w:rsidP="00A4083A">
      <w:r w:rsidRPr="00D17312">
        <w:rPr>
          <w:noProof/>
          <w:lang w:eastAsia="cs-CZ"/>
        </w:rPr>
        <w:drawing>
          <wp:inline distT="0" distB="0" distL="0" distR="0" wp14:anchorId="38F9F7AD" wp14:editId="689F70C0">
            <wp:extent cx="5115560" cy="3743960"/>
            <wp:effectExtent l="0" t="0" r="0" b="889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rsidR="00A4083A" w:rsidRPr="00D17312" w:rsidRDefault="00A4083A" w:rsidP="00A4083A"/>
    <w:p w:rsidR="00A4083A" w:rsidRPr="00D17312" w:rsidRDefault="00A4083A" w:rsidP="00A4083A">
      <w:pPr>
        <w:pStyle w:val="Podnadpis"/>
        <w:rPr>
          <w:color w:val="auto"/>
        </w:rPr>
      </w:pPr>
      <w:bookmarkStart w:id="330" w:name="_Toc515871466"/>
      <w:bookmarkStart w:id="331" w:name="_Toc11133233"/>
      <w:bookmarkStart w:id="332" w:name="_Toc43931208"/>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35</w:t>
      </w:r>
      <w:r w:rsidRPr="00D17312">
        <w:rPr>
          <w:noProof/>
          <w:color w:val="auto"/>
        </w:rPr>
        <w:fldChar w:fldCharType="end"/>
      </w:r>
      <w:r w:rsidRPr="00D17312">
        <w:rPr>
          <w:color w:val="auto"/>
        </w:rPr>
        <w:t>: KS – věková struktura soudců dle krajů</w:t>
      </w:r>
      <w:bookmarkEnd w:id="330"/>
      <w:bookmarkEnd w:id="331"/>
      <w:bookmarkEnd w:id="332"/>
    </w:p>
    <w:tbl>
      <w:tblPr>
        <w:tblW w:w="7921" w:type="dxa"/>
        <w:tblCellMar>
          <w:left w:w="70" w:type="dxa"/>
          <w:right w:w="70" w:type="dxa"/>
        </w:tblCellMar>
        <w:tblLook w:val="04A0" w:firstRow="1" w:lastRow="0" w:firstColumn="1" w:lastColumn="0" w:noHBand="0" w:noVBand="1"/>
      </w:tblPr>
      <w:tblGrid>
        <w:gridCol w:w="2480"/>
        <w:gridCol w:w="1376"/>
        <w:gridCol w:w="1355"/>
        <w:gridCol w:w="1355"/>
        <w:gridCol w:w="1355"/>
      </w:tblGrid>
      <w:tr w:rsidR="00A4083A" w:rsidRPr="00D17312" w:rsidTr="00A41C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5441" w:type="dxa"/>
            <w:gridSpan w:val="4"/>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Podíl na celkovém počtu soudců dle věku</w:t>
            </w:r>
          </w:p>
        </w:tc>
      </w:tr>
      <w:tr w:rsidR="00A4083A" w:rsidRPr="00D17312" w:rsidTr="00A41CAB">
        <w:trPr>
          <w:trHeight w:val="330"/>
        </w:trPr>
        <w:tc>
          <w:tcPr>
            <w:tcW w:w="24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376"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30 až 40 let</w:t>
            </w:r>
          </w:p>
        </w:tc>
        <w:tc>
          <w:tcPr>
            <w:tcW w:w="1355"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41 až 50 let</w:t>
            </w:r>
          </w:p>
        </w:tc>
        <w:tc>
          <w:tcPr>
            <w:tcW w:w="1355"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51 až 60 let</w:t>
            </w:r>
          </w:p>
        </w:tc>
        <w:tc>
          <w:tcPr>
            <w:tcW w:w="1355"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61 až 70 let</w:t>
            </w:r>
          </w:p>
        </w:tc>
      </w:tr>
      <w:tr w:rsidR="00A4083A" w:rsidRPr="00D17312"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376"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1,83</w:t>
            </w:r>
          </w:p>
        </w:tc>
        <w:tc>
          <w:tcPr>
            <w:tcW w:w="1355"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26,03</w:t>
            </w:r>
          </w:p>
        </w:tc>
        <w:tc>
          <w:tcPr>
            <w:tcW w:w="1355"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41,55</w:t>
            </w:r>
          </w:p>
        </w:tc>
        <w:tc>
          <w:tcPr>
            <w:tcW w:w="1355"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30,59</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37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10,75</w:t>
            </w:r>
          </w:p>
        </w:tc>
        <w:tc>
          <w:tcPr>
            <w:tcW w:w="13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24,73</w:t>
            </w:r>
          </w:p>
        </w:tc>
        <w:tc>
          <w:tcPr>
            <w:tcW w:w="13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37,63</w:t>
            </w:r>
          </w:p>
        </w:tc>
        <w:tc>
          <w:tcPr>
            <w:tcW w:w="13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26,88</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37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8,77</w:t>
            </w:r>
          </w:p>
        </w:tc>
        <w:tc>
          <w:tcPr>
            <w:tcW w:w="13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29,82</w:t>
            </w:r>
          </w:p>
        </w:tc>
        <w:tc>
          <w:tcPr>
            <w:tcW w:w="13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42,11</w:t>
            </w:r>
          </w:p>
        </w:tc>
        <w:tc>
          <w:tcPr>
            <w:tcW w:w="13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19,30</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37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1,37</w:t>
            </w:r>
          </w:p>
        </w:tc>
        <w:tc>
          <w:tcPr>
            <w:tcW w:w="13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42,47</w:t>
            </w:r>
          </w:p>
        </w:tc>
        <w:tc>
          <w:tcPr>
            <w:tcW w:w="13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27,40</w:t>
            </w:r>
          </w:p>
        </w:tc>
        <w:tc>
          <w:tcPr>
            <w:tcW w:w="13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28,77</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37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9,48</w:t>
            </w:r>
          </w:p>
        </w:tc>
        <w:tc>
          <w:tcPr>
            <w:tcW w:w="13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49,14</w:t>
            </w:r>
          </w:p>
        </w:tc>
        <w:tc>
          <w:tcPr>
            <w:tcW w:w="13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27,59</w:t>
            </w:r>
          </w:p>
        </w:tc>
        <w:tc>
          <w:tcPr>
            <w:tcW w:w="13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13,79</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37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4,76</w:t>
            </w:r>
          </w:p>
        </w:tc>
        <w:tc>
          <w:tcPr>
            <w:tcW w:w="13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33,33</w:t>
            </w:r>
          </w:p>
        </w:tc>
        <w:tc>
          <w:tcPr>
            <w:tcW w:w="13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39,29</w:t>
            </w:r>
          </w:p>
        </w:tc>
        <w:tc>
          <w:tcPr>
            <w:tcW w:w="13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22,62</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37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6,51</w:t>
            </w:r>
          </w:p>
        </w:tc>
        <w:tc>
          <w:tcPr>
            <w:tcW w:w="13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31,36</w:t>
            </w:r>
          </w:p>
        </w:tc>
        <w:tc>
          <w:tcPr>
            <w:tcW w:w="13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34,32</w:t>
            </w:r>
          </w:p>
        </w:tc>
        <w:tc>
          <w:tcPr>
            <w:tcW w:w="135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27,81</w:t>
            </w:r>
          </w:p>
        </w:tc>
      </w:tr>
      <w:tr w:rsidR="00A4083A" w:rsidRPr="00D17312"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37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5,15</w:t>
            </w:r>
          </w:p>
        </w:tc>
        <w:tc>
          <w:tcPr>
            <w:tcW w:w="1355"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44,12</w:t>
            </w:r>
          </w:p>
        </w:tc>
        <w:tc>
          <w:tcPr>
            <w:tcW w:w="1355"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34,56</w:t>
            </w:r>
          </w:p>
        </w:tc>
        <w:tc>
          <w:tcPr>
            <w:tcW w:w="1355"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16,18</w:t>
            </w:r>
          </w:p>
        </w:tc>
      </w:tr>
      <w:tr w:rsidR="00A4083A" w:rsidRPr="00D17312"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37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5,60</w:t>
            </w:r>
          </w:p>
        </w:tc>
        <w:tc>
          <w:tcPr>
            <w:tcW w:w="1355"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34,42</w:t>
            </w:r>
          </w:p>
        </w:tc>
        <w:tc>
          <w:tcPr>
            <w:tcW w:w="1355"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35,90</w:t>
            </w:r>
          </w:p>
        </w:tc>
        <w:tc>
          <w:tcPr>
            <w:tcW w:w="1355"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24,08</w:t>
            </w:r>
          </w:p>
        </w:tc>
      </w:tr>
    </w:tbl>
    <w:p w:rsidR="00A4083A" w:rsidRPr="00D17312" w:rsidRDefault="00A4083A" w:rsidP="00A4083A">
      <w:pPr>
        <w:rPr>
          <w:highlight w:val="yellow"/>
        </w:rPr>
      </w:pPr>
    </w:p>
    <w:p w:rsidR="00A4083A" w:rsidRPr="00D17312" w:rsidRDefault="00A4083A" w:rsidP="00A4083A">
      <w:pPr>
        <w:pStyle w:val="OdstavecASR"/>
      </w:pPr>
      <w:r w:rsidRPr="00D17312">
        <w:t xml:space="preserve">Z těchto dat můžeme vyvodit </w:t>
      </w:r>
      <w:r>
        <w:t>následující</w:t>
      </w:r>
      <w:r w:rsidRPr="00D17312">
        <w:t xml:space="preserve"> závěry:</w:t>
      </w:r>
    </w:p>
    <w:p w:rsidR="00A4083A" w:rsidRPr="00D17312" w:rsidRDefault="00A4083A" w:rsidP="00A4083A">
      <w:pPr>
        <w:pStyle w:val="OdstavecASR"/>
        <w:numPr>
          <w:ilvl w:val="0"/>
          <w:numId w:val="16"/>
        </w:numPr>
      </w:pPr>
      <w:r w:rsidRPr="00D17312">
        <w:t>Soudci u krajských soudů jsou v průměru výrazně starší než soudci u soudů okresních. To je logické, protože to plyne z kariérního postupu soudců. V naprosté většině jsou noví soudci jmenováni na okresní soudy. Někteří tam zůstanou, jiní jsou přeloženi ke krajským soudům (</w:t>
      </w:r>
      <w:r>
        <w:t xml:space="preserve">a </w:t>
      </w:r>
      <w:r w:rsidRPr="00D17312">
        <w:t>později případně i k VS, NS nebo NSS). Mezi jmenováním a přeložením samozřejmě většinou uplyne několik let.</w:t>
      </w:r>
    </w:p>
    <w:p w:rsidR="00A4083A" w:rsidRPr="00D17312" w:rsidRDefault="00A4083A" w:rsidP="00A4083A">
      <w:pPr>
        <w:pStyle w:val="OdstavecASR"/>
        <w:numPr>
          <w:ilvl w:val="0"/>
          <w:numId w:val="16"/>
        </w:numPr>
      </w:pPr>
      <w:r w:rsidRPr="00D17312">
        <w:lastRenderedPageBreak/>
        <w:t xml:space="preserve">K dispozici nejsou </w:t>
      </w:r>
      <w:r>
        <w:t>detailní</w:t>
      </w:r>
      <w:r w:rsidRPr="00D17312">
        <w:t xml:space="preserve"> údaje o věku soudců, takže nelze </w:t>
      </w:r>
      <w:r>
        <w:t xml:space="preserve">přesně </w:t>
      </w:r>
      <w:r w:rsidRPr="00D17312">
        <w:t>říct, kde jsou soudci nejmladší. Dle podílů jednotlivých skupin se ale zdá, že nejmladší soudci jsou v průměru u</w:t>
      </w:r>
      <w:r>
        <w:t> </w:t>
      </w:r>
      <w:r w:rsidRPr="00D17312">
        <w:t>KS v Ústí nad Labem a nejstarší pravděpodobně u MS v Praze.</w:t>
      </w:r>
    </w:p>
    <w:p w:rsidR="00A4083A" w:rsidRPr="00D17312" w:rsidRDefault="00A4083A" w:rsidP="00A4083A">
      <w:pPr>
        <w:pStyle w:val="OdstavecASR"/>
        <w:numPr>
          <w:ilvl w:val="0"/>
          <w:numId w:val="16"/>
        </w:numPr>
      </w:pPr>
      <w:r w:rsidRPr="00D17312">
        <w:t>Nejvyšší podíl nejmladších soudců na celkovém počtu soudců krajských soudů byl ale v roce 2019 u KS Praha (cca 11</w:t>
      </w:r>
      <w:r>
        <w:t> %</w:t>
      </w:r>
      <w:r w:rsidRPr="00D17312">
        <w:t>).</w:t>
      </w:r>
    </w:p>
    <w:p w:rsidR="00A4083A" w:rsidRPr="00D17312" w:rsidRDefault="00A4083A" w:rsidP="00A4083A">
      <w:pPr>
        <w:pStyle w:val="OdstavecASR"/>
        <w:numPr>
          <w:ilvl w:val="0"/>
          <w:numId w:val="16"/>
        </w:numPr>
      </w:pPr>
      <w:r w:rsidRPr="00D17312">
        <w:t>I u KS se věk soudců postupně zvyšoval až do roku 2018, přičemž počet soudců v nejvyšší věkové kategorii zůstával v podstatě stabilní. V roce 2019 nedošlo k prakticky žádné změně ve věkové struktuře soudů. Důvody pro zvyšování věkového průměru jsou obdobné, plynou především ze zvyšování evidenčního počtu soudců před rokem 2006 a ze zvyšování průměrného věku jmenovaných soud</w:t>
      </w:r>
      <w:r>
        <w:t>c</w:t>
      </w:r>
      <w:r w:rsidRPr="00D17312">
        <w:t>ů. Pokud jsou u okresních soudů v průměru starší soudci, budou logicky ke krajským soudům také překládáni starší soudci.</w:t>
      </w:r>
    </w:p>
    <w:p w:rsidR="00A4083A" w:rsidRPr="00D17312" w:rsidRDefault="00A4083A" w:rsidP="00A4083A">
      <w:pPr>
        <w:pStyle w:val="OdstavecASR"/>
      </w:pPr>
      <w:r w:rsidRPr="00D17312">
        <w:t>Stejně jako u okresních soudů je na konci této části uvedeno srovnání evidenčního a plánovaného počtu za posledních 5 let.</w:t>
      </w:r>
    </w:p>
    <w:p w:rsidR="00A4083A" w:rsidRPr="00D17312" w:rsidRDefault="00A4083A" w:rsidP="00A4083A">
      <w:pPr>
        <w:pStyle w:val="OdstavecASR"/>
      </w:pPr>
    </w:p>
    <w:p w:rsidR="00A4083A" w:rsidRPr="00D17312" w:rsidRDefault="00A4083A" w:rsidP="00A4083A">
      <w:pPr>
        <w:pStyle w:val="Podnadpis"/>
        <w:rPr>
          <w:color w:val="auto"/>
        </w:rPr>
      </w:pPr>
      <w:bookmarkStart w:id="333" w:name="_Toc43931209"/>
      <w:r w:rsidRPr="00D17312">
        <w:rPr>
          <w:color w:val="auto"/>
        </w:rPr>
        <w:t xml:space="preserve">Tabulka </w:t>
      </w:r>
      <w:r w:rsidRPr="00D17312">
        <w:rPr>
          <w:noProof/>
          <w:color w:val="auto"/>
        </w:rPr>
        <w:fldChar w:fldCharType="begin"/>
      </w:r>
      <w:r w:rsidRPr="00D17312">
        <w:rPr>
          <w:noProof/>
          <w:color w:val="auto"/>
        </w:rPr>
        <w:instrText xml:space="preserve"> SEQ Tabulka \* ARABIC </w:instrText>
      </w:r>
      <w:r w:rsidRPr="00D17312">
        <w:rPr>
          <w:noProof/>
          <w:color w:val="auto"/>
        </w:rPr>
        <w:fldChar w:fldCharType="separate"/>
      </w:r>
      <w:r w:rsidR="006E7F27">
        <w:rPr>
          <w:noProof/>
          <w:color w:val="auto"/>
        </w:rPr>
        <w:t>36</w:t>
      </w:r>
      <w:r w:rsidRPr="00D17312">
        <w:rPr>
          <w:noProof/>
          <w:color w:val="auto"/>
        </w:rPr>
        <w:fldChar w:fldCharType="end"/>
      </w:r>
      <w:r w:rsidRPr="00D17312">
        <w:rPr>
          <w:color w:val="auto"/>
        </w:rPr>
        <w:t>: KS – srovnání evidenční a plánovaného počtu soudců za 5 let</w:t>
      </w:r>
      <w:bookmarkEnd w:id="333"/>
    </w:p>
    <w:tbl>
      <w:tblPr>
        <w:tblW w:w="7920" w:type="dxa"/>
        <w:tblCellMar>
          <w:left w:w="70" w:type="dxa"/>
          <w:right w:w="70" w:type="dxa"/>
        </w:tblCellMar>
        <w:tblLook w:val="04A0" w:firstRow="1" w:lastRow="0" w:firstColumn="1" w:lastColumn="0" w:noHBand="0" w:noVBand="1"/>
      </w:tblPr>
      <w:tblGrid>
        <w:gridCol w:w="2220"/>
        <w:gridCol w:w="1502"/>
        <w:gridCol w:w="1738"/>
        <w:gridCol w:w="2460"/>
      </w:tblGrid>
      <w:tr w:rsidR="00A4083A" w:rsidRPr="00D17312" w:rsidTr="00A41CAB">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3240" w:type="dxa"/>
            <w:gridSpan w:val="2"/>
            <w:tcBorders>
              <w:top w:val="double" w:sz="6" w:space="0" w:color="auto"/>
              <w:left w:val="nil"/>
              <w:bottom w:val="nil"/>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Průměrný počet soudců</w:t>
            </w:r>
          </w:p>
        </w:tc>
        <w:tc>
          <w:tcPr>
            <w:tcW w:w="2460" w:type="dxa"/>
            <w:vMerge w:val="restart"/>
            <w:tcBorders>
              <w:top w:val="double" w:sz="6" w:space="0" w:color="auto"/>
              <w:left w:val="nil"/>
              <w:bottom w:val="double" w:sz="6" w:space="0" w:color="000000"/>
              <w:right w:val="nil"/>
            </w:tcBorders>
            <w:shd w:val="clear" w:color="auto" w:fill="auto"/>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Nadstav/podstav v</w:t>
            </w:r>
            <w:r>
              <w:rPr>
                <w:rFonts w:eastAsia="Times New Roman"/>
                <w:b/>
                <w:bCs/>
                <w:szCs w:val="24"/>
                <w:lang w:eastAsia="cs-CZ"/>
              </w:rPr>
              <w:t> %</w:t>
            </w:r>
          </w:p>
        </w:tc>
      </w:tr>
      <w:tr w:rsidR="00A4083A" w:rsidRPr="00D17312" w:rsidTr="00A41CAB">
        <w:trPr>
          <w:trHeight w:val="330"/>
        </w:trPr>
        <w:tc>
          <w:tcPr>
            <w:tcW w:w="222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502"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Evidenční</w:t>
            </w:r>
          </w:p>
        </w:tc>
        <w:tc>
          <w:tcPr>
            <w:tcW w:w="1738"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Plánovaný</w:t>
            </w:r>
          </w:p>
        </w:tc>
        <w:tc>
          <w:tcPr>
            <w:tcW w:w="246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r>
      <w:tr w:rsidR="00A4083A" w:rsidRPr="00D17312" w:rsidTr="00A41CAB">
        <w:trPr>
          <w:trHeight w:val="330"/>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50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222</w:t>
            </w:r>
          </w:p>
        </w:tc>
        <w:tc>
          <w:tcPr>
            <w:tcW w:w="173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247,6</w:t>
            </w:r>
          </w:p>
        </w:tc>
        <w:tc>
          <w:tcPr>
            <w:tcW w:w="24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-10,34</w:t>
            </w:r>
          </w:p>
        </w:tc>
      </w:tr>
      <w:tr w:rsidR="00A4083A" w:rsidRPr="00D17312"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50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95,2</w:t>
            </w:r>
          </w:p>
        </w:tc>
        <w:tc>
          <w:tcPr>
            <w:tcW w:w="173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113,4</w:t>
            </w:r>
          </w:p>
        </w:tc>
        <w:tc>
          <w:tcPr>
            <w:tcW w:w="24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-16,05</w:t>
            </w:r>
          </w:p>
        </w:tc>
      </w:tr>
      <w:tr w:rsidR="00A4083A" w:rsidRPr="00D17312"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50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55,4</w:t>
            </w:r>
          </w:p>
        </w:tc>
        <w:tc>
          <w:tcPr>
            <w:tcW w:w="173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56,8</w:t>
            </w:r>
          </w:p>
        </w:tc>
        <w:tc>
          <w:tcPr>
            <w:tcW w:w="24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-2,46</w:t>
            </w:r>
          </w:p>
        </w:tc>
      </w:tr>
      <w:tr w:rsidR="00A4083A" w:rsidRPr="00D17312"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50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76</w:t>
            </w:r>
          </w:p>
        </w:tc>
        <w:tc>
          <w:tcPr>
            <w:tcW w:w="173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84</w:t>
            </w:r>
          </w:p>
        </w:tc>
        <w:tc>
          <w:tcPr>
            <w:tcW w:w="24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-9,52</w:t>
            </w:r>
          </w:p>
        </w:tc>
      </w:tr>
      <w:tr w:rsidR="00A4083A" w:rsidRPr="00D17312"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50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111</w:t>
            </w:r>
          </w:p>
        </w:tc>
        <w:tc>
          <w:tcPr>
            <w:tcW w:w="173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122,8</w:t>
            </w:r>
          </w:p>
        </w:tc>
        <w:tc>
          <w:tcPr>
            <w:tcW w:w="24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-9,61</w:t>
            </w:r>
          </w:p>
        </w:tc>
      </w:tr>
      <w:tr w:rsidR="00A4083A" w:rsidRPr="00D17312"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50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83,8</w:t>
            </w:r>
          </w:p>
        </w:tc>
        <w:tc>
          <w:tcPr>
            <w:tcW w:w="173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91,4</w:t>
            </w:r>
          </w:p>
        </w:tc>
        <w:tc>
          <w:tcPr>
            <w:tcW w:w="24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-8,32</w:t>
            </w:r>
          </w:p>
        </w:tc>
      </w:tr>
      <w:tr w:rsidR="00A4083A" w:rsidRPr="00D17312"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50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162,8</w:t>
            </w:r>
          </w:p>
        </w:tc>
        <w:tc>
          <w:tcPr>
            <w:tcW w:w="173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167,8</w:t>
            </w:r>
          </w:p>
        </w:tc>
        <w:tc>
          <w:tcPr>
            <w:tcW w:w="24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-2,98</w:t>
            </w:r>
          </w:p>
        </w:tc>
      </w:tr>
      <w:tr w:rsidR="00A4083A" w:rsidRPr="00D17312" w:rsidTr="00A41CAB">
        <w:trPr>
          <w:trHeight w:val="330"/>
        </w:trPr>
        <w:tc>
          <w:tcPr>
            <w:tcW w:w="22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502"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143</w:t>
            </w:r>
          </w:p>
        </w:tc>
        <w:tc>
          <w:tcPr>
            <w:tcW w:w="1738"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159,2</w:t>
            </w:r>
          </w:p>
        </w:tc>
        <w:tc>
          <w:tcPr>
            <w:tcW w:w="24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-10,18</w:t>
            </w:r>
          </w:p>
        </w:tc>
      </w:tr>
      <w:tr w:rsidR="00A4083A" w:rsidRPr="00D17312" w:rsidTr="00A41CAB">
        <w:trPr>
          <w:trHeight w:val="345"/>
        </w:trPr>
        <w:tc>
          <w:tcPr>
            <w:tcW w:w="22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502"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949,2</w:t>
            </w:r>
          </w:p>
        </w:tc>
        <w:tc>
          <w:tcPr>
            <w:tcW w:w="1738"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1043</w:t>
            </w:r>
          </w:p>
        </w:tc>
        <w:tc>
          <w:tcPr>
            <w:tcW w:w="24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-8,99</w:t>
            </w:r>
          </w:p>
        </w:tc>
      </w:tr>
    </w:tbl>
    <w:p w:rsidR="00A4083A" w:rsidRPr="00D17312" w:rsidRDefault="00A4083A" w:rsidP="00A4083A">
      <w:pPr>
        <w:pStyle w:val="OdstavecASR"/>
      </w:pPr>
    </w:p>
    <w:p w:rsidR="00A4083A" w:rsidRPr="00D17312" w:rsidRDefault="00A4083A" w:rsidP="00A4083A">
      <w:pPr>
        <w:pStyle w:val="OdstavecASR"/>
      </w:pPr>
      <w:r w:rsidRPr="00D17312">
        <w:t>V tabulce opět vidíme, že zcela všechny krajské soudy dlouhodobě „dotují“ soudy okresní. Největší podstav má KS Praha (16</w:t>
      </w:r>
      <w:r>
        <w:t> %</w:t>
      </w:r>
      <w:r w:rsidRPr="00D17312">
        <w:t>), nejmenší KS Brno (3</w:t>
      </w:r>
      <w:r>
        <w:t> %</w:t>
      </w:r>
      <w:r w:rsidRPr="00D17312">
        <w:t>). Velikost „dotace“ pro OS se bude odvíjet od mnoha faktorů jako je počet dostupných soudců v kraji, zatíženost krajského soudu, zatíženost okresních soudů a další.</w:t>
      </w:r>
    </w:p>
    <w:p w:rsidR="00A4083A" w:rsidRPr="00D17312" w:rsidRDefault="00A4083A" w:rsidP="00A4083A">
      <w:pPr>
        <w:pStyle w:val="Nadpis3"/>
        <w:rPr>
          <w:color w:val="auto"/>
        </w:rPr>
      </w:pPr>
      <w:bookmarkStart w:id="334" w:name="_Toc515871247"/>
      <w:bookmarkStart w:id="335" w:name="_Toc43903051"/>
      <w:r w:rsidRPr="00D17312">
        <w:rPr>
          <w:color w:val="auto"/>
        </w:rPr>
        <w:t>Zaměstnanci ve výkonu</w:t>
      </w:r>
      <w:bookmarkEnd w:id="334"/>
      <w:bookmarkEnd w:id="335"/>
    </w:p>
    <w:p w:rsidR="00A4083A" w:rsidRPr="00D17312" w:rsidRDefault="00A4083A" w:rsidP="00A4083A">
      <w:pPr>
        <w:pStyle w:val="OdstavecASR"/>
      </w:pPr>
      <w:r w:rsidRPr="00D17312">
        <w:t>Pracovní pozice zaměstnanců ve výkonu a jejich pracovní náplň se od okresních soudů mírně liší. Pro účely této zprávy ale postačuje uvést stejné kategorie zaměstnanců ve výkonu jako u soudů okresních. Popis pracovní náplně a význam použitých zkratek uvádíme v podkapitole </w:t>
      </w:r>
      <w:r w:rsidRPr="00D17312">
        <w:fldChar w:fldCharType="begin"/>
      </w:r>
      <w:r w:rsidRPr="00D17312">
        <w:instrText xml:space="preserve"> REF _Ref10813793 \r \h  \* MERGEFORMAT </w:instrText>
      </w:r>
      <w:r w:rsidRPr="00D17312">
        <w:fldChar w:fldCharType="separate"/>
      </w:r>
      <w:r w:rsidR="006E7F27">
        <w:t>2.1.2</w:t>
      </w:r>
      <w:r w:rsidRPr="00D17312">
        <w:fldChar w:fldCharType="end"/>
      </w:r>
      <w:r w:rsidRPr="00D17312">
        <w:t>. Znovu tedy pracujeme s nejfrekventovanějšími pracovními pozicemi.</w:t>
      </w:r>
    </w:p>
    <w:p w:rsidR="00A4083A" w:rsidRPr="00D17312" w:rsidRDefault="00A4083A" w:rsidP="00A4083A">
      <w:pPr>
        <w:pStyle w:val="OdstavecASR"/>
      </w:pPr>
    </w:p>
    <w:p w:rsidR="00A4083A" w:rsidRPr="00D17312" w:rsidRDefault="00A4083A" w:rsidP="00A4083A">
      <w:pPr>
        <w:pStyle w:val="OdstavecASR"/>
      </w:pPr>
    </w:p>
    <w:p w:rsidR="00A4083A" w:rsidRPr="00D17312" w:rsidRDefault="00A4083A" w:rsidP="00A4083A">
      <w:pPr>
        <w:pStyle w:val="Podnadpis"/>
        <w:rPr>
          <w:color w:val="auto"/>
        </w:rPr>
      </w:pPr>
      <w:bookmarkStart w:id="336" w:name="_Toc515871467"/>
      <w:bookmarkStart w:id="337" w:name="_Toc11133234"/>
      <w:bookmarkStart w:id="338" w:name="_Toc43931210"/>
      <w:r w:rsidRPr="00D17312">
        <w:rPr>
          <w:color w:val="auto"/>
        </w:rPr>
        <w:lastRenderedPageBreak/>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37</w:t>
      </w:r>
      <w:r w:rsidRPr="00D17312">
        <w:rPr>
          <w:noProof/>
          <w:color w:val="auto"/>
        </w:rPr>
        <w:fldChar w:fldCharType="end"/>
      </w:r>
      <w:r w:rsidRPr="00D17312">
        <w:rPr>
          <w:color w:val="auto"/>
        </w:rPr>
        <w:t>: KS – evidenční počet zaměstnanců ve výkonu dle soudů</w:t>
      </w:r>
      <w:bookmarkEnd w:id="336"/>
      <w:bookmarkEnd w:id="337"/>
      <w:bookmarkEnd w:id="338"/>
    </w:p>
    <w:tbl>
      <w:tblPr>
        <w:tblW w:w="7281" w:type="dxa"/>
        <w:tblCellMar>
          <w:left w:w="70" w:type="dxa"/>
          <w:right w:w="70" w:type="dxa"/>
        </w:tblCellMar>
        <w:tblLook w:val="04A0" w:firstRow="1" w:lastRow="0" w:firstColumn="1" w:lastColumn="0" w:noHBand="0" w:noVBand="1"/>
      </w:tblPr>
      <w:tblGrid>
        <w:gridCol w:w="2080"/>
        <w:gridCol w:w="843"/>
        <w:gridCol w:w="542"/>
        <w:gridCol w:w="598"/>
        <w:gridCol w:w="627"/>
        <w:gridCol w:w="613"/>
        <w:gridCol w:w="598"/>
        <w:gridCol w:w="1380"/>
      </w:tblGrid>
      <w:tr w:rsidR="00A4083A" w:rsidRPr="002368EE" w:rsidTr="00A41CAB">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rsidR="00A4083A" w:rsidRPr="002368EE" w:rsidRDefault="00A4083A" w:rsidP="00A41CAB">
            <w:pPr>
              <w:spacing w:line="240" w:lineRule="auto"/>
              <w:jc w:val="center"/>
              <w:rPr>
                <w:rFonts w:eastAsia="Times New Roman"/>
                <w:b/>
                <w:bCs/>
                <w:color w:val="000000"/>
                <w:szCs w:val="24"/>
                <w:lang w:eastAsia="cs-CZ"/>
              </w:rPr>
            </w:pPr>
            <w:r w:rsidRPr="002368EE">
              <w:rPr>
                <w:rFonts w:eastAsia="Times New Roman"/>
                <w:b/>
                <w:bCs/>
                <w:color w:val="000000"/>
                <w:szCs w:val="24"/>
                <w:lang w:eastAsia="cs-CZ"/>
              </w:rPr>
              <w:t>Soud</w:t>
            </w:r>
          </w:p>
        </w:tc>
        <w:tc>
          <w:tcPr>
            <w:tcW w:w="5201" w:type="dxa"/>
            <w:gridSpan w:val="7"/>
            <w:tcBorders>
              <w:top w:val="double" w:sz="6" w:space="0" w:color="auto"/>
              <w:left w:val="nil"/>
              <w:bottom w:val="nil"/>
              <w:right w:val="nil"/>
            </w:tcBorders>
            <w:shd w:val="clear" w:color="auto" w:fill="auto"/>
            <w:noWrap/>
            <w:vAlign w:val="bottom"/>
            <w:hideMark/>
          </w:tcPr>
          <w:p w:rsidR="00A4083A" w:rsidRPr="002368EE" w:rsidRDefault="00A4083A" w:rsidP="00A41CAB">
            <w:pPr>
              <w:spacing w:line="240" w:lineRule="auto"/>
              <w:jc w:val="center"/>
              <w:rPr>
                <w:rFonts w:eastAsia="Times New Roman"/>
                <w:b/>
                <w:bCs/>
                <w:color w:val="000000"/>
                <w:szCs w:val="24"/>
                <w:lang w:eastAsia="cs-CZ"/>
              </w:rPr>
            </w:pPr>
            <w:r w:rsidRPr="002368EE">
              <w:rPr>
                <w:rFonts w:eastAsia="Times New Roman"/>
                <w:b/>
                <w:bCs/>
                <w:color w:val="000000"/>
                <w:szCs w:val="24"/>
                <w:lang w:eastAsia="cs-CZ"/>
              </w:rPr>
              <w:t>Počet osob</w:t>
            </w:r>
          </w:p>
        </w:tc>
      </w:tr>
      <w:tr w:rsidR="00A4083A" w:rsidRPr="002368EE" w:rsidTr="00A41CAB">
        <w:trPr>
          <w:trHeight w:val="330"/>
        </w:trPr>
        <w:tc>
          <w:tcPr>
            <w:tcW w:w="2080" w:type="dxa"/>
            <w:vMerge/>
            <w:tcBorders>
              <w:top w:val="double" w:sz="6" w:space="0" w:color="auto"/>
              <w:left w:val="nil"/>
              <w:bottom w:val="double" w:sz="6" w:space="0" w:color="000000"/>
              <w:right w:val="nil"/>
            </w:tcBorders>
            <w:vAlign w:val="center"/>
            <w:hideMark/>
          </w:tcPr>
          <w:p w:rsidR="00A4083A" w:rsidRPr="002368EE" w:rsidRDefault="00A4083A" w:rsidP="00A41CAB">
            <w:pPr>
              <w:spacing w:line="240" w:lineRule="auto"/>
              <w:jc w:val="left"/>
              <w:rPr>
                <w:rFonts w:eastAsia="Times New Roman"/>
                <w:b/>
                <w:bCs/>
                <w:color w:val="000000"/>
                <w:szCs w:val="24"/>
                <w:lang w:eastAsia="cs-CZ"/>
              </w:rPr>
            </w:pPr>
          </w:p>
        </w:tc>
        <w:tc>
          <w:tcPr>
            <w:tcW w:w="843" w:type="dxa"/>
            <w:tcBorders>
              <w:top w:val="nil"/>
              <w:left w:val="nil"/>
              <w:bottom w:val="double" w:sz="6"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b/>
                <w:bCs/>
                <w:color w:val="000000"/>
                <w:szCs w:val="24"/>
                <w:lang w:eastAsia="cs-CZ"/>
              </w:rPr>
            </w:pPr>
            <w:r w:rsidRPr="002368EE">
              <w:rPr>
                <w:rFonts w:eastAsia="Times New Roman"/>
                <w:b/>
                <w:bCs/>
                <w:color w:val="000000"/>
                <w:szCs w:val="24"/>
                <w:lang w:eastAsia="cs-CZ"/>
              </w:rPr>
              <w:t>VSÚ</w:t>
            </w:r>
          </w:p>
        </w:tc>
        <w:tc>
          <w:tcPr>
            <w:tcW w:w="542" w:type="dxa"/>
            <w:tcBorders>
              <w:top w:val="nil"/>
              <w:left w:val="nil"/>
              <w:bottom w:val="double" w:sz="6"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b/>
                <w:bCs/>
                <w:color w:val="000000"/>
                <w:szCs w:val="24"/>
                <w:lang w:eastAsia="cs-CZ"/>
              </w:rPr>
            </w:pPr>
            <w:r w:rsidRPr="002368EE">
              <w:rPr>
                <w:rFonts w:eastAsia="Times New Roman"/>
                <w:b/>
                <w:bCs/>
                <w:color w:val="000000"/>
                <w:szCs w:val="24"/>
                <w:lang w:eastAsia="cs-CZ"/>
              </w:rPr>
              <w:t>ST</w:t>
            </w:r>
          </w:p>
        </w:tc>
        <w:tc>
          <w:tcPr>
            <w:tcW w:w="598" w:type="dxa"/>
            <w:tcBorders>
              <w:top w:val="nil"/>
              <w:left w:val="nil"/>
              <w:bottom w:val="double" w:sz="6"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b/>
                <w:bCs/>
                <w:color w:val="000000"/>
                <w:szCs w:val="24"/>
                <w:lang w:eastAsia="cs-CZ"/>
              </w:rPr>
            </w:pPr>
            <w:r w:rsidRPr="002368EE">
              <w:rPr>
                <w:rFonts w:eastAsia="Times New Roman"/>
                <w:b/>
                <w:bCs/>
                <w:color w:val="000000"/>
                <w:szCs w:val="24"/>
                <w:lang w:eastAsia="cs-CZ"/>
              </w:rPr>
              <w:t>A</w:t>
            </w:r>
          </w:p>
        </w:tc>
        <w:tc>
          <w:tcPr>
            <w:tcW w:w="627" w:type="dxa"/>
            <w:tcBorders>
              <w:top w:val="nil"/>
              <w:left w:val="nil"/>
              <w:bottom w:val="double" w:sz="6"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b/>
                <w:bCs/>
                <w:color w:val="000000"/>
                <w:szCs w:val="24"/>
                <w:lang w:eastAsia="cs-CZ"/>
              </w:rPr>
            </w:pPr>
            <w:r w:rsidRPr="002368EE">
              <w:rPr>
                <w:rFonts w:eastAsia="Times New Roman"/>
                <w:b/>
                <w:bCs/>
                <w:color w:val="000000"/>
                <w:szCs w:val="24"/>
                <w:lang w:eastAsia="cs-CZ"/>
              </w:rPr>
              <w:t>VK</w:t>
            </w:r>
          </w:p>
        </w:tc>
        <w:tc>
          <w:tcPr>
            <w:tcW w:w="613" w:type="dxa"/>
            <w:tcBorders>
              <w:top w:val="nil"/>
              <w:left w:val="nil"/>
              <w:bottom w:val="double" w:sz="6"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b/>
                <w:bCs/>
                <w:color w:val="000000"/>
                <w:szCs w:val="24"/>
                <w:lang w:eastAsia="cs-CZ"/>
              </w:rPr>
            </w:pPr>
            <w:r w:rsidRPr="002368EE">
              <w:rPr>
                <w:rFonts w:eastAsia="Times New Roman"/>
                <w:b/>
                <w:bCs/>
                <w:color w:val="000000"/>
                <w:szCs w:val="24"/>
                <w:lang w:eastAsia="cs-CZ"/>
              </w:rPr>
              <w:t>PÚ</w:t>
            </w:r>
          </w:p>
        </w:tc>
        <w:tc>
          <w:tcPr>
            <w:tcW w:w="598" w:type="dxa"/>
            <w:tcBorders>
              <w:top w:val="nil"/>
              <w:left w:val="nil"/>
              <w:bottom w:val="double" w:sz="6"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b/>
                <w:bCs/>
                <w:color w:val="000000"/>
                <w:szCs w:val="24"/>
                <w:lang w:eastAsia="cs-CZ"/>
              </w:rPr>
            </w:pPr>
            <w:r w:rsidRPr="002368EE">
              <w:rPr>
                <w:rFonts w:eastAsia="Times New Roman"/>
                <w:b/>
                <w:bCs/>
                <w:color w:val="000000"/>
                <w:szCs w:val="24"/>
                <w:lang w:eastAsia="cs-CZ"/>
              </w:rPr>
              <w:t>Z</w:t>
            </w:r>
          </w:p>
        </w:tc>
        <w:tc>
          <w:tcPr>
            <w:tcW w:w="1380" w:type="dxa"/>
            <w:tcBorders>
              <w:top w:val="nil"/>
              <w:left w:val="nil"/>
              <w:bottom w:val="double" w:sz="6"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b/>
                <w:bCs/>
                <w:color w:val="000000"/>
                <w:szCs w:val="24"/>
                <w:lang w:eastAsia="cs-CZ"/>
              </w:rPr>
            </w:pPr>
            <w:r w:rsidRPr="002368EE">
              <w:rPr>
                <w:rFonts w:eastAsia="Times New Roman"/>
                <w:b/>
                <w:bCs/>
                <w:color w:val="000000"/>
                <w:szCs w:val="24"/>
                <w:lang w:eastAsia="cs-CZ"/>
              </w:rPr>
              <w:t>Celkem</w:t>
            </w:r>
          </w:p>
        </w:tc>
      </w:tr>
      <w:tr w:rsidR="00A4083A" w:rsidRPr="002368EE" w:rsidTr="00A41CAB">
        <w:trPr>
          <w:trHeight w:val="330"/>
        </w:trPr>
        <w:tc>
          <w:tcPr>
            <w:tcW w:w="2080" w:type="dxa"/>
            <w:tcBorders>
              <w:top w:val="single" w:sz="4" w:space="0" w:color="auto"/>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left"/>
              <w:rPr>
                <w:rFonts w:eastAsia="Times New Roman"/>
                <w:color w:val="000000"/>
                <w:szCs w:val="24"/>
                <w:lang w:eastAsia="cs-CZ"/>
              </w:rPr>
            </w:pPr>
            <w:r w:rsidRPr="002368EE">
              <w:rPr>
                <w:rFonts w:eastAsia="Times New Roman"/>
                <w:color w:val="000000"/>
                <w:szCs w:val="24"/>
                <w:lang w:eastAsia="cs-CZ"/>
              </w:rPr>
              <w:t>MS Praha</w:t>
            </w:r>
          </w:p>
        </w:tc>
        <w:tc>
          <w:tcPr>
            <w:tcW w:w="843" w:type="dxa"/>
            <w:tcBorders>
              <w:top w:val="single" w:sz="4" w:space="0" w:color="auto"/>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60</w:t>
            </w:r>
          </w:p>
        </w:tc>
        <w:tc>
          <w:tcPr>
            <w:tcW w:w="542" w:type="dxa"/>
            <w:tcBorders>
              <w:top w:val="single" w:sz="4" w:space="0" w:color="auto"/>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23</w:t>
            </w:r>
          </w:p>
        </w:tc>
        <w:tc>
          <w:tcPr>
            <w:tcW w:w="598" w:type="dxa"/>
            <w:tcBorders>
              <w:top w:val="single" w:sz="4" w:space="0" w:color="auto"/>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94</w:t>
            </w:r>
          </w:p>
        </w:tc>
        <w:tc>
          <w:tcPr>
            <w:tcW w:w="627" w:type="dxa"/>
            <w:tcBorders>
              <w:top w:val="single" w:sz="4" w:space="0" w:color="auto"/>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125</w:t>
            </w:r>
          </w:p>
        </w:tc>
        <w:tc>
          <w:tcPr>
            <w:tcW w:w="613" w:type="dxa"/>
            <w:tcBorders>
              <w:top w:val="single" w:sz="4" w:space="0" w:color="auto"/>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19</w:t>
            </w:r>
          </w:p>
        </w:tc>
        <w:tc>
          <w:tcPr>
            <w:tcW w:w="598" w:type="dxa"/>
            <w:tcBorders>
              <w:top w:val="single" w:sz="4" w:space="0" w:color="auto"/>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78</w:t>
            </w:r>
          </w:p>
        </w:tc>
        <w:tc>
          <w:tcPr>
            <w:tcW w:w="1380" w:type="dxa"/>
            <w:tcBorders>
              <w:top w:val="single" w:sz="4" w:space="0" w:color="auto"/>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b/>
                <w:bCs/>
                <w:color w:val="000000"/>
                <w:szCs w:val="24"/>
                <w:lang w:eastAsia="cs-CZ"/>
              </w:rPr>
            </w:pPr>
            <w:r w:rsidRPr="002368EE">
              <w:rPr>
                <w:rFonts w:eastAsia="Times New Roman"/>
                <w:b/>
                <w:bCs/>
                <w:color w:val="000000"/>
                <w:szCs w:val="24"/>
                <w:lang w:eastAsia="cs-CZ"/>
              </w:rPr>
              <w:t>399</w:t>
            </w:r>
          </w:p>
        </w:tc>
      </w:tr>
      <w:tr w:rsidR="00A4083A" w:rsidRPr="002368EE" w:rsidTr="00A41CAB">
        <w:trPr>
          <w:trHeight w:val="315"/>
        </w:trPr>
        <w:tc>
          <w:tcPr>
            <w:tcW w:w="2080"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left"/>
              <w:rPr>
                <w:rFonts w:eastAsia="Times New Roman"/>
                <w:color w:val="000000"/>
                <w:szCs w:val="24"/>
                <w:lang w:eastAsia="cs-CZ"/>
              </w:rPr>
            </w:pPr>
            <w:r w:rsidRPr="002368EE">
              <w:rPr>
                <w:rFonts w:eastAsia="Times New Roman"/>
                <w:color w:val="000000"/>
                <w:szCs w:val="24"/>
                <w:lang w:eastAsia="cs-CZ"/>
              </w:rPr>
              <w:t>KS Praha</w:t>
            </w:r>
          </w:p>
        </w:tc>
        <w:tc>
          <w:tcPr>
            <w:tcW w:w="843"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16</w:t>
            </w:r>
          </w:p>
        </w:tc>
        <w:tc>
          <w:tcPr>
            <w:tcW w:w="542"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6</w:t>
            </w:r>
          </w:p>
        </w:tc>
        <w:tc>
          <w:tcPr>
            <w:tcW w:w="598"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34</w:t>
            </w:r>
          </w:p>
        </w:tc>
        <w:tc>
          <w:tcPr>
            <w:tcW w:w="627"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26</w:t>
            </w:r>
          </w:p>
        </w:tc>
        <w:tc>
          <w:tcPr>
            <w:tcW w:w="613"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13</w:t>
            </w:r>
          </w:p>
        </w:tc>
        <w:tc>
          <w:tcPr>
            <w:tcW w:w="598"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41</w:t>
            </w:r>
          </w:p>
        </w:tc>
        <w:tc>
          <w:tcPr>
            <w:tcW w:w="1380"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b/>
                <w:bCs/>
                <w:color w:val="000000"/>
                <w:szCs w:val="24"/>
                <w:lang w:eastAsia="cs-CZ"/>
              </w:rPr>
            </w:pPr>
            <w:r w:rsidRPr="002368EE">
              <w:rPr>
                <w:rFonts w:eastAsia="Times New Roman"/>
                <w:b/>
                <w:bCs/>
                <w:color w:val="000000"/>
                <w:szCs w:val="24"/>
                <w:lang w:eastAsia="cs-CZ"/>
              </w:rPr>
              <w:t>136</w:t>
            </w:r>
          </w:p>
        </w:tc>
      </w:tr>
      <w:tr w:rsidR="00A4083A" w:rsidRPr="002368EE" w:rsidTr="00A41CAB">
        <w:trPr>
          <w:trHeight w:val="315"/>
        </w:trPr>
        <w:tc>
          <w:tcPr>
            <w:tcW w:w="2080"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left"/>
              <w:rPr>
                <w:rFonts w:eastAsia="Times New Roman"/>
                <w:color w:val="000000"/>
                <w:szCs w:val="24"/>
                <w:lang w:eastAsia="cs-CZ"/>
              </w:rPr>
            </w:pPr>
            <w:r w:rsidRPr="002368EE">
              <w:rPr>
                <w:rFonts w:eastAsia="Times New Roman"/>
                <w:color w:val="000000"/>
                <w:szCs w:val="24"/>
                <w:lang w:eastAsia="cs-CZ"/>
              </w:rPr>
              <w:t>KS Č. Budějovice</w:t>
            </w:r>
          </w:p>
        </w:tc>
        <w:tc>
          <w:tcPr>
            <w:tcW w:w="843"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20</w:t>
            </w:r>
          </w:p>
        </w:tc>
        <w:tc>
          <w:tcPr>
            <w:tcW w:w="542"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7</w:t>
            </w:r>
          </w:p>
        </w:tc>
        <w:tc>
          <w:tcPr>
            <w:tcW w:w="598"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19</w:t>
            </w:r>
          </w:p>
        </w:tc>
        <w:tc>
          <w:tcPr>
            <w:tcW w:w="627"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17</w:t>
            </w:r>
          </w:p>
        </w:tc>
        <w:tc>
          <w:tcPr>
            <w:tcW w:w="613"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11</w:t>
            </w:r>
          </w:p>
        </w:tc>
        <w:tc>
          <w:tcPr>
            <w:tcW w:w="598"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26</w:t>
            </w:r>
          </w:p>
        </w:tc>
        <w:tc>
          <w:tcPr>
            <w:tcW w:w="1380"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b/>
                <w:bCs/>
                <w:color w:val="000000"/>
                <w:szCs w:val="24"/>
                <w:lang w:eastAsia="cs-CZ"/>
              </w:rPr>
            </w:pPr>
            <w:r w:rsidRPr="002368EE">
              <w:rPr>
                <w:rFonts w:eastAsia="Times New Roman"/>
                <w:b/>
                <w:bCs/>
                <w:color w:val="000000"/>
                <w:szCs w:val="24"/>
                <w:lang w:eastAsia="cs-CZ"/>
              </w:rPr>
              <w:t>100</w:t>
            </w:r>
          </w:p>
        </w:tc>
      </w:tr>
      <w:tr w:rsidR="00A4083A" w:rsidRPr="002368EE" w:rsidTr="00A41CAB">
        <w:trPr>
          <w:trHeight w:val="315"/>
        </w:trPr>
        <w:tc>
          <w:tcPr>
            <w:tcW w:w="2080"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left"/>
              <w:rPr>
                <w:rFonts w:eastAsia="Times New Roman"/>
                <w:color w:val="000000"/>
                <w:szCs w:val="24"/>
                <w:lang w:eastAsia="cs-CZ"/>
              </w:rPr>
            </w:pPr>
            <w:r w:rsidRPr="002368EE">
              <w:rPr>
                <w:rFonts w:eastAsia="Times New Roman"/>
                <w:color w:val="000000"/>
                <w:szCs w:val="24"/>
                <w:lang w:eastAsia="cs-CZ"/>
              </w:rPr>
              <w:t>KS Plzeň</w:t>
            </w:r>
          </w:p>
        </w:tc>
        <w:tc>
          <w:tcPr>
            <w:tcW w:w="843"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18</w:t>
            </w:r>
          </w:p>
        </w:tc>
        <w:tc>
          <w:tcPr>
            <w:tcW w:w="542"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2</w:t>
            </w:r>
          </w:p>
        </w:tc>
        <w:tc>
          <w:tcPr>
            <w:tcW w:w="598"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25</w:t>
            </w:r>
          </w:p>
        </w:tc>
        <w:tc>
          <w:tcPr>
            <w:tcW w:w="627"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43</w:t>
            </w:r>
          </w:p>
        </w:tc>
        <w:tc>
          <w:tcPr>
            <w:tcW w:w="613"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11</w:t>
            </w:r>
          </w:p>
        </w:tc>
        <w:tc>
          <w:tcPr>
            <w:tcW w:w="598"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23</w:t>
            </w:r>
          </w:p>
        </w:tc>
        <w:tc>
          <w:tcPr>
            <w:tcW w:w="1380"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b/>
                <w:bCs/>
                <w:color w:val="000000"/>
                <w:szCs w:val="24"/>
                <w:lang w:eastAsia="cs-CZ"/>
              </w:rPr>
            </w:pPr>
            <w:r w:rsidRPr="002368EE">
              <w:rPr>
                <w:rFonts w:eastAsia="Times New Roman"/>
                <w:b/>
                <w:bCs/>
                <w:color w:val="000000"/>
                <w:szCs w:val="24"/>
                <w:lang w:eastAsia="cs-CZ"/>
              </w:rPr>
              <w:t>122</w:t>
            </w:r>
          </w:p>
        </w:tc>
      </w:tr>
      <w:tr w:rsidR="00A4083A" w:rsidRPr="002368EE" w:rsidTr="00A41CAB">
        <w:trPr>
          <w:trHeight w:val="315"/>
        </w:trPr>
        <w:tc>
          <w:tcPr>
            <w:tcW w:w="2080"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left"/>
              <w:rPr>
                <w:rFonts w:eastAsia="Times New Roman"/>
                <w:color w:val="000000"/>
                <w:szCs w:val="24"/>
                <w:lang w:eastAsia="cs-CZ"/>
              </w:rPr>
            </w:pPr>
            <w:r w:rsidRPr="002368EE">
              <w:rPr>
                <w:rFonts w:eastAsia="Times New Roman"/>
                <w:color w:val="000000"/>
                <w:szCs w:val="24"/>
                <w:lang w:eastAsia="cs-CZ"/>
              </w:rPr>
              <w:t>KS Ústí n. Labem</w:t>
            </w:r>
          </w:p>
        </w:tc>
        <w:tc>
          <w:tcPr>
            <w:tcW w:w="843"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33</w:t>
            </w:r>
          </w:p>
        </w:tc>
        <w:tc>
          <w:tcPr>
            <w:tcW w:w="542"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34</w:t>
            </w:r>
          </w:p>
        </w:tc>
        <w:tc>
          <w:tcPr>
            <w:tcW w:w="598"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35</w:t>
            </w:r>
          </w:p>
        </w:tc>
        <w:tc>
          <w:tcPr>
            <w:tcW w:w="627"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51</w:t>
            </w:r>
          </w:p>
        </w:tc>
        <w:tc>
          <w:tcPr>
            <w:tcW w:w="613"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22</w:t>
            </w:r>
          </w:p>
        </w:tc>
        <w:tc>
          <w:tcPr>
            <w:tcW w:w="598"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42</w:t>
            </w:r>
          </w:p>
        </w:tc>
        <w:tc>
          <w:tcPr>
            <w:tcW w:w="1380"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b/>
                <w:bCs/>
                <w:color w:val="000000"/>
                <w:szCs w:val="24"/>
                <w:lang w:eastAsia="cs-CZ"/>
              </w:rPr>
            </w:pPr>
            <w:r w:rsidRPr="002368EE">
              <w:rPr>
                <w:rFonts w:eastAsia="Times New Roman"/>
                <w:b/>
                <w:bCs/>
                <w:color w:val="000000"/>
                <w:szCs w:val="24"/>
                <w:lang w:eastAsia="cs-CZ"/>
              </w:rPr>
              <w:t>217</w:t>
            </w:r>
          </w:p>
        </w:tc>
      </w:tr>
      <w:tr w:rsidR="00A4083A" w:rsidRPr="002368EE" w:rsidTr="00A41CAB">
        <w:trPr>
          <w:trHeight w:val="315"/>
        </w:trPr>
        <w:tc>
          <w:tcPr>
            <w:tcW w:w="2080"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left"/>
              <w:rPr>
                <w:rFonts w:eastAsia="Times New Roman"/>
                <w:color w:val="000000"/>
                <w:szCs w:val="24"/>
                <w:lang w:eastAsia="cs-CZ"/>
              </w:rPr>
            </w:pPr>
            <w:r w:rsidRPr="002368EE">
              <w:rPr>
                <w:rFonts w:eastAsia="Times New Roman"/>
                <w:color w:val="000000"/>
                <w:szCs w:val="24"/>
                <w:lang w:eastAsia="cs-CZ"/>
              </w:rPr>
              <w:t>KS Hr. Králové</w:t>
            </w:r>
          </w:p>
        </w:tc>
        <w:tc>
          <w:tcPr>
            <w:tcW w:w="843"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25</w:t>
            </w:r>
          </w:p>
        </w:tc>
        <w:tc>
          <w:tcPr>
            <w:tcW w:w="542"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6</w:t>
            </w:r>
          </w:p>
        </w:tc>
        <w:tc>
          <w:tcPr>
            <w:tcW w:w="598"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17</w:t>
            </w:r>
          </w:p>
        </w:tc>
        <w:tc>
          <w:tcPr>
            <w:tcW w:w="627"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25</w:t>
            </w:r>
          </w:p>
        </w:tc>
        <w:tc>
          <w:tcPr>
            <w:tcW w:w="613"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13</w:t>
            </w:r>
          </w:p>
        </w:tc>
        <w:tc>
          <w:tcPr>
            <w:tcW w:w="598"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51</w:t>
            </w:r>
          </w:p>
        </w:tc>
        <w:tc>
          <w:tcPr>
            <w:tcW w:w="1380"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b/>
                <w:bCs/>
                <w:color w:val="000000"/>
                <w:szCs w:val="24"/>
                <w:lang w:eastAsia="cs-CZ"/>
              </w:rPr>
            </w:pPr>
            <w:r w:rsidRPr="002368EE">
              <w:rPr>
                <w:rFonts w:eastAsia="Times New Roman"/>
                <w:b/>
                <w:bCs/>
                <w:color w:val="000000"/>
                <w:szCs w:val="24"/>
                <w:lang w:eastAsia="cs-CZ"/>
              </w:rPr>
              <w:t>137</w:t>
            </w:r>
          </w:p>
        </w:tc>
      </w:tr>
      <w:tr w:rsidR="00A4083A" w:rsidRPr="002368EE" w:rsidTr="00A41CAB">
        <w:trPr>
          <w:trHeight w:val="315"/>
        </w:trPr>
        <w:tc>
          <w:tcPr>
            <w:tcW w:w="2080"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left"/>
              <w:rPr>
                <w:rFonts w:eastAsia="Times New Roman"/>
                <w:color w:val="000000"/>
                <w:szCs w:val="24"/>
                <w:lang w:eastAsia="cs-CZ"/>
              </w:rPr>
            </w:pPr>
            <w:r w:rsidRPr="002368EE">
              <w:rPr>
                <w:rFonts w:eastAsia="Times New Roman"/>
                <w:color w:val="000000"/>
                <w:szCs w:val="24"/>
                <w:lang w:eastAsia="cs-CZ"/>
              </w:rPr>
              <w:t>KS Brno</w:t>
            </w:r>
          </w:p>
        </w:tc>
        <w:tc>
          <w:tcPr>
            <w:tcW w:w="843"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45</w:t>
            </w:r>
          </w:p>
        </w:tc>
        <w:tc>
          <w:tcPr>
            <w:tcW w:w="542"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5</w:t>
            </w:r>
          </w:p>
        </w:tc>
        <w:tc>
          <w:tcPr>
            <w:tcW w:w="598"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61</w:t>
            </w:r>
          </w:p>
        </w:tc>
        <w:tc>
          <w:tcPr>
            <w:tcW w:w="627"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66</w:t>
            </w:r>
          </w:p>
        </w:tc>
        <w:tc>
          <w:tcPr>
            <w:tcW w:w="613"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17</w:t>
            </w:r>
          </w:p>
        </w:tc>
        <w:tc>
          <w:tcPr>
            <w:tcW w:w="598"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80</w:t>
            </w:r>
          </w:p>
        </w:tc>
        <w:tc>
          <w:tcPr>
            <w:tcW w:w="1380" w:type="dxa"/>
            <w:tcBorders>
              <w:top w:val="nil"/>
              <w:left w:val="nil"/>
              <w:bottom w:val="single" w:sz="4"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b/>
                <w:bCs/>
                <w:color w:val="000000"/>
                <w:szCs w:val="24"/>
                <w:lang w:eastAsia="cs-CZ"/>
              </w:rPr>
            </w:pPr>
            <w:r w:rsidRPr="002368EE">
              <w:rPr>
                <w:rFonts w:eastAsia="Times New Roman"/>
                <w:b/>
                <w:bCs/>
                <w:color w:val="000000"/>
                <w:szCs w:val="24"/>
                <w:lang w:eastAsia="cs-CZ"/>
              </w:rPr>
              <w:t>274</w:t>
            </w:r>
          </w:p>
        </w:tc>
      </w:tr>
      <w:tr w:rsidR="00A4083A" w:rsidRPr="002368EE" w:rsidTr="00A41CAB">
        <w:trPr>
          <w:trHeight w:val="330"/>
        </w:trPr>
        <w:tc>
          <w:tcPr>
            <w:tcW w:w="2080" w:type="dxa"/>
            <w:tcBorders>
              <w:top w:val="nil"/>
              <w:left w:val="nil"/>
              <w:bottom w:val="double" w:sz="6" w:space="0" w:color="auto"/>
              <w:right w:val="nil"/>
            </w:tcBorders>
            <w:shd w:val="clear" w:color="auto" w:fill="auto"/>
            <w:noWrap/>
            <w:vAlign w:val="bottom"/>
            <w:hideMark/>
          </w:tcPr>
          <w:p w:rsidR="00A4083A" w:rsidRPr="002368EE" w:rsidRDefault="00A4083A" w:rsidP="00A41CAB">
            <w:pPr>
              <w:spacing w:line="240" w:lineRule="auto"/>
              <w:jc w:val="left"/>
              <w:rPr>
                <w:rFonts w:eastAsia="Times New Roman"/>
                <w:color w:val="000000"/>
                <w:szCs w:val="24"/>
                <w:lang w:eastAsia="cs-CZ"/>
              </w:rPr>
            </w:pPr>
            <w:r w:rsidRPr="002368EE">
              <w:rPr>
                <w:rFonts w:eastAsia="Times New Roman"/>
                <w:color w:val="000000"/>
                <w:szCs w:val="24"/>
                <w:lang w:eastAsia="cs-CZ"/>
              </w:rPr>
              <w:t>KS Ostrava</w:t>
            </w:r>
          </w:p>
        </w:tc>
        <w:tc>
          <w:tcPr>
            <w:tcW w:w="843" w:type="dxa"/>
            <w:tcBorders>
              <w:top w:val="nil"/>
              <w:left w:val="nil"/>
              <w:bottom w:val="double" w:sz="6"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46</w:t>
            </w:r>
          </w:p>
        </w:tc>
        <w:tc>
          <w:tcPr>
            <w:tcW w:w="542" w:type="dxa"/>
            <w:tcBorders>
              <w:top w:val="nil"/>
              <w:left w:val="nil"/>
              <w:bottom w:val="double" w:sz="6"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15</w:t>
            </w:r>
          </w:p>
        </w:tc>
        <w:tc>
          <w:tcPr>
            <w:tcW w:w="598" w:type="dxa"/>
            <w:tcBorders>
              <w:top w:val="nil"/>
              <w:left w:val="nil"/>
              <w:bottom w:val="double" w:sz="6"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46</w:t>
            </w:r>
          </w:p>
        </w:tc>
        <w:tc>
          <w:tcPr>
            <w:tcW w:w="627" w:type="dxa"/>
            <w:tcBorders>
              <w:top w:val="nil"/>
              <w:left w:val="nil"/>
              <w:bottom w:val="double" w:sz="6"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85</w:t>
            </w:r>
          </w:p>
        </w:tc>
        <w:tc>
          <w:tcPr>
            <w:tcW w:w="613" w:type="dxa"/>
            <w:tcBorders>
              <w:top w:val="nil"/>
              <w:left w:val="nil"/>
              <w:bottom w:val="double" w:sz="6"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27</w:t>
            </w:r>
          </w:p>
        </w:tc>
        <w:tc>
          <w:tcPr>
            <w:tcW w:w="598" w:type="dxa"/>
            <w:tcBorders>
              <w:top w:val="nil"/>
              <w:left w:val="nil"/>
              <w:bottom w:val="double" w:sz="6"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color w:val="000000"/>
                <w:szCs w:val="24"/>
                <w:lang w:eastAsia="cs-CZ"/>
              </w:rPr>
            </w:pPr>
            <w:r w:rsidRPr="002368EE">
              <w:rPr>
                <w:rFonts w:eastAsia="Times New Roman"/>
                <w:color w:val="000000"/>
                <w:szCs w:val="24"/>
                <w:lang w:eastAsia="cs-CZ"/>
              </w:rPr>
              <w:t>77</w:t>
            </w:r>
          </w:p>
        </w:tc>
        <w:tc>
          <w:tcPr>
            <w:tcW w:w="1380" w:type="dxa"/>
            <w:tcBorders>
              <w:top w:val="nil"/>
              <w:left w:val="nil"/>
              <w:bottom w:val="nil"/>
              <w:right w:val="nil"/>
            </w:tcBorders>
            <w:shd w:val="clear" w:color="auto" w:fill="auto"/>
            <w:noWrap/>
            <w:vAlign w:val="bottom"/>
            <w:hideMark/>
          </w:tcPr>
          <w:p w:rsidR="00A4083A" w:rsidRPr="002368EE" w:rsidRDefault="00A4083A" w:rsidP="00A41CAB">
            <w:pPr>
              <w:spacing w:line="240" w:lineRule="auto"/>
              <w:jc w:val="center"/>
              <w:rPr>
                <w:rFonts w:eastAsia="Times New Roman"/>
                <w:b/>
                <w:bCs/>
                <w:color w:val="000000"/>
                <w:szCs w:val="24"/>
                <w:lang w:eastAsia="cs-CZ"/>
              </w:rPr>
            </w:pPr>
            <w:r w:rsidRPr="002368EE">
              <w:rPr>
                <w:rFonts w:eastAsia="Times New Roman"/>
                <w:b/>
                <w:bCs/>
                <w:color w:val="000000"/>
                <w:szCs w:val="24"/>
                <w:lang w:eastAsia="cs-CZ"/>
              </w:rPr>
              <w:t>296</w:t>
            </w:r>
          </w:p>
        </w:tc>
      </w:tr>
      <w:tr w:rsidR="00A4083A" w:rsidRPr="002368EE" w:rsidTr="00A41CAB">
        <w:trPr>
          <w:trHeight w:val="345"/>
        </w:trPr>
        <w:tc>
          <w:tcPr>
            <w:tcW w:w="2080" w:type="dxa"/>
            <w:tcBorders>
              <w:top w:val="nil"/>
              <w:left w:val="nil"/>
              <w:bottom w:val="double" w:sz="6" w:space="0" w:color="auto"/>
              <w:right w:val="nil"/>
            </w:tcBorders>
            <w:shd w:val="clear" w:color="auto" w:fill="auto"/>
            <w:noWrap/>
            <w:vAlign w:val="bottom"/>
            <w:hideMark/>
          </w:tcPr>
          <w:p w:rsidR="00A4083A" w:rsidRPr="002368EE" w:rsidRDefault="00A4083A" w:rsidP="00A41CAB">
            <w:pPr>
              <w:spacing w:line="240" w:lineRule="auto"/>
              <w:jc w:val="left"/>
              <w:rPr>
                <w:rFonts w:eastAsia="Times New Roman"/>
                <w:b/>
                <w:bCs/>
                <w:color w:val="000000"/>
                <w:szCs w:val="24"/>
                <w:lang w:eastAsia="cs-CZ"/>
              </w:rPr>
            </w:pPr>
            <w:r w:rsidRPr="002368EE">
              <w:rPr>
                <w:rFonts w:eastAsia="Times New Roman"/>
                <w:b/>
                <w:bCs/>
                <w:color w:val="000000"/>
                <w:szCs w:val="24"/>
                <w:lang w:eastAsia="cs-CZ"/>
              </w:rPr>
              <w:t>Celkem ČR</w:t>
            </w:r>
          </w:p>
        </w:tc>
        <w:tc>
          <w:tcPr>
            <w:tcW w:w="843" w:type="dxa"/>
            <w:tcBorders>
              <w:top w:val="nil"/>
              <w:left w:val="nil"/>
              <w:bottom w:val="double" w:sz="6"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b/>
                <w:bCs/>
                <w:color w:val="000000"/>
                <w:szCs w:val="24"/>
                <w:lang w:eastAsia="cs-CZ"/>
              </w:rPr>
            </w:pPr>
            <w:r w:rsidRPr="002368EE">
              <w:rPr>
                <w:rFonts w:eastAsia="Times New Roman"/>
                <w:b/>
                <w:bCs/>
                <w:color w:val="000000"/>
                <w:szCs w:val="24"/>
                <w:lang w:eastAsia="cs-CZ"/>
              </w:rPr>
              <w:t>263</w:t>
            </w:r>
          </w:p>
        </w:tc>
        <w:tc>
          <w:tcPr>
            <w:tcW w:w="542" w:type="dxa"/>
            <w:tcBorders>
              <w:top w:val="nil"/>
              <w:left w:val="nil"/>
              <w:bottom w:val="double" w:sz="6"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b/>
                <w:bCs/>
                <w:color w:val="000000"/>
                <w:szCs w:val="24"/>
                <w:lang w:eastAsia="cs-CZ"/>
              </w:rPr>
            </w:pPr>
            <w:r w:rsidRPr="002368EE">
              <w:rPr>
                <w:rFonts w:eastAsia="Times New Roman"/>
                <w:b/>
                <w:bCs/>
                <w:color w:val="000000"/>
                <w:szCs w:val="24"/>
                <w:lang w:eastAsia="cs-CZ"/>
              </w:rPr>
              <w:t>98</w:t>
            </w:r>
          </w:p>
        </w:tc>
        <w:tc>
          <w:tcPr>
            <w:tcW w:w="598" w:type="dxa"/>
            <w:tcBorders>
              <w:top w:val="nil"/>
              <w:left w:val="nil"/>
              <w:bottom w:val="double" w:sz="6"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b/>
                <w:bCs/>
                <w:color w:val="000000"/>
                <w:szCs w:val="24"/>
                <w:lang w:eastAsia="cs-CZ"/>
              </w:rPr>
            </w:pPr>
            <w:r w:rsidRPr="002368EE">
              <w:rPr>
                <w:rFonts w:eastAsia="Times New Roman"/>
                <w:b/>
                <w:bCs/>
                <w:color w:val="000000"/>
                <w:szCs w:val="24"/>
                <w:lang w:eastAsia="cs-CZ"/>
              </w:rPr>
              <w:t>331</w:t>
            </w:r>
          </w:p>
        </w:tc>
        <w:tc>
          <w:tcPr>
            <w:tcW w:w="627" w:type="dxa"/>
            <w:tcBorders>
              <w:top w:val="nil"/>
              <w:left w:val="nil"/>
              <w:bottom w:val="double" w:sz="6"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b/>
                <w:bCs/>
                <w:color w:val="000000"/>
                <w:szCs w:val="24"/>
                <w:lang w:eastAsia="cs-CZ"/>
              </w:rPr>
            </w:pPr>
            <w:r w:rsidRPr="002368EE">
              <w:rPr>
                <w:rFonts w:eastAsia="Times New Roman"/>
                <w:b/>
                <w:bCs/>
                <w:color w:val="000000"/>
                <w:szCs w:val="24"/>
                <w:lang w:eastAsia="cs-CZ"/>
              </w:rPr>
              <w:t>438</w:t>
            </w:r>
          </w:p>
        </w:tc>
        <w:tc>
          <w:tcPr>
            <w:tcW w:w="613" w:type="dxa"/>
            <w:tcBorders>
              <w:top w:val="nil"/>
              <w:left w:val="nil"/>
              <w:bottom w:val="double" w:sz="6"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b/>
                <w:bCs/>
                <w:color w:val="000000"/>
                <w:szCs w:val="24"/>
                <w:lang w:eastAsia="cs-CZ"/>
              </w:rPr>
            </w:pPr>
            <w:r w:rsidRPr="002368EE">
              <w:rPr>
                <w:rFonts w:eastAsia="Times New Roman"/>
                <w:b/>
                <w:bCs/>
                <w:color w:val="000000"/>
                <w:szCs w:val="24"/>
                <w:lang w:eastAsia="cs-CZ"/>
              </w:rPr>
              <w:t>133</w:t>
            </w:r>
          </w:p>
        </w:tc>
        <w:tc>
          <w:tcPr>
            <w:tcW w:w="598" w:type="dxa"/>
            <w:tcBorders>
              <w:top w:val="nil"/>
              <w:left w:val="nil"/>
              <w:bottom w:val="double" w:sz="6"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b/>
                <w:bCs/>
                <w:color w:val="000000"/>
                <w:szCs w:val="24"/>
                <w:lang w:eastAsia="cs-CZ"/>
              </w:rPr>
            </w:pPr>
            <w:r w:rsidRPr="002368EE">
              <w:rPr>
                <w:rFonts w:eastAsia="Times New Roman"/>
                <w:b/>
                <w:bCs/>
                <w:color w:val="000000"/>
                <w:szCs w:val="24"/>
                <w:lang w:eastAsia="cs-CZ"/>
              </w:rPr>
              <w:t>418</w:t>
            </w:r>
          </w:p>
        </w:tc>
        <w:tc>
          <w:tcPr>
            <w:tcW w:w="1380" w:type="dxa"/>
            <w:tcBorders>
              <w:top w:val="double" w:sz="6" w:space="0" w:color="auto"/>
              <w:left w:val="nil"/>
              <w:bottom w:val="double" w:sz="6" w:space="0" w:color="auto"/>
              <w:right w:val="nil"/>
            </w:tcBorders>
            <w:shd w:val="clear" w:color="auto" w:fill="auto"/>
            <w:noWrap/>
            <w:vAlign w:val="bottom"/>
            <w:hideMark/>
          </w:tcPr>
          <w:p w:rsidR="00A4083A" w:rsidRPr="002368EE" w:rsidRDefault="00A4083A" w:rsidP="00A41CAB">
            <w:pPr>
              <w:spacing w:line="240" w:lineRule="auto"/>
              <w:jc w:val="center"/>
              <w:rPr>
                <w:rFonts w:eastAsia="Times New Roman"/>
                <w:b/>
                <w:bCs/>
                <w:color w:val="000000"/>
                <w:szCs w:val="24"/>
                <w:lang w:eastAsia="cs-CZ"/>
              </w:rPr>
            </w:pPr>
            <w:r w:rsidRPr="002368EE">
              <w:rPr>
                <w:rFonts w:eastAsia="Times New Roman"/>
                <w:b/>
                <w:bCs/>
                <w:color w:val="000000"/>
                <w:szCs w:val="24"/>
                <w:lang w:eastAsia="cs-CZ"/>
              </w:rPr>
              <w:t>1</w:t>
            </w:r>
            <w:r w:rsidR="006C7321">
              <w:rPr>
                <w:rFonts w:eastAsia="Times New Roman"/>
                <w:b/>
                <w:bCs/>
                <w:color w:val="000000"/>
                <w:szCs w:val="24"/>
                <w:lang w:eastAsia="cs-CZ"/>
              </w:rPr>
              <w:t xml:space="preserve"> </w:t>
            </w:r>
            <w:r w:rsidRPr="002368EE">
              <w:rPr>
                <w:rFonts w:eastAsia="Times New Roman"/>
                <w:b/>
                <w:bCs/>
                <w:color w:val="000000"/>
                <w:szCs w:val="24"/>
                <w:lang w:eastAsia="cs-CZ"/>
              </w:rPr>
              <w:t>681</w:t>
            </w:r>
          </w:p>
        </w:tc>
      </w:tr>
    </w:tbl>
    <w:p w:rsidR="00A4083A" w:rsidRPr="00D17312" w:rsidRDefault="00A4083A" w:rsidP="00A4083A"/>
    <w:p w:rsidR="00A4083A" w:rsidRPr="00D17312" w:rsidRDefault="00A4083A" w:rsidP="00A4083A">
      <w:pPr>
        <w:pStyle w:val="OdstavecASR"/>
      </w:pPr>
      <w:r w:rsidRPr="00D17312">
        <w:t>Opět platí, že počet zaměstnanců ve výkonu se odvíjí od systemizace zaměstnanců ve výkonu, personální politiky soudů a situace na trhu práce. U krajských soudů je počet zaměstnanců ve výkonu v poměru k počtu soudců nižší než u okresních soudů. To je důsledkem rozdílnosti zpracovávaných agend (méně jednodušší práce, kterou lze delegovat na nesoudcovský personál). Po skokovém posílení jejich stavu o 101 zaměstnance v roce 2017 došlo ke stabilizaci počtů v roce 2018. Z 1 531 v roce 2016 vzrostl počet zaměstnanců ve výkonu na 1 632, tedy asi o 7</w:t>
      </w:r>
      <w:r>
        <w:t> %</w:t>
      </w:r>
      <w:r w:rsidRPr="00D17312">
        <w:t>, a v roce 2018 již pouze o 12 osob. Jestliže tedy v roce 2017 byl v zásadě celý růst dán růstem počtu asistentů z 228 na 326, potom v roce 2018 docházelo zejména k přesunům mezi f</w:t>
      </w:r>
      <w:r>
        <w:t>unkcemi v rámci krajských soudů.</w:t>
      </w:r>
    </w:p>
    <w:p w:rsidR="00A4083A" w:rsidRPr="00D17312" w:rsidRDefault="00A4083A" w:rsidP="00A4083A">
      <w:pPr>
        <w:pStyle w:val="Nadpis3"/>
        <w:rPr>
          <w:color w:val="auto"/>
        </w:rPr>
      </w:pPr>
      <w:bookmarkStart w:id="339" w:name="_Toc43903052"/>
      <w:r w:rsidRPr="00D17312">
        <w:rPr>
          <w:color w:val="auto"/>
        </w:rPr>
        <w:t>Přísedící soudu</w:t>
      </w:r>
      <w:bookmarkEnd w:id="339"/>
    </w:p>
    <w:p w:rsidR="00A4083A" w:rsidRDefault="00A4083A" w:rsidP="00A4083A">
      <w:r w:rsidRPr="00D17312">
        <w:t xml:space="preserve">V letošním roce jsou k dispozici počty přísedících dle krajů, pohlaví a věku, což umožňuje jejich bližší prozkoumání jako u okresních, tak i u krajských soudů. U krajských soudů přísedící rozhodují v prvostupňovém řízení o trestném činu, na který zákon stanoví trest odnětí svobody, jehož dolní hranice je minimálně pět let (což jsou u krajských soudů v podstatě všechna řízení). Na rozdíl od ostatních dat v této kapitole jsou </w:t>
      </w:r>
      <w:r>
        <w:t xml:space="preserve">údaje </w:t>
      </w:r>
      <w:r w:rsidRPr="00D17312">
        <w:t>k 1. 1. 2020.</w:t>
      </w:r>
    </w:p>
    <w:p w:rsidR="00A4083A" w:rsidRPr="00D17312" w:rsidRDefault="00A4083A" w:rsidP="00A4083A">
      <w:pPr>
        <w:pStyle w:val="Podnadpis"/>
        <w:rPr>
          <w:color w:val="auto"/>
        </w:rPr>
      </w:pPr>
      <w:bookmarkStart w:id="340" w:name="_Toc43931211"/>
      <w:r w:rsidRPr="00D17312">
        <w:rPr>
          <w:color w:val="auto"/>
        </w:rPr>
        <w:t xml:space="preserve">Tabulka </w:t>
      </w:r>
      <w:r w:rsidRPr="00D17312">
        <w:rPr>
          <w:noProof/>
          <w:color w:val="auto"/>
        </w:rPr>
        <w:fldChar w:fldCharType="begin"/>
      </w:r>
      <w:r w:rsidRPr="00D17312">
        <w:rPr>
          <w:noProof/>
          <w:color w:val="auto"/>
        </w:rPr>
        <w:instrText xml:space="preserve"> SEQ Tabulka \* ARABIC </w:instrText>
      </w:r>
      <w:r w:rsidRPr="00D17312">
        <w:rPr>
          <w:noProof/>
          <w:color w:val="auto"/>
        </w:rPr>
        <w:fldChar w:fldCharType="separate"/>
      </w:r>
      <w:r w:rsidR="006E7F27">
        <w:rPr>
          <w:noProof/>
          <w:color w:val="auto"/>
        </w:rPr>
        <w:t>38</w:t>
      </w:r>
      <w:r w:rsidRPr="00D17312">
        <w:rPr>
          <w:noProof/>
          <w:color w:val="auto"/>
        </w:rPr>
        <w:fldChar w:fldCharType="end"/>
      </w:r>
      <w:r w:rsidRPr="00D17312">
        <w:rPr>
          <w:color w:val="auto"/>
        </w:rPr>
        <w:t>: KS – počet přísedících dle soudů a pohlaví</w:t>
      </w:r>
      <w:bookmarkEnd w:id="340"/>
    </w:p>
    <w:tbl>
      <w:tblPr>
        <w:tblW w:w="6540" w:type="dxa"/>
        <w:tblCellMar>
          <w:left w:w="70" w:type="dxa"/>
          <w:right w:w="70" w:type="dxa"/>
        </w:tblCellMar>
        <w:tblLook w:val="04A0" w:firstRow="1" w:lastRow="0" w:firstColumn="1" w:lastColumn="0" w:noHBand="0" w:noVBand="1"/>
      </w:tblPr>
      <w:tblGrid>
        <w:gridCol w:w="2220"/>
        <w:gridCol w:w="1914"/>
        <w:gridCol w:w="1326"/>
        <w:gridCol w:w="1080"/>
      </w:tblGrid>
      <w:tr w:rsidR="00A4083A" w:rsidRPr="00D17312" w:rsidTr="00A41CAB">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3240" w:type="dxa"/>
            <w:gridSpan w:val="2"/>
            <w:tcBorders>
              <w:top w:val="double" w:sz="6" w:space="0" w:color="auto"/>
              <w:left w:val="nil"/>
              <w:bottom w:val="nil"/>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přísedících</w:t>
            </w:r>
          </w:p>
        </w:tc>
        <w:tc>
          <w:tcPr>
            <w:tcW w:w="1080" w:type="dxa"/>
            <w:vMerge w:val="restart"/>
            <w:tcBorders>
              <w:top w:val="double" w:sz="6" w:space="0" w:color="auto"/>
              <w:left w:val="nil"/>
              <w:bottom w:val="double" w:sz="6" w:space="0" w:color="000000"/>
              <w:right w:val="nil"/>
            </w:tcBorders>
            <w:shd w:val="clear" w:color="auto" w:fill="auto"/>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Podíl žen v</w:t>
            </w:r>
            <w:r>
              <w:rPr>
                <w:rFonts w:eastAsia="Times New Roman"/>
                <w:b/>
                <w:bCs/>
                <w:szCs w:val="24"/>
                <w:lang w:eastAsia="cs-CZ"/>
              </w:rPr>
              <w:t> %</w:t>
            </w:r>
          </w:p>
        </w:tc>
      </w:tr>
      <w:tr w:rsidR="00A4083A" w:rsidRPr="00D17312" w:rsidTr="00A41CAB">
        <w:trPr>
          <w:trHeight w:val="330"/>
        </w:trPr>
        <w:tc>
          <w:tcPr>
            <w:tcW w:w="222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914"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Mužů</w:t>
            </w:r>
          </w:p>
        </w:tc>
        <w:tc>
          <w:tcPr>
            <w:tcW w:w="132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Žen</w:t>
            </w:r>
          </w:p>
        </w:tc>
        <w:tc>
          <w:tcPr>
            <w:tcW w:w="10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r>
      <w:tr w:rsidR="00A4083A" w:rsidRPr="00D17312" w:rsidTr="00A41CAB">
        <w:trPr>
          <w:trHeight w:val="330"/>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91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122</w:t>
            </w:r>
          </w:p>
        </w:tc>
        <w:tc>
          <w:tcPr>
            <w:tcW w:w="132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118</w:t>
            </w:r>
          </w:p>
        </w:tc>
        <w:tc>
          <w:tcPr>
            <w:tcW w:w="10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49,17</w:t>
            </w:r>
          </w:p>
        </w:tc>
      </w:tr>
      <w:tr w:rsidR="00A4083A" w:rsidRPr="00D17312"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91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39</w:t>
            </w:r>
          </w:p>
        </w:tc>
        <w:tc>
          <w:tcPr>
            <w:tcW w:w="132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41</w:t>
            </w:r>
          </w:p>
        </w:tc>
        <w:tc>
          <w:tcPr>
            <w:tcW w:w="10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51,25</w:t>
            </w:r>
          </w:p>
        </w:tc>
      </w:tr>
      <w:tr w:rsidR="00A4083A" w:rsidRPr="00D17312"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91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w:t>
            </w:r>
          </w:p>
        </w:tc>
        <w:tc>
          <w:tcPr>
            <w:tcW w:w="132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w:t>
            </w:r>
          </w:p>
        </w:tc>
        <w:tc>
          <w:tcPr>
            <w:tcW w:w="10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58,06</w:t>
            </w:r>
          </w:p>
        </w:tc>
      </w:tr>
      <w:tr w:rsidR="00A4083A" w:rsidRPr="00D17312"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91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32</w:t>
            </w:r>
          </w:p>
        </w:tc>
        <w:tc>
          <w:tcPr>
            <w:tcW w:w="132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33</w:t>
            </w:r>
          </w:p>
        </w:tc>
        <w:tc>
          <w:tcPr>
            <w:tcW w:w="10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50,77</w:t>
            </w:r>
          </w:p>
        </w:tc>
      </w:tr>
      <w:tr w:rsidR="00A4083A" w:rsidRPr="00D17312"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91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w:t>
            </w:r>
          </w:p>
        </w:tc>
        <w:tc>
          <w:tcPr>
            <w:tcW w:w="132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25</w:t>
            </w:r>
          </w:p>
        </w:tc>
        <w:tc>
          <w:tcPr>
            <w:tcW w:w="10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71,43</w:t>
            </w:r>
          </w:p>
        </w:tc>
      </w:tr>
      <w:tr w:rsidR="00A4083A" w:rsidRPr="00D17312"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91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35</w:t>
            </w:r>
          </w:p>
        </w:tc>
        <w:tc>
          <w:tcPr>
            <w:tcW w:w="132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34</w:t>
            </w:r>
          </w:p>
        </w:tc>
        <w:tc>
          <w:tcPr>
            <w:tcW w:w="10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49,28</w:t>
            </w:r>
          </w:p>
        </w:tc>
      </w:tr>
      <w:tr w:rsidR="00A4083A" w:rsidRPr="00D17312"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91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77</w:t>
            </w:r>
          </w:p>
        </w:tc>
        <w:tc>
          <w:tcPr>
            <w:tcW w:w="132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86</w:t>
            </w:r>
          </w:p>
        </w:tc>
        <w:tc>
          <w:tcPr>
            <w:tcW w:w="10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52,76</w:t>
            </w:r>
          </w:p>
        </w:tc>
      </w:tr>
      <w:tr w:rsidR="00A4083A" w:rsidRPr="00D17312" w:rsidTr="00A41CAB">
        <w:trPr>
          <w:trHeight w:val="330"/>
        </w:trPr>
        <w:tc>
          <w:tcPr>
            <w:tcW w:w="22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914"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91</w:t>
            </w:r>
          </w:p>
        </w:tc>
        <w:tc>
          <w:tcPr>
            <w:tcW w:w="132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113</w:t>
            </w:r>
          </w:p>
        </w:tc>
        <w:tc>
          <w:tcPr>
            <w:tcW w:w="10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55,39</w:t>
            </w:r>
          </w:p>
        </w:tc>
      </w:tr>
      <w:tr w:rsidR="00A4083A" w:rsidRPr="00D17312" w:rsidTr="00A41CAB">
        <w:trPr>
          <w:trHeight w:val="345"/>
        </w:trPr>
        <w:tc>
          <w:tcPr>
            <w:tcW w:w="22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914"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419</w:t>
            </w:r>
          </w:p>
        </w:tc>
        <w:tc>
          <w:tcPr>
            <w:tcW w:w="132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468</w:t>
            </w:r>
          </w:p>
        </w:tc>
        <w:tc>
          <w:tcPr>
            <w:tcW w:w="10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52,76</w:t>
            </w:r>
          </w:p>
        </w:tc>
      </w:tr>
    </w:tbl>
    <w:p w:rsidR="00A4083A" w:rsidRPr="00D17312" w:rsidRDefault="00A4083A" w:rsidP="00A4083A">
      <w:r w:rsidRPr="00D17312">
        <w:lastRenderedPageBreak/>
        <w:t>V tabulce však na první pohled rozhodně zaujme srovnání s okresními soudy. Podíl mužů, kteří působí jako přísedící, je totiž u krajských soudů výrazně vyšší. U dvou soudů dokonce působí více mužů než žen (MS Praha a KS Hradec Králové). Přísedících je mnohem méně než u OS, neboť počet věcí, které vyřizují, je násobně menší, i když agenda KS je náročnější.</w:t>
      </w:r>
    </w:p>
    <w:p w:rsidR="00A4083A" w:rsidRPr="00D17312" w:rsidRDefault="00A4083A" w:rsidP="00A4083A">
      <w:r w:rsidRPr="00D17312">
        <w:t>Další tabulka se (stejně jako u OS) zabývá věkovou strukturou. Zatímco struktura dle pohlaví se liší, věková struktura přísedících u OS a přísedících u KS je podobná. U KS je funkce přísedícího rovněž mnohem populárnější u vyšších věkových skupin. 59</w:t>
      </w:r>
      <w:r>
        <w:t> % </w:t>
      </w:r>
      <w:r w:rsidRPr="00D17312">
        <w:t>(u OS 63</w:t>
      </w:r>
      <w:r>
        <w:t> %</w:t>
      </w:r>
      <w:r w:rsidRPr="00D17312">
        <w:t>) přísedících tvoří lidé ve věku 60 let a více, tedy ve většině případů v důchodovém věku. Naopak přísedících ve věku do 39 let tvoří pouze 5,41</w:t>
      </w:r>
      <w:r>
        <w:t> % </w:t>
      </w:r>
      <w:r w:rsidRPr="00D17312">
        <w:t>(u OS 4,32</w:t>
      </w:r>
      <w:r>
        <w:t> %</w:t>
      </w:r>
      <w:r w:rsidRPr="00D17312">
        <w:t>). V průměru nejstarší jsou, stejně jako u OS, přísedící v Jihočeském kraji. V tomto kraji ale působí u KS pouze 15 přísedících.</w:t>
      </w:r>
    </w:p>
    <w:p w:rsidR="00A4083A" w:rsidRPr="00D17312" w:rsidRDefault="00A4083A" w:rsidP="00A4083A">
      <w:pPr>
        <w:pStyle w:val="Podnadpis"/>
        <w:rPr>
          <w:color w:val="auto"/>
        </w:rPr>
      </w:pPr>
      <w:bookmarkStart w:id="341" w:name="_Toc43931212"/>
      <w:r w:rsidRPr="00D17312">
        <w:rPr>
          <w:color w:val="auto"/>
        </w:rPr>
        <w:t xml:space="preserve">Tabulka </w:t>
      </w:r>
      <w:r w:rsidRPr="00D17312">
        <w:rPr>
          <w:noProof/>
          <w:color w:val="auto"/>
        </w:rPr>
        <w:fldChar w:fldCharType="begin"/>
      </w:r>
      <w:r w:rsidRPr="00D17312">
        <w:rPr>
          <w:noProof/>
          <w:color w:val="auto"/>
        </w:rPr>
        <w:instrText xml:space="preserve"> SEQ Tabulka \* ARABIC </w:instrText>
      </w:r>
      <w:r w:rsidRPr="00D17312">
        <w:rPr>
          <w:noProof/>
          <w:color w:val="auto"/>
        </w:rPr>
        <w:fldChar w:fldCharType="separate"/>
      </w:r>
      <w:r w:rsidR="006E7F27">
        <w:rPr>
          <w:noProof/>
          <w:color w:val="auto"/>
        </w:rPr>
        <w:t>39</w:t>
      </w:r>
      <w:r w:rsidRPr="00D17312">
        <w:rPr>
          <w:noProof/>
          <w:color w:val="auto"/>
        </w:rPr>
        <w:fldChar w:fldCharType="end"/>
      </w:r>
      <w:r w:rsidRPr="00D17312">
        <w:rPr>
          <w:color w:val="auto"/>
        </w:rPr>
        <w:t>: KS – počet přísedících dle soudů a věku</w:t>
      </w:r>
      <w:bookmarkEnd w:id="341"/>
    </w:p>
    <w:tbl>
      <w:tblPr>
        <w:tblW w:w="7620" w:type="dxa"/>
        <w:tblCellMar>
          <w:left w:w="70" w:type="dxa"/>
          <w:right w:w="70" w:type="dxa"/>
        </w:tblCellMar>
        <w:tblLook w:val="04A0" w:firstRow="1" w:lastRow="0" w:firstColumn="1" w:lastColumn="0" w:noHBand="0" w:noVBand="1"/>
      </w:tblPr>
      <w:tblGrid>
        <w:gridCol w:w="2220"/>
        <w:gridCol w:w="1136"/>
        <w:gridCol w:w="944"/>
        <w:gridCol w:w="943"/>
        <w:gridCol w:w="943"/>
        <w:gridCol w:w="1434"/>
      </w:tblGrid>
      <w:tr w:rsidR="00A4083A" w:rsidRPr="00D17312" w:rsidTr="00A41CAB">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5400" w:type="dxa"/>
            <w:gridSpan w:val="5"/>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Věková skupina</w:t>
            </w:r>
          </w:p>
        </w:tc>
      </w:tr>
      <w:tr w:rsidR="00A4083A" w:rsidRPr="00D17312" w:rsidTr="00A41CAB">
        <w:trPr>
          <w:trHeight w:val="330"/>
        </w:trPr>
        <w:tc>
          <w:tcPr>
            <w:tcW w:w="222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136"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30–39</w:t>
            </w:r>
          </w:p>
        </w:tc>
        <w:tc>
          <w:tcPr>
            <w:tcW w:w="944"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40-49</w:t>
            </w:r>
          </w:p>
        </w:tc>
        <w:tc>
          <w:tcPr>
            <w:tcW w:w="943"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50-59</w:t>
            </w:r>
          </w:p>
        </w:tc>
        <w:tc>
          <w:tcPr>
            <w:tcW w:w="943"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60-69</w:t>
            </w:r>
          </w:p>
        </w:tc>
        <w:tc>
          <w:tcPr>
            <w:tcW w:w="1434"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70 a více</w:t>
            </w:r>
          </w:p>
        </w:tc>
      </w:tr>
      <w:tr w:rsidR="00A4083A" w:rsidRPr="00D17312" w:rsidTr="00A41CAB">
        <w:trPr>
          <w:trHeight w:val="330"/>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1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w:t>
            </w:r>
          </w:p>
        </w:tc>
        <w:tc>
          <w:tcPr>
            <w:tcW w:w="94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70</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45</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62</w:t>
            </w:r>
          </w:p>
        </w:tc>
        <w:tc>
          <w:tcPr>
            <w:tcW w:w="143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39</w:t>
            </w:r>
          </w:p>
        </w:tc>
      </w:tr>
      <w:tr w:rsidR="00A4083A" w:rsidRPr="00D17312"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1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w:t>
            </w:r>
          </w:p>
        </w:tc>
        <w:tc>
          <w:tcPr>
            <w:tcW w:w="94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w:t>
            </w:r>
          </w:p>
        </w:tc>
        <w:tc>
          <w:tcPr>
            <w:tcW w:w="143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28</w:t>
            </w:r>
          </w:p>
        </w:tc>
      </w:tr>
      <w:tr w:rsidR="00A4083A" w:rsidRPr="00D17312"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1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w:t>
            </w:r>
          </w:p>
        </w:tc>
        <w:tc>
          <w:tcPr>
            <w:tcW w:w="94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w:t>
            </w:r>
          </w:p>
        </w:tc>
        <w:tc>
          <w:tcPr>
            <w:tcW w:w="143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w:t>
            </w:r>
          </w:p>
        </w:tc>
      </w:tr>
      <w:tr w:rsidR="00A4083A" w:rsidRPr="00D17312"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1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w:t>
            </w:r>
          </w:p>
        </w:tc>
        <w:tc>
          <w:tcPr>
            <w:tcW w:w="94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w:t>
            </w:r>
          </w:p>
        </w:tc>
        <w:tc>
          <w:tcPr>
            <w:tcW w:w="143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28</w:t>
            </w:r>
          </w:p>
        </w:tc>
      </w:tr>
      <w:tr w:rsidR="00A4083A" w:rsidRPr="00D17312"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1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w:t>
            </w:r>
          </w:p>
        </w:tc>
        <w:tc>
          <w:tcPr>
            <w:tcW w:w="94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w:t>
            </w:r>
          </w:p>
        </w:tc>
        <w:tc>
          <w:tcPr>
            <w:tcW w:w="143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w:t>
            </w:r>
          </w:p>
        </w:tc>
      </w:tr>
      <w:tr w:rsidR="00A4083A" w:rsidRPr="00D17312"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1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w:t>
            </w:r>
          </w:p>
        </w:tc>
        <w:tc>
          <w:tcPr>
            <w:tcW w:w="94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w:t>
            </w:r>
          </w:p>
        </w:tc>
        <w:tc>
          <w:tcPr>
            <w:tcW w:w="143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25</w:t>
            </w:r>
          </w:p>
        </w:tc>
      </w:tr>
      <w:tr w:rsidR="00A4083A" w:rsidRPr="00D17312" w:rsidTr="00A41CAB">
        <w:trPr>
          <w:trHeight w:val="315"/>
        </w:trPr>
        <w:tc>
          <w:tcPr>
            <w:tcW w:w="22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1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w:t>
            </w:r>
          </w:p>
        </w:tc>
        <w:tc>
          <w:tcPr>
            <w:tcW w:w="94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39</w:t>
            </w:r>
          </w:p>
        </w:tc>
        <w:tc>
          <w:tcPr>
            <w:tcW w:w="9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59</w:t>
            </w:r>
          </w:p>
        </w:tc>
        <w:tc>
          <w:tcPr>
            <w:tcW w:w="143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43</w:t>
            </w:r>
          </w:p>
        </w:tc>
      </w:tr>
      <w:tr w:rsidR="00A4083A" w:rsidRPr="00D17312" w:rsidTr="00A41CAB">
        <w:trPr>
          <w:trHeight w:val="330"/>
        </w:trPr>
        <w:tc>
          <w:tcPr>
            <w:tcW w:w="22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13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w:t>
            </w:r>
          </w:p>
        </w:tc>
        <w:tc>
          <w:tcPr>
            <w:tcW w:w="944"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w:t>
            </w:r>
          </w:p>
        </w:tc>
        <w:tc>
          <w:tcPr>
            <w:tcW w:w="94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31</w:t>
            </w:r>
          </w:p>
        </w:tc>
        <w:tc>
          <w:tcPr>
            <w:tcW w:w="94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60</w:t>
            </w:r>
          </w:p>
        </w:tc>
        <w:tc>
          <w:tcPr>
            <w:tcW w:w="1434"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80</w:t>
            </w:r>
          </w:p>
        </w:tc>
      </w:tr>
      <w:tr w:rsidR="00A4083A" w:rsidRPr="00D17312" w:rsidTr="00A41CAB">
        <w:trPr>
          <w:trHeight w:val="345"/>
        </w:trPr>
        <w:tc>
          <w:tcPr>
            <w:tcW w:w="22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13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48</w:t>
            </w:r>
          </w:p>
        </w:tc>
        <w:tc>
          <w:tcPr>
            <w:tcW w:w="944"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154</w:t>
            </w:r>
          </w:p>
        </w:tc>
        <w:tc>
          <w:tcPr>
            <w:tcW w:w="94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162</w:t>
            </w:r>
          </w:p>
        </w:tc>
        <w:tc>
          <w:tcPr>
            <w:tcW w:w="94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262</w:t>
            </w:r>
          </w:p>
        </w:tc>
        <w:tc>
          <w:tcPr>
            <w:tcW w:w="1434"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261</w:t>
            </w:r>
          </w:p>
        </w:tc>
      </w:tr>
    </w:tbl>
    <w:p w:rsidR="00A4083A" w:rsidRPr="00D17312" w:rsidRDefault="00A4083A" w:rsidP="00A4083A"/>
    <w:p w:rsidR="00A4083A" w:rsidRPr="00D17312" w:rsidRDefault="00A4083A" w:rsidP="00A4083A"/>
    <w:p w:rsidR="00A4083A" w:rsidRPr="00D17312" w:rsidRDefault="00A4083A" w:rsidP="00A4083A">
      <w:pPr>
        <w:pStyle w:val="OdstavecASR"/>
      </w:pPr>
      <w:r w:rsidRPr="00D17312">
        <w:rPr>
          <w:highlight w:val="yellow"/>
        </w:rPr>
        <w:br w:type="page"/>
      </w:r>
    </w:p>
    <w:p w:rsidR="00A4083A" w:rsidRPr="00D17312" w:rsidRDefault="00A4083A" w:rsidP="00A4083A">
      <w:pPr>
        <w:pStyle w:val="Nadpis2"/>
      </w:pPr>
      <w:bookmarkStart w:id="342" w:name="_Toc515871248"/>
      <w:bookmarkStart w:id="343" w:name="_Toc43903053"/>
      <w:r w:rsidRPr="00D17312">
        <w:lastRenderedPageBreak/>
        <w:t>Prvostupňová civilní a obchodní agenda</w:t>
      </w:r>
      <w:bookmarkEnd w:id="342"/>
      <w:bookmarkEnd w:id="343"/>
    </w:p>
    <w:p w:rsidR="00A4083A" w:rsidRPr="00D17312" w:rsidRDefault="00A4083A" w:rsidP="00A4083A">
      <w:pPr>
        <w:pStyle w:val="OdstavecASR"/>
      </w:pPr>
      <w:r w:rsidRPr="00D17312">
        <w:t>Krajské soudy vyřizují podobně jako okresní soudy větší množství prvostupňové netrestní agendy. Na rozdíl od okresních soudů vyřizují krajské soudy s výjimkou KS Praha věci veřejných rejstříků právnických a fyzických osob. Tato podkapitola se věnuje prvostupňové civilní (občanskoprávní) a obchodní agendě. V rámci této zprávy se jedná o rejstříky označené jako C, EC, Cm a ECm. Ve vedení statistik došlo k podobným změnám jako u OS, což se do určité míry projeví i v časových řadách, a to i přes snahu data o tyto změny očistit. Data, která se týkají délek řízení a dalších statistik, byla opět v největší možné míře očištěna o rozkazní řízení.</w:t>
      </w:r>
    </w:p>
    <w:p w:rsidR="00A4083A" w:rsidRPr="00D17312" w:rsidRDefault="00A4083A" w:rsidP="00A4083A">
      <w:pPr>
        <w:pStyle w:val="Nadpis3"/>
        <w:rPr>
          <w:color w:val="auto"/>
        </w:rPr>
      </w:pPr>
      <w:bookmarkStart w:id="344" w:name="_Ref511302440"/>
      <w:bookmarkStart w:id="345" w:name="_Toc515871249"/>
      <w:bookmarkStart w:id="346" w:name="_Toc43903054"/>
      <w:r w:rsidRPr="00D17312">
        <w:rPr>
          <w:color w:val="auto"/>
        </w:rPr>
        <w:t>Délka řízení</w:t>
      </w:r>
      <w:bookmarkEnd w:id="344"/>
      <w:bookmarkEnd w:id="345"/>
      <w:bookmarkEnd w:id="346"/>
    </w:p>
    <w:p w:rsidR="00A4083A" w:rsidRPr="00D17312" w:rsidRDefault="00A4083A" w:rsidP="00A4083A">
      <w:pPr>
        <w:pStyle w:val="OdstavecASR"/>
      </w:pPr>
      <w:bookmarkStart w:id="347" w:name="_Toc515871380"/>
      <w:bookmarkStart w:id="348" w:name="_Toc11135111"/>
      <w:r w:rsidRPr="00D17312">
        <w:t xml:space="preserve">Uvádíme délky řízení v kalendářních dnech ode dne nápadu do dne konečného vyřízení soudem I. stupně zjištěné ze statistických listů. V tomto případě došlo ke změně v metodologii a data byla dále očištěna o věci s předmětem sporu </w:t>
      </w:r>
      <w:r w:rsidRPr="00D17312">
        <w:rPr>
          <w:i/>
        </w:rPr>
        <w:t>právní vztahy související se zrušením a likvidací obchodní korporace</w:t>
      </w:r>
      <w:r w:rsidRPr="00D17312">
        <w:t xml:space="preserve">. Přestože se může jednat o administrativně náročnou agendu, především v Praze se velmi často vyskytují jednoduché a rychle vyřízené věci. </w:t>
      </w:r>
      <w:r>
        <w:t>P</w:t>
      </w:r>
      <w:r w:rsidRPr="00D17312">
        <w:t xml:space="preserve">rávě u tohoto soudu </w:t>
      </w:r>
      <w:r>
        <w:t xml:space="preserve">přitom </w:t>
      </w:r>
      <w:r w:rsidRPr="00D17312">
        <w:t>došlo v roce 2017 k velkému nárůstu v počtu pravomocně skončených věcí (nárůst o 176</w:t>
      </w:r>
      <w:r>
        <w:t> %</w:t>
      </w:r>
      <w:r w:rsidRPr="00D17312">
        <w:t>)</w:t>
      </w:r>
      <w:r>
        <w:t xml:space="preserve">, což </w:t>
      </w:r>
      <w:r w:rsidRPr="00D17312">
        <w:t>samozřejmě značně ovlivňuje vykazovanou délku řízení – výrazně ji to snižuje.</w:t>
      </w:r>
      <w:r>
        <w:t xml:space="preserve"> Stejně tak má tato kategorie sporů významný vliv na míru odvolání. </w:t>
      </w:r>
      <w:r w:rsidRPr="00D17312">
        <w:t xml:space="preserve">Po úvaze </w:t>
      </w:r>
      <w:r>
        <w:t xml:space="preserve">byla proto </w:t>
      </w:r>
      <w:r w:rsidRPr="00D17312">
        <w:t>především z důvodu zachování srovnatelnosti mezi soudními kraji a roky data využit</w:t>
      </w:r>
      <w:r>
        <w:t>á</w:t>
      </w:r>
      <w:r w:rsidRPr="00D17312">
        <w:t xml:space="preserve"> v této zprávě o </w:t>
      </w:r>
      <w:r>
        <w:t>uvedený</w:t>
      </w:r>
      <w:r w:rsidRPr="00D17312">
        <w:t xml:space="preserve"> typ sporu očištěna. Ostatní změny metodiky v této zprávě údaje spíše mírně upravují a zpřesňují. Očištění dat a změny v metodice zůstaly zachovány i pro roky 2018 a 2019.</w:t>
      </w:r>
    </w:p>
    <w:p w:rsidR="00A4083A" w:rsidRPr="00D17312" w:rsidRDefault="00A4083A" w:rsidP="00A4083A">
      <w:pPr>
        <w:pStyle w:val="Podnadpis"/>
        <w:rPr>
          <w:color w:val="auto"/>
          <w:highlight w:val="yellow"/>
        </w:rPr>
      </w:pPr>
      <w:bookmarkStart w:id="349" w:name="_Toc43841430"/>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50</w:t>
      </w:r>
      <w:r w:rsidRPr="00D17312">
        <w:rPr>
          <w:noProof/>
          <w:color w:val="auto"/>
        </w:rPr>
        <w:fldChar w:fldCharType="end"/>
      </w:r>
      <w:r w:rsidRPr="00D17312">
        <w:rPr>
          <w:color w:val="auto"/>
        </w:rPr>
        <w:t>: KS – délka prvostupňového civilního řízení v letech 2008–201</w:t>
      </w:r>
      <w:bookmarkEnd w:id="347"/>
      <w:bookmarkEnd w:id="348"/>
      <w:r w:rsidRPr="00D17312">
        <w:rPr>
          <w:color w:val="auto"/>
        </w:rPr>
        <w:t>9</w:t>
      </w:r>
      <w:bookmarkEnd w:id="349"/>
    </w:p>
    <w:p w:rsidR="00A4083A" w:rsidRPr="00D17312" w:rsidRDefault="00A4083A" w:rsidP="00A4083A">
      <w:pPr>
        <w:rPr>
          <w:highlight w:val="yellow"/>
        </w:rPr>
      </w:pPr>
      <w:r w:rsidRPr="00D17312">
        <w:rPr>
          <w:noProof/>
          <w:lang w:eastAsia="cs-CZ"/>
        </w:rPr>
        <w:drawing>
          <wp:inline distT="0" distB="0" distL="0" distR="0" wp14:anchorId="47B56BD6" wp14:editId="15F6D4C6">
            <wp:extent cx="5115560" cy="3743960"/>
            <wp:effectExtent l="0" t="0" r="0" b="889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rsidR="00A4083A" w:rsidRPr="00D17312" w:rsidRDefault="00A4083A" w:rsidP="00A4083A">
      <w:pPr>
        <w:pStyle w:val="OdstavecASR"/>
        <w:rPr>
          <w:highlight w:val="yellow"/>
        </w:rPr>
      </w:pPr>
      <w:bookmarkStart w:id="350" w:name="_Toc515871468"/>
      <w:bookmarkStart w:id="351" w:name="_Toc11133235"/>
      <w:r w:rsidRPr="00D17312">
        <w:t xml:space="preserve">V časové řadě na grafu jsou zajímavé především dva extrémy – vysoká délka řízení v roce 2008 a nízká délka řízení v roce 2011. Do jisté míry to může vyplývat ze změn ve vedení statistik. Data totiž není možné úplně očistit a zbavit </w:t>
      </w:r>
      <w:r>
        <w:t>j</w:t>
      </w:r>
      <w:r w:rsidRPr="00D17312">
        <w:t xml:space="preserve">e tak výkyvů, které jsou způsobeny </w:t>
      </w:r>
      <w:r>
        <w:t xml:space="preserve">metodologickými </w:t>
      </w:r>
      <w:r w:rsidRPr="00D17312">
        <w:lastRenderedPageBreak/>
        <w:t xml:space="preserve">změnami. Mezi roky 2008 a 2009 se ale zjevně jedná o reálný pokles v délce řízení. V té době (nebo spíše ještě dříve, protože v délce řízení se změny projevují se zpožděním) zřejmě došlo k výraznému urychlení civilního soudního řízení. Situaci lze na základě dat interpretovat </w:t>
      </w:r>
      <w:r>
        <w:t>zhruba</w:t>
      </w:r>
      <w:r w:rsidRPr="00D17312">
        <w:t xml:space="preserve"> následovně:</w:t>
      </w:r>
    </w:p>
    <w:p w:rsidR="00A4083A" w:rsidRDefault="00A4083A" w:rsidP="00A4083A">
      <w:pPr>
        <w:pStyle w:val="OdstavecASR"/>
        <w:numPr>
          <w:ilvl w:val="0"/>
          <w:numId w:val="17"/>
        </w:numPr>
        <w:spacing w:before="0" w:after="0"/>
        <w:ind w:left="714" w:hanging="357"/>
      </w:pPr>
      <w:r w:rsidRPr="00D17312">
        <w:t>Od roku 2014 roste poměrně rychle průměr i percentil 90. K jejich nárůstu došlo každý rok a nárůst devadesátého percentilu byl v roce 2017 nejvyšší od roku 2014.</w:t>
      </w:r>
    </w:p>
    <w:p w:rsidR="00A4083A" w:rsidRPr="00D17312" w:rsidRDefault="00A4083A" w:rsidP="00A4083A">
      <w:pPr>
        <w:pStyle w:val="OdstavecASR"/>
        <w:numPr>
          <w:ilvl w:val="0"/>
          <w:numId w:val="17"/>
        </w:numPr>
        <w:spacing w:before="0" w:after="0"/>
        <w:ind w:left="714" w:hanging="357"/>
      </w:pPr>
      <w:r w:rsidRPr="00D17312">
        <w:t>V roce 2018 došlo ke zlepšení všech sledovaných parametrů délky prvostupňového civilního řízení, zejména medián klesl již třetí rok po sobě.</w:t>
      </w:r>
    </w:p>
    <w:p w:rsidR="00A4083A" w:rsidRPr="00D17312" w:rsidRDefault="00A4083A" w:rsidP="00A4083A">
      <w:pPr>
        <w:pStyle w:val="OdstavecASR"/>
        <w:numPr>
          <w:ilvl w:val="0"/>
          <w:numId w:val="17"/>
        </w:numPr>
        <w:spacing w:before="0" w:after="0"/>
        <w:ind w:left="714" w:hanging="357"/>
      </w:pPr>
      <w:r w:rsidRPr="00D17312">
        <w:t>V roce 2019 nicméně opět narostl průměr i percentil 90 a opět se téměř vrátil</w:t>
      </w:r>
      <w:r>
        <w:t>y</w:t>
      </w:r>
      <w:r w:rsidRPr="00D17312">
        <w:t xml:space="preserve"> na úroveň roku 2017.</w:t>
      </w:r>
    </w:p>
    <w:p w:rsidR="00A4083A" w:rsidRPr="00D17312" w:rsidRDefault="00A4083A" w:rsidP="00A4083A">
      <w:pPr>
        <w:pStyle w:val="OdstavecASR"/>
        <w:numPr>
          <w:ilvl w:val="0"/>
          <w:numId w:val="17"/>
        </w:numPr>
        <w:spacing w:before="0" w:after="0"/>
        <w:ind w:left="714" w:hanging="357"/>
      </w:pPr>
      <w:r w:rsidRPr="00D17312">
        <w:t>Absolutní hodnoty průměru i percentilu 90 jsou velmi vysoké – celorepublikový percentil 90 je více než 7 let a celorepublikový průměr je téměř 3 roky. U KS v Ústí nad Labem činí průměr téměř 7 let a percentil 90 přes 25 let.</w:t>
      </w:r>
    </w:p>
    <w:p w:rsidR="00A4083A" w:rsidRPr="00D17312" w:rsidRDefault="00A4083A" w:rsidP="00A4083A">
      <w:pPr>
        <w:pStyle w:val="OdstavecASR"/>
        <w:numPr>
          <w:ilvl w:val="0"/>
          <w:numId w:val="17"/>
        </w:numPr>
      </w:pPr>
      <w:r>
        <w:t>H</w:t>
      </w:r>
      <w:r w:rsidRPr="00D17312">
        <w:t xml:space="preserve">istogram </w:t>
      </w:r>
      <w:r>
        <w:t>ukazuje</w:t>
      </w:r>
      <w:r w:rsidRPr="00D17312">
        <w:t>, že přes 4</w:t>
      </w:r>
      <w:r>
        <w:t> %</w:t>
      </w:r>
      <w:r w:rsidRPr="00D17312">
        <w:t xml:space="preserve"> řízení trvají déle než 4 000 dnů (11 let).</w:t>
      </w:r>
    </w:p>
    <w:p w:rsidR="00A4083A" w:rsidRPr="00D17312" w:rsidRDefault="00A4083A" w:rsidP="00A4083A">
      <w:pPr>
        <w:pStyle w:val="Podnadpis"/>
        <w:rPr>
          <w:color w:val="auto"/>
        </w:rPr>
      </w:pPr>
      <w:bookmarkStart w:id="352" w:name="_Toc43931213"/>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40</w:t>
      </w:r>
      <w:r w:rsidRPr="00D17312">
        <w:rPr>
          <w:noProof/>
          <w:color w:val="auto"/>
        </w:rPr>
        <w:fldChar w:fldCharType="end"/>
      </w:r>
      <w:r w:rsidRPr="00D17312">
        <w:rPr>
          <w:color w:val="auto"/>
        </w:rPr>
        <w:t>: KS – délky prvostupňového civilního řízení dle soudů</w:t>
      </w:r>
      <w:bookmarkEnd w:id="350"/>
      <w:bookmarkEnd w:id="351"/>
      <w:bookmarkEnd w:id="352"/>
    </w:p>
    <w:tbl>
      <w:tblPr>
        <w:tblW w:w="7522" w:type="dxa"/>
        <w:tblCellMar>
          <w:left w:w="70" w:type="dxa"/>
          <w:right w:w="70" w:type="dxa"/>
        </w:tblCellMar>
        <w:tblLook w:val="04A0" w:firstRow="1" w:lastRow="0" w:firstColumn="1" w:lastColumn="0" w:noHBand="0" w:noVBand="1"/>
      </w:tblPr>
      <w:tblGrid>
        <w:gridCol w:w="2480"/>
        <w:gridCol w:w="749"/>
        <w:gridCol w:w="883"/>
        <w:gridCol w:w="749"/>
        <w:gridCol w:w="883"/>
        <w:gridCol w:w="749"/>
        <w:gridCol w:w="1029"/>
      </w:tblGrid>
      <w:tr w:rsidR="00A4083A" w:rsidRPr="00D17312" w:rsidTr="00A41C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5042" w:type="dxa"/>
            <w:gridSpan w:val="6"/>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Délka řízení</w:t>
            </w:r>
          </w:p>
        </w:tc>
      </w:tr>
      <w:tr w:rsidR="00A4083A" w:rsidRPr="00D17312" w:rsidTr="00A41CAB">
        <w:trPr>
          <w:trHeight w:val="330"/>
        </w:trPr>
        <w:tc>
          <w:tcPr>
            <w:tcW w:w="24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632"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Průměr</w:t>
            </w:r>
          </w:p>
        </w:tc>
        <w:tc>
          <w:tcPr>
            <w:tcW w:w="1632" w:type="dxa"/>
            <w:gridSpan w:val="2"/>
            <w:tcBorders>
              <w:top w:val="nil"/>
              <w:left w:val="single" w:sz="4" w:space="0" w:color="auto"/>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Medián</w:t>
            </w:r>
          </w:p>
        </w:tc>
        <w:tc>
          <w:tcPr>
            <w:tcW w:w="1778"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Percentil 90</w:t>
            </w:r>
          </w:p>
        </w:tc>
      </w:tr>
      <w:tr w:rsidR="00A4083A" w:rsidRPr="00D17312"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749"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1 143</w:t>
            </w:r>
          </w:p>
        </w:tc>
        <w:tc>
          <w:tcPr>
            <w:tcW w:w="883"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+26</w:t>
            </w:r>
            <w:r>
              <w:rPr>
                <w:rFonts w:eastAsia="Times New Roman"/>
                <w:sz w:val="20"/>
                <w:szCs w:val="20"/>
                <w:lang w:eastAsia="cs-CZ"/>
              </w:rPr>
              <w:t> %</w:t>
            </w:r>
          </w:p>
        </w:tc>
        <w:tc>
          <w:tcPr>
            <w:tcW w:w="749"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392</w:t>
            </w:r>
          </w:p>
        </w:tc>
        <w:tc>
          <w:tcPr>
            <w:tcW w:w="88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749"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3 050</w:t>
            </w:r>
          </w:p>
        </w:tc>
        <w:tc>
          <w:tcPr>
            <w:tcW w:w="1029"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+38</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74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650</w:t>
            </w:r>
          </w:p>
        </w:tc>
        <w:tc>
          <w:tcPr>
            <w:tcW w:w="88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749"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232</w:t>
            </w:r>
          </w:p>
        </w:tc>
        <w:tc>
          <w:tcPr>
            <w:tcW w:w="88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-28</w:t>
            </w:r>
            <w:r>
              <w:rPr>
                <w:rFonts w:eastAsia="Times New Roman"/>
                <w:sz w:val="20"/>
                <w:szCs w:val="20"/>
                <w:lang w:eastAsia="cs-CZ"/>
              </w:rPr>
              <w:t> %</w:t>
            </w:r>
          </w:p>
        </w:tc>
        <w:tc>
          <w:tcPr>
            <w:tcW w:w="74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2 060</w:t>
            </w:r>
          </w:p>
        </w:tc>
        <w:tc>
          <w:tcPr>
            <w:tcW w:w="102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74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712</w:t>
            </w:r>
          </w:p>
        </w:tc>
        <w:tc>
          <w:tcPr>
            <w:tcW w:w="88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749"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230</w:t>
            </w:r>
          </w:p>
        </w:tc>
        <w:tc>
          <w:tcPr>
            <w:tcW w:w="88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-14</w:t>
            </w:r>
            <w:r>
              <w:rPr>
                <w:rFonts w:eastAsia="Times New Roman"/>
                <w:sz w:val="20"/>
                <w:szCs w:val="20"/>
                <w:lang w:eastAsia="cs-CZ"/>
              </w:rPr>
              <w:t> %</w:t>
            </w:r>
          </w:p>
        </w:tc>
        <w:tc>
          <w:tcPr>
            <w:tcW w:w="74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2 060</w:t>
            </w:r>
          </w:p>
        </w:tc>
        <w:tc>
          <w:tcPr>
            <w:tcW w:w="102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74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955</w:t>
            </w:r>
          </w:p>
        </w:tc>
        <w:tc>
          <w:tcPr>
            <w:tcW w:w="88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749"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356</w:t>
            </w:r>
          </w:p>
        </w:tc>
        <w:tc>
          <w:tcPr>
            <w:tcW w:w="88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+19</w:t>
            </w:r>
            <w:r>
              <w:rPr>
                <w:rFonts w:eastAsia="Times New Roman"/>
                <w:sz w:val="20"/>
                <w:szCs w:val="20"/>
                <w:lang w:eastAsia="cs-CZ"/>
              </w:rPr>
              <w:t> %</w:t>
            </w:r>
          </w:p>
        </w:tc>
        <w:tc>
          <w:tcPr>
            <w:tcW w:w="74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3 001</w:t>
            </w:r>
          </w:p>
        </w:tc>
        <w:tc>
          <w:tcPr>
            <w:tcW w:w="102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+29</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74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2 484</w:t>
            </w:r>
          </w:p>
        </w:tc>
        <w:tc>
          <w:tcPr>
            <w:tcW w:w="88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+38</w:t>
            </w:r>
            <w:r>
              <w:rPr>
                <w:rFonts w:eastAsia="Times New Roman"/>
                <w:sz w:val="20"/>
                <w:szCs w:val="20"/>
                <w:lang w:eastAsia="cs-CZ"/>
              </w:rPr>
              <w:t> %</w:t>
            </w:r>
          </w:p>
        </w:tc>
        <w:tc>
          <w:tcPr>
            <w:tcW w:w="749"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1 456</w:t>
            </w:r>
          </w:p>
        </w:tc>
        <w:tc>
          <w:tcPr>
            <w:tcW w:w="88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+21</w:t>
            </w:r>
            <w:r>
              <w:rPr>
                <w:rFonts w:eastAsia="Times New Roman"/>
                <w:sz w:val="20"/>
                <w:szCs w:val="20"/>
                <w:lang w:eastAsia="cs-CZ"/>
              </w:rPr>
              <w:t> %</w:t>
            </w:r>
          </w:p>
        </w:tc>
        <w:tc>
          <w:tcPr>
            <w:tcW w:w="74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9 305</w:t>
            </w:r>
          </w:p>
        </w:tc>
        <w:tc>
          <w:tcPr>
            <w:tcW w:w="102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+112</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74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659</w:t>
            </w:r>
          </w:p>
        </w:tc>
        <w:tc>
          <w:tcPr>
            <w:tcW w:w="88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-19</w:t>
            </w:r>
            <w:r>
              <w:rPr>
                <w:rFonts w:eastAsia="Times New Roman"/>
                <w:sz w:val="20"/>
                <w:szCs w:val="20"/>
                <w:lang w:eastAsia="cs-CZ"/>
              </w:rPr>
              <w:t> %</w:t>
            </w:r>
          </w:p>
        </w:tc>
        <w:tc>
          <w:tcPr>
            <w:tcW w:w="749"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153</w:t>
            </w:r>
          </w:p>
        </w:tc>
        <w:tc>
          <w:tcPr>
            <w:tcW w:w="88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-23</w:t>
            </w:r>
            <w:r>
              <w:rPr>
                <w:rFonts w:eastAsia="Times New Roman"/>
                <w:sz w:val="20"/>
                <w:szCs w:val="20"/>
                <w:lang w:eastAsia="cs-CZ"/>
              </w:rPr>
              <w:t> %</w:t>
            </w:r>
          </w:p>
        </w:tc>
        <w:tc>
          <w:tcPr>
            <w:tcW w:w="74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1 922</w:t>
            </w:r>
          </w:p>
        </w:tc>
        <w:tc>
          <w:tcPr>
            <w:tcW w:w="102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-21</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74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878</w:t>
            </w:r>
          </w:p>
        </w:tc>
        <w:tc>
          <w:tcPr>
            <w:tcW w:w="88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-19</w:t>
            </w:r>
            <w:r>
              <w:rPr>
                <w:rFonts w:eastAsia="Times New Roman"/>
                <w:sz w:val="20"/>
                <w:szCs w:val="20"/>
                <w:lang w:eastAsia="cs-CZ"/>
              </w:rPr>
              <w:t> %</w:t>
            </w:r>
          </w:p>
        </w:tc>
        <w:tc>
          <w:tcPr>
            <w:tcW w:w="749"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363</w:t>
            </w:r>
          </w:p>
        </w:tc>
        <w:tc>
          <w:tcPr>
            <w:tcW w:w="88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c>
          <w:tcPr>
            <w:tcW w:w="74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2 220</w:t>
            </w:r>
          </w:p>
        </w:tc>
        <w:tc>
          <w:tcPr>
            <w:tcW w:w="102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-14</w:t>
            </w:r>
            <w:r>
              <w:rPr>
                <w:rFonts w:eastAsia="Times New Roman"/>
                <w:sz w:val="20"/>
                <w:szCs w:val="20"/>
                <w:lang w:eastAsia="cs-CZ"/>
              </w:rPr>
              <w:t> %</w:t>
            </w:r>
          </w:p>
        </w:tc>
      </w:tr>
      <w:tr w:rsidR="00A4083A" w:rsidRPr="00D17312"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749"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784</w:t>
            </w:r>
          </w:p>
        </w:tc>
        <w:tc>
          <w:tcPr>
            <w:tcW w:w="883"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+46</w:t>
            </w:r>
            <w:r>
              <w:rPr>
                <w:rFonts w:eastAsia="Times New Roman"/>
                <w:sz w:val="20"/>
                <w:szCs w:val="20"/>
                <w:lang w:eastAsia="cs-CZ"/>
              </w:rPr>
              <w:t> %</w:t>
            </w:r>
          </w:p>
        </w:tc>
        <w:tc>
          <w:tcPr>
            <w:tcW w:w="749"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170</w:t>
            </w:r>
          </w:p>
        </w:tc>
        <w:tc>
          <w:tcPr>
            <w:tcW w:w="883"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+24</w:t>
            </w:r>
            <w:r>
              <w:rPr>
                <w:rFonts w:eastAsia="Times New Roman"/>
                <w:sz w:val="20"/>
                <w:szCs w:val="20"/>
                <w:lang w:eastAsia="cs-CZ"/>
              </w:rPr>
              <w:t> %</w:t>
            </w:r>
          </w:p>
        </w:tc>
        <w:tc>
          <w:tcPr>
            <w:tcW w:w="749"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2 086</w:t>
            </w:r>
          </w:p>
        </w:tc>
        <w:tc>
          <w:tcPr>
            <w:tcW w:w="102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+66</w:t>
            </w:r>
            <w:r>
              <w:rPr>
                <w:rFonts w:eastAsia="Times New Roman"/>
                <w:sz w:val="20"/>
                <w:szCs w:val="20"/>
                <w:lang w:eastAsia="cs-CZ"/>
              </w:rPr>
              <w:t> %</w:t>
            </w:r>
          </w:p>
        </w:tc>
      </w:tr>
      <w:tr w:rsidR="00A4083A" w:rsidRPr="00D17312"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749"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1 046</w:t>
            </w:r>
          </w:p>
        </w:tc>
        <w:tc>
          <w:tcPr>
            <w:tcW w:w="883"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+13</w:t>
            </w:r>
            <w:r>
              <w:rPr>
                <w:rFonts w:eastAsia="Times New Roman"/>
                <w:b/>
                <w:bCs/>
                <w:sz w:val="20"/>
                <w:szCs w:val="20"/>
                <w:lang w:eastAsia="cs-CZ"/>
              </w:rPr>
              <w:t> %</w:t>
            </w:r>
          </w:p>
        </w:tc>
        <w:tc>
          <w:tcPr>
            <w:tcW w:w="749"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305</w:t>
            </w:r>
          </w:p>
        </w:tc>
        <w:tc>
          <w:tcPr>
            <w:tcW w:w="883"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+1</w:t>
            </w:r>
            <w:r>
              <w:rPr>
                <w:rFonts w:eastAsia="Times New Roman"/>
                <w:b/>
                <w:bCs/>
                <w:sz w:val="20"/>
                <w:szCs w:val="20"/>
                <w:lang w:eastAsia="cs-CZ"/>
              </w:rPr>
              <w:t> %</w:t>
            </w:r>
          </w:p>
        </w:tc>
        <w:tc>
          <w:tcPr>
            <w:tcW w:w="749"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2 695</w:t>
            </w:r>
          </w:p>
        </w:tc>
        <w:tc>
          <w:tcPr>
            <w:tcW w:w="102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+17</w:t>
            </w:r>
            <w:r>
              <w:rPr>
                <w:rFonts w:eastAsia="Times New Roman"/>
                <w:b/>
                <w:bCs/>
                <w:sz w:val="20"/>
                <w:szCs w:val="20"/>
                <w:lang w:eastAsia="cs-CZ"/>
              </w:rPr>
              <w:t> %</w:t>
            </w:r>
          </w:p>
        </w:tc>
      </w:tr>
    </w:tbl>
    <w:p w:rsidR="00A4083A" w:rsidRPr="00D17312" w:rsidRDefault="00A4083A" w:rsidP="00A4083A">
      <w:pPr>
        <w:rPr>
          <w:highlight w:val="yellow"/>
        </w:rPr>
      </w:pPr>
    </w:p>
    <w:p w:rsidR="00A4083A" w:rsidRPr="00D17312" w:rsidRDefault="00A4083A" w:rsidP="00A4083A">
      <w:pPr>
        <w:pStyle w:val="Podnadpis"/>
        <w:rPr>
          <w:color w:val="auto"/>
        </w:rPr>
      </w:pPr>
      <w:bookmarkStart w:id="353" w:name="_Toc515871381"/>
      <w:bookmarkStart w:id="354" w:name="_Toc11135112"/>
      <w:bookmarkStart w:id="355" w:name="_Toc43841431"/>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51</w:t>
      </w:r>
      <w:r w:rsidRPr="00D17312">
        <w:rPr>
          <w:color w:val="auto"/>
        </w:rPr>
        <w:fldChar w:fldCharType="end"/>
      </w:r>
      <w:r w:rsidRPr="00D17312">
        <w:rPr>
          <w:color w:val="auto"/>
        </w:rPr>
        <w:t>: KS – distribuce délek prvostupňového civilního řízení</w:t>
      </w:r>
      <w:bookmarkEnd w:id="353"/>
      <w:bookmarkEnd w:id="354"/>
      <w:bookmarkEnd w:id="355"/>
    </w:p>
    <w:p w:rsidR="00A4083A" w:rsidRPr="00D17312" w:rsidRDefault="00A4083A" w:rsidP="00A4083A">
      <w:r w:rsidRPr="00D17312">
        <w:rPr>
          <w:noProof/>
          <w:lang w:eastAsia="cs-CZ"/>
        </w:rPr>
        <w:drawing>
          <wp:inline distT="0" distB="0" distL="0" distR="0" wp14:anchorId="394D7637" wp14:editId="6BBCDDFD">
            <wp:extent cx="5115560" cy="3743960"/>
            <wp:effectExtent l="0" t="0" r="0" b="889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rsidR="00A4083A" w:rsidRPr="00D17312" w:rsidRDefault="00A4083A" w:rsidP="00A4083A">
      <w:pPr>
        <w:pStyle w:val="OdstavecASR"/>
      </w:pPr>
      <w:r>
        <w:t>Situace je n</w:t>
      </w:r>
      <w:r w:rsidRPr="00D17312">
        <w:t>icméně lepší, než by se z výše uvedeného mohlo zdát</w:t>
      </w:r>
      <w:r>
        <w:t>, a</w:t>
      </w:r>
      <w:r w:rsidRPr="00D17312">
        <w:t> to z</w:t>
      </w:r>
      <w:r>
        <w:t xml:space="preserve"> následujících </w:t>
      </w:r>
      <w:r w:rsidRPr="00D17312">
        <w:t>důvodů:</w:t>
      </w:r>
    </w:p>
    <w:p w:rsidR="00A4083A" w:rsidRPr="00D17312" w:rsidRDefault="00A4083A" w:rsidP="00A4083A">
      <w:pPr>
        <w:pStyle w:val="OdstavecASR"/>
        <w:numPr>
          <w:ilvl w:val="0"/>
          <w:numId w:val="16"/>
        </w:numPr>
      </w:pPr>
      <w:r w:rsidRPr="00D17312">
        <w:t>Jak je vidět v další podkapitole, v roce 2019 poklesl počet příchozích i vyřízených věcí. Počet věcí příchozích ale klesl více, což vyústilo v pokles v počtu nevyřízených věcí. Od roku 2011 klesl počet nevyřízených věcí téměř na třetinu (44 618 na 15 844). V tom samozřejmě hraje velkou roli i převod vybrané agendy na OS. V roce 2019 došlo k dalšímu obrovskému poklesu v počtu nevyřízených věcí, markantní je především u KS v Ústí nad Labem.</w:t>
      </w:r>
    </w:p>
    <w:p w:rsidR="00A4083A" w:rsidRPr="00D17312" w:rsidRDefault="00A4083A" w:rsidP="00A4083A">
      <w:pPr>
        <w:pStyle w:val="OdstavecASR"/>
        <w:numPr>
          <w:ilvl w:val="0"/>
          <w:numId w:val="16"/>
        </w:numPr>
      </w:pPr>
      <w:r w:rsidRPr="00D17312">
        <w:t>Počty déle nevyřízených věcí (přes 3 roky, přes 5 let či přes 7 let) v posledních letech klesají (2015: 8 291, 6 006, 4 352 věcí vs. 2019: 4 560, 3 482, 2 635 věcí). To také samozřejmě může ovlivnit vykázanou délku řízení.</w:t>
      </w:r>
    </w:p>
    <w:p w:rsidR="00A4083A" w:rsidRDefault="00A4083A" w:rsidP="00A4083A">
      <w:pPr>
        <w:pStyle w:val="OdstavecASR"/>
        <w:numPr>
          <w:ilvl w:val="0"/>
          <w:numId w:val="16"/>
        </w:numPr>
      </w:pPr>
      <w:r>
        <w:t>P</w:t>
      </w:r>
      <w:r w:rsidRPr="00D17312">
        <w:t>ředevším</w:t>
      </w:r>
      <w:r>
        <w:t xml:space="preserve"> je však</w:t>
      </w:r>
      <w:r w:rsidRPr="00D17312">
        <w:t xml:space="preserve"> velká část věcí přerušena z důvodu prohlášení úpadku</w:t>
      </w:r>
      <w:r>
        <w:t xml:space="preserve"> či </w:t>
      </w:r>
      <w:r w:rsidRPr="00D17312">
        <w:t>konkur</w:t>
      </w:r>
      <w:r>
        <w:t>s</w:t>
      </w:r>
      <w:r w:rsidRPr="00D17312">
        <w:t>u. Úpadek se následně řeší 5 a více let a soud se v té době přerušenou věcí nijak nezabývá</w:t>
      </w:r>
      <w:r>
        <w:t>;</w:t>
      </w:r>
      <w:r w:rsidRPr="00D17312">
        <w:t xml:space="preserve"> </w:t>
      </w:r>
      <w:r>
        <w:t>d</w:t>
      </w:r>
      <w:r w:rsidRPr="00D17312">
        <w:t>o vykazované délky řízení se však tato doba promítne. Data ze statistických listů bohužel neumožňují očištění o tuto dobu nebo o řízení, která byla takto přerušena. Můžeme alespoň odhadnout, jak velký vliv takové věci mají. Například data z výkazů ukazují, že k 31. 12. 2016 bylo v rejstříku Cm nevyřízeno déle než 5 let 5 214 věcí. Z toho bylo z důvodu prohlášení úpadku/konkur</w:t>
      </w:r>
      <w:r>
        <w:t>s</w:t>
      </w:r>
      <w:r w:rsidRPr="00D17312">
        <w:t>u přerušeno 3 614 věcí, tedy asi 69</w:t>
      </w:r>
      <w:r>
        <w:t> %</w:t>
      </w:r>
      <w:r w:rsidRPr="00D17312">
        <w:t>. Tyto věci se samozřejmě nakonec objeví ve statistických listech a výrazně ovlivní délku řízení. Velká část z nich pak ale nevypovídá o fungování soudu.</w:t>
      </w:r>
    </w:p>
    <w:p w:rsidR="00A4083A" w:rsidRPr="003E4DAA" w:rsidRDefault="00A4083A" w:rsidP="00A4083A">
      <w:pPr>
        <w:pStyle w:val="OdstavecASR"/>
      </w:pPr>
      <w:r w:rsidRPr="003E4DAA">
        <w:t xml:space="preserve">Na závěr je třeba podrobněji vysvětlit fenomén, který v tabulce 40 na první pohled upoutá pozornost a souvisí s výše diskutovaným. Jedná se o KS v Ústí nad Labem, kde se situace zlepšuje, i když došlo k nárůstu v délkách řízení. Plně zde tedy platí poznámka uvedená v úvodu zprávy. U tohoto soudu se totiž během posledních dvou let podařilo značně snížit počet věcí, které byly </w:t>
      </w:r>
      <w:r w:rsidRPr="003E4DAA">
        <w:lastRenderedPageBreak/>
        <w:t>přerušeny z důvodu konkursu a byly nevyřízeny více než 7 let. Počet nevyřízených věcí přes 7 let klesl z 551 věcí v roce 2017 na 296 věcí v roce 2019. Tyto věci se tak dostaly do statistických listů a soud proto vykázal výrazný nárůst v délce řízení.</w:t>
      </w:r>
    </w:p>
    <w:p w:rsidR="00A4083A" w:rsidRPr="00D17312" w:rsidRDefault="00A4083A" w:rsidP="00A4083A">
      <w:pPr>
        <w:pStyle w:val="Nadpis3"/>
        <w:rPr>
          <w:color w:val="auto"/>
        </w:rPr>
      </w:pPr>
      <w:bookmarkStart w:id="356" w:name="_Toc515871250"/>
      <w:bookmarkStart w:id="357" w:name="_Toc43903055"/>
      <w:r w:rsidRPr="00D17312">
        <w:rPr>
          <w:color w:val="auto"/>
        </w:rPr>
        <w:t>Vyřizování věcí</w:t>
      </w:r>
      <w:bookmarkEnd w:id="356"/>
      <w:bookmarkEnd w:id="357"/>
    </w:p>
    <w:p w:rsidR="00A4083A" w:rsidRPr="00D17312" w:rsidRDefault="00A4083A" w:rsidP="00A4083A">
      <w:pPr>
        <w:pStyle w:val="OdstavecASR"/>
      </w:pPr>
      <w:r w:rsidRPr="00D17312">
        <w:t>Do časových řad se opět promítá zavedení elektronického platebního rozkazu, ale i změny ve vedení statistik a převod části agendy z krajských soudů na okresní. I přes tyto vlivy však můžeme bezpečně dojít k závěru, že počet napadlých civilních a obchodních věcí vykazuje v posledních letech zjevný klesající trend. Klesající trend se zastavil až v roce 2017, kdy se počet příchozích věcí oproti roku 2016 zvýšil. V letech 2018 a 2019 opět došlo k poklesu.</w:t>
      </w:r>
    </w:p>
    <w:p w:rsidR="00A4083A" w:rsidRPr="00D17312" w:rsidRDefault="00A4083A" w:rsidP="00A4083A">
      <w:pPr>
        <w:pStyle w:val="OdstavecASR"/>
      </w:pPr>
      <w:r w:rsidRPr="00D17312">
        <w:t>Hlubší analýza zmíněného klesajícího trendu přesahuje rozsah této zprávy. V krátkosti však můžeme uvést, že za pokles v nápadu je do velké míry zodpovědný již dříve zmíněný převod velkého množství obchodních řízení z krajských soudů na okresní</w:t>
      </w:r>
      <w:r>
        <w:t xml:space="preserve"> v roce 2014 (v návaznosti na o. z.</w:t>
      </w:r>
      <w:r w:rsidRPr="00D17312">
        <w:t xml:space="preserve"> se změnila věcná příslušnost těchto řízení). </w:t>
      </w:r>
      <w:r>
        <w:t>Graf 52</w:t>
      </w:r>
      <w:r w:rsidRPr="00D17312">
        <w:t xml:space="preserve"> zobrazuje vývoj v počtu příchozích, vyřízených a nevyřízených věcí. Z grafu vyplývají především dvě věci:</w:t>
      </w:r>
    </w:p>
    <w:p w:rsidR="00A4083A" w:rsidRPr="00D17312" w:rsidRDefault="00A4083A" w:rsidP="00A4083A">
      <w:pPr>
        <w:pStyle w:val="OdstavecASR"/>
        <w:numPr>
          <w:ilvl w:val="0"/>
          <w:numId w:val="16"/>
        </w:numPr>
      </w:pPr>
      <w:r w:rsidRPr="00D17312">
        <w:t>Naprostou většinu prvostupňové občanskoprávní a obchodněprávní agendy tvoří rejstřík Cm, tedy obchodněprávní spory.</w:t>
      </w:r>
    </w:p>
    <w:p w:rsidR="00A4083A" w:rsidRPr="00D17312" w:rsidRDefault="00A4083A" w:rsidP="00A4083A">
      <w:pPr>
        <w:pStyle w:val="OdstavecASR"/>
        <w:numPr>
          <w:ilvl w:val="0"/>
          <w:numId w:val="16"/>
        </w:numPr>
      </w:pPr>
      <w:r w:rsidRPr="00D17312">
        <w:t>Výše zmíněný převod obchodněprávní agendy na okresní soudy hrál velkou roli. Pokles v příchozích věcech byl ale očividně způsoben i dalšími faktory. K poklesu došlo i v jiných letech než jen mezi roky 2013 a 2014 a pokles dále pokračuje.</w:t>
      </w:r>
    </w:p>
    <w:p w:rsidR="00A4083A" w:rsidRPr="00D17312" w:rsidRDefault="00A4083A" w:rsidP="00A4083A">
      <w:pPr>
        <w:pStyle w:val="Podnadpis"/>
        <w:rPr>
          <w:color w:val="auto"/>
        </w:rPr>
      </w:pPr>
      <w:bookmarkStart w:id="358" w:name="_Toc515871382"/>
      <w:bookmarkStart w:id="359" w:name="_Toc11135113"/>
      <w:bookmarkStart w:id="360" w:name="_Toc43841432"/>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52</w:t>
      </w:r>
      <w:r w:rsidRPr="00D17312">
        <w:rPr>
          <w:noProof/>
          <w:color w:val="auto"/>
        </w:rPr>
        <w:fldChar w:fldCharType="end"/>
      </w:r>
      <w:r w:rsidRPr="00D17312">
        <w:rPr>
          <w:color w:val="auto"/>
        </w:rPr>
        <w:t>: KS – vyřizování prvostupňových civilních věcí v letech 2008–</w:t>
      </w:r>
      <w:bookmarkEnd w:id="358"/>
      <w:bookmarkEnd w:id="359"/>
      <w:r w:rsidRPr="00D17312">
        <w:rPr>
          <w:color w:val="auto"/>
        </w:rPr>
        <w:t>2019</w:t>
      </w:r>
      <w:bookmarkEnd w:id="360"/>
    </w:p>
    <w:p w:rsidR="00A4083A" w:rsidRPr="00D17312" w:rsidRDefault="00A4083A" w:rsidP="00A4083A">
      <w:pPr>
        <w:rPr>
          <w:highlight w:val="yellow"/>
        </w:rPr>
      </w:pPr>
      <w:r w:rsidRPr="00D17312">
        <w:rPr>
          <w:noProof/>
          <w:lang w:eastAsia="cs-CZ"/>
        </w:rPr>
        <w:drawing>
          <wp:inline distT="0" distB="0" distL="0" distR="0" wp14:anchorId="479D3416" wp14:editId="74E40F86">
            <wp:extent cx="5115560" cy="3743960"/>
            <wp:effectExtent l="0" t="0" r="0" b="889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rsidR="00A4083A" w:rsidRPr="00D17312" w:rsidRDefault="00A4083A" w:rsidP="00A4083A">
      <w:pPr>
        <w:spacing w:line="240" w:lineRule="auto"/>
        <w:jc w:val="left"/>
        <w:rPr>
          <w:highlight w:val="yellow"/>
        </w:rPr>
      </w:pPr>
    </w:p>
    <w:p w:rsidR="00A4083A" w:rsidRPr="00D17312" w:rsidRDefault="00A4083A" w:rsidP="00A4083A">
      <w:pPr>
        <w:pStyle w:val="Podnadpis"/>
        <w:rPr>
          <w:color w:val="auto"/>
        </w:rPr>
      </w:pPr>
      <w:bookmarkStart w:id="361" w:name="_Ref511293259"/>
      <w:bookmarkStart w:id="362" w:name="_Toc515871383"/>
      <w:bookmarkStart w:id="363" w:name="_Toc11135114"/>
      <w:bookmarkStart w:id="364" w:name="_Toc43841433"/>
      <w:r w:rsidRPr="00D17312">
        <w:rPr>
          <w:color w:val="auto"/>
        </w:rPr>
        <w:lastRenderedPageBreak/>
        <w:t xml:space="preserve">Graf </w:t>
      </w:r>
      <w:r w:rsidRPr="00D17312">
        <w:rPr>
          <w:noProof/>
          <w:color w:val="auto"/>
        </w:rPr>
        <w:fldChar w:fldCharType="begin"/>
      </w:r>
      <w:r w:rsidRPr="00D17312">
        <w:rPr>
          <w:noProof/>
          <w:color w:val="auto"/>
        </w:rPr>
        <w:instrText xml:space="preserve"> SEQ Graf \* ARABIC </w:instrText>
      </w:r>
      <w:r w:rsidRPr="00D17312">
        <w:rPr>
          <w:noProof/>
          <w:color w:val="auto"/>
        </w:rPr>
        <w:fldChar w:fldCharType="separate"/>
      </w:r>
      <w:r w:rsidR="006E7F27">
        <w:rPr>
          <w:noProof/>
          <w:color w:val="auto"/>
        </w:rPr>
        <w:t>53</w:t>
      </w:r>
      <w:r w:rsidRPr="00D17312">
        <w:rPr>
          <w:noProof/>
          <w:color w:val="auto"/>
        </w:rPr>
        <w:fldChar w:fldCharType="end"/>
      </w:r>
      <w:bookmarkEnd w:id="361"/>
      <w:r w:rsidRPr="00D17312">
        <w:rPr>
          <w:color w:val="auto"/>
        </w:rPr>
        <w:t>: KS – vyřizování věcí v letech 2008–2019, pouze rejstřík Cm</w:t>
      </w:r>
      <w:bookmarkEnd w:id="362"/>
      <w:bookmarkEnd w:id="363"/>
      <w:bookmarkEnd w:id="364"/>
    </w:p>
    <w:p w:rsidR="00A4083A" w:rsidRPr="00D17312" w:rsidRDefault="00A4083A" w:rsidP="00A4083A">
      <w:pPr>
        <w:rPr>
          <w:highlight w:val="yellow"/>
        </w:rPr>
      </w:pPr>
      <w:r w:rsidRPr="00D17312">
        <w:rPr>
          <w:noProof/>
          <w:lang w:eastAsia="cs-CZ"/>
        </w:rPr>
        <w:drawing>
          <wp:inline distT="0" distB="0" distL="0" distR="0" wp14:anchorId="6C347838" wp14:editId="33F4F5F4">
            <wp:extent cx="5115560" cy="3743960"/>
            <wp:effectExtent l="0" t="0" r="0" b="889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rsidR="00A4083A" w:rsidRPr="00D17312" w:rsidRDefault="00A4083A" w:rsidP="00A4083A">
      <w:pPr>
        <w:rPr>
          <w:highlight w:val="yellow"/>
        </w:rPr>
      </w:pPr>
    </w:p>
    <w:p w:rsidR="00A4083A" w:rsidRPr="00D17312" w:rsidRDefault="00A4083A" w:rsidP="00A4083A">
      <w:pPr>
        <w:pStyle w:val="Podnadpis"/>
        <w:rPr>
          <w:color w:val="auto"/>
        </w:rPr>
      </w:pPr>
      <w:bookmarkStart w:id="365" w:name="_Toc515871469"/>
      <w:bookmarkStart w:id="366" w:name="_Toc11133236"/>
      <w:bookmarkStart w:id="367" w:name="_Toc43931214"/>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41</w:t>
      </w:r>
      <w:r w:rsidRPr="00D17312">
        <w:rPr>
          <w:noProof/>
          <w:color w:val="auto"/>
        </w:rPr>
        <w:fldChar w:fldCharType="end"/>
      </w:r>
      <w:r w:rsidRPr="00D17312">
        <w:rPr>
          <w:color w:val="auto"/>
        </w:rPr>
        <w:t>: KS – vyřizování prvostupňových civilních věcí dle soudů</w:t>
      </w:r>
      <w:bookmarkEnd w:id="365"/>
      <w:bookmarkEnd w:id="366"/>
      <w:bookmarkEnd w:id="367"/>
    </w:p>
    <w:tbl>
      <w:tblPr>
        <w:tblW w:w="9194" w:type="dxa"/>
        <w:tblCellMar>
          <w:left w:w="70" w:type="dxa"/>
          <w:right w:w="70" w:type="dxa"/>
        </w:tblCellMar>
        <w:tblLook w:val="04A0" w:firstRow="1" w:lastRow="0" w:firstColumn="1" w:lastColumn="0" w:noHBand="0" w:noVBand="1"/>
      </w:tblPr>
      <w:tblGrid>
        <w:gridCol w:w="2020"/>
        <w:gridCol w:w="1099"/>
        <w:gridCol w:w="850"/>
        <w:gridCol w:w="1058"/>
        <w:gridCol w:w="927"/>
        <w:gridCol w:w="913"/>
        <w:gridCol w:w="788"/>
        <w:gridCol w:w="1539"/>
      </w:tblGrid>
      <w:tr w:rsidR="00A4083A" w:rsidRPr="00D17312" w:rsidTr="00A41CAB">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5635" w:type="dxa"/>
            <w:gridSpan w:val="6"/>
            <w:tcBorders>
              <w:top w:val="double" w:sz="6" w:space="0" w:color="auto"/>
              <w:left w:val="nil"/>
              <w:bottom w:val="nil"/>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věcí</w:t>
            </w:r>
          </w:p>
        </w:tc>
        <w:tc>
          <w:tcPr>
            <w:tcW w:w="1539" w:type="dxa"/>
            <w:vMerge w:val="restart"/>
            <w:tcBorders>
              <w:top w:val="double" w:sz="6" w:space="0" w:color="auto"/>
              <w:left w:val="nil"/>
              <w:right w:val="nil"/>
            </w:tcBorders>
            <w:shd w:val="clear" w:color="auto" w:fill="auto"/>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Míra vyřizování</w:t>
            </w:r>
          </w:p>
        </w:tc>
      </w:tr>
      <w:tr w:rsidR="00A4083A" w:rsidRPr="00D17312" w:rsidTr="00A41CAB">
        <w:trPr>
          <w:trHeight w:val="330"/>
        </w:trPr>
        <w:tc>
          <w:tcPr>
            <w:tcW w:w="202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949"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Nápad + obživa</w:t>
            </w:r>
          </w:p>
        </w:tc>
        <w:tc>
          <w:tcPr>
            <w:tcW w:w="1985" w:type="dxa"/>
            <w:gridSpan w:val="2"/>
            <w:tcBorders>
              <w:top w:val="nil"/>
              <w:left w:val="single" w:sz="4" w:space="0" w:color="auto"/>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Vyřízeno</w:t>
            </w:r>
          </w:p>
        </w:tc>
        <w:tc>
          <w:tcPr>
            <w:tcW w:w="1701" w:type="dxa"/>
            <w:gridSpan w:val="2"/>
            <w:tcBorders>
              <w:top w:val="nil"/>
              <w:left w:val="nil"/>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Nevyřízeno</w:t>
            </w:r>
          </w:p>
        </w:tc>
        <w:tc>
          <w:tcPr>
            <w:tcW w:w="1539" w:type="dxa"/>
            <w:vMerge/>
            <w:tcBorders>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r>
      <w:tr w:rsidR="00A4083A" w:rsidRPr="00D17312" w:rsidTr="00A41CAB">
        <w:trPr>
          <w:trHeight w:val="330"/>
        </w:trPr>
        <w:tc>
          <w:tcPr>
            <w:tcW w:w="202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099"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10 449</w:t>
            </w:r>
          </w:p>
        </w:tc>
        <w:tc>
          <w:tcPr>
            <w:tcW w:w="850"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-10</w:t>
            </w:r>
            <w:r>
              <w:rPr>
                <w:rFonts w:eastAsia="Times New Roman"/>
                <w:sz w:val="20"/>
                <w:szCs w:val="20"/>
                <w:lang w:eastAsia="cs-CZ"/>
              </w:rPr>
              <w:t> %</w:t>
            </w:r>
          </w:p>
        </w:tc>
        <w:tc>
          <w:tcPr>
            <w:tcW w:w="1058" w:type="dxa"/>
            <w:tcBorders>
              <w:top w:val="single" w:sz="4" w:space="0" w:color="auto"/>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11 244</w:t>
            </w:r>
          </w:p>
        </w:tc>
        <w:tc>
          <w:tcPr>
            <w:tcW w:w="927" w:type="dxa"/>
            <w:tcBorders>
              <w:top w:val="single" w:sz="4" w:space="0" w:color="auto"/>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c>
          <w:tcPr>
            <w:tcW w:w="913"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4 631</w:t>
            </w:r>
          </w:p>
        </w:tc>
        <w:tc>
          <w:tcPr>
            <w:tcW w:w="788" w:type="dxa"/>
            <w:tcBorders>
              <w:top w:val="single" w:sz="4" w:space="0" w:color="auto"/>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-15</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107,6</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09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772</w:t>
            </w:r>
          </w:p>
        </w:tc>
        <w:tc>
          <w:tcPr>
            <w:tcW w:w="85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-26</w:t>
            </w:r>
            <w:r>
              <w:rPr>
                <w:rFonts w:eastAsia="Times New Roman"/>
                <w:sz w:val="20"/>
                <w:szCs w:val="20"/>
                <w:lang w:eastAsia="cs-CZ"/>
              </w:rPr>
              <w:t> %</w:t>
            </w:r>
          </w:p>
        </w:tc>
        <w:tc>
          <w:tcPr>
            <w:tcW w:w="1058"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845</w:t>
            </w:r>
          </w:p>
        </w:tc>
        <w:tc>
          <w:tcPr>
            <w:tcW w:w="92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-27</w:t>
            </w:r>
            <w:r>
              <w:rPr>
                <w:rFonts w:eastAsia="Times New Roman"/>
                <w:sz w:val="20"/>
                <w:szCs w:val="20"/>
                <w:lang w:eastAsia="cs-CZ"/>
              </w:rPr>
              <w:t> %</w:t>
            </w:r>
          </w:p>
        </w:tc>
        <w:tc>
          <w:tcPr>
            <w:tcW w:w="91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604</w:t>
            </w:r>
          </w:p>
        </w:tc>
        <w:tc>
          <w:tcPr>
            <w:tcW w:w="788"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109,5</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09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666</w:t>
            </w:r>
          </w:p>
        </w:tc>
        <w:tc>
          <w:tcPr>
            <w:tcW w:w="85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c>
          <w:tcPr>
            <w:tcW w:w="1058"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761</w:t>
            </w:r>
          </w:p>
        </w:tc>
        <w:tc>
          <w:tcPr>
            <w:tcW w:w="92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c>
          <w:tcPr>
            <w:tcW w:w="91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453</w:t>
            </w:r>
          </w:p>
        </w:tc>
        <w:tc>
          <w:tcPr>
            <w:tcW w:w="788"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-16</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114,3</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09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1 724</w:t>
            </w:r>
          </w:p>
        </w:tc>
        <w:tc>
          <w:tcPr>
            <w:tcW w:w="85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+14</w:t>
            </w:r>
            <w:r>
              <w:rPr>
                <w:rFonts w:eastAsia="Times New Roman"/>
                <w:sz w:val="20"/>
                <w:szCs w:val="20"/>
                <w:lang w:eastAsia="cs-CZ"/>
              </w:rPr>
              <w:t> %</w:t>
            </w:r>
          </w:p>
        </w:tc>
        <w:tc>
          <w:tcPr>
            <w:tcW w:w="1058"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1 782</w:t>
            </w:r>
          </w:p>
        </w:tc>
        <w:tc>
          <w:tcPr>
            <w:tcW w:w="92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+22</w:t>
            </w:r>
            <w:r>
              <w:rPr>
                <w:rFonts w:eastAsia="Times New Roman"/>
                <w:sz w:val="20"/>
                <w:szCs w:val="20"/>
                <w:lang w:eastAsia="cs-CZ"/>
              </w:rPr>
              <w:t> %</w:t>
            </w:r>
          </w:p>
        </w:tc>
        <w:tc>
          <w:tcPr>
            <w:tcW w:w="91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1 259</w:t>
            </w:r>
          </w:p>
        </w:tc>
        <w:tc>
          <w:tcPr>
            <w:tcW w:w="788"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103,4</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09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1 300</w:t>
            </w:r>
          </w:p>
        </w:tc>
        <w:tc>
          <w:tcPr>
            <w:tcW w:w="85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+21</w:t>
            </w:r>
            <w:r>
              <w:rPr>
                <w:rFonts w:eastAsia="Times New Roman"/>
                <w:sz w:val="20"/>
                <w:szCs w:val="20"/>
                <w:lang w:eastAsia="cs-CZ"/>
              </w:rPr>
              <w:t> %</w:t>
            </w:r>
          </w:p>
        </w:tc>
        <w:tc>
          <w:tcPr>
            <w:tcW w:w="1058"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1 725</w:t>
            </w:r>
          </w:p>
        </w:tc>
        <w:tc>
          <w:tcPr>
            <w:tcW w:w="92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c>
          <w:tcPr>
            <w:tcW w:w="91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2 700</w:t>
            </w:r>
          </w:p>
        </w:tc>
        <w:tc>
          <w:tcPr>
            <w:tcW w:w="788"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-14</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132,7</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09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2 018</w:t>
            </w:r>
          </w:p>
        </w:tc>
        <w:tc>
          <w:tcPr>
            <w:tcW w:w="85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c>
          <w:tcPr>
            <w:tcW w:w="1058"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2 099</w:t>
            </w:r>
          </w:p>
        </w:tc>
        <w:tc>
          <w:tcPr>
            <w:tcW w:w="92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+17</w:t>
            </w:r>
            <w:r>
              <w:rPr>
                <w:rFonts w:eastAsia="Times New Roman"/>
                <w:sz w:val="20"/>
                <w:szCs w:val="20"/>
                <w:lang w:eastAsia="cs-CZ"/>
              </w:rPr>
              <w:t> %</w:t>
            </w:r>
          </w:p>
        </w:tc>
        <w:tc>
          <w:tcPr>
            <w:tcW w:w="91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895</w:t>
            </w:r>
          </w:p>
        </w:tc>
        <w:tc>
          <w:tcPr>
            <w:tcW w:w="788"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104,0</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09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2 877</w:t>
            </w:r>
          </w:p>
        </w:tc>
        <w:tc>
          <w:tcPr>
            <w:tcW w:w="85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-10</w:t>
            </w:r>
            <w:r>
              <w:rPr>
                <w:rFonts w:eastAsia="Times New Roman"/>
                <w:sz w:val="20"/>
                <w:szCs w:val="20"/>
                <w:lang w:eastAsia="cs-CZ"/>
              </w:rPr>
              <w:t> %</w:t>
            </w:r>
          </w:p>
        </w:tc>
        <w:tc>
          <w:tcPr>
            <w:tcW w:w="1058"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3 228</w:t>
            </w:r>
          </w:p>
        </w:tc>
        <w:tc>
          <w:tcPr>
            <w:tcW w:w="92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-21</w:t>
            </w:r>
            <w:r>
              <w:rPr>
                <w:rFonts w:eastAsia="Times New Roman"/>
                <w:sz w:val="20"/>
                <w:szCs w:val="20"/>
                <w:lang w:eastAsia="cs-CZ"/>
              </w:rPr>
              <w:t> %</w:t>
            </w:r>
          </w:p>
        </w:tc>
        <w:tc>
          <w:tcPr>
            <w:tcW w:w="91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3 165</w:t>
            </w:r>
          </w:p>
        </w:tc>
        <w:tc>
          <w:tcPr>
            <w:tcW w:w="788"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-10</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112,2</w:t>
            </w:r>
            <w:r>
              <w:rPr>
                <w:rFonts w:eastAsia="Times New Roman"/>
                <w:szCs w:val="24"/>
                <w:lang w:eastAsia="cs-CZ"/>
              </w:rPr>
              <w:t> %</w:t>
            </w:r>
          </w:p>
        </w:tc>
      </w:tr>
      <w:tr w:rsidR="00A4083A" w:rsidRPr="00D17312" w:rsidTr="00A41CAB">
        <w:trPr>
          <w:trHeight w:val="330"/>
        </w:trPr>
        <w:tc>
          <w:tcPr>
            <w:tcW w:w="20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099"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4 174</w:t>
            </w:r>
          </w:p>
        </w:tc>
        <w:tc>
          <w:tcPr>
            <w:tcW w:w="85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1058"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4 252</w:t>
            </w:r>
          </w:p>
        </w:tc>
        <w:tc>
          <w:tcPr>
            <w:tcW w:w="927"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-12</w:t>
            </w:r>
            <w:r>
              <w:rPr>
                <w:rFonts w:eastAsia="Times New Roman"/>
                <w:sz w:val="20"/>
                <w:szCs w:val="20"/>
                <w:lang w:eastAsia="cs-CZ"/>
              </w:rPr>
              <w:t> %</w:t>
            </w:r>
          </w:p>
        </w:tc>
        <w:tc>
          <w:tcPr>
            <w:tcW w:w="91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2 137</w:t>
            </w:r>
          </w:p>
        </w:tc>
        <w:tc>
          <w:tcPr>
            <w:tcW w:w="788"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1539" w:type="dxa"/>
            <w:tcBorders>
              <w:top w:val="nil"/>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101,9</w:t>
            </w:r>
            <w:r>
              <w:rPr>
                <w:rFonts w:eastAsia="Times New Roman"/>
                <w:szCs w:val="24"/>
                <w:lang w:eastAsia="cs-CZ"/>
              </w:rPr>
              <w:t> %</w:t>
            </w:r>
          </w:p>
        </w:tc>
      </w:tr>
      <w:tr w:rsidR="00A4083A" w:rsidRPr="00D17312" w:rsidTr="00A41CAB">
        <w:trPr>
          <w:trHeight w:val="345"/>
        </w:trPr>
        <w:tc>
          <w:tcPr>
            <w:tcW w:w="20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099"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23 980</w:t>
            </w:r>
          </w:p>
        </w:tc>
        <w:tc>
          <w:tcPr>
            <w:tcW w:w="85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-6</w:t>
            </w:r>
            <w:r>
              <w:rPr>
                <w:rFonts w:eastAsia="Times New Roman"/>
                <w:b/>
                <w:bCs/>
                <w:sz w:val="20"/>
                <w:szCs w:val="20"/>
                <w:lang w:eastAsia="cs-CZ"/>
              </w:rPr>
              <w:t> %</w:t>
            </w:r>
          </w:p>
        </w:tc>
        <w:tc>
          <w:tcPr>
            <w:tcW w:w="1058"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25 936</w:t>
            </w:r>
          </w:p>
        </w:tc>
        <w:tc>
          <w:tcPr>
            <w:tcW w:w="927"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-8</w:t>
            </w:r>
            <w:r>
              <w:rPr>
                <w:rFonts w:eastAsia="Times New Roman"/>
                <w:b/>
                <w:bCs/>
                <w:sz w:val="20"/>
                <w:szCs w:val="20"/>
                <w:lang w:eastAsia="cs-CZ"/>
              </w:rPr>
              <w:t> %</w:t>
            </w:r>
          </w:p>
        </w:tc>
        <w:tc>
          <w:tcPr>
            <w:tcW w:w="91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15 844</w:t>
            </w:r>
          </w:p>
        </w:tc>
        <w:tc>
          <w:tcPr>
            <w:tcW w:w="788"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-11</w:t>
            </w:r>
            <w:r>
              <w:rPr>
                <w:rFonts w:eastAsia="Times New Roman"/>
                <w:b/>
                <w:bCs/>
                <w:sz w:val="20"/>
                <w:szCs w:val="20"/>
                <w:lang w:eastAsia="cs-CZ"/>
              </w:rPr>
              <w:t> %</w:t>
            </w:r>
          </w:p>
        </w:tc>
        <w:tc>
          <w:tcPr>
            <w:tcW w:w="1539"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108,2</w:t>
            </w:r>
            <w:r>
              <w:rPr>
                <w:rFonts w:eastAsia="Times New Roman"/>
                <w:b/>
                <w:bCs/>
                <w:szCs w:val="24"/>
                <w:lang w:eastAsia="cs-CZ"/>
              </w:rPr>
              <w:t> %</w:t>
            </w:r>
          </w:p>
        </w:tc>
      </w:tr>
    </w:tbl>
    <w:p w:rsidR="00A4083A" w:rsidRPr="00D17312" w:rsidRDefault="00A4083A" w:rsidP="00A4083A">
      <w:pPr>
        <w:rPr>
          <w:highlight w:val="yellow"/>
        </w:rPr>
      </w:pPr>
    </w:p>
    <w:p w:rsidR="00A4083A" w:rsidRDefault="00A4083A" w:rsidP="00A4083A">
      <w:pPr>
        <w:pStyle w:val="OdstavecASR"/>
      </w:pPr>
      <w:r w:rsidRPr="00D17312">
        <w:t>U všech krajských soudů byla míra vyřizování přes 100</w:t>
      </w:r>
      <w:r>
        <w:t> %</w:t>
      </w:r>
      <w:r w:rsidRPr="00D17312">
        <w:t>. U pěti z osmi krajských soudů byla dokonce výrazně vyšší (míra vyřizování 105</w:t>
      </w:r>
      <w:r>
        <w:t> % </w:t>
      </w:r>
      <w:r w:rsidRPr="00D17312">
        <w:t>a více). U KS v Ústí nad Labem byla míra vyřizování dokonce více než 130</w:t>
      </w:r>
      <w:r>
        <w:t> %</w:t>
      </w:r>
      <w:r w:rsidRPr="00D17312">
        <w:t>, a to i přes nemalý nárůst v počtu příchozích věcí.</w:t>
      </w:r>
    </w:p>
    <w:p w:rsidR="00A4083A" w:rsidRPr="00D17312" w:rsidRDefault="00A4083A" w:rsidP="00A4083A">
      <w:pPr>
        <w:pStyle w:val="Nadpis3"/>
        <w:rPr>
          <w:color w:val="auto"/>
        </w:rPr>
      </w:pPr>
      <w:bookmarkStart w:id="368" w:name="_Toc43903056"/>
      <w:r w:rsidRPr="00D17312">
        <w:rPr>
          <w:color w:val="auto"/>
        </w:rPr>
        <w:t>Vyřizování v přepočtu na soudce</w:t>
      </w:r>
      <w:bookmarkEnd w:id="368"/>
    </w:p>
    <w:p w:rsidR="00A4083A" w:rsidRDefault="00A4083A" w:rsidP="00A4083A">
      <w:pPr>
        <w:pStyle w:val="OdstavecASR"/>
      </w:pPr>
      <w:r w:rsidRPr="00D17312">
        <w:t>Stejně jako u OS má Ministerstvo spravedlnosti k dispozici přesnější data o počtu soudců</w:t>
      </w:r>
      <w:r>
        <w:t xml:space="preserve">, která budou využita </w:t>
      </w:r>
      <w:r w:rsidRPr="00D17312">
        <w:t>pro přepočet</w:t>
      </w:r>
      <w:r>
        <w:t xml:space="preserve">, neboť </w:t>
      </w:r>
      <w:r w:rsidRPr="00D17312">
        <w:t xml:space="preserve">umožňují oddělit soudce vyřizující prvostupňovou agendu od soudců, kteří vyřizují agendu odvolací. V těchto datech tedy je </w:t>
      </w:r>
      <w:r>
        <w:t xml:space="preserve">zahrnut </w:t>
      </w:r>
      <w:r w:rsidRPr="00D17312">
        <w:t xml:space="preserve">počet soudců (úvazků), kteří se zabývají prvostupňovou občanskoprávní a obchodněprávní agendou. Soudci, kteří se zabývají </w:t>
      </w:r>
      <w:r w:rsidRPr="00D17312">
        <w:lastRenderedPageBreak/>
        <w:t>insolvencemi, incidenčními spory a obchodním rejstříkem zde započtení nejsou. Přepočet na soudce je uveden v tabulce níže.</w:t>
      </w:r>
    </w:p>
    <w:p w:rsidR="00A4083A" w:rsidRPr="00D17312" w:rsidRDefault="00A4083A" w:rsidP="00A4083A">
      <w:pPr>
        <w:pStyle w:val="OdstavecASR"/>
      </w:pPr>
      <w:r w:rsidRPr="00D17312">
        <w:t>Z tabulky vyplývá několik zajímavých údajů, například:</w:t>
      </w:r>
    </w:p>
    <w:p w:rsidR="00A4083A" w:rsidRPr="00D17312" w:rsidRDefault="00A4083A" w:rsidP="00A4083A">
      <w:pPr>
        <w:pStyle w:val="OdstavecASR"/>
        <w:numPr>
          <w:ilvl w:val="0"/>
          <w:numId w:val="23"/>
        </w:numPr>
      </w:pPr>
      <w:r w:rsidRPr="00D17312">
        <w:t xml:space="preserve">Méně než jedna šestina soudců na </w:t>
      </w:r>
      <w:r>
        <w:t>civilním</w:t>
      </w:r>
      <w:r w:rsidRPr="00D17312">
        <w:t xml:space="preserve"> úseku se zabývá </w:t>
      </w:r>
      <w:r>
        <w:t>prvostupňovou</w:t>
      </w:r>
      <w:r w:rsidRPr="00D17312">
        <w:t xml:space="preserve"> agendou. </w:t>
      </w:r>
      <w:r>
        <w:t>Prvostupňový ú</w:t>
      </w:r>
      <w:r w:rsidRPr="00D17312">
        <w:t>sek je tedy poměrně malý.</w:t>
      </w:r>
    </w:p>
    <w:p w:rsidR="00A4083A" w:rsidRPr="00D17312" w:rsidRDefault="00A4083A" w:rsidP="00A4083A">
      <w:pPr>
        <w:pStyle w:val="OdstavecASR"/>
        <w:numPr>
          <w:ilvl w:val="0"/>
          <w:numId w:val="23"/>
        </w:numPr>
      </w:pPr>
      <w:r w:rsidRPr="00D17312">
        <w:t>Mezi soudy jsou velké rozdíly v přepočtu věcí na soudce. U počtu nevyřízených věcí to plyne z celkové zatíženosti soudu i počtu soudců, kteří se danou agendou zabývají. Nicméně počet příchozích věcí (a tím v zásadě i vyřízených věcí) je zohledněn v systemizaci, takže by mezi soudy měly být menší rozdíly. Pro rozdíly může být několik vysvětlení:</w:t>
      </w:r>
    </w:p>
    <w:p w:rsidR="00A4083A" w:rsidRPr="00D17312" w:rsidRDefault="00A4083A" w:rsidP="00A4083A">
      <w:pPr>
        <w:pStyle w:val="OdstavecASR"/>
        <w:numPr>
          <w:ilvl w:val="1"/>
          <w:numId w:val="23"/>
        </w:numPr>
      </w:pPr>
      <w:r w:rsidRPr="00D17312">
        <w:t>Počet soudců je u některých soudů malý,</w:t>
      </w:r>
      <w:r>
        <w:t xml:space="preserve"> dočasný</w:t>
      </w:r>
      <w:r w:rsidRPr="00D17312">
        <w:t xml:space="preserve"> výpadek i jednoho soudce </w:t>
      </w:r>
      <w:r>
        <w:t xml:space="preserve">proto </w:t>
      </w:r>
      <w:r w:rsidRPr="00D17312">
        <w:t>může hrát velkou roli v datech.</w:t>
      </w:r>
    </w:p>
    <w:p w:rsidR="00A4083A" w:rsidRPr="00D17312" w:rsidRDefault="00A4083A" w:rsidP="00A4083A">
      <w:pPr>
        <w:pStyle w:val="OdstavecASR"/>
        <w:numPr>
          <w:ilvl w:val="1"/>
          <w:numId w:val="23"/>
        </w:numPr>
      </w:pPr>
      <w:r w:rsidRPr="00D17312">
        <w:t>Některé KS tuto agendu mohly posílit kvůli vysokému počtu nedodělků</w:t>
      </w:r>
      <w:r>
        <w:t>, p</w:t>
      </w:r>
      <w:r w:rsidRPr="00D17312">
        <w:t xml:space="preserve">řípadně </w:t>
      </w:r>
      <w:r>
        <w:t>z jiných důvodů</w:t>
      </w:r>
      <w:r w:rsidRPr="00D17312">
        <w:t>.</w:t>
      </w:r>
    </w:p>
    <w:p w:rsidR="00A4083A" w:rsidRPr="00D17312" w:rsidRDefault="00A4083A" w:rsidP="00A4083A">
      <w:pPr>
        <w:pStyle w:val="OdstavecASR"/>
        <w:numPr>
          <w:ilvl w:val="1"/>
          <w:numId w:val="23"/>
        </w:numPr>
      </w:pPr>
      <w:r>
        <w:t xml:space="preserve">Jelikož </w:t>
      </w:r>
      <w:r w:rsidRPr="00D17312">
        <w:t>se jedná o první rok, kdy jsou data takto sbírána</w:t>
      </w:r>
      <w:r>
        <w:t>,</w:t>
      </w:r>
      <w:r w:rsidRPr="00D17312">
        <w:t xml:space="preserve"> mohou v nich být určité nekonzistence.</w:t>
      </w:r>
    </w:p>
    <w:p w:rsidR="00A4083A" w:rsidRPr="00D17312" w:rsidRDefault="00A4083A" w:rsidP="00A4083A">
      <w:pPr>
        <w:pStyle w:val="OdstavecASR"/>
      </w:pPr>
      <w:r>
        <w:t>Z</w:t>
      </w:r>
      <w:r w:rsidRPr="00D17312">
        <w:t xml:space="preserve">daleka nejmenší počty </w:t>
      </w:r>
      <w:r>
        <w:t xml:space="preserve">má každopádně </w:t>
      </w:r>
      <w:r w:rsidRPr="00D17312">
        <w:t>v</w:t>
      </w:r>
      <w:r>
        <w:t> </w:t>
      </w:r>
      <w:r w:rsidRPr="00D17312">
        <w:t>přepočt</w:t>
      </w:r>
      <w:r>
        <w:t>u na soudce</w:t>
      </w:r>
      <w:r w:rsidRPr="00D17312">
        <w:t xml:space="preserve"> KS v Českých Budějovicích a</w:t>
      </w:r>
      <w:r>
        <w:t> </w:t>
      </w:r>
      <w:r w:rsidRPr="00D17312">
        <w:t>nejvyšší naopak KS Plzeň.</w:t>
      </w:r>
    </w:p>
    <w:p w:rsidR="00A4083A" w:rsidRPr="00D17312" w:rsidRDefault="00A4083A" w:rsidP="00A4083A">
      <w:pPr>
        <w:pStyle w:val="Podnadpis"/>
        <w:rPr>
          <w:color w:val="auto"/>
        </w:rPr>
      </w:pPr>
      <w:bookmarkStart w:id="369" w:name="_Toc43931215"/>
      <w:r w:rsidRPr="00D17312">
        <w:rPr>
          <w:color w:val="auto"/>
        </w:rPr>
        <w:t xml:space="preserve">Tabulka </w:t>
      </w:r>
      <w:r w:rsidRPr="00D17312">
        <w:rPr>
          <w:noProof/>
          <w:color w:val="auto"/>
        </w:rPr>
        <w:fldChar w:fldCharType="begin"/>
      </w:r>
      <w:r w:rsidRPr="00D17312">
        <w:rPr>
          <w:noProof/>
          <w:color w:val="auto"/>
        </w:rPr>
        <w:instrText xml:space="preserve"> SEQ Tabulka \* ARABIC </w:instrText>
      </w:r>
      <w:r w:rsidRPr="00D17312">
        <w:rPr>
          <w:noProof/>
          <w:color w:val="auto"/>
        </w:rPr>
        <w:fldChar w:fldCharType="separate"/>
      </w:r>
      <w:r w:rsidR="006E7F27">
        <w:rPr>
          <w:noProof/>
          <w:color w:val="auto"/>
        </w:rPr>
        <w:t>42</w:t>
      </w:r>
      <w:r w:rsidRPr="00D17312">
        <w:rPr>
          <w:noProof/>
          <w:color w:val="auto"/>
        </w:rPr>
        <w:fldChar w:fldCharType="end"/>
      </w:r>
      <w:r w:rsidRPr="00D17312">
        <w:rPr>
          <w:color w:val="auto"/>
        </w:rPr>
        <w:t>: KS – vyřizování prvostupňových civil. věcí na soudce dle krajů</w:t>
      </w:r>
      <w:bookmarkEnd w:id="369"/>
    </w:p>
    <w:tbl>
      <w:tblPr>
        <w:tblW w:w="8780" w:type="dxa"/>
        <w:tblCellMar>
          <w:left w:w="70" w:type="dxa"/>
          <w:right w:w="70" w:type="dxa"/>
        </w:tblCellMar>
        <w:tblLook w:val="04A0" w:firstRow="1" w:lastRow="0" w:firstColumn="1" w:lastColumn="0" w:noHBand="0" w:noVBand="1"/>
      </w:tblPr>
      <w:tblGrid>
        <w:gridCol w:w="2480"/>
        <w:gridCol w:w="1660"/>
        <w:gridCol w:w="2036"/>
        <w:gridCol w:w="1141"/>
        <w:gridCol w:w="1463"/>
      </w:tblGrid>
      <w:tr w:rsidR="00A4083A" w:rsidRPr="00D17312" w:rsidTr="00A41C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166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soudců</w:t>
            </w:r>
          </w:p>
        </w:tc>
        <w:tc>
          <w:tcPr>
            <w:tcW w:w="4640" w:type="dxa"/>
            <w:gridSpan w:val="3"/>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věcí na soudce</w:t>
            </w:r>
          </w:p>
        </w:tc>
      </w:tr>
      <w:tr w:rsidR="00A4083A" w:rsidRPr="00D17312" w:rsidTr="00A41CAB">
        <w:trPr>
          <w:trHeight w:val="330"/>
        </w:trPr>
        <w:tc>
          <w:tcPr>
            <w:tcW w:w="24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66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2036"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Nápad + obživa</w:t>
            </w:r>
          </w:p>
        </w:tc>
        <w:tc>
          <w:tcPr>
            <w:tcW w:w="1141"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Vyřízeno</w:t>
            </w:r>
          </w:p>
        </w:tc>
        <w:tc>
          <w:tcPr>
            <w:tcW w:w="1463"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Nevyřízeno</w:t>
            </w:r>
          </w:p>
        </w:tc>
      </w:tr>
      <w:tr w:rsidR="00A4083A" w:rsidRPr="00D17312"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66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27</w:t>
            </w:r>
          </w:p>
        </w:tc>
        <w:tc>
          <w:tcPr>
            <w:tcW w:w="2036"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387,00</w:t>
            </w:r>
          </w:p>
        </w:tc>
        <w:tc>
          <w:tcPr>
            <w:tcW w:w="1141"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416,44</w:t>
            </w:r>
          </w:p>
        </w:tc>
        <w:tc>
          <w:tcPr>
            <w:tcW w:w="1463"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171,52</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386,00</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422,50</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302,00</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74,00</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84,56</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50,33</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431,00</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445,50</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314,75</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9,35</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139,04</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184,49</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288,77</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6,8</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296,76</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308,68</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131,62</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119,88</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134,50</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131,88</w:t>
            </w:r>
          </w:p>
        </w:tc>
      </w:tr>
      <w:tr w:rsidR="00A4083A" w:rsidRPr="00D17312"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6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16,2</w:t>
            </w:r>
          </w:p>
        </w:tc>
        <w:tc>
          <w:tcPr>
            <w:tcW w:w="203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257,65</w:t>
            </w:r>
          </w:p>
        </w:tc>
        <w:tc>
          <w:tcPr>
            <w:tcW w:w="114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262,47</w:t>
            </w:r>
          </w:p>
        </w:tc>
        <w:tc>
          <w:tcPr>
            <w:tcW w:w="146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131,91</w:t>
            </w:r>
          </w:p>
        </w:tc>
      </w:tr>
      <w:tr w:rsidR="00A4083A" w:rsidRPr="00D17312"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6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98,35</w:t>
            </w:r>
          </w:p>
        </w:tc>
        <w:tc>
          <w:tcPr>
            <w:tcW w:w="203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243,82</w:t>
            </w:r>
          </w:p>
        </w:tc>
        <w:tc>
          <w:tcPr>
            <w:tcW w:w="114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263,71</w:t>
            </w:r>
          </w:p>
        </w:tc>
        <w:tc>
          <w:tcPr>
            <w:tcW w:w="146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161,10</w:t>
            </w:r>
          </w:p>
        </w:tc>
      </w:tr>
    </w:tbl>
    <w:p w:rsidR="00A4083A" w:rsidRPr="00D17312" w:rsidRDefault="00A4083A" w:rsidP="00A4083A">
      <w:pPr>
        <w:pStyle w:val="OdstavecASR"/>
      </w:pPr>
    </w:p>
    <w:p w:rsidR="00A4083A" w:rsidRPr="00D17312" w:rsidRDefault="00A4083A" w:rsidP="00A4083A">
      <w:pPr>
        <w:pStyle w:val="Nadpis3"/>
        <w:keepNext w:val="0"/>
        <w:rPr>
          <w:color w:val="auto"/>
        </w:rPr>
      </w:pPr>
      <w:bookmarkStart w:id="370" w:name="_Toc515871251"/>
      <w:bookmarkStart w:id="371" w:name="_Toc43903057"/>
      <w:r w:rsidRPr="00D17312">
        <w:rPr>
          <w:color w:val="auto"/>
        </w:rPr>
        <w:t>Disposition time</w:t>
      </w:r>
      <w:bookmarkEnd w:id="370"/>
      <w:bookmarkEnd w:id="371"/>
    </w:p>
    <w:p w:rsidR="00A4083A" w:rsidRDefault="00A4083A" w:rsidP="00A4083A">
      <w:pPr>
        <w:pStyle w:val="OdstavecASR"/>
      </w:pPr>
      <w:r w:rsidRPr="00D17312">
        <w:t>Krátký popis způsobu výpočtu a účelu DT je obsažen v podkapitole </w:t>
      </w:r>
      <w:r w:rsidRPr="00D17312">
        <w:fldChar w:fldCharType="begin"/>
      </w:r>
      <w:r w:rsidRPr="00D17312">
        <w:instrText xml:space="preserve"> REF _Ref509845712 \r \h  \* MERGEFORMAT </w:instrText>
      </w:r>
      <w:r w:rsidRPr="00D17312">
        <w:fldChar w:fldCharType="separate"/>
      </w:r>
      <w:r w:rsidR="006E7F27">
        <w:t>2.2.4</w:t>
      </w:r>
      <w:r w:rsidRPr="00D17312">
        <w:fldChar w:fldCharType="end"/>
      </w:r>
      <w:r w:rsidRPr="00D17312">
        <w:t>.</w:t>
      </w:r>
    </w:p>
    <w:p w:rsidR="00A4083A" w:rsidRPr="00D17312" w:rsidRDefault="00A4083A" w:rsidP="00A4083A">
      <w:pPr>
        <w:pStyle w:val="OdstavecASR"/>
      </w:pPr>
      <w:r w:rsidRPr="00D17312">
        <w:t>Od roku 2010 do roku 2019 je vývoj DT celkem stabilizovaný okolo hodnoty 240 kalendářních dnů a konkrétní hodnota v daném roce vždy závisí na vzájemném poměru a vývoji mezi počtem</w:t>
      </w:r>
      <w:r>
        <w:t xml:space="preserve"> nevyřízených a vyřízených věcí. Připomínáme, že </w:t>
      </w:r>
      <w:r w:rsidRPr="00D17312">
        <w:t xml:space="preserve">DT je doba, za kterou </w:t>
      </w:r>
      <w:r>
        <w:t xml:space="preserve">by </w:t>
      </w:r>
      <w:r w:rsidRPr="00D17312">
        <w:t>soud vyříd</w:t>
      </w:r>
      <w:r>
        <w:t>il</w:t>
      </w:r>
      <w:r w:rsidRPr="00D17312">
        <w:t xml:space="preserve"> všechny nevyřízené věci, které u něj v daném roce leží, pokud by pracoval stejným tempem a neměl žádný nový nápad ani obživu věcí</w:t>
      </w:r>
      <w:r>
        <w:t>. Nejde tedy o</w:t>
      </w:r>
      <w:r w:rsidRPr="00D17312">
        <w:t xml:space="preserve"> průměrn</w:t>
      </w:r>
      <w:r>
        <w:t>ou</w:t>
      </w:r>
      <w:r w:rsidRPr="00D17312">
        <w:t xml:space="preserve"> délka řízení a DT není závislý na velikosti soudu</w:t>
      </w:r>
      <w:r>
        <w:t>;</w:t>
      </w:r>
      <w:r w:rsidRPr="00D17312">
        <w:t xml:space="preserve"> proto se hodí k vzájemnému srovnávání během let nebo mezi soudy.</w:t>
      </w:r>
    </w:p>
    <w:p w:rsidR="00A4083A" w:rsidRPr="00D17312" w:rsidRDefault="00A4083A" w:rsidP="00A4083A">
      <w:pPr>
        <w:pStyle w:val="Podnadpis"/>
        <w:rPr>
          <w:color w:val="auto"/>
        </w:rPr>
      </w:pPr>
      <w:bookmarkStart w:id="372" w:name="_Toc515871384"/>
      <w:bookmarkStart w:id="373" w:name="_Toc11135115"/>
      <w:bookmarkStart w:id="374" w:name="_Toc43841434"/>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54</w:t>
      </w:r>
      <w:r w:rsidRPr="00D17312">
        <w:rPr>
          <w:noProof/>
          <w:color w:val="auto"/>
        </w:rPr>
        <w:fldChar w:fldCharType="end"/>
      </w:r>
      <w:r w:rsidRPr="00D17312">
        <w:rPr>
          <w:color w:val="auto"/>
        </w:rPr>
        <w:t>: KS – DT prvostupňového civilního řízení v letech 2008–</w:t>
      </w:r>
      <w:bookmarkEnd w:id="372"/>
      <w:bookmarkEnd w:id="373"/>
      <w:r w:rsidRPr="00D17312">
        <w:rPr>
          <w:color w:val="auto"/>
        </w:rPr>
        <w:t>2019</w:t>
      </w:r>
      <w:bookmarkEnd w:id="374"/>
    </w:p>
    <w:p w:rsidR="00A4083A" w:rsidRPr="00D17312" w:rsidRDefault="00A4083A" w:rsidP="00A4083A">
      <w:pPr>
        <w:rPr>
          <w:highlight w:val="yellow"/>
        </w:rPr>
      </w:pPr>
      <w:r w:rsidRPr="00D17312">
        <w:rPr>
          <w:noProof/>
          <w:lang w:eastAsia="cs-CZ"/>
        </w:rPr>
        <w:drawing>
          <wp:inline distT="0" distB="0" distL="0" distR="0" wp14:anchorId="578C63FC" wp14:editId="3FE4AC4A">
            <wp:extent cx="5115560" cy="3743960"/>
            <wp:effectExtent l="0" t="0" r="0" b="889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rsidR="00A4083A" w:rsidRDefault="00A4083A" w:rsidP="00A4083A">
      <w:pPr>
        <w:pStyle w:val="OdstavecASR"/>
      </w:pPr>
      <w:r w:rsidRPr="00D17312">
        <w:t>DT a jeho změny u konkrétních soudů pak plynou z údajů uvedených v předchozí podkapitole.</w:t>
      </w:r>
    </w:p>
    <w:p w:rsidR="00A4083A" w:rsidRPr="00D17312" w:rsidRDefault="00A4083A" w:rsidP="00A4083A">
      <w:pPr>
        <w:pStyle w:val="OdstavecASR"/>
      </w:pPr>
      <w:r>
        <w:t>Z tabulky vyplývá</w:t>
      </w:r>
      <w:r w:rsidRPr="00D17312">
        <w:t>, že i přes pokles v počtu nevyřízených věcí se DT u některých KS zvýšil (KS Praha, KS Brno, KS Ostrava). To je dáno tím, že počet vyřízených věcí klesl rychleji než počet věcí nevyřízených.</w:t>
      </w:r>
    </w:p>
    <w:p w:rsidR="00A4083A" w:rsidRPr="00D17312" w:rsidRDefault="00A4083A" w:rsidP="00A4083A">
      <w:pPr>
        <w:pStyle w:val="Podnadpis"/>
        <w:rPr>
          <w:color w:val="auto"/>
        </w:rPr>
      </w:pPr>
      <w:bookmarkStart w:id="375" w:name="_Toc515871470"/>
      <w:bookmarkStart w:id="376" w:name="_Toc11133237"/>
      <w:bookmarkStart w:id="377" w:name="_Toc43931216"/>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43</w:t>
      </w:r>
      <w:r w:rsidRPr="00D17312">
        <w:rPr>
          <w:noProof/>
          <w:color w:val="auto"/>
        </w:rPr>
        <w:fldChar w:fldCharType="end"/>
      </w:r>
      <w:r w:rsidRPr="00D17312">
        <w:rPr>
          <w:color w:val="auto"/>
        </w:rPr>
        <w:t>: KS – DT prvostupňového civilního řízení dle soudů</w:t>
      </w:r>
      <w:bookmarkEnd w:id="375"/>
      <w:bookmarkEnd w:id="376"/>
      <w:bookmarkEnd w:id="377"/>
    </w:p>
    <w:tbl>
      <w:tblPr>
        <w:tblW w:w="5960" w:type="dxa"/>
        <w:tblCellMar>
          <w:left w:w="70" w:type="dxa"/>
          <w:right w:w="70" w:type="dxa"/>
        </w:tblCellMar>
        <w:tblLook w:val="04A0" w:firstRow="1" w:lastRow="0" w:firstColumn="1" w:lastColumn="0" w:noHBand="0" w:noVBand="1"/>
      </w:tblPr>
      <w:tblGrid>
        <w:gridCol w:w="2780"/>
        <w:gridCol w:w="1253"/>
        <w:gridCol w:w="1927"/>
      </w:tblGrid>
      <w:tr w:rsidR="00A4083A" w:rsidRPr="00D17312" w:rsidTr="00A41CAB">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Disposition time</w:t>
            </w:r>
          </w:p>
        </w:tc>
      </w:tr>
      <w:tr w:rsidR="00A4083A" w:rsidRPr="00D17312" w:rsidTr="00A41CAB">
        <w:trPr>
          <w:trHeight w:val="330"/>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150</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261</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+23</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217</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-10</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258</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-22</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571</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156</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-22</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358</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+14</w:t>
            </w:r>
            <w:r>
              <w:rPr>
                <w:rFonts w:eastAsia="Times New Roman"/>
                <w:sz w:val="20"/>
                <w:szCs w:val="20"/>
                <w:lang w:eastAsia="cs-CZ"/>
              </w:rPr>
              <w:t> %</w:t>
            </w:r>
          </w:p>
        </w:tc>
      </w:tr>
      <w:tr w:rsidR="00A4083A" w:rsidRPr="00D17312" w:rsidTr="00A41CAB">
        <w:trPr>
          <w:trHeight w:val="330"/>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25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183</w:t>
            </w:r>
          </w:p>
        </w:tc>
        <w:tc>
          <w:tcPr>
            <w:tcW w:w="1927"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+10</w:t>
            </w:r>
            <w:r>
              <w:rPr>
                <w:rFonts w:eastAsia="Times New Roman"/>
                <w:sz w:val="20"/>
                <w:szCs w:val="20"/>
                <w:lang w:eastAsia="cs-CZ"/>
              </w:rPr>
              <w:t> %</w:t>
            </w:r>
          </w:p>
        </w:tc>
      </w:tr>
      <w:tr w:rsidR="00A4083A" w:rsidRPr="00D17312" w:rsidTr="00A41CAB">
        <w:trPr>
          <w:trHeight w:val="345"/>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25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223</w:t>
            </w:r>
          </w:p>
        </w:tc>
        <w:tc>
          <w:tcPr>
            <w:tcW w:w="1927"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-3</w:t>
            </w:r>
            <w:r>
              <w:rPr>
                <w:rFonts w:eastAsia="Times New Roman"/>
                <w:b/>
                <w:bCs/>
                <w:sz w:val="20"/>
                <w:szCs w:val="20"/>
                <w:lang w:eastAsia="cs-CZ"/>
              </w:rPr>
              <w:t> %</w:t>
            </w:r>
          </w:p>
        </w:tc>
      </w:tr>
    </w:tbl>
    <w:p w:rsidR="00A4083A" w:rsidRPr="00D17312" w:rsidRDefault="00A4083A" w:rsidP="00A4083A">
      <w:pPr>
        <w:rPr>
          <w:highlight w:val="yellow"/>
        </w:rPr>
      </w:pPr>
    </w:p>
    <w:p w:rsidR="00A4083A" w:rsidRPr="00D17312" w:rsidRDefault="00A4083A" w:rsidP="00A4083A">
      <w:pPr>
        <w:pStyle w:val="Nadpis3"/>
        <w:rPr>
          <w:color w:val="auto"/>
        </w:rPr>
      </w:pPr>
      <w:bookmarkStart w:id="378" w:name="_Toc43903058"/>
      <w:r w:rsidRPr="00D17312">
        <w:rPr>
          <w:color w:val="auto"/>
        </w:rPr>
        <w:t>Další statistiky</w:t>
      </w:r>
      <w:bookmarkEnd w:id="378"/>
    </w:p>
    <w:p w:rsidR="00A4083A" w:rsidRDefault="00A4083A" w:rsidP="00A4083A">
      <w:pPr>
        <w:pStyle w:val="OdstavecASR"/>
      </w:pPr>
      <w:r w:rsidRPr="00D17312">
        <w:t xml:space="preserve">U krajských soudů uvádíme dvě stejné </w:t>
      </w:r>
      <w:r w:rsidRPr="00D17312">
        <w:rPr>
          <w:i/>
        </w:rPr>
        <w:t>další statistiky</w:t>
      </w:r>
      <w:r w:rsidRPr="00D17312">
        <w:t xml:space="preserve"> jako u soudů okresních, tj. míru odvolání a míru změny rozsudku. Díky tomu je tyto statistiky možné porovnat mezi okresními a krajskými soudy. Dále je uvedena výše přiznaných nároků.</w:t>
      </w:r>
    </w:p>
    <w:p w:rsidR="00A4083A" w:rsidRPr="00D17312" w:rsidRDefault="00A4083A" w:rsidP="00A4083A">
      <w:pPr>
        <w:pStyle w:val="OdstavecASR"/>
      </w:pPr>
      <w:r w:rsidRPr="00D17312">
        <w:lastRenderedPageBreak/>
        <w:t xml:space="preserve">Ve srovnání se statistickou výroční zprávou za rok 2016 byla vypočtená míra odvolání v letech 2017 až 2019 ovlivněna především očištěním dat o věci s předmětem sporu </w:t>
      </w:r>
      <w:r w:rsidRPr="00D17312">
        <w:rPr>
          <w:i/>
        </w:rPr>
        <w:t>právní vztahy související se zrušením a likvidací obchodních korporací</w:t>
      </w:r>
      <w:r w:rsidRPr="00D17312">
        <w:t xml:space="preserve"> (viz podkapitola </w:t>
      </w:r>
      <w:r w:rsidRPr="00D17312">
        <w:fldChar w:fldCharType="begin"/>
      </w:r>
      <w:r w:rsidRPr="00D17312">
        <w:instrText xml:space="preserve"> REF _Ref511302440 \r \h  \* MERGEFORMAT </w:instrText>
      </w:r>
      <w:r w:rsidRPr="00D17312">
        <w:fldChar w:fldCharType="separate"/>
      </w:r>
      <w:r w:rsidR="006E7F27">
        <w:t>3.2.1</w:t>
      </w:r>
      <w:r w:rsidRPr="00D17312">
        <w:fldChar w:fldCharType="end"/>
      </w:r>
      <w:r w:rsidRPr="00D17312">
        <w:t>).</w:t>
      </w:r>
    </w:p>
    <w:p w:rsidR="00A4083A" w:rsidRPr="00D17312" w:rsidRDefault="00A4083A" w:rsidP="00A4083A">
      <w:pPr>
        <w:pStyle w:val="Podnadpis"/>
        <w:rPr>
          <w:color w:val="auto"/>
        </w:rPr>
      </w:pPr>
      <w:bookmarkStart w:id="379" w:name="_Toc515871471"/>
      <w:bookmarkStart w:id="380" w:name="_Toc11133238"/>
      <w:bookmarkStart w:id="381" w:name="_Toc43931217"/>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44</w:t>
      </w:r>
      <w:r w:rsidRPr="00D17312">
        <w:rPr>
          <w:noProof/>
          <w:color w:val="auto"/>
        </w:rPr>
        <w:fldChar w:fldCharType="end"/>
      </w:r>
      <w:r w:rsidRPr="00D17312">
        <w:rPr>
          <w:color w:val="auto"/>
        </w:rPr>
        <w:t>: KS – míra odvolání dle soudů v civilním řízení</w:t>
      </w:r>
      <w:bookmarkEnd w:id="379"/>
      <w:bookmarkEnd w:id="380"/>
      <w:bookmarkEnd w:id="381"/>
    </w:p>
    <w:tbl>
      <w:tblPr>
        <w:tblW w:w="6300" w:type="dxa"/>
        <w:tblCellMar>
          <w:left w:w="70" w:type="dxa"/>
          <w:right w:w="70" w:type="dxa"/>
        </w:tblCellMar>
        <w:tblLook w:val="04A0" w:firstRow="1" w:lastRow="0" w:firstColumn="1" w:lastColumn="0" w:noHBand="0" w:noVBand="1"/>
      </w:tblPr>
      <w:tblGrid>
        <w:gridCol w:w="2780"/>
        <w:gridCol w:w="1467"/>
        <w:gridCol w:w="2053"/>
      </w:tblGrid>
      <w:tr w:rsidR="00A4083A" w:rsidRPr="00D17312" w:rsidTr="00A41CAB">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Míra odvolání (v</w:t>
            </w:r>
            <w:r>
              <w:rPr>
                <w:rFonts w:eastAsia="Times New Roman"/>
                <w:b/>
                <w:bCs/>
                <w:szCs w:val="24"/>
                <w:lang w:eastAsia="cs-CZ"/>
              </w:rPr>
              <w:t> %</w:t>
            </w:r>
            <w:r w:rsidRPr="00D17312">
              <w:rPr>
                <w:rFonts w:eastAsia="Times New Roman"/>
                <w:b/>
                <w:bCs/>
                <w:szCs w:val="24"/>
                <w:lang w:eastAsia="cs-CZ"/>
              </w:rPr>
              <w:t xml:space="preserve">) </w:t>
            </w:r>
          </w:p>
        </w:tc>
      </w:tr>
      <w:tr w:rsidR="00A4083A" w:rsidRPr="00D17312" w:rsidTr="00A41CAB">
        <w:trPr>
          <w:trHeight w:val="330"/>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46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37,44</w:t>
            </w:r>
          </w:p>
        </w:tc>
        <w:tc>
          <w:tcPr>
            <w:tcW w:w="205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+1,7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46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17,94</w:t>
            </w:r>
          </w:p>
        </w:tc>
        <w:tc>
          <w:tcPr>
            <w:tcW w:w="205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-4,3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46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25,44</w:t>
            </w:r>
          </w:p>
        </w:tc>
        <w:tc>
          <w:tcPr>
            <w:tcW w:w="205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-10,9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46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19,62</w:t>
            </w:r>
          </w:p>
        </w:tc>
        <w:tc>
          <w:tcPr>
            <w:tcW w:w="205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+0,8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46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15,57</w:t>
            </w:r>
          </w:p>
        </w:tc>
        <w:tc>
          <w:tcPr>
            <w:tcW w:w="205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+4,5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46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16,86</w:t>
            </w:r>
          </w:p>
        </w:tc>
        <w:tc>
          <w:tcPr>
            <w:tcW w:w="205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-1,2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46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17,57</w:t>
            </w:r>
          </w:p>
        </w:tc>
        <w:tc>
          <w:tcPr>
            <w:tcW w:w="205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-2,3 p.b.</w:t>
            </w:r>
          </w:p>
        </w:tc>
      </w:tr>
      <w:tr w:rsidR="00A4083A" w:rsidRPr="00D17312" w:rsidTr="00A41CAB">
        <w:trPr>
          <w:trHeight w:val="330"/>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467"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10,90</w:t>
            </w:r>
          </w:p>
        </w:tc>
        <w:tc>
          <w:tcPr>
            <w:tcW w:w="2053" w:type="dxa"/>
            <w:tcBorders>
              <w:top w:val="nil"/>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+0,0 p.b.</w:t>
            </w:r>
          </w:p>
        </w:tc>
      </w:tr>
      <w:tr w:rsidR="00A4083A" w:rsidRPr="00D17312" w:rsidTr="00A41CAB">
        <w:trPr>
          <w:trHeight w:val="345"/>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467"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22,77</w:t>
            </w:r>
          </w:p>
        </w:tc>
        <w:tc>
          <w:tcPr>
            <w:tcW w:w="2053"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-0,5 p.b.</w:t>
            </w:r>
          </w:p>
        </w:tc>
      </w:tr>
    </w:tbl>
    <w:p w:rsidR="00A4083A" w:rsidRPr="00D17312" w:rsidRDefault="00A4083A" w:rsidP="00A4083A">
      <w:pPr>
        <w:pStyle w:val="OdstavecASR"/>
      </w:pPr>
    </w:p>
    <w:p w:rsidR="00A4083A" w:rsidRPr="00D17312" w:rsidRDefault="00A4083A" w:rsidP="00A4083A">
      <w:pPr>
        <w:pStyle w:val="OdstavecASR"/>
      </w:pPr>
      <w:r w:rsidRPr="00D17312">
        <w:t>V tabulce výše vidíme značné rozdíly mezi jednotlivými soudy. Míra odvolání se skokově snížila (po loňském zvýšení) u KS České Budějovice, dále se zvýšila u KS Ústí nad Labem a MS Praha. Při srovnání s tabulkou 11 vidíme, že u krajských soudů zůstává</w:t>
      </w:r>
      <w:r>
        <w:t xml:space="preserve"> míra odvolání</w:t>
      </w:r>
      <w:r w:rsidRPr="00D17312">
        <w:t xml:space="preserve"> asi třikrát vyšší než u soudů okresních. To souvisí s náročností a závažností vyřizované agendy. Stále také platí, že relativně nízkou míru odvolání mají soudy v Severočeském (i přes zvýšení</w:t>
      </w:r>
      <w:r>
        <w:t xml:space="preserve"> v roce 2019</w:t>
      </w:r>
      <w:r w:rsidRPr="00D17312">
        <w:t>) a Severomoravském kraji.</w:t>
      </w:r>
    </w:p>
    <w:p w:rsidR="00A4083A" w:rsidRPr="00D17312" w:rsidRDefault="00A4083A" w:rsidP="00A4083A">
      <w:pPr>
        <w:pStyle w:val="Podnadpis"/>
        <w:rPr>
          <w:color w:val="auto"/>
        </w:rPr>
      </w:pPr>
      <w:bookmarkStart w:id="382" w:name="_Toc515871472"/>
      <w:bookmarkStart w:id="383" w:name="_Toc11133239"/>
      <w:bookmarkStart w:id="384" w:name="_Toc43931218"/>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45</w:t>
      </w:r>
      <w:r w:rsidRPr="00D17312">
        <w:rPr>
          <w:noProof/>
          <w:color w:val="auto"/>
        </w:rPr>
        <w:fldChar w:fldCharType="end"/>
      </w:r>
      <w:r w:rsidRPr="00D17312">
        <w:rPr>
          <w:color w:val="auto"/>
        </w:rPr>
        <w:t>: KS – míra změny rozsudku dle soudů v civilním řízení</w:t>
      </w:r>
      <w:bookmarkEnd w:id="382"/>
      <w:bookmarkEnd w:id="383"/>
      <w:bookmarkEnd w:id="384"/>
    </w:p>
    <w:tbl>
      <w:tblPr>
        <w:tblW w:w="6980" w:type="dxa"/>
        <w:tblCellMar>
          <w:left w:w="70" w:type="dxa"/>
          <w:right w:w="70" w:type="dxa"/>
        </w:tblCellMar>
        <w:tblLook w:val="04A0" w:firstRow="1" w:lastRow="0" w:firstColumn="1" w:lastColumn="0" w:noHBand="0" w:noVBand="1"/>
      </w:tblPr>
      <w:tblGrid>
        <w:gridCol w:w="2780"/>
        <w:gridCol w:w="1642"/>
        <w:gridCol w:w="2558"/>
      </w:tblGrid>
      <w:tr w:rsidR="00A4083A" w:rsidRPr="00D17312" w:rsidTr="00A41CAB">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4200" w:type="dxa"/>
            <w:gridSpan w:val="2"/>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Míra změny rozsudku (v</w:t>
            </w:r>
            <w:r>
              <w:rPr>
                <w:rFonts w:eastAsia="Times New Roman"/>
                <w:b/>
                <w:bCs/>
                <w:szCs w:val="24"/>
                <w:lang w:eastAsia="cs-CZ"/>
              </w:rPr>
              <w:t> %</w:t>
            </w:r>
            <w:r w:rsidRPr="00D17312">
              <w:rPr>
                <w:rFonts w:eastAsia="Times New Roman"/>
                <w:b/>
                <w:bCs/>
                <w:szCs w:val="24"/>
                <w:lang w:eastAsia="cs-CZ"/>
              </w:rPr>
              <w:t xml:space="preserve">) </w:t>
            </w:r>
          </w:p>
        </w:tc>
      </w:tr>
      <w:tr w:rsidR="00A4083A" w:rsidRPr="00D17312" w:rsidTr="00A41CAB">
        <w:trPr>
          <w:trHeight w:val="330"/>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64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52,74</w:t>
            </w:r>
          </w:p>
        </w:tc>
        <w:tc>
          <w:tcPr>
            <w:tcW w:w="255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+1,0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64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54,17</w:t>
            </w:r>
          </w:p>
        </w:tc>
        <w:tc>
          <w:tcPr>
            <w:tcW w:w="255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-0,7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64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42,86</w:t>
            </w:r>
          </w:p>
        </w:tc>
        <w:tc>
          <w:tcPr>
            <w:tcW w:w="255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-9,2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64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62,32</w:t>
            </w:r>
          </w:p>
        </w:tc>
        <w:tc>
          <w:tcPr>
            <w:tcW w:w="255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+13,5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64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53,00</w:t>
            </w:r>
          </w:p>
        </w:tc>
        <w:tc>
          <w:tcPr>
            <w:tcW w:w="255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+3,6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64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58,49</w:t>
            </w:r>
          </w:p>
        </w:tc>
        <w:tc>
          <w:tcPr>
            <w:tcW w:w="255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+2,9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64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49,14</w:t>
            </w:r>
          </w:p>
        </w:tc>
        <w:tc>
          <w:tcPr>
            <w:tcW w:w="255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+1,0 p.b.</w:t>
            </w:r>
          </w:p>
        </w:tc>
      </w:tr>
      <w:tr w:rsidR="00A4083A" w:rsidRPr="00D17312" w:rsidTr="00A41CAB">
        <w:trPr>
          <w:trHeight w:val="330"/>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642"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38,18</w:t>
            </w:r>
          </w:p>
        </w:tc>
        <w:tc>
          <w:tcPr>
            <w:tcW w:w="2558" w:type="dxa"/>
            <w:tcBorders>
              <w:top w:val="nil"/>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-9,3 p.b.</w:t>
            </w:r>
          </w:p>
        </w:tc>
      </w:tr>
      <w:tr w:rsidR="00A4083A" w:rsidRPr="00D17312" w:rsidTr="00A41CAB">
        <w:trPr>
          <w:trHeight w:val="345"/>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642"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51,80</w:t>
            </w:r>
          </w:p>
        </w:tc>
        <w:tc>
          <w:tcPr>
            <w:tcW w:w="2558"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+0,7 p.b.</w:t>
            </w:r>
          </w:p>
        </w:tc>
      </w:tr>
    </w:tbl>
    <w:p w:rsidR="00A4083A" w:rsidRPr="00D17312" w:rsidRDefault="00A4083A" w:rsidP="00A4083A">
      <w:pPr>
        <w:rPr>
          <w:highlight w:val="yellow"/>
        </w:rPr>
      </w:pPr>
    </w:p>
    <w:p w:rsidR="00A4083A" w:rsidRPr="00D17312" w:rsidRDefault="00A4083A" w:rsidP="00A4083A">
      <w:pPr>
        <w:pStyle w:val="OdstavecASR"/>
      </w:pPr>
      <w:r w:rsidRPr="00D17312">
        <w:t>Rozdíly mezi jednotlivými soudy v míře změny rozsudku jsou rovněž poměrně vysoké. Rozdíly jsou velké i u soudů mezi jednotlivými lety (viz KS České Budějovice, KS Plzeň a KS Ostrava). Míra změny rozsudku je také vyšší než u okresních soudů, tentokrát asi o 7 procentních bodů.</w:t>
      </w:r>
    </w:p>
    <w:p w:rsidR="00A4083A" w:rsidRPr="00D17312" w:rsidRDefault="00A4083A" w:rsidP="00A4083A">
      <w:pPr>
        <w:pStyle w:val="OdstavecASR"/>
      </w:pPr>
      <w:r w:rsidRPr="00D17312">
        <w:t>Celková míra změny rozsudku je nejvyšší u MS v Praze, následuje KS v Plzni. Nejnižší je u KS v Ostravě a nově u KS v</w:t>
      </w:r>
      <w:r>
        <w:t> Českých Budějovicích</w:t>
      </w:r>
      <w:r w:rsidRPr="00D17312">
        <w:t>.</w:t>
      </w:r>
    </w:p>
    <w:p w:rsidR="00A4083A" w:rsidRPr="00D17312" w:rsidRDefault="00A4083A" w:rsidP="00A4083A">
      <w:pPr>
        <w:pStyle w:val="OdstavecASR"/>
        <w:rPr>
          <w:highlight w:val="yellow"/>
        </w:rPr>
      </w:pPr>
      <w:r w:rsidRPr="00D17312">
        <w:t>Nakonec ještě krátce porovnáme poslední čtyři roky. V roce 2016 byla míra odvolání (dle současné metodiky) 14,07</w:t>
      </w:r>
      <w:r>
        <w:t> % </w:t>
      </w:r>
      <w:r w:rsidRPr="00D17312">
        <w:t>a míra změny rozsudku 50,33</w:t>
      </w:r>
      <w:r>
        <w:t> %</w:t>
      </w:r>
      <w:r w:rsidRPr="00D17312">
        <w:t xml:space="preserve">, zatímco v roce 2017 dosáhla míra odvolání </w:t>
      </w:r>
      <w:r w:rsidRPr="00D17312">
        <w:lastRenderedPageBreak/>
        <w:t>19,20</w:t>
      </w:r>
      <w:r>
        <w:t> % </w:t>
      </w:r>
      <w:r w:rsidRPr="00D17312">
        <w:t>a míra změny rozsudku 50,64</w:t>
      </w:r>
      <w:r>
        <w:t> % </w:t>
      </w:r>
      <w:r w:rsidRPr="00D17312">
        <w:t>a v roce 2018 byly hodnoty 23,26</w:t>
      </w:r>
      <w:r>
        <w:t> % </w:t>
      </w:r>
      <w:r w:rsidRPr="00D17312">
        <w:t>a 51,06</w:t>
      </w:r>
      <w:r>
        <w:t> %</w:t>
      </w:r>
      <w:r w:rsidRPr="00D17312">
        <w:t>. V roce 2019 pak hodnoty byly 22,77</w:t>
      </w:r>
      <w:r>
        <w:t> % </w:t>
      </w:r>
      <w:r w:rsidRPr="00D17312">
        <w:t>a 51,80</w:t>
      </w:r>
      <w:r>
        <w:t> %</w:t>
      </w:r>
      <w:r w:rsidRPr="00D17312">
        <w:t>.</w:t>
      </w:r>
    </w:p>
    <w:p w:rsidR="00A4083A" w:rsidRPr="00D17312" w:rsidRDefault="00A4083A" w:rsidP="00A4083A">
      <w:pPr>
        <w:pStyle w:val="OdstavecASR"/>
      </w:pPr>
      <w:r w:rsidRPr="00D17312">
        <w:t xml:space="preserve">Míra celkové změny rozsudku se za celou ČR v posledních </w:t>
      </w:r>
      <w:r w:rsidR="00190D77">
        <w:t xml:space="preserve">čtyřech </w:t>
      </w:r>
      <w:r w:rsidRPr="00D17312">
        <w:t>letech pohybovala následovně:</w:t>
      </w:r>
    </w:p>
    <w:p w:rsidR="00A4083A" w:rsidRPr="00D17312" w:rsidRDefault="00A4083A" w:rsidP="00A4083A">
      <w:pPr>
        <w:pStyle w:val="OdstavecASR"/>
      </w:pPr>
      <w:r w:rsidRPr="00D17312">
        <w:t>2016: 14,07</w:t>
      </w:r>
      <w:r>
        <w:t> % </w:t>
      </w:r>
      <w:r w:rsidRPr="00D17312">
        <w:t>× 50,33</w:t>
      </w:r>
      <w:r>
        <w:t> % </w:t>
      </w:r>
      <w:r w:rsidRPr="00D17312">
        <w:t>= 7,08</w:t>
      </w:r>
      <w:r>
        <w:t> %</w:t>
      </w:r>
    </w:p>
    <w:p w:rsidR="00A4083A" w:rsidRPr="00D17312" w:rsidRDefault="00A4083A" w:rsidP="00A4083A">
      <w:pPr>
        <w:pStyle w:val="OdstavecASR"/>
      </w:pPr>
      <w:r w:rsidRPr="00D17312">
        <w:t>2017: 19,20</w:t>
      </w:r>
      <w:r>
        <w:t> % </w:t>
      </w:r>
      <w:r w:rsidRPr="00D17312">
        <w:t>× 50,64</w:t>
      </w:r>
      <w:r>
        <w:t> % </w:t>
      </w:r>
      <w:r w:rsidRPr="00D17312">
        <w:t>= 9,72</w:t>
      </w:r>
      <w:r>
        <w:t> %</w:t>
      </w:r>
    </w:p>
    <w:p w:rsidR="00A4083A" w:rsidRPr="00D17312" w:rsidRDefault="00A4083A" w:rsidP="00A4083A">
      <w:pPr>
        <w:pStyle w:val="OdstavecASR"/>
      </w:pPr>
      <w:r w:rsidRPr="00D17312">
        <w:t>2018: 23,26</w:t>
      </w:r>
      <w:r>
        <w:t> % </w:t>
      </w:r>
      <w:r w:rsidRPr="00D17312">
        <w:t>× 51,06</w:t>
      </w:r>
      <w:r>
        <w:t> % </w:t>
      </w:r>
      <w:r w:rsidRPr="00D17312">
        <w:t>= 11,87</w:t>
      </w:r>
      <w:r>
        <w:t> %</w:t>
      </w:r>
    </w:p>
    <w:p w:rsidR="00A4083A" w:rsidRPr="00D17312" w:rsidRDefault="00A4083A" w:rsidP="00A4083A">
      <w:pPr>
        <w:pStyle w:val="OdstavecASR"/>
      </w:pPr>
      <w:r w:rsidRPr="00D17312">
        <w:t>2019: 22,77</w:t>
      </w:r>
      <w:r>
        <w:t> % </w:t>
      </w:r>
      <w:r w:rsidRPr="00D17312">
        <w:t>× 51,80</w:t>
      </w:r>
      <w:r>
        <w:t> % </w:t>
      </w:r>
      <w:r w:rsidRPr="00D17312">
        <w:t>= 11,79</w:t>
      </w:r>
      <w:r>
        <w:t> %</w:t>
      </w:r>
    </w:p>
    <w:p w:rsidR="00A4083A" w:rsidRDefault="00A4083A" w:rsidP="00A4083A">
      <w:pPr>
        <w:pStyle w:val="OdstavecASR"/>
      </w:pPr>
      <w:r w:rsidRPr="00D17312">
        <w:t>Míra celkové změny rozsudku se v letech 2016 až 2018 zvýšila více jak 1,5krát. Mezi roky 2018 a 2019 zůstala téměř konstantní. Pro připomenutí tento ukazatel znamená, že téměř u</w:t>
      </w:r>
      <w:r>
        <w:t> </w:t>
      </w:r>
      <w:r w:rsidRPr="00D17312">
        <w:t>12</w:t>
      </w:r>
      <w:r>
        <w:t> % </w:t>
      </w:r>
      <w:r w:rsidRPr="00D17312">
        <w:t>pravomocných rozhodnutí krajských soudů v civilních věcech došlo ke změně rozsudku.</w:t>
      </w:r>
    </w:p>
    <w:p w:rsidR="00A4083A" w:rsidRDefault="00A4083A" w:rsidP="00A4083A">
      <w:pPr>
        <w:pStyle w:val="OdstavecASR"/>
      </w:pPr>
      <w:r w:rsidRPr="00D17312">
        <w:t>Další tabulka zobrazuje data týkající se výše přiznaných nároků, které byly rozděleny do intervalů. Podíly jednotlivých intervalů uvádíme v procentech. Výše přiznaného nároku představuje částku, kterou soud přiznal žalobci vůči žalovanému.</w:t>
      </w:r>
    </w:p>
    <w:p w:rsidR="00A4083A" w:rsidRPr="00D17312" w:rsidRDefault="00A4083A" w:rsidP="00A4083A">
      <w:pPr>
        <w:pStyle w:val="Podnadpis"/>
        <w:rPr>
          <w:color w:val="auto"/>
        </w:rPr>
      </w:pPr>
      <w:bookmarkStart w:id="385" w:name="_Toc515871473"/>
      <w:bookmarkStart w:id="386" w:name="_Toc11133240"/>
      <w:bookmarkStart w:id="387" w:name="_Toc43931219"/>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46</w:t>
      </w:r>
      <w:r w:rsidRPr="00D17312">
        <w:rPr>
          <w:noProof/>
          <w:color w:val="auto"/>
        </w:rPr>
        <w:fldChar w:fldCharType="end"/>
      </w:r>
      <w:r w:rsidRPr="00D17312">
        <w:rPr>
          <w:color w:val="auto"/>
        </w:rPr>
        <w:t>: KS – výše přiznaných nároků</w:t>
      </w:r>
      <w:bookmarkEnd w:id="385"/>
      <w:bookmarkEnd w:id="386"/>
      <w:bookmarkEnd w:id="387"/>
    </w:p>
    <w:tbl>
      <w:tblPr>
        <w:tblW w:w="9201" w:type="dxa"/>
        <w:tblCellMar>
          <w:left w:w="70" w:type="dxa"/>
          <w:right w:w="70" w:type="dxa"/>
        </w:tblCellMar>
        <w:tblLook w:val="04A0" w:firstRow="1" w:lastRow="0" w:firstColumn="1" w:lastColumn="0" w:noHBand="0" w:noVBand="1"/>
      </w:tblPr>
      <w:tblGrid>
        <w:gridCol w:w="1962"/>
        <w:gridCol w:w="1724"/>
        <w:gridCol w:w="1843"/>
        <w:gridCol w:w="1701"/>
        <w:gridCol w:w="1971"/>
      </w:tblGrid>
      <w:tr w:rsidR="00A4083A" w:rsidRPr="00D17312" w:rsidTr="00A41CAB">
        <w:trPr>
          <w:trHeight w:val="330"/>
        </w:trPr>
        <w:tc>
          <w:tcPr>
            <w:tcW w:w="1962"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7239" w:type="dxa"/>
            <w:gridSpan w:val="4"/>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Výše přiznaného nároku v Kč</w:t>
            </w:r>
          </w:p>
        </w:tc>
      </w:tr>
      <w:tr w:rsidR="00A4083A" w:rsidRPr="00D17312" w:rsidTr="00A41CAB">
        <w:trPr>
          <w:trHeight w:val="330"/>
        </w:trPr>
        <w:tc>
          <w:tcPr>
            <w:tcW w:w="1962"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724"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1–20 000</w:t>
            </w:r>
          </w:p>
        </w:tc>
        <w:tc>
          <w:tcPr>
            <w:tcW w:w="1843"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20 001–50 000</w:t>
            </w:r>
          </w:p>
        </w:tc>
        <w:tc>
          <w:tcPr>
            <w:tcW w:w="1701"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50 001–100 000</w:t>
            </w:r>
          </w:p>
        </w:tc>
        <w:tc>
          <w:tcPr>
            <w:tcW w:w="196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100 000 a více</w:t>
            </w:r>
          </w:p>
        </w:tc>
      </w:tr>
      <w:tr w:rsidR="00A4083A" w:rsidRPr="00D17312" w:rsidTr="00A41CAB">
        <w:trPr>
          <w:trHeight w:val="330"/>
        </w:trPr>
        <w:tc>
          <w:tcPr>
            <w:tcW w:w="1962"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724"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11,72</w:t>
            </w:r>
          </w:p>
        </w:tc>
        <w:tc>
          <w:tcPr>
            <w:tcW w:w="1843"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8,93</w:t>
            </w:r>
          </w:p>
        </w:tc>
        <w:tc>
          <w:tcPr>
            <w:tcW w:w="1701"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8,47</w:t>
            </w:r>
          </w:p>
        </w:tc>
        <w:tc>
          <w:tcPr>
            <w:tcW w:w="1969"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70,88</w:t>
            </w:r>
          </w:p>
        </w:tc>
      </w:tr>
      <w:tr w:rsidR="00A4083A" w:rsidRPr="00D17312" w:rsidTr="00A41CAB">
        <w:trPr>
          <w:trHeight w:val="315"/>
        </w:trPr>
        <w:tc>
          <w:tcPr>
            <w:tcW w:w="196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72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22,89</w:t>
            </w:r>
          </w:p>
        </w:tc>
        <w:tc>
          <w:tcPr>
            <w:tcW w:w="18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25,37</w:t>
            </w:r>
          </w:p>
        </w:tc>
        <w:tc>
          <w:tcPr>
            <w:tcW w:w="170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18,41</w:t>
            </w:r>
          </w:p>
        </w:tc>
        <w:tc>
          <w:tcPr>
            <w:tcW w:w="196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33,33</w:t>
            </w:r>
          </w:p>
        </w:tc>
      </w:tr>
      <w:tr w:rsidR="00A4083A" w:rsidRPr="00D17312" w:rsidTr="00A41CAB">
        <w:trPr>
          <w:trHeight w:val="315"/>
        </w:trPr>
        <w:tc>
          <w:tcPr>
            <w:tcW w:w="196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72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24,19</w:t>
            </w:r>
          </w:p>
        </w:tc>
        <w:tc>
          <w:tcPr>
            <w:tcW w:w="18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16,94</w:t>
            </w:r>
          </w:p>
        </w:tc>
        <w:tc>
          <w:tcPr>
            <w:tcW w:w="170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9,68</w:t>
            </w:r>
          </w:p>
        </w:tc>
        <w:tc>
          <w:tcPr>
            <w:tcW w:w="196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49,19</w:t>
            </w:r>
          </w:p>
        </w:tc>
      </w:tr>
      <w:tr w:rsidR="00A4083A" w:rsidRPr="00D17312" w:rsidTr="00A41CAB">
        <w:trPr>
          <w:trHeight w:val="315"/>
        </w:trPr>
        <w:tc>
          <w:tcPr>
            <w:tcW w:w="196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72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20,55</w:t>
            </w:r>
          </w:p>
        </w:tc>
        <w:tc>
          <w:tcPr>
            <w:tcW w:w="18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14,23</w:t>
            </w:r>
          </w:p>
        </w:tc>
        <w:tc>
          <w:tcPr>
            <w:tcW w:w="170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12,65</w:t>
            </w:r>
          </w:p>
        </w:tc>
        <w:tc>
          <w:tcPr>
            <w:tcW w:w="196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52,57</w:t>
            </w:r>
          </w:p>
        </w:tc>
      </w:tr>
      <w:tr w:rsidR="00A4083A" w:rsidRPr="00D17312" w:rsidTr="00A41CAB">
        <w:trPr>
          <w:trHeight w:val="315"/>
        </w:trPr>
        <w:tc>
          <w:tcPr>
            <w:tcW w:w="196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72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27,14</w:t>
            </w:r>
          </w:p>
        </w:tc>
        <w:tc>
          <w:tcPr>
            <w:tcW w:w="18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24,48</w:t>
            </w:r>
          </w:p>
        </w:tc>
        <w:tc>
          <w:tcPr>
            <w:tcW w:w="170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14,75</w:t>
            </w:r>
          </w:p>
        </w:tc>
        <w:tc>
          <w:tcPr>
            <w:tcW w:w="196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33,63</w:t>
            </w:r>
          </w:p>
        </w:tc>
      </w:tr>
      <w:tr w:rsidR="00A4083A" w:rsidRPr="00D17312" w:rsidTr="00A41CAB">
        <w:trPr>
          <w:trHeight w:val="315"/>
        </w:trPr>
        <w:tc>
          <w:tcPr>
            <w:tcW w:w="196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72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54,63</w:t>
            </w:r>
          </w:p>
        </w:tc>
        <w:tc>
          <w:tcPr>
            <w:tcW w:w="18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19,96</w:t>
            </w:r>
          </w:p>
        </w:tc>
        <w:tc>
          <w:tcPr>
            <w:tcW w:w="170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7,26</w:t>
            </w:r>
          </w:p>
        </w:tc>
        <w:tc>
          <w:tcPr>
            <w:tcW w:w="196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18,15</w:t>
            </w:r>
          </w:p>
        </w:tc>
      </w:tr>
      <w:tr w:rsidR="00A4083A" w:rsidRPr="00D17312" w:rsidTr="00A41CAB">
        <w:trPr>
          <w:trHeight w:val="315"/>
        </w:trPr>
        <w:tc>
          <w:tcPr>
            <w:tcW w:w="196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72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28,32</w:t>
            </w:r>
          </w:p>
        </w:tc>
        <w:tc>
          <w:tcPr>
            <w:tcW w:w="18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14,46</w:t>
            </w:r>
          </w:p>
        </w:tc>
        <w:tc>
          <w:tcPr>
            <w:tcW w:w="170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8,64</w:t>
            </w:r>
          </w:p>
        </w:tc>
        <w:tc>
          <w:tcPr>
            <w:tcW w:w="196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48,58</w:t>
            </w:r>
          </w:p>
        </w:tc>
      </w:tr>
      <w:tr w:rsidR="00A4083A" w:rsidRPr="00D17312" w:rsidTr="00A41CAB">
        <w:trPr>
          <w:trHeight w:val="330"/>
        </w:trPr>
        <w:tc>
          <w:tcPr>
            <w:tcW w:w="1962"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724"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24,41</w:t>
            </w:r>
          </w:p>
        </w:tc>
        <w:tc>
          <w:tcPr>
            <w:tcW w:w="184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19,95</w:t>
            </w:r>
          </w:p>
        </w:tc>
        <w:tc>
          <w:tcPr>
            <w:tcW w:w="170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8,40</w:t>
            </w:r>
          </w:p>
        </w:tc>
        <w:tc>
          <w:tcPr>
            <w:tcW w:w="1969"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47,24</w:t>
            </w:r>
          </w:p>
        </w:tc>
      </w:tr>
      <w:tr w:rsidR="00A4083A" w:rsidRPr="00D17312" w:rsidTr="00A41CAB">
        <w:trPr>
          <w:trHeight w:val="345"/>
        </w:trPr>
        <w:tc>
          <w:tcPr>
            <w:tcW w:w="1962"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724"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25,87</w:t>
            </w:r>
          </w:p>
        </w:tc>
        <w:tc>
          <w:tcPr>
            <w:tcW w:w="184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15,86</w:t>
            </w:r>
          </w:p>
        </w:tc>
        <w:tc>
          <w:tcPr>
            <w:tcW w:w="170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9,79</w:t>
            </w:r>
          </w:p>
        </w:tc>
        <w:tc>
          <w:tcPr>
            <w:tcW w:w="1969"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48,48</w:t>
            </w:r>
          </w:p>
        </w:tc>
      </w:tr>
    </w:tbl>
    <w:p w:rsidR="00A4083A" w:rsidRPr="00D17312" w:rsidRDefault="00A4083A" w:rsidP="00A4083A">
      <w:pPr>
        <w:rPr>
          <w:highlight w:val="yellow"/>
        </w:rPr>
      </w:pPr>
    </w:p>
    <w:p w:rsidR="00A4083A" w:rsidRPr="00D17312" w:rsidRDefault="00A4083A" w:rsidP="00A4083A">
      <w:pPr>
        <w:pStyle w:val="OdstavecASR"/>
      </w:pPr>
      <w:bookmarkStart w:id="388" w:name="_Toc11133241"/>
      <w:r w:rsidRPr="00D17312">
        <w:t>Částky přiznané krajskými soudy se postupně stále více přesouvaly nad hranici 100 000 Kč</w:t>
      </w:r>
      <w:r>
        <w:t xml:space="preserve"> – </w:t>
      </w:r>
      <w:r w:rsidRPr="00D17312">
        <w:t>kles</w:t>
      </w:r>
      <w:r>
        <w:t>al</w:t>
      </w:r>
      <w:r w:rsidRPr="00D17312">
        <w:t xml:space="preserve"> podíl přiznaných nároků ve všech intervalech, pouze podíl v částkách nad 100 tis. Kč rychle stoup</w:t>
      </w:r>
      <w:r>
        <w:t>al</w:t>
      </w:r>
      <w:r w:rsidRPr="00D17312">
        <w:t xml:space="preserve"> (z 35</w:t>
      </w:r>
      <w:r>
        <w:t> %</w:t>
      </w:r>
      <w:r w:rsidRPr="00D17312">
        <w:t xml:space="preserve"> v roce 2016 na téměř 50</w:t>
      </w:r>
      <w:r>
        <w:t> %</w:t>
      </w:r>
      <w:r w:rsidRPr="00D17312">
        <w:t xml:space="preserve"> v roce 2018). Je to vidět na srovnání za poslední čtyři roky v následující tabulce. V roce 2019 se tento trend zastavil a podíl přiznaných částek nad 100 000 Kč je podobný podílu v roce 2018.</w:t>
      </w:r>
    </w:p>
    <w:p w:rsidR="00A4083A" w:rsidRPr="00D17312" w:rsidRDefault="00A4083A" w:rsidP="00A4083A">
      <w:pPr>
        <w:spacing w:line="240" w:lineRule="auto"/>
        <w:jc w:val="left"/>
      </w:pPr>
      <w:r w:rsidRPr="00D17312">
        <w:br w:type="page"/>
      </w:r>
    </w:p>
    <w:p w:rsidR="00A4083A" w:rsidRPr="00D17312" w:rsidRDefault="00A4083A" w:rsidP="00A4083A">
      <w:pPr>
        <w:pStyle w:val="Titulek"/>
        <w:keepNext/>
        <w:rPr>
          <w:color w:val="auto"/>
          <w:sz w:val="24"/>
          <w:szCs w:val="24"/>
        </w:rPr>
      </w:pPr>
      <w:bookmarkStart w:id="389" w:name="_Toc43931220"/>
      <w:r w:rsidRPr="00D17312">
        <w:rPr>
          <w:color w:val="auto"/>
          <w:sz w:val="24"/>
          <w:szCs w:val="24"/>
        </w:rPr>
        <w:lastRenderedPageBreak/>
        <w:t xml:space="preserve">Tabulka </w:t>
      </w:r>
      <w:r w:rsidRPr="00D17312">
        <w:rPr>
          <w:color w:val="auto"/>
          <w:sz w:val="24"/>
          <w:szCs w:val="24"/>
        </w:rPr>
        <w:fldChar w:fldCharType="begin"/>
      </w:r>
      <w:r w:rsidRPr="00D17312">
        <w:rPr>
          <w:color w:val="auto"/>
          <w:sz w:val="24"/>
          <w:szCs w:val="24"/>
        </w:rPr>
        <w:instrText xml:space="preserve"> SEQ Tabulka \* ARABIC </w:instrText>
      </w:r>
      <w:r w:rsidRPr="00D17312">
        <w:rPr>
          <w:color w:val="auto"/>
          <w:sz w:val="24"/>
          <w:szCs w:val="24"/>
        </w:rPr>
        <w:fldChar w:fldCharType="separate"/>
      </w:r>
      <w:r w:rsidR="006E7F27">
        <w:rPr>
          <w:noProof/>
          <w:color w:val="auto"/>
          <w:sz w:val="24"/>
          <w:szCs w:val="24"/>
        </w:rPr>
        <w:t>47</w:t>
      </w:r>
      <w:r w:rsidRPr="00D17312">
        <w:rPr>
          <w:noProof/>
          <w:color w:val="auto"/>
          <w:sz w:val="24"/>
          <w:szCs w:val="24"/>
        </w:rPr>
        <w:fldChar w:fldCharType="end"/>
      </w:r>
      <w:r w:rsidRPr="00D17312">
        <w:rPr>
          <w:noProof/>
          <w:color w:val="auto"/>
          <w:sz w:val="24"/>
          <w:szCs w:val="24"/>
        </w:rPr>
        <w:t>: KS – výše přiznaných nároků v letech 2016–201</w:t>
      </w:r>
      <w:bookmarkEnd w:id="388"/>
      <w:r w:rsidRPr="00D17312">
        <w:rPr>
          <w:noProof/>
          <w:color w:val="auto"/>
          <w:sz w:val="24"/>
          <w:szCs w:val="24"/>
        </w:rPr>
        <w:t>9</w:t>
      </w:r>
      <w:bookmarkEnd w:id="389"/>
    </w:p>
    <w:tbl>
      <w:tblPr>
        <w:tblW w:w="9000" w:type="dxa"/>
        <w:tblCellMar>
          <w:left w:w="70" w:type="dxa"/>
          <w:right w:w="70" w:type="dxa"/>
        </w:tblCellMar>
        <w:tblLook w:val="04A0" w:firstRow="1" w:lastRow="0" w:firstColumn="1" w:lastColumn="0" w:noHBand="0" w:noVBand="1"/>
      </w:tblPr>
      <w:tblGrid>
        <w:gridCol w:w="1800"/>
        <w:gridCol w:w="1800"/>
        <w:gridCol w:w="1800"/>
        <w:gridCol w:w="1800"/>
        <w:gridCol w:w="1800"/>
      </w:tblGrid>
      <w:tr w:rsidR="00A4083A" w:rsidRPr="00D17312" w:rsidTr="00A41CAB">
        <w:trPr>
          <w:trHeight w:val="345"/>
        </w:trPr>
        <w:tc>
          <w:tcPr>
            <w:tcW w:w="180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Rok</w:t>
            </w:r>
          </w:p>
        </w:tc>
        <w:tc>
          <w:tcPr>
            <w:tcW w:w="180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1–20 000</w:t>
            </w:r>
          </w:p>
        </w:tc>
        <w:tc>
          <w:tcPr>
            <w:tcW w:w="180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20 001–50 000</w:t>
            </w:r>
          </w:p>
        </w:tc>
        <w:tc>
          <w:tcPr>
            <w:tcW w:w="180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50 001–100 000</w:t>
            </w:r>
          </w:p>
        </w:tc>
        <w:tc>
          <w:tcPr>
            <w:tcW w:w="180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100 001 a více</w:t>
            </w:r>
          </w:p>
        </w:tc>
      </w:tr>
      <w:tr w:rsidR="00A4083A" w:rsidRPr="00D17312" w:rsidTr="00A41CAB">
        <w:trPr>
          <w:trHeight w:val="330"/>
        </w:trPr>
        <w:tc>
          <w:tcPr>
            <w:tcW w:w="180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2016</w:t>
            </w:r>
          </w:p>
        </w:tc>
        <w:tc>
          <w:tcPr>
            <w:tcW w:w="18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26,5</w:t>
            </w:r>
          </w:p>
        </w:tc>
        <w:tc>
          <w:tcPr>
            <w:tcW w:w="18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21,94</w:t>
            </w:r>
          </w:p>
        </w:tc>
        <w:tc>
          <w:tcPr>
            <w:tcW w:w="18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17,59</w:t>
            </w:r>
          </w:p>
        </w:tc>
        <w:tc>
          <w:tcPr>
            <w:tcW w:w="18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34,42</w:t>
            </w:r>
          </w:p>
        </w:tc>
      </w:tr>
      <w:tr w:rsidR="00A4083A" w:rsidRPr="00D17312" w:rsidTr="00A41CAB">
        <w:trPr>
          <w:trHeight w:val="315"/>
        </w:trPr>
        <w:tc>
          <w:tcPr>
            <w:tcW w:w="180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2017</w:t>
            </w:r>
          </w:p>
        </w:tc>
        <w:tc>
          <w:tcPr>
            <w:tcW w:w="180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25,10</w:t>
            </w:r>
          </w:p>
        </w:tc>
        <w:tc>
          <w:tcPr>
            <w:tcW w:w="180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18,34</w:t>
            </w:r>
          </w:p>
        </w:tc>
        <w:tc>
          <w:tcPr>
            <w:tcW w:w="180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13,11</w:t>
            </w:r>
          </w:p>
        </w:tc>
        <w:tc>
          <w:tcPr>
            <w:tcW w:w="180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43,46</w:t>
            </w:r>
          </w:p>
        </w:tc>
      </w:tr>
      <w:tr w:rsidR="00A4083A" w:rsidRPr="00D17312" w:rsidTr="00A41CAB">
        <w:trPr>
          <w:trHeight w:val="315"/>
        </w:trPr>
        <w:tc>
          <w:tcPr>
            <w:tcW w:w="180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2018</w:t>
            </w:r>
          </w:p>
        </w:tc>
        <w:tc>
          <w:tcPr>
            <w:tcW w:w="180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23,69</w:t>
            </w:r>
          </w:p>
        </w:tc>
        <w:tc>
          <w:tcPr>
            <w:tcW w:w="180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16,18</w:t>
            </w:r>
          </w:p>
        </w:tc>
        <w:tc>
          <w:tcPr>
            <w:tcW w:w="180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11,48</w:t>
            </w:r>
          </w:p>
        </w:tc>
        <w:tc>
          <w:tcPr>
            <w:tcW w:w="180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48,64</w:t>
            </w:r>
          </w:p>
        </w:tc>
      </w:tr>
      <w:tr w:rsidR="00A4083A" w:rsidRPr="00D17312" w:rsidTr="00A41CAB">
        <w:trPr>
          <w:trHeight w:val="330"/>
        </w:trPr>
        <w:tc>
          <w:tcPr>
            <w:tcW w:w="180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2019</w:t>
            </w:r>
          </w:p>
        </w:tc>
        <w:tc>
          <w:tcPr>
            <w:tcW w:w="180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25,87</w:t>
            </w:r>
          </w:p>
        </w:tc>
        <w:tc>
          <w:tcPr>
            <w:tcW w:w="180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15,86</w:t>
            </w:r>
          </w:p>
        </w:tc>
        <w:tc>
          <w:tcPr>
            <w:tcW w:w="180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9,79</w:t>
            </w:r>
          </w:p>
        </w:tc>
        <w:tc>
          <w:tcPr>
            <w:tcW w:w="180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48,48</w:t>
            </w:r>
          </w:p>
        </w:tc>
      </w:tr>
    </w:tbl>
    <w:p w:rsidR="00A4083A" w:rsidRPr="00D17312" w:rsidRDefault="00A4083A" w:rsidP="00A4083A">
      <w:pPr>
        <w:pStyle w:val="OdstavecASR"/>
        <w:rPr>
          <w:highlight w:val="yellow"/>
        </w:rPr>
      </w:pPr>
    </w:p>
    <w:p w:rsidR="00A4083A" w:rsidRDefault="00A4083A" w:rsidP="00A4083A">
      <w:pPr>
        <w:pStyle w:val="OdstavecASR"/>
      </w:pPr>
      <w:r w:rsidRPr="00D17312">
        <w:t xml:space="preserve">K největšímu přesunu nad hranici 100 tis. došlo logicky u přiznaných částek z intervalu 50 001 Kč </w:t>
      </w:r>
      <w:r w:rsidRPr="00D17312">
        <w:rPr>
          <w:rFonts w:eastAsia="Times New Roman"/>
          <w:b/>
          <w:bCs/>
          <w:szCs w:val="24"/>
          <w:lang w:eastAsia="cs-CZ"/>
        </w:rPr>
        <w:t xml:space="preserve">– </w:t>
      </w:r>
      <w:r w:rsidRPr="00D17312">
        <w:t xml:space="preserve">100 000 Kč (pokles podílu o 6,1 procentního bodu od roku 2016 do roku 2018), ale téměř stejný úbytek lze pozorovat i u intervalu 20 001 Kč </w:t>
      </w:r>
      <w:r w:rsidRPr="00D17312">
        <w:rPr>
          <w:rFonts w:eastAsia="Times New Roman"/>
          <w:b/>
          <w:bCs/>
          <w:szCs w:val="24"/>
          <w:lang w:eastAsia="cs-CZ"/>
        </w:rPr>
        <w:t xml:space="preserve">– </w:t>
      </w:r>
      <w:r w:rsidRPr="00D17312">
        <w:t>50 000 Kč (snížení o 5,76 procentního bodu od roku 2016 do roku 2018). Mezi roky 2018 a 2019 již k dalšímu přesunu nad hranici 100 tisíc nedošlo.</w:t>
      </w:r>
    </w:p>
    <w:p w:rsidR="00A4083A" w:rsidRPr="00D17312" w:rsidRDefault="00A4083A" w:rsidP="00A4083A">
      <w:pPr>
        <w:pStyle w:val="OdstavecASR"/>
      </w:pPr>
      <w:r w:rsidRPr="00D17312">
        <w:t>Opět také vidíme poměrně značné rozdíly mezi jednotlivými soudy, které se v roce 2019 ještě zvýšily. Nejvyšší nárok v průměru přiznává MS Praha, což opět plyne z obsahu vyřizované agendy. Mediánový přiznaný nárok je 275 000 Kč (v roce 2018 byl 200 000 Kč). Nejmenší nároky byly v roce 2019 přiznávány u KS v Hradci Králové, kde mediánový přiznaný nárok činil 16 395 Kč (v roce 2018 20 066 Kč). Naprostou většinu sporů s výší přiznaného nároku do 20 000 Kč tvoří spory z autorského zákona a spory ze směnek, šeků a jiných cenných papírů.</w:t>
      </w:r>
    </w:p>
    <w:p w:rsidR="00A4083A" w:rsidRPr="00D17312" w:rsidRDefault="00A4083A" w:rsidP="00A4083A">
      <w:pPr>
        <w:spacing w:line="240" w:lineRule="auto"/>
        <w:jc w:val="left"/>
        <w:rPr>
          <w:highlight w:val="yellow"/>
        </w:rPr>
      </w:pPr>
      <w:r w:rsidRPr="00D17312">
        <w:rPr>
          <w:highlight w:val="yellow"/>
        </w:rPr>
        <w:br w:type="page"/>
      </w:r>
    </w:p>
    <w:p w:rsidR="00A4083A" w:rsidRPr="00D17312" w:rsidRDefault="00A4083A" w:rsidP="00A4083A">
      <w:pPr>
        <w:pStyle w:val="Nadpis2"/>
      </w:pPr>
      <w:bookmarkStart w:id="390" w:name="_Toc515871253"/>
      <w:bookmarkStart w:id="391" w:name="_Toc43903059"/>
      <w:r w:rsidRPr="00D17312">
        <w:lastRenderedPageBreak/>
        <w:t>Civilní odvolací agenda</w:t>
      </w:r>
      <w:bookmarkEnd w:id="390"/>
      <w:bookmarkEnd w:id="391"/>
    </w:p>
    <w:p w:rsidR="00A4083A" w:rsidRPr="00D17312" w:rsidRDefault="00A4083A" w:rsidP="00A4083A">
      <w:pPr>
        <w:pStyle w:val="OdstavecASR"/>
      </w:pPr>
      <w:r w:rsidRPr="00D17312">
        <w:t>Odvolací civilní agenda je ve výkazech vedena pod označením Co a zahrnuje širokou škálu věcí. Jedná se o všechny druhy civilního řízení, ve kterých bylo podáno odvolání proti rozhodnutí soudů prvního stupně, včetně odvolání proti rozhodnutí soudního exekutora. Do agendy Co tedy spadají i odvolání ve věcech, které nejsou v kapitolách </w:t>
      </w:r>
      <w:r w:rsidRPr="00D17312">
        <w:fldChar w:fldCharType="begin"/>
      </w:r>
      <w:r w:rsidRPr="00D17312">
        <w:instrText xml:space="preserve"> REF _Ref9425277 \r \h  \* MERGEFORMAT </w:instrText>
      </w:r>
      <w:r w:rsidRPr="00D17312">
        <w:fldChar w:fldCharType="separate"/>
      </w:r>
      <w:r w:rsidR="006E7F27">
        <w:t>2.2</w:t>
      </w:r>
      <w:r w:rsidRPr="00D17312">
        <w:fldChar w:fldCharType="end"/>
      </w:r>
      <w:r w:rsidRPr="00D17312">
        <w:t xml:space="preserve"> a </w:t>
      </w:r>
      <w:r w:rsidRPr="00D17312">
        <w:fldChar w:fldCharType="begin"/>
      </w:r>
      <w:r w:rsidRPr="00D17312">
        <w:instrText xml:space="preserve"> REF _Ref511307913 \r \h  \* MERGEFORMAT </w:instrText>
      </w:r>
      <w:r w:rsidRPr="00D17312">
        <w:fldChar w:fldCharType="separate"/>
      </w:r>
      <w:r w:rsidR="006E7F27">
        <w:t>2.5</w:t>
      </w:r>
      <w:r w:rsidRPr="00D17312">
        <w:fldChar w:fldCharType="end"/>
      </w:r>
      <w:r w:rsidRPr="00D17312">
        <w:t xml:space="preserve"> zahrnuty. Podkapitoly, které se zabývají vyřizováním věcí a DT, zkoumají celý rejstřík Co. U délky řízení to není možné, protože do statistických listů jsou zaneseny pouze pravomocně skončené věci v hlavních agendách. Uvedené délky řízení se tedy týkají pouze věcí agendy C u okresních soudů, v nichž bylo podáno odvolání. Data byla očištěna stejným způsobem jako u civilní agendy u okresních soudů. Data ze statistických listů se týkají pouze odvolání, která byla podána v meritu věci.</w:t>
      </w:r>
    </w:p>
    <w:p w:rsidR="00A4083A" w:rsidRPr="00D17312" w:rsidRDefault="00A4083A" w:rsidP="00A4083A">
      <w:pPr>
        <w:pStyle w:val="Nadpis3"/>
        <w:rPr>
          <w:color w:val="auto"/>
        </w:rPr>
      </w:pPr>
      <w:bookmarkStart w:id="392" w:name="_Toc515871254"/>
      <w:bookmarkStart w:id="393" w:name="_Toc43903060"/>
      <w:r w:rsidRPr="00D17312">
        <w:rPr>
          <w:color w:val="auto"/>
        </w:rPr>
        <w:t>Délka řízení</w:t>
      </w:r>
      <w:bookmarkEnd w:id="392"/>
      <w:bookmarkEnd w:id="393"/>
    </w:p>
    <w:p w:rsidR="00A4083A" w:rsidRPr="00D17312" w:rsidRDefault="00A4083A" w:rsidP="00A4083A">
      <w:pPr>
        <w:pStyle w:val="OdstavecASR"/>
      </w:pPr>
      <w:bookmarkStart w:id="394" w:name="_Toc515871385"/>
      <w:bookmarkStart w:id="395" w:name="_Toc11135116"/>
      <w:r w:rsidRPr="00D17312">
        <w:t xml:space="preserve">Jedná se o délku řízení v kalendářních dnech ode dne nápadu u odvolacího soudu do dne vyřízení věci odvolacím soudem. Délky řízení jsou výrazně nižší než délky řízení prvostupňové agendy u OS, ale díky razantnímu snižování délek řízení u OS již </w:t>
      </w:r>
      <w:r>
        <w:t xml:space="preserve">nejde </w:t>
      </w:r>
      <w:r w:rsidRPr="00D17312">
        <w:t xml:space="preserve">v případě průměrné hodnoty </w:t>
      </w:r>
      <w:r>
        <w:t>o </w:t>
      </w:r>
      <w:r w:rsidRPr="00D17312">
        <w:t xml:space="preserve">3,6násobek jako v roce 2014, ale přibližně </w:t>
      </w:r>
      <w:r>
        <w:t xml:space="preserve">o </w:t>
      </w:r>
      <w:r w:rsidRPr="00D17312">
        <w:t xml:space="preserve">dvojnásobek v roce 2019. Násobný rozdíl je dán tím, že pro odvolací soud je většinou jednodušší rozhodnout, než pro soud prvostupňový. </w:t>
      </w:r>
      <w:r>
        <w:t>Krajský s</w:t>
      </w:r>
      <w:r w:rsidRPr="00D17312">
        <w:t>oud přezkoumává rozhodnutí OS pouze v mezích podaného odvolání a až na výjimky nezjišťuje skutkový stav.</w:t>
      </w:r>
    </w:p>
    <w:p w:rsidR="00A4083A" w:rsidRPr="00D17312" w:rsidRDefault="00A4083A" w:rsidP="00A4083A">
      <w:pPr>
        <w:pStyle w:val="Podnadpis"/>
        <w:rPr>
          <w:color w:val="auto"/>
        </w:rPr>
      </w:pPr>
      <w:bookmarkStart w:id="396" w:name="_Toc43841435"/>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55</w:t>
      </w:r>
      <w:r w:rsidRPr="00D17312">
        <w:rPr>
          <w:noProof/>
          <w:color w:val="auto"/>
        </w:rPr>
        <w:fldChar w:fldCharType="end"/>
      </w:r>
      <w:r w:rsidRPr="00D17312">
        <w:rPr>
          <w:color w:val="auto"/>
        </w:rPr>
        <w:t>: KS – délka odvolacího civilního řízení v letech 2010–201</w:t>
      </w:r>
      <w:bookmarkEnd w:id="394"/>
      <w:bookmarkEnd w:id="395"/>
      <w:r w:rsidRPr="00D17312">
        <w:rPr>
          <w:color w:val="auto"/>
        </w:rPr>
        <w:t>9</w:t>
      </w:r>
      <w:bookmarkEnd w:id="396"/>
    </w:p>
    <w:p w:rsidR="00A4083A" w:rsidRPr="00D17312" w:rsidRDefault="00A4083A" w:rsidP="00A4083A">
      <w:pPr>
        <w:rPr>
          <w:highlight w:val="yellow"/>
        </w:rPr>
      </w:pPr>
      <w:r w:rsidRPr="00D17312">
        <w:rPr>
          <w:noProof/>
          <w:lang w:eastAsia="cs-CZ"/>
        </w:rPr>
        <w:drawing>
          <wp:inline distT="0" distB="0" distL="0" distR="0" wp14:anchorId="42B26262" wp14:editId="507518BA">
            <wp:extent cx="5115560" cy="3743960"/>
            <wp:effectExtent l="0" t="0" r="0" b="889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rsidR="00A4083A" w:rsidRDefault="00A4083A" w:rsidP="00A4083A">
      <w:pPr>
        <w:pStyle w:val="OdstavecASR"/>
      </w:pPr>
      <w:r w:rsidRPr="00D17312">
        <w:t>Od roku 2013 jsou délky řízení velmi stabilní a poměrně nízké. Odvolání proti věcem z rejstříků C okresních soudů lze tedy z hlediska délek řízení označit za stabilní a celkem bezproblémovou agendu.</w:t>
      </w:r>
    </w:p>
    <w:p w:rsidR="00A4083A" w:rsidRPr="00D17312" w:rsidRDefault="00A4083A" w:rsidP="00A4083A">
      <w:pPr>
        <w:rPr>
          <w:highlight w:val="yellow"/>
        </w:rPr>
      </w:pPr>
    </w:p>
    <w:p w:rsidR="00A4083A" w:rsidRPr="00D17312" w:rsidRDefault="00A4083A" w:rsidP="00A4083A">
      <w:pPr>
        <w:pStyle w:val="Podnadpis"/>
        <w:rPr>
          <w:color w:val="auto"/>
        </w:rPr>
      </w:pPr>
      <w:bookmarkStart w:id="397" w:name="_Toc515871475"/>
      <w:bookmarkStart w:id="398" w:name="_Toc11133243"/>
      <w:bookmarkStart w:id="399" w:name="_Toc43931221"/>
      <w:r w:rsidRPr="00D17312">
        <w:rPr>
          <w:color w:val="auto"/>
        </w:rPr>
        <w:lastRenderedPageBreak/>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48</w:t>
      </w:r>
      <w:r w:rsidRPr="00D17312">
        <w:rPr>
          <w:noProof/>
          <w:color w:val="auto"/>
        </w:rPr>
        <w:fldChar w:fldCharType="end"/>
      </w:r>
      <w:r w:rsidRPr="00D17312">
        <w:rPr>
          <w:color w:val="auto"/>
        </w:rPr>
        <w:t>: KS – délky odvolacího civilního řízení dle soudů</w:t>
      </w:r>
      <w:bookmarkEnd w:id="397"/>
      <w:bookmarkEnd w:id="398"/>
      <w:bookmarkEnd w:id="399"/>
    </w:p>
    <w:tbl>
      <w:tblPr>
        <w:tblW w:w="7520" w:type="dxa"/>
        <w:tblCellMar>
          <w:left w:w="70" w:type="dxa"/>
          <w:right w:w="70" w:type="dxa"/>
        </w:tblCellMar>
        <w:tblLook w:val="04A0" w:firstRow="1" w:lastRow="0" w:firstColumn="1" w:lastColumn="0" w:noHBand="0" w:noVBand="1"/>
      </w:tblPr>
      <w:tblGrid>
        <w:gridCol w:w="2480"/>
        <w:gridCol w:w="716"/>
        <w:gridCol w:w="964"/>
        <w:gridCol w:w="716"/>
        <w:gridCol w:w="964"/>
        <w:gridCol w:w="716"/>
        <w:gridCol w:w="964"/>
      </w:tblGrid>
      <w:tr w:rsidR="00A4083A" w:rsidRPr="00D17312" w:rsidTr="00A41C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Délka řízení</w:t>
            </w:r>
          </w:p>
        </w:tc>
      </w:tr>
      <w:tr w:rsidR="00A4083A" w:rsidRPr="00D17312" w:rsidTr="00A41CAB">
        <w:trPr>
          <w:trHeight w:val="330"/>
        </w:trPr>
        <w:tc>
          <w:tcPr>
            <w:tcW w:w="24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680"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Průměr</w:t>
            </w:r>
          </w:p>
        </w:tc>
        <w:tc>
          <w:tcPr>
            <w:tcW w:w="1680" w:type="dxa"/>
            <w:gridSpan w:val="2"/>
            <w:tcBorders>
              <w:top w:val="nil"/>
              <w:left w:val="single" w:sz="4" w:space="0" w:color="auto"/>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Medián</w:t>
            </w:r>
          </w:p>
        </w:tc>
        <w:tc>
          <w:tcPr>
            <w:tcW w:w="1680"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Percentil 90</w:t>
            </w:r>
          </w:p>
        </w:tc>
      </w:tr>
      <w:tr w:rsidR="00A4083A" w:rsidRPr="00D17312"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716"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74</w:t>
            </w:r>
          </w:p>
        </w:tc>
        <w:tc>
          <w:tcPr>
            <w:tcW w:w="964"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-10</w:t>
            </w:r>
            <w:r>
              <w:rPr>
                <w:rFonts w:eastAsia="Times New Roman"/>
                <w:sz w:val="20"/>
                <w:szCs w:val="20"/>
                <w:lang w:eastAsia="cs-CZ"/>
              </w:rPr>
              <w:t> %</w:t>
            </w:r>
          </w:p>
        </w:tc>
        <w:tc>
          <w:tcPr>
            <w:tcW w:w="71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55</w:t>
            </w:r>
          </w:p>
        </w:tc>
        <w:tc>
          <w:tcPr>
            <w:tcW w:w="96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c>
          <w:tcPr>
            <w:tcW w:w="716"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134</w:t>
            </w:r>
          </w:p>
        </w:tc>
        <w:tc>
          <w:tcPr>
            <w:tcW w:w="964"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-12</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71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79</w:t>
            </w:r>
          </w:p>
        </w:tc>
        <w:tc>
          <w:tcPr>
            <w:tcW w:w="96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71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56</w:t>
            </w:r>
          </w:p>
        </w:tc>
        <w:tc>
          <w:tcPr>
            <w:tcW w:w="96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71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155</w:t>
            </w:r>
          </w:p>
        </w:tc>
        <w:tc>
          <w:tcPr>
            <w:tcW w:w="96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71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67</w:t>
            </w:r>
          </w:p>
        </w:tc>
        <w:tc>
          <w:tcPr>
            <w:tcW w:w="96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71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49</w:t>
            </w:r>
          </w:p>
        </w:tc>
        <w:tc>
          <w:tcPr>
            <w:tcW w:w="96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71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133</w:t>
            </w:r>
          </w:p>
        </w:tc>
        <w:tc>
          <w:tcPr>
            <w:tcW w:w="96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71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76</w:t>
            </w:r>
          </w:p>
        </w:tc>
        <w:tc>
          <w:tcPr>
            <w:tcW w:w="96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71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50</w:t>
            </w:r>
          </w:p>
        </w:tc>
        <w:tc>
          <w:tcPr>
            <w:tcW w:w="96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c>
          <w:tcPr>
            <w:tcW w:w="71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158</w:t>
            </w:r>
          </w:p>
        </w:tc>
        <w:tc>
          <w:tcPr>
            <w:tcW w:w="96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71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171</w:t>
            </w:r>
          </w:p>
        </w:tc>
        <w:tc>
          <w:tcPr>
            <w:tcW w:w="96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-15</w:t>
            </w:r>
            <w:r>
              <w:rPr>
                <w:rFonts w:eastAsia="Times New Roman"/>
                <w:sz w:val="20"/>
                <w:szCs w:val="20"/>
                <w:lang w:eastAsia="cs-CZ"/>
              </w:rPr>
              <w:t> %</w:t>
            </w:r>
          </w:p>
        </w:tc>
        <w:tc>
          <w:tcPr>
            <w:tcW w:w="71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119</w:t>
            </w:r>
          </w:p>
        </w:tc>
        <w:tc>
          <w:tcPr>
            <w:tcW w:w="96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c>
          <w:tcPr>
            <w:tcW w:w="71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377</w:t>
            </w:r>
          </w:p>
        </w:tc>
        <w:tc>
          <w:tcPr>
            <w:tcW w:w="96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71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88</w:t>
            </w:r>
          </w:p>
        </w:tc>
        <w:tc>
          <w:tcPr>
            <w:tcW w:w="96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71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58</w:t>
            </w:r>
          </w:p>
        </w:tc>
        <w:tc>
          <w:tcPr>
            <w:tcW w:w="96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c>
          <w:tcPr>
            <w:tcW w:w="71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159</w:t>
            </w:r>
          </w:p>
        </w:tc>
        <w:tc>
          <w:tcPr>
            <w:tcW w:w="96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71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291</w:t>
            </w:r>
          </w:p>
        </w:tc>
        <w:tc>
          <w:tcPr>
            <w:tcW w:w="96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w:t>
            </w:r>
            <w:r>
              <w:rPr>
                <w:rFonts w:eastAsia="Times New Roman"/>
                <w:sz w:val="20"/>
                <w:szCs w:val="20"/>
                <w:lang w:eastAsia="cs-CZ"/>
              </w:rPr>
              <w:t> %</w:t>
            </w:r>
          </w:p>
        </w:tc>
        <w:tc>
          <w:tcPr>
            <w:tcW w:w="71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183</w:t>
            </w:r>
          </w:p>
        </w:tc>
        <w:tc>
          <w:tcPr>
            <w:tcW w:w="96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71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637</w:t>
            </w:r>
          </w:p>
        </w:tc>
        <w:tc>
          <w:tcPr>
            <w:tcW w:w="964"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r>
      <w:tr w:rsidR="00A4083A" w:rsidRPr="00D17312"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71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101</w:t>
            </w:r>
          </w:p>
        </w:tc>
        <w:tc>
          <w:tcPr>
            <w:tcW w:w="964"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w:t>
            </w:r>
            <w:r>
              <w:rPr>
                <w:rFonts w:eastAsia="Times New Roman"/>
                <w:sz w:val="20"/>
                <w:szCs w:val="20"/>
                <w:lang w:eastAsia="cs-CZ"/>
              </w:rPr>
              <w:t> %</w:t>
            </w:r>
          </w:p>
        </w:tc>
        <w:tc>
          <w:tcPr>
            <w:tcW w:w="716"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62</w:t>
            </w:r>
          </w:p>
        </w:tc>
        <w:tc>
          <w:tcPr>
            <w:tcW w:w="964"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71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219</w:t>
            </w:r>
          </w:p>
        </w:tc>
        <w:tc>
          <w:tcPr>
            <w:tcW w:w="964"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r>
      <w:tr w:rsidR="00A4083A" w:rsidRPr="00D17312"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71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125</w:t>
            </w:r>
          </w:p>
        </w:tc>
        <w:tc>
          <w:tcPr>
            <w:tcW w:w="964"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-5</w:t>
            </w:r>
            <w:r>
              <w:rPr>
                <w:rFonts w:eastAsia="Times New Roman"/>
                <w:b/>
                <w:bCs/>
                <w:sz w:val="20"/>
                <w:szCs w:val="20"/>
                <w:lang w:eastAsia="cs-CZ"/>
              </w:rPr>
              <w:t> %</w:t>
            </w:r>
          </w:p>
        </w:tc>
        <w:tc>
          <w:tcPr>
            <w:tcW w:w="716"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65</w:t>
            </w:r>
          </w:p>
        </w:tc>
        <w:tc>
          <w:tcPr>
            <w:tcW w:w="964"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-8</w:t>
            </w:r>
            <w:r>
              <w:rPr>
                <w:rFonts w:eastAsia="Times New Roman"/>
                <w:b/>
                <w:bCs/>
                <w:sz w:val="20"/>
                <w:szCs w:val="20"/>
                <w:lang w:eastAsia="cs-CZ"/>
              </w:rPr>
              <w:t> %</w:t>
            </w:r>
          </w:p>
        </w:tc>
        <w:tc>
          <w:tcPr>
            <w:tcW w:w="71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281</w:t>
            </w:r>
          </w:p>
        </w:tc>
        <w:tc>
          <w:tcPr>
            <w:tcW w:w="964"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-2</w:t>
            </w:r>
            <w:r>
              <w:rPr>
                <w:rFonts w:eastAsia="Times New Roman"/>
                <w:b/>
                <w:bCs/>
                <w:sz w:val="20"/>
                <w:szCs w:val="20"/>
                <w:lang w:eastAsia="cs-CZ"/>
              </w:rPr>
              <w:t> %</w:t>
            </w:r>
          </w:p>
        </w:tc>
      </w:tr>
    </w:tbl>
    <w:p w:rsidR="00A4083A" w:rsidRPr="00D17312" w:rsidRDefault="00A4083A" w:rsidP="00A4083A">
      <w:pPr>
        <w:rPr>
          <w:highlight w:val="yellow"/>
        </w:rPr>
      </w:pPr>
    </w:p>
    <w:p w:rsidR="00A4083A" w:rsidRDefault="00A4083A" w:rsidP="00A4083A">
      <w:pPr>
        <w:pStyle w:val="OdstavecASR"/>
      </w:pPr>
      <w:bookmarkStart w:id="400" w:name="_Toc515871386"/>
      <w:bookmarkStart w:id="401" w:name="_Toc11135117"/>
      <w:r w:rsidRPr="00D17312">
        <w:t>V tabulce vidíme, že nejvyšší délky odvolacího civilního řízení vykazuje KS Brno (a to již několik let při ročních kladných i záporných výkyvech)</w:t>
      </w:r>
      <w:r>
        <w:t xml:space="preserve"> a</w:t>
      </w:r>
      <w:r w:rsidRPr="00D17312">
        <w:t xml:space="preserve"> KS Ústí nad Labem</w:t>
      </w:r>
      <w:r>
        <w:t xml:space="preserve">, u nějž se několik let situace trvale zhoršovala, nejvýrazněji v roce </w:t>
      </w:r>
      <w:r w:rsidRPr="00D17312">
        <w:t>201</w:t>
      </w:r>
      <w:r>
        <w:t>8</w:t>
      </w:r>
      <w:r w:rsidRPr="00D17312">
        <w:t xml:space="preserve"> (2016: 158 dnů, 2017: 169 dnů, 2018: 202 dnů). V roce 2019 nicméně došlo ke zlepšení.</w:t>
      </w:r>
    </w:p>
    <w:p w:rsidR="00A4083A" w:rsidRPr="00D17312" w:rsidRDefault="00A4083A" w:rsidP="00A4083A">
      <w:pPr>
        <w:pStyle w:val="OdstavecASR"/>
      </w:pPr>
      <w:r w:rsidRPr="00D17312">
        <w:t xml:space="preserve">Jelikož </w:t>
      </w:r>
      <w:r>
        <w:t xml:space="preserve">KS Brno </w:t>
      </w:r>
      <w:r w:rsidRPr="00D17312">
        <w:t xml:space="preserve">dlouhodobě vykazuje </w:t>
      </w:r>
      <w:r>
        <w:t xml:space="preserve">nejvyšší délky </w:t>
      </w:r>
      <w:r w:rsidRPr="00D17312">
        <w:t>civilní</w:t>
      </w:r>
      <w:r>
        <w:t>ho</w:t>
      </w:r>
      <w:r w:rsidRPr="00D17312">
        <w:t xml:space="preserve"> odvolací</w:t>
      </w:r>
      <w:r>
        <w:t>ho</w:t>
      </w:r>
      <w:r w:rsidRPr="00D17312">
        <w:t xml:space="preserve"> řízení, </w:t>
      </w:r>
      <w:r>
        <w:t xml:space="preserve">zaměřilo se Ministerstvo spravedlnosti společně se soudem </w:t>
      </w:r>
      <w:r w:rsidRPr="00D17312">
        <w:t xml:space="preserve">na předmětná data </w:t>
      </w:r>
      <w:r>
        <w:t>hlouběji</w:t>
      </w:r>
      <w:r w:rsidRPr="00D17312">
        <w:t xml:space="preserve">. </w:t>
      </w:r>
      <w:r>
        <w:t>Výsledkem je zjištění</w:t>
      </w:r>
      <w:r w:rsidRPr="00D17312">
        <w:t>, že KS Brno postupuje v určité</w:t>
      </w:r>
      <w:r>
        <w:t xml:space="preserve"> situaci</w:t>
      </w:r>
      <w:r w:rsidRPr="00D17312">
        <w:t>, kter</w:t>
      </w:r>
      <w:r>
        <w:t>á</w:t>
      </w:r>
      <w:r w:rsidRPr="00D17312">
        <w:t xml:space="preserve"> nastane v rámci odvolacího řízení, odlišně od ostatních krajských soudů. Tato odlišnost však spočívá převážně v administrativním postupu</w:t>
      </w:r>
      <w:r>
        <w:t xml:space="preserve">, nikoliv </w:t>
      </w:r>
      <w:r w:rsidRPr="00D17312">
        <w:t>v rozhodovací činnosti.</w:t>
      </w:r>
    </w:p>
    <w:p w:rsidR="00A4083A" w:rsidRPr="00D17312" w:rsidRDefault="00A4083A" w:rsidP="00A4083A">
      <w:pPr>
        <w:pStyle w:val="Podnadpis"/>
        <w:rPr>
          <w:color w:val="auto"/>
        </w:rPr>
      </w:pPr>
      <w:bookmarkStart w:id="402" w:name="_Toc43841436"/>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56</w:t>
      </w:r>
      <w:r w:rsidRPr="00D17312">
        <w:rPr>
          <w:color w:val="auto"/>
        </w:rPr>
        <w:fldChar w:fldCharType="end"/>
      </w:r>
      <w:r w:rsidRPr="00D17312">
        <w:rPr>
          <w:color w:val="auto"/>
        </w:rPr>
        <w:t>: KS – distribuce délek odvolacího civilního řízení</w:t>
      </w:r>
      <w:bookmarkEnd w:id="400"/>
      <w:bookmarkEnd w:id="401"/>
      <w:bookmarkEnd w:id="402"/>
    </w:p>
    <w:p w:rsidR="00A4083A" w:rsidRPr="00D17312" w:rsidRDefault="00A4083A" w:rsidP="00A4083A">
      <w:pPr>
        <w:rPr>
          <w:highlight w:val="yellow"/>
        </w:rPr>
      </w:pPr>
      <w:r w:rsidRPr="00D17312">
        <w:rPr>
          <w:noProof/>
          <w:lang w:eastAsia="cs-CZ"/>
        </w:rPr>
        <w:drawing>
          <wp:inline distT="0" distB="0" distL="0" distR="0" wp14:anchorId="37426A38" wp14:editId="09F1A73C">
            <wp:extent cx="5115560" cy="3743960"/>
            <wp:effectExtent l="0" t="0" r="0" b="889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rsidR="00A4083A" w:rsidRPr="00D17312" w:rsidRDefault="00A4083A" w:rsidP="00A4083A">
      <w:pPr>
        <w:pStyle w:val="OdstavecASR"/>
      </w:pPr>
      <w:r w:rsidRPr="00D17312">
        <w:lastRenderedPageBreak/>
        <w:t>Podívejme se ještě na rozložení délek odvolacích řízení pomocí histogramu. Připomínáme, že stejně jako u okresních soudů je šířka jednoho intervalu (sloupce) 25 dnů. Pro lepší přehlednost uvádíme všechny délky řízení delší než 800 dnů v jednom sloupci (na grafu nejvíce vpravo). Z histogramu pak můžeme opět vyčíst další informace o délkách řízení. Například:</w:t>
      </w:r>
    </w:p>
    <w:p w:rsidR="00A4083A" w:rsidRPr="00D17312" w:rsidRDefault="00A4083A" w:rsidP="00A4083A">
      <w:pPr>
        <w:pStyle w:val="Odstavecseseznamem"/>
        <w:numPr>
          <w:ilvl w:val="0"/>
          <w:numId w:val="18"/>
        </w:numPr>
      </w:pPr>
      <w:r w:rsidRPr="00D17312">
        <w:t>Více než 37</w:t>
      </w:r>
      <w:r>
        <w:t> % </w:t>
      </w:r>
      <w:r w:rsidRPr="00D17312">
        <w:t>věcí je vyřízeno do 50 dnů, což je asi o 2 procentní body více než v roce 2018 s tím, že se snížil počet odvolání vyřízených v prvních 25 dnech.</w:t>
      </w:r>
    </w:p>
    <w:p w:rsidR="00A4083A" w:rsidRPr="00D17312" w:rsidRDefault="00A4083A" w:rsidP="00A4083A">
      <w:pPr>
        <w:pStyle w:val="Odstavecseseznamem"/>
        <w:numPr>
          <w:ilvl w:val="0"/>
          <w:numId w:val="18"/>
        </w:numPr>
      </w:pPr>
      <w:r w:rsidRPr="00D17312">
        <w:t>U odvolacích řízení delší než 800 kalendářních dnů zůstává stav také stejný jako v roce 2018</w:t>
      </w:r>
      <w:r>
        <w:t xml:space="preserve">: </w:t>
      </w:r>
      <w:r w:rsidRPr="00D17312">
        <w:t>4</w:t>
      </w:r>
      <w:r>
        <w:t> % </w:t>
      </w:r>
      <w:r w:rsidRPr="00D17312">
        <w:t>všech odvolání v civilním řízení u KS trvá déle než 800 kalendářních dnů.</w:t>
      </w:r>
    </w:p>
    <w:p w:rsidR="00A4083A" w:rsidRPr="00D17312" w:rsidRDefault="00A4083A" w:rsidP="00A4083A">
      <w:pPr>
        <w:pStyle w:val="Odstavecseseznamem"/>
        <w:numPr>
          <w:ilvl w:val="0"/>
          <w:numId w:val="18"/>
        </w:numPr>
      </w:pPr>
      <w:r w:rsidRPr="00D17312">
        <w:t>Relativní četnost délek řízení téměř vždy klesá s přibývající délkou řízení.</w:t>
      </w:r>
    </w:p>
    <w:p w:rsidR="00A4083A" w:rsidRPr="00D17312" w:rsidRDefault="00A4083A" w:rsidP="00A4083A">
      <w:pPr>
        <w:pStyle w:val="Nadpis3"/>
        <w:rPr>
          <w:color w:val="auto"/>
        </w:rPr>
      </w:pPr>
      <w:bookmarkStart w:id="403" w:name="_Toc515871255"/>
      <w:bookmarkStart w:id="404" w:name="_Toc43903061"/>
      <w:r w:rsidRPr="00D17312">
        <w:rPr>
          <w:color w:val="auto"/>
        </w:rPr>
        <w:t>Vyřizování věcí</w:t>
      </w:r>
      <w:bookmarkEnd w:id="403"/>
      <w:bookmarkEnd w:id="404"/>
    </w:p>
    <w:p w:rsidR="00A4083A" w:rsidRPr="00D17312" w:rsidRDefault="00A4083A" w:rsidP="00A4083A">
      <w:pPr>
        <w:pStyle w:val="OdstavecASR"/>
      </w:pPr>
      <w:r w:rsidRPr="00D17312">
        <w:t>Jak jsme uvedli již dříve, data o vyřizování věcí zahrnují více agend než údaje o délce řízení.</w:t>
      </w:r>
    </w:p>
    <w:p w:rsidR="00A4083A" w:rsidRPr="00D17312" w:rsidRDefault="00A4083A" w:rsidP="00A4083A">
      <w:pPr>
        <w:pStyle w:val="Podnadpis"/>
        <w:rPr>
          <w:color w:val="auto"/>
        </w:rPr>
      </w:pPr>
      <w:bookmarkStart w:id="405" w:name="_Toc515871387"/>
      <w:bookmarkStart w:id="406" w:name="_Toc11135118"/>
      <w:bookmarkStart w:id="407" w:name="_Toc43841437"/>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57</w:t>
      </w:r>
      <w:r w:rsidRPr="00D17312">
        <w:rPr>
          <w:noProof/>
          <w:color w:val="auto"/>
        </w:rPr>
        <w:fldChar w:fldCharType="end"/>
      </w:r>
      <w:r w:rsidRPr="00D17312">
        <w:rPr>
          <w:color w:val="auto"/>
        </w:rPr>
        <w:t>: KS – vyřizování odvolacích civilních věcí v letech 2008–201</w:t>
      </w:r>
      <w:bookmarkEnd w:id="405"/>
      <w:bookmarkEnd w:id="406"/>
      <w:r w:rsidRPr="00D17312">
        <w:rPr>
          <w:color w:val="auto"/>
        </w:rPr>
        <w:t>9</w:t>
      </w:r>
      <w:bookmarkEnd w:id="407"/>
    </w:p>
    <w:p w:rsidR="00A4083A" w:rsidRPr="00D17312" w:rsidRDefault="00A4083A" w:rsidP="00A4083A">
      <w:pPr>
        <w:rPr>
          <w:highlight w:val="yellow"/>
        </w:rPr>
      </w:pPr>
      <w:r w:rsidRPr="003130C6">
        <w:rPr>
          <w:noProof/>
          <w:lang w:eastAsia="cs-CZ"/>
        </w:rPr>
        <w:drawing>
          <wp:inline distT="0" distB="0" distL="0" distR="0" wp14:anchorId="16A967D0" wp14:editId="7C00672F">
            <wp:extent cx="5120640" cy="3749040"/>
            <wp:effectExtent l="0" t="0" r="0" b="3810"/>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120640" cy="3749040"/>
                    </a:xfrm>
                    <a:prstGeom prst="rect">
                      <a:avLst/>
                    </a:prstGeom>
                    <a:noFill/>
                    <a:ln>
                      <a:noFill/>
                    </a:ln>
                  </pic:spPr>
                </pic:pic>
              </a:graphicData>
            </a:graphic>
          </wp:inline>
        </w:drawing>
      </w:r>
    </w:p>
    <w:p w:rsidR="00A4083A" w:rsidRPr="00D17312" w:rsidRDefault="00A4083A" w:rsidP="00A4083A">
      <w:pPr>
        <w:pStyle w:val="OdstavecASR"/>
      </w:pPr>
      <w:r w:rsidRPr="00D17312">
        <w:t>V časové řadě registrujeme nárůst v počtu napadlých a vyřízených věcí v roce 2012. Následoval postupný pokles na hodnoty před rokem 2012 a ještě níže. V roce 2019 došlo k poklesu na nejnižší hodnoty za sledované období. Logicky se nabízí hypotéza, že vývoj nápadu v agendě Co by měl za předpokladu konstantní míry odvolání do značné míry kopírovat vývoj prvostupňových vyřízených civilních věcí u okresních soudů. Tento předpoklad ale pro data v této zprávě příliš neplatí. Lze to vysvětlit již dříve popsanou skutečností, že do rejstříku Co nespadají jen odvolání v rejstříku C (který zkoumáme v kapitole </w:t>
      </w:r>
      <w:r w:rsidRPr="00D17312">
        <w:fldChar w:fldCharType="begin"/>
      </w:r>
      <w:r w:rsidRPr="00D17312">
        <w:instrText xml:space="preserve"> REF _Ref9425277 \r \h  \* MERGEFORMAT </w:instrText>
      </w:r>
      <w:r w:rsidRPr="00D17312">
        <w:fldChar w:fldCharType="separate"/>
      </w:r>
      <w:r w:rsidR="006E7F27">
        <w:t>2.2</w:t>
      </w:r>
      <w:r w:rsidRPr="00D17312">
        <w:fldChar w:fldCharType="end"/>
      </w:r>
      <w:r w:rsidRPr="00D17312">
        <w:t>), ale i odvolání ve všech ostatních věcech, které jsou vyřizovány na civilním úseku okresních soudů.</w:t>
      </w:r>
    </w:p>
    <w:p w:rsidR="00A4083A" w:rsidRDefault="00A4083A" w:rsidP="00A4083A">
      <w:pPr>
        <w:pStyle w:val="OdstavecASR"/>
      </w:pPr>
      <w:r w:rsidRPr="00D17312">
        <w:t xml:space="preserve">Důležitým zjištěním je především to, že počet vyřízených věcí je v posledních letech vždy mírně vyšší než počet </w:t>
      </w:r>
      <w:r>
        <w:t xml:space="preserve">věcí </w:t>
      </w:r>
      <w:r w:rsidRPr="00D17312">
        <w:t>příchozích. Počet nevyřízených věcí tedy pomalu, ale jistě klesá. Pokles v roce 2019 z 10 253 věcí na 8 694 věcí</w:t>
      </w:r>
      <w:r>
        <w:t>,</w:t>
      </w:r>
      <w:r w:rsidRPr="00D17312">
        <w:t xml:space="preserve"> </w:t>
      </w:r>
      <w:r>
        <w:t>tedy</w:t>
      </w:r>
      <w:r w:rsidRPr="00D17312">
        <w:t xml:space="preserve"> o 15</w:t>
      </w:r>
      <w:r>
        <w:t xml:space="preserve"> %, </w:t>
      </w:r>
      <w:r w:rsidRPr="00D17312">
        <w:t>lze dokonce označit za výrazný.</w:t>
      </w:r>
    </w:p>
    <w:p w:rsidR="00A4083A" w:rsidRPr="00D17312" w:rsidRDefault="00A4083A" w:rsidP="00A4083A">
      <w:pPr>
        <w:pStyle w:val="OdstavecASR"/>
      </w:pPr>
      <w:r w:rsidRPr="00D17312">
        <w:lastRenderedPageBreak/>
        <w:t>Každý rok se vyskytne krajský soud, u kterého toto konstatování není zcela naplněno. Variabilitu u jednotlivých KS je proto potřebné zkoumat v delších časových řadách. Činit závěry z ojedinělého ročního výkyvu není korektní. Například po velkém nárůstu nevyřízených věcí u KS v Ostravě v roce 2018 došlo u tohoto soudu ke značnému poklesu. Výrazně rovněž klesl počet příchozích věcí.</w:t>
      </w:r>
    </w:p>
    <w:p w:rsidR="00A4083A" w:rsidRPr="00D17312" w:rsidRDefault="00A4083A" w:rsidP="00A4083A">
      <w:pPr>
        <w:pStyle w:val="Podnadpis"/>
        <w:rPr>
          <w:color w:val="auto"/>
        </w:rPr>
      </w:pPr>
      <w:bookmarkStart w:id="408" w:name="_Toc515871476"/>
      <w:bookmarkStart w:id="409" w:name="_Toc11133244"/>
      <w:bookmarkStart w:id="410" w:name="_Toc43931222"/>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49</w:t>
      </w:r>
      <w:r w:rsidRPr="00D17312">
        <w:rPr>
          <w:noProof/>
          <w:color w:val="auto"/>
        </w:rPr>
        <w:fldChar w:fldCharType="end"/>
      </w:r>
      <w:r w:rsidRPr="00D17312">
        <w:rPr>
          <w:color w:val="auto"/>
        </w:rPr>
        <w:t>: KS – vyřizování odvolacích civilních věcí dle soudů</w:t>
      </w:r>
      <w:bookmarkEnd w:id="408"/>
      <w:bookmarkEnd w:id="409"/>
      <w:bookmarkEnd w:id="410"/>
    </w:p>
    <w:tbl>
      <w:tblPr>
        <w:tblW w:w="9260" w:type="dxa"/>
        <w:tblCellMar>
          <w:left w:w="70" w:type="dxa"/>
          <w:right w:w="70" w:type="dxa"/>
        </w:tblCellMar>
        <w:tblLook w:val="04A0" w:firstRow="1" w:lastRow="0" w:firstColumn="1" w:lastColumn="0" w:noHBand="0" w:noVBand="1"/>
      </w:tblPr>
      <w:tblGrid>
        <w:gridCol w:w="2020"/>
        <w:gridCol w:w="1126"/>
        <w:gridCol w:w="853"/>
        <w:gridCol w:w="1125"/>
        <w:gridCol w:w="813"/>
        <w:gridCol w:w="930"/>
        <w:gridCol w:w="853"/>
        <w:gridCol w:w="1540"/>
      </w:tblGrid>
      <w:tr w:rsidR="00A4083A" w:rsidRPr="00D17312" w:rsidTr="00A41CAB">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5700" w:type="dxa"/>
            <w:gridSpan w:val="6"/>
            <w:tcBorders>
              <w:top w:val="double" w:sz="6" w:space="0" w:color="auto"/>
              <w:left w:val="nil"/>
              <w:bottom w:val="nil"/>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Míra vyřizování</w:t>
            </w:r>
          </w:p>
        </w:tc>
      </w:tr>
      <w:tr w:rsidR="00A4083A" w:rsidRPr="00D17312" w:rsidTr="00A41CAB">
        <w:trPr>
          <w:trHeight w:val="330"/>
        </w:trPr>
        <w:tc>
          <w:tcPr>
            <w:tcW w:w="202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979"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Nápad + obživa</w:t>
            </w:r>
          </w:p>
        </w:tc>
        <w:tc>
          <w:tcPr>
            <w:tcW w:w="1938" w:type="dxa"/>
            <w:gridSpan w:val="2"/>
            <w:tcBorders>
              <w:top w:val="nil"/>
              <w:left w:val="single" w:sz="4" w:space="0" w:color="auto"/>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Vyřízeno</w:t>
            </w:r>
          </w:p>
        </w:tc>
        <w:tc>
          <w:tcPr>
            <w:tcW w:w="1783" w:type="dxa"/>
            <w:gridSpan w:val="2"/>
            <w:tcBorders>
              <w:top w:val="nil"/>
              <w:left w:val="nil"/>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r>
      <w:tr w:rsidR="00A4083A" w:rsidRPr="00D17312" w:rsidTr="00A41CAB">
        <w:trPr>
          <w:trHeight w:val="330"/>
        </w:trPr>
        <w:tc>
          <w:tcPr>
            <w:tcW w:w="202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126"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13 220</w:t>
            </w:r>
          </w:p>
        </w:tc>
        <w:tc>
          <w:tcPr>
            <w:tcW w:w="853"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1125" w:type="dxa"/>
            <w:tcBorders>
              <w:top w:val="single" w:sz="4" w:space="0" w:color="auto"/>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13 097</w:t>
            </w:r>
          </w:p>
        </w:tc>
        <w:tc>
          <w:tcPr>
            <w:tcW w:w="813" w:type="dxa"/>
            <w:tcBorders>
              <w:top w:val="single" w:sz="4" w:space="0" w:color="auto"/>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c>
          <w:tcPr>
            <w:tcW w:w="93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1 618</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99,1</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12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5 840</w:t>
            </w:r>
          </w:p>
        </w:tc>
        <w:tc>
          <w:tcPr>
            <w:tcW w:w="85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c>
          <w:tcPr>
            <w:tcW w:w="112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5 855</w:t>
            </w:r>
          </w:p>
        </w:tc>
        <w:tc>
          <w:tcPr>
            <w:tcW w:w="81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c>
          <w:tcPr>
            <w:tcW w:w="93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578</w:t>
            </w:r>
          </w:p>
        </w:tc>
        <w:tc>
          <w:tcPr>
            <w:tcW w:w="85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100,3</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12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2 336</w:t>
            </w:r>
          </w:p>
        </w:tc>
        <w:tc>
          <w:tcPr>
            <w:tcW w:w="85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w:t>
            </w:r>
            <w:r>
              <w:rPr>
                <w:rFonts w:eastAsia="Times New Roman"/>
                <w:sz w:val="20"/>
                <w:szCs w:val="20"/>
                <w:lang w:eastAsia="cs-CZ"/>
              </w:rPr>
              <w:t> %</w:t>
            </w:r>
          </w:p>
        </w:tc>
        <w:tc>
          <w:tcPr>
            <w:tcW w:w="112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2 354</w:t>
            </w:r>
          </w:p>
        </w:tc>
        <w:tc>
          <w:tcPr>
            <w:tcW w:w="81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w:t>
            </w:r>
            <w:r>
              <w:rPr>
                <w:rFonts w:eastAsia="Times New Roman"/>
                <w:sz w:val="20"/>
                <w:szCs w:val="20"/>
                <w:lang w:eastAsia="cs-CZ"/>
              </w:rPr>
              <w:t> %</w:t>
            </w:r>
          </w:p>
        </w:tc>
        <w:tc>
          <w:tcPr>
            <w:tcW w:w="93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231</w:t>
            </w:r>
          </w:p>
        </w:tc>
        <w:tc>
          <w:tcPr>
            <w:tcW w:w="85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100,8</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12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3 726</w:t>
            </w:r>
          </w:p>
        </w:tc>
        <w:tc>
          <w:tcPr>
            <w:tcW w:w="85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w:t>
            </w:r>
            <w:r>
              <w:rPr>
                <w:rFonts w:eastAsia="Times New Roman"/>
                <w:sz w:val="20"/>
                <w:szCs w:val="20"/>
                <w:lang w:eastAsia="cs-CZ"/>
              </w:rPr>
              <w:t> %</w:t>
            </w:r>
          </w:p>
        </w:tc>
        <w:tc>
          <w:tcPr>
            <w:tcW w:w="112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3 724</w:t>
            </w:r>
          </w:p>
        </w:tc>
        <w:tc>
          <w:tcPr>
            <w:tcW w:w="81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w:t>
            </w:r>
            <w:r>
              <w:rPr>
                <w:rFonts w:eastAsia="Times New Roman"/>
                <w:sz w:val="20"/>
                <w:szCs w:val="20"/>
                <w:lang w:eastAsia="cs-CZ"/>
              </w:rPr>
              <w:t> %</w:t>
            </w:r>
          </w:p>
        </w:tc>
        <w:tc>
          <w:tcPr>
            <w:tcW w:w="93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378</w:t>
            </w:r>
          </w:p>
        </w:tc>
        <w:tc>
          <w:tcPr>
            <w:tcW w:w="85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99,9</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12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5 131</w:t>
            </w:r>
          </w:p>
        </w:tc>
        <w:tc>
          <w:tcPr>
            <w:tcW w:w="85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112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5 197</w:t>
            </w:r>
          </w:p>
        </w:tc>
        <w:tc>
          <w:tcPr>
            <w:tcW w:w="81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c>
          <w:tcPr>
            <w:tcW w:w="93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1 078</w:t>
            </w:r>
          </w:p>
        </w:tc>
        <w:tc>
          <w:tcPr>
            <w:tcW w:w="85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101,3</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12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4 058</w:t>
            </w:r>
          </w:p>
        </w:tc>
        <w:tc>
          <w:tcPr>
            <w:tcW w:w="85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112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4 034</w:t>
            </w:r>
          </w:p>
        </w:tc>
        <w:tc>
          <w:tcPr>
            <w:tcW w:w="81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c>
          <w:tcPr>
            <w:tcW w:w="93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464</w:t>
            </w:r>
          </w:p>
        </w:tc>
        <w:tc>
          <w:tcPr>
            <w:tcW w:w="85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99,4</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12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7 961</w:t>
            </w:r>
          </w:p>
        </w:tc>
        <w:tc>
          <w:tcPr>
            <w:tcW w:w="85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c>
          <w:tcPr>
            <w:tcW w:w="112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8 756</w:t>
            </w:r>
          </w:p>
        </w:tc>
        <w:tc>
          <w:tcPr>
            <w:tcW w:w="81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93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2 793</w:t>
            </w:r>
          </w:p>
        </w:tc>
        <w:tc>
          <w:tcPr>
            <w:tcW w:w="85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-22</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110,0</w:t>
            </w:r>
            <w:r>
              <w:rPr>
                <w:rFonts w:eastAsia="Times New Roman"/>
                <w:szCs w:val="24"/>
                <w:lang w:eastAsia="cs-CZ"/>
              </w:rPr>
              <w:t> %</w:t>
            </w:r>
          </w:p>
        </w:tc>
      </w:tr>
      <w:tr w:rsidR="00A4083A" w:rsidRPr="00D17312" w:rsidTr="00A41CAB">
        <w:trPr>
          <w:trHeight w:val="330"/>
        </w:trPr>
        <w:tc>
          <w:tcPr>
            <w:tcW w:w="20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12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7 722</w:t>
            </w:r>
          </w:p>
        </w:tc>
        <w:tc>
          <w:tcPr>
            <w:tcW w:w="853"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-24</w:t>
            </w:r>
            <w:r>
              <w:rPr>
                <w:rFonts w:eastAsia="Times New Roman"/>
                <w:sz w:val="20"/>
                <w:szCs w:val="20"/>
                <w:lang w:eastAsia="cs-CZ"/>
              </w:rPr>
              <w:t> %</w:t>
            </w:r>
          </w:p>
        </w:tc>
        <w:tc>
          <w:tcPr>
            <w:tcW w:w="1125"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8 530</w:t>
            </w:r>
          </w:p>
        </w:tc>
        <w:tc>
          <w:tcPr>
            <w:tcW w:w="813"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93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1 554</w:t>
            </w:r>
          </w:p>
        </w:tc>
        <w:tc>
          <w:tcPr>
            <w:tcW w:w="853"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-34</w:t>
            </w:r>
            <w:r>
              <w:rPr>
                <w:rFonts w:eastAsia="Times New Roman"/>
                <w:sz w:val="20"/>
                <w:szCs w:val="20"/>
                <w:lang w:eastAsia="cs-CZ"/>
              </w:rPr>
              <w:t> %</w:t>
            </w:r>
          </w:p>
        </w:tc>
        <w:tc>
          <w:tcPr>
            <w:tcW w:w="1540" w:type="dxa"/>
            <w:tcBorders>
              <w:top w:val="nil"/>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110,5</w:t>
            </w:r>
            <w:r>
              <w:rPr>
                <w:rFonts w:eastAsia="Times New Roman"/>
                <w:szCs w:val="24"/>
                <w:lang w:eastAsia="cs-CZ"/>
              </w:rPr>
              <w:t> %</w:t>
            </w:r>
          </w:p>
        </w:tc>
      </w:tr>
      <w:tr w:rsidR="00A4083A" w:rsidRPr="00D17312" w:rsidTr="00A41CAB">
        <w:trPr>
          <w:trHeight w:val="345"/>
        </w:trPr>
        <w:tc>
          <w:tcPr>
            <w:tcW w:w="20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12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49 994</w:t>
            </w:r>
          </w:p>
        </w:tc>
        <w:tc>
          <w:tcPr>
            <w:tcW w:w="853"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-8</w:t>
            </w:r>
            <w:r>
              <w:rPr>
                <w:rFonts w:eastAsia="Times New Roman"/>
                <w:b/>
                <w:bCs/>
                <w:sz w:val="20"/>
                <w:szCs w:val="20"/>
                <w:lang w:eastAsia="cs-CZ"/>
              </w:rPr>
              <w:t> %</w:t>
            </w:r>
          </w:p>
        </w:tc>
        <w:tc>
          <w:tcPr>
            <w:tcW w:w="1125"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51 547</w:t>
            </w:r>
          </w:p>
        </w:tc>
        <w:tc>
          <w:tcPr>
            <w:tcW w:w="813"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-6</w:t>
            </w:r>
            <w:r>
              <w:rPr>
                <w:rFonts w:eastAsia="Times New Roman"/>
                <w:b/>
                <w:bCs/>
                <w:sz w:val="20"/>
                <w:szCs w:val="20"/>
                <w:lang w:eastAsia="cs-CZ"/>
              </w:rPr>
              <w:t> %</w:t>
            </w:r>
          </w:p>
        </w:tc>
        <w:tc>
          <w:tcPr>
            <w:tcW w:w="93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8 694</w:t>
            </w:r>
          </w:p>
        </w:tc>
        <w:tc>
          <w:tcPr>
            <w:tcW w:w="853"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-15</w:t>
            </w:r>
            <w:r>
              <w:rPr>
                <w:rFonts w:eastAsia="Times New Roman"/>
                <w:b/>
                <w:bCs/>
                <w:sz w:val="20"/>
                <w:szCs w:val="20"/>
                <w:lang w:eastAsia="cs-CZ"/>
              </w:rPr>
              <w:t> %</w:t>
            </w:r>
          </w:p>
        </w:tc>
        <w:tc>
          <w:tcPr>
            <w:tcW w:w="154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103,1</w:t>
            </w:r>
            <w:r>
              <w:rPr>
                <w:rFonts w:eastAsia="Times New Roman"/>
                <w:b/>
                <w:bCs/>
                <w:szCs w:val="24"/>
                <w:lang w:eastAsia="cs-CZ"/>
              </w:rPr>
              <w:t> %</w:t>
            </w:r>
          </w:p>
        </w:tc>
      </w:tr>
    </w:tbl>
    <w:p w:rsidR="00A4083A" w:rsidRPr="00D17312" w:rsidRDefault="00A4083A" w:rsidP="00A4083A">
      <w:pPr>
        <w:pStyle w:val="Nadpis3"/>
        <w:rPr>
          <w:color w:val="auto"/>
        </w:rPr>
      </w:pPr>
      <w:bookmarkStart w:id="411" w:name="_Toc43903062"/>
      <w:r w:rsidRPr="00D17312">
        <w:rPr>
          <w:color w:val="auto"/>
        </w:rPr>
        <w:t>Vyřizování v přepočtu na soudce</w:t>
      </w:r>
      <w:bookmarkEnd w:id="411"/>
    </w:p>
    <w:p w:rsidR="00A4083A" w:rsidRPr="00D17312" w:rsidRDefault="00A4083A" w:rsidP="00A4083A">
      <w:r w:rsidRPr="00D17312">
        <w:t xml:space="preserve">I zde lze díky novým datům v tomto roce provést přepočet na soudce. </w:t>
      </w:r>
      <w:r>
        <w:t xml:space="preserve">Výsledek </w:t>
      </w:r>
      <w:r w:rsidRPr="00D17312">
        <w:t>je uveden v tabulce níže.</w:t>
      </w:r>
    </w:p>
    <w:p w:rsidR="00A4083A" w:rsidRPr="00D17312" w:rsidRDefault="00A4083A" w:rsidP="00A4083A">
      <w:pPr>
        <w:pStyle w:val="Podnadpis"/>
        <w:rPr>
          <w:color w:val="auto"/>
        </w:rPr>
      </w:pPr>
      <w:bookmarkStart w:id="412" w:name="_Toc43931223"/>
      <w:r w:rsidRPr="00D17312">
        <w:rPr>
          <w:color w:val="auto"/>
        </w:rPr>
        <w:t xml:space="preserve">Tabulka </w:t>
      </w:r>
      <w:r w:rsidRPr="00D17312">
        <w:rPr>
          <w:noProof/>
          <w:color w:val="auto"/>
        </w:rPr>
        <w:fldChar w:fldCharType="begin"/>
      </w:r>
      <w:r w:rsidRPr="00D17312">
        <w:rPr>
          <w:noProof/>
          <w:color w:val="auto"/>
        </w:rPr>
        <w:instrText xml:space="preserve"> SEQ Tabulka \* ARABIC </w:instrText>
      </w:r>
      <w:r w:rsidRPr="00D17312">
        <w:rPr>
          <w:noProof/>
          <w:color w:val="auto"/>
        </w:rPr>
        <w:fldChar w:fldCharType="separate"/>
      </w:r>
      <w:r w:rsidR="006E7F27">
        <w:rPr>
          <w:noProof/>
          <w:color w:val="auto"/>
        </w:rPr>
        <w:t>50</w:t>
      </w:r>
      <w:r w:rsidRPr="00D17312">
        <w:rPr>
          <w:noProof/>
          <w:color w:val="auto"/>
        </w:rPr>
        <w:fldChar w:fldCharType="end"/>
      </w:r>
      <w:r w:rsidRPr="00D17312">
        <w:rPr>
          <w:color w:val="auto"/>
        </w:rPr>
        <w:t>: KS – vyřizování odvolacích civilních věcí na soudce dle soudů</w:t>
      </w:r>
      <w:bookmarkEnd w:id="412"/>
    </w:p>
    <w:tbl>
      <w:tblPr>
        <w:tblW w:w="8780" w:type="dxa"/>
        <w:tblCellMar>
          <w:left w:w="70" w:type="dxa"/>
          <w:right w:w="70" w:type="dxa"/>
        </w:tblCellMar>
        <w:tblLook w:val="04A0" w:firstRow="1" w:lastRow="0" w:firstColumn="1" w:lastColumn="0" w:noHBand="0" w:noVBand="1"/>
      </w:tblPr>
      <w:tblGrid>
        <w:gridCol w:w="2480"/>
        <w:gridCol w:w="1660"/>
        <w:gridCol w:w="2036"/>
        <w:gridCol w:w="1141"/>
        <w:gridCol w:w="1463"/>
      </w:tblGrid>
      <w:tr w:rsidR="00A4083A" w:rsidRPr="00D17312" w:rsidTr="00A41C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166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soudců</w:t>
            </w:r>
          </w:p>
        </w:tc>
        <w:tc>
          <w:tcPr>
            <w:tcW w:w="4640" w:type="dxa"/>
            <w:gridSpan w:val="3"/>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věcí na soudce</w:t>
            </w:r>
          </w:p>
        </w:tc>
      </w:tr>
      <w:tr w:rsidR="00A4083A" w:rsidRPr="00D17312" w:rsidTr="00A41CAB">
        <w:trPr>
          <w:trHeight w:val="330"/>
        </w:trPr>
        <w:tc>
          <w:tcPr>
            <w:tcW w:w="24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66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2036"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Nápad + obživa</w:t>
            </w:r>
          </w:p>
        </w:tc>
        <w:tc>
          <w:tcPr>
            <w:tcW w:w="1141"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Vyřízeno</w:t>
            </w:r>
          </w:p>
        </w:tc>
        <w:tc>
          <w:tcPr>
            <w:tcW w:w="1463"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Nevyřízeno</w:t>
            </w:r>
          </w:p>
        </w:tc>
      </w:tr>
      <w:tr w:rsidR="00A4083A" w:rsidRPr="00D17312"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66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94</w:t>
            </w:r>
          </w:p>
        </w:tc>
        <w:tc>
          <w:tcPr>
            <w:tcW w:w="2036"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140,64</w:t>
            </w:r>
          </w:p>
        </w:tc>
        <w:tc>
          <w:tcPr>
            <w:tcW w:w="1141"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139,33</w:t>
            </w:r>
          </w:p>
        </w:tc>
        <w:tc>
          <w:tcPr>
            <w:tcW w:w="1463"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17,21</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46</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126,96</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127,28</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12,57</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22</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106,18</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107,00</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10,50</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31</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120,19</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120,13</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12,19</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51,04</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100,53</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101,82</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21,12</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32,3</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125,63</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124,89</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14,37</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72</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110,57</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121,61</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38,79</w:t>
            </w:r>
          </w:p>
        </w:tc>
      </w:tr>
      <w:tr w:rsidR="00A4083A" w:rsidRPr="00D17312"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6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42</w:t>
            </w:r>
          </w:p>
        </w:tc>
        <w:tc>
          <w:tcPr>
            <w:tcW w:w="203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183,86</w:t>
            </w:r>
          </w:p>
        </w:tc>
        <w:tc>
          <w:tcPr>
            <w:tcW w:w="114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203,10</w:t>
            </w:r>
          </w:p>
        </w:tc>
        <w:tc>
          <w:tcPr>
            <w:tcW w:w="146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37,00</w:t>
            </w:r>
          </w:p>
        </w:tc>
      </w:tr>
      <w:tr w:rsidR="00A4083A" w:rsidRPr="00D17312"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6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390,34</w:t>
            </w:r>
          </w:p>
        </w:tc>
        <w:tc>
          <w:tcPr>
            <w:tcW w:w="203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128,08</w:t>
            </w:r>
          </w:p>
        </w:tc>
        <w:tc>
          <w:tcPr>
            <w:tcW w:w="114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132,06</w:t>
            </w:r>
          </w:p>
        </w:tc>
        <w:tc>
          <w:tcPr>
            <w:tcW w:w="146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22,27</w:t>
            </w:r>
          </w:p>
        </w:tc>
      </w:tr>
    </w:tbl>
    <w:p w:rsidR="00A4083A" w:rsidRPr="00D17312" w:rsidRDefault="00A4083A" w:rsidP="00A4083A"/>
    <w:p w:rsidR="00A4083A" w:rsidRPr="00D17312" w:rsidRDefault="00A4083A" w:rsidP="00A4083A">
      <w:r w:rsidRPr="00D17312">
        <w:t>Opět si v souvislosti s tabulkou dovolíme upozornit na několik faktů.</w:t>
      </w:r>
    </w:p>
    <w:p w:rsidR="00A4083A" w:rsidRPr="00D17312" w:rsidRDefault="00A4083A" w:rsidP="00A4083A">
      <w:pPr>
        <w:pStyle w:val="Odstavecseseznamem"/>
        <w:numPr>
          <w:ilvl w:val="0"/>
          <w:numId w:val="24"/>
        </w:numPr>
      </w:pPr>
      <w:r w:rsidRPr="00D17312">
        <w:t xml:space="preserve">Odvolací úsek soudů je výrazně větší než úsek prvostupňový. To koneckonců plyne již z množství vyřizovaných věcí. Nyní to </w:t>
      </w:r>
      <w:r>
        <w:t xml:space="preserve">ale </w:t>
      </w:r>
      <w:r w:rsidRPr="00D17312">
        <w:t>vidíme i na počtu soudců, který je asi čtyřnásobný oproti prvostupňovému úseku.</w:t>
      </w:r>
    </w:p>
    <w:p w:rsidR="00A4083A" w:rsidRPr="00D17312" w:rsidRDefault="00A4083A" w:rsidP="00A4083A">
      <w:pPr>
        <w:pStyle w:val="Odstavecseseznamem"/>
        <w:numPr>
          <w:ilvl w:val="0"/>
          <w:numId w:val="24"/>
        </w:numPr>
      </w:pPr>
      <w:r w:rsidRPr="00D17312">
        <w:t xml:space="preserve">Počty příchozích a vyřízených věcí jsou mezi kraji mnohem vyrovnanější než u prvostupňových věcí. V tomto směru vybočuje KS Ostrava, u něhož se této agendě očividně věnuje relativně méně soudců než u ostatních soudů. Jak uvidíme níže, </w:t>
      </w:r>
      <w:r>
        <w:t xml:space="preserve">dotčení </w:t>
      </w:r>
      <w:r w:rsidRPr="00D17312">
        <w:t>soudci byli přesunuti na insolvenční úsek.</w:t>
      </w:r>
    </w:p>
    <w:p w:rsidR="00A4083A" w:rsidRPr="00D17312" w:rsidRDefault="00A4083A" w:rsidP="00A4083A">
      <w:pPr>
        <w:pStyle w:val="Odstavecseseznamem"/>
        <w:numPr>
          <w:ilvl w:val="0"/>
          <w:numId w:val="24"/>
        </w:numPr>
      </w:pPr>
      <w:r w:rsidRPr="00D17312">
        <w:lastRenderedPageBreak/>
        <w:t>Počet nevyřízených věcí potvrzuje výsledky u délek řízení. Nejhůře na tom jsou KS Brno a částečné KS Ústí nad Labem. Vysoký počet nevyřízených věcí také vykazuje KS Ostrava, což je zřejmě dáno tím, že této agendě se věnuje relativně méně soudců než u ostatních krajských soudů.</w:t>
      </w:r>
    </w:p>
    <w:p w:rsidR="00A4083A" w:rsidRPr="00D17312" w:rsidRDefault="00A4083A" w:rsidP="00A4083A">
      <w:pPr>
        <w:pStyle w:val="Nadpis3"/>
        <w:rPr>
          <w:color w:val="auto"/>
        </w:rPr>
      </w:pPr>
      <w:bookmarkStart w:id="413" w:name="_Toc41058973"/>
      <w:bookmarkStart w:id="414" w:name="_Toc515871256"/>
      <w:bookmarkStart w:id="415" w:name="_Toc43903063"/>
      <w:bookmarkEnd w:id="413"/>
      <w:r w:rsidRPr="00D17312">
        <w:rPr>
          <w:color w:val="auto"/>
        </w:rPr>
        <w:t>Disposition time</w:t>
      </w:r>
      <w:bookmarkEnd w:id="414"/>
      <w:bookmarkEnd w:id="415"/>
    </w:p>
    <w:p w:rsidR="00A4083A" w:rsidRPr="00D17312" w:rsidRDefault="00A4083A" w:rsidP="00A4083A">
      <w:pPr>
        <w:pStyle w:val="OdstavecASR"/>
      </w:pPr>
      <w:r w:rsidRPr="00D17312">
        <w:t>Připomeňme, že se jedná o ukazatel efektivnosti vyřizování věcí a vyjadřuje, za kolik dní by daný soud vyřídil nevyřízené věci již ležící na soudu, pokud by neměl žádný nový nápad a pracoval stejným tempem.</w:t>
      </w:r>
    </w:p>
    <w:p w:rsidR="00A4083A" w:rsidRPr="00D17312" w:rsidRDefault="00A4083A" w:rsidP="00A4083A">
      <w:pPr>
        <w:pStyle w:val="OdstavecASR"/>
      </w:pPr>
      <w:r w:rsidRPr="00D17312">
        <w:t>DT se v letech 2017–2018 mírně prodlužoval, což bylo způsobeno tím, že rychlé vyřizování věcí se neodráží ve stejně rychlém ubývání nevyřízených věcí v daném roce. V roce 2019 se DT díky signifikantnímu poklesu v počtu nevyřízených věcí snížil na úroveň v roce 2016, tj. nejnižší za celé sledované období.</w:t>
      </w:r>
    </w:p>
    <w:p w:rsidR="00A4083A" w:rsidRPr="00D17312" w:rsidRDefault="00A4083A" w:rsidP="00A4083A">
      <w:pPr>
        <w:pStyle w:val="OdstavecASR"/>
      </w:pPr>
      <w:r w:rsidRPr="00D17312">
        <w:t>Stejně jako v ostatních agendách existují v odvolací civilní agendě u krajských soudů velké rozdíly mezi soudy a také v rámci soudu lze v časových řadách registrovat více či méně pravidelné odchylky. Závěrem lze konstatovat, že délky řízení i DT u odvolací civilní agendy u krajských soudů jsou v průměru nízké a agenda je z tohoto hlediska poměrně bezproblémová. Určité problémy m</w:t>
      </w:r>
      <w:r>
        <w:t>á</w:t>
      </w:r>
      <w:r w:rsidRPr="00D17312">
        <w:t xml:space="preserve"> dlouhodobě především KS Brno, kde je úroveň DT násobně vyšší než u </w:t>
      </w:r>
      <w:r>
        <w:t>některých</w:t>
      </w:r>
      <w:r w:rsidRPr="00D17312">
        <w:t xml:space="preserve"> krajských soudů</w:t>
      </w:r>
      <w:r>
        <w:t xml:space="preserve">, a </w:t>
      </w:r>
      <w:r w:rsidRPr="00D17312">
        <w:t>částečně KS Ústí nad Labem</w:t>
      </w:r>
      <w:r>
        <w:t xml:space="preserve"> a KS Ostrava</w:t>
      </w:r>
      <w:r w:rsidRPr="00D17312">
        <w:t xml:space="preserve">. Situace se </w:t>
      </w:r>
      <w:r>
        <w:t>nicméně</w:t>
      </w:r>
      <w:r w:rsidRPr="00D17312">
        <w:t xml:space="preserve"> </w:t>
      </w:r>
      <w:r>
        <w:t xml:space="preserve">obecně </w:t>
      </w:r>
      <w:r w:rsidRPr="00D17312">
        <w:t>zlepšuje.</w:t>
      </w:r>
    </w:p>
    <w:p w:rsidR="00A4083A" w:rsidRPr="00D17312" w:rsidRDefault="00A4083A" w:rsidP="00A4083A">
      <w:pPr>
        <w:pStyle w:val="Podnadpis"/>
        <w:rPr>
          <w:color w:val="auto"/>
        </w:rPr>
      </w:pPr>
      <w:bookmarkStart w:id="416" w:name="_Toc515871388"/>
      <w:bookmarkStart w:id="417" w:name="_Toc11135119"/>
      <w:bookmarkStart w:id="418" w:name="_Toc43841438"/>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58</w:t>
      </w:r>
      <w:r w:rsidRPr="00D17312">
        <w:rPr>
          <w:noProof/>
          <w:color w:val="auto"/>
        </w:rPr>
        <w:fldChar w:fldCharType="end"/>
      </w:r>
      <w:r w:rsidRPr="00D17312">
        <w:rPr>
          <w:color w:val="auto"/>
        </w:rPr>
        <w:t>: KS – DT odvolacího civilního řízení v letech 2008–201</w:t>
      </w:r>
      <w:bookmarkEnd w:id="416"/>
      <w:bookmarkEnd w:id="417"/>
      <w:r w:rsidRPr="00D17312">
        <w:rPr>
          <w:color w:val="auto"/>
        </w:rPr>
        <w:t>9</w:t>
      </w:r>
      <w:bookmarkEnd w:id="418"/>
    </w:p>
    <w:p w:rsidR="00A4083A" w:rsidRPr="00D17312" w:rsidRDefault="00A4083A" w:rsidP="00A4083A">
      <w:pPr>
        <w:rPr>
          <w:highlight w:val="yellow"/>
        </w:rPr>
      </w:pPr>
      <w:r w:rsidRPr="00D17312">
        <w:rPr>
          <w:noProof/>
          <w:lang w:eastAsia="cs-CZ"/>
        </w:rPr>
        <w:drawing>
          <wp:inline distT="0" distB="0" distL="0" distR="0" wp14:anchorId="368360FF" wp14:editId="692CF844">
            <wp:extent cx="5115560" cy="3743960"/>
            <wp:effectExtent l="0" t="0" r="0" b="889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rsidR="00A4083A" w:rsidRPr="00D17312" w:rsidRDefault="00A4083A" w:rsidP="00A4083A">
      <w:pPr>
        <w:pStyle w:val="Podnadpis"/>
        <w:rPr>
          <w:color w:val="auto"/>
        </w:rPr>
      </w:pPr>
      <w:bookmarkStart w:id="419" w:name="_Toc515871477"/>
      <w:bookmarkStart w:id="420" w:name="_Toc11133245"/>
    </w:p>
    <w:p w:rsidR="00A4083A" w:rsidRPr="00D17312" w:rsidRDefault="00A4083A" w:rsidP="00A4083A">
      <w:pPr>
        <w:spacing w:line="240" w:lineRule="auto"/>
        <w:jc w:val="left"/>
        <w:rPr>
          <w:rFonts w:eastAsia="Times New Roman"/>
          <w:b/>
          <w:iCs/>
          <w:spacing w:val="15"/>
          <w:szCs w:val="24"/>
        </w:rPr>
      </w:pPr>
      <w:r w:rsidRPr="00D17312">
        <w:br w:type="page"/>
      </w:r>
    </w:p>
    <w:p w:rsidR="00A4083A" w:rsidRPr="00D17312" w:rsidRDefault="00A4083A" w:rsidP="00A4083A">
      <w:pPr>
        <w:pStyle w:val="Podnadpis"/>
        <w:rPr>
          <w:color w:val="auto"/>
        </w:rPr>
      </w:pPr>
      <w:bookmarkStart w:id="421" w:name="_Toc43931224"/>
      <w:r w:rsidRPr="00D17312">
        <w:rPr>
          <w:color w:val="auto"/>
        </w:rPr>
        <w:lastRenderedPageBreak/>
        <w:t xml:space="preserve">Tabulka </w:t>
      </w:r>
      <w:r w:rsidRPr="00D17312">
        <w:rPr>
          <w:noProof/>
          <w:color w:val="auto"/>
        </w:rPr>
        <w:fldChar w:fldCharType="begin"/>
      </w:r>
      <w:r w:rsidRPr="00D17312">
        <w:rPr>
          <w:noProof/>
          <w:color w:val="auto"/>
        </w:rPr>
        <w:instrText xml:space="preserve"> SEQ Tabulka \* ARABIC </w:instrText>
      </w:r>
      <w:r w:rsidRPr="00D17312">
        <w:rPr>
          <w:noProof/>
          <w:color w:val="auto"/>
        </w:rPr>
        <w:fldChar w:fldCharType="separate"/>
      </w:r>
      <w:r w:rsidR="006E7F27">
        <w:rPr>
          <w:noProof/>
          <w:color w:val="auto"/>
        </w:rPr>
        <w:t>51</w:t>
      </w:r>
      <w:r w:rsidRPr="00D17312">
        <w:rPr>
          <w:noProof/>
          <w:color w:val="auto"/>
        </w:rPr>
        <w:fldChar w:fldCharType="end"/>
      </w:r>
      <w:r w:rsidRPr="00D17312">
        <w:rPr>
          <w:color w:val="auto"/>
        </w:rPr>
        <w:t>: KS – DT v civilním odvolacím řízení dle soudů</w:t>
      </w:r>
      <w:bookmarkEnd w:id="419"/>
      <w:bookmarkEnd w:id="420"/>
      <w:bookmarkEnd w:id="421"/>
    </w:p>
    <w:tbl>
      <w:tblPr>
        <w:tblW w:w="5960" w:type="dxa"/>
        <w:tblCellMar>
          <w:left w:w="70" w:type="dxa"/>
          <w:right w:w="70" w:type="dxa"/>
        </w:tblCellMar>
        <w:tblLook w:val="04A0" w:firstRow="1" w:lastRow="0" w:firstColumn="1" w:lastColumn="0" w:noHBand="0" w:noVBand="1"/>
      </w:tblPr>
      <w:tblGrid>
        <w:gridCol w:w="2780"/>
        <w:gridCol w:w="1253"/>
        <w:gridCol w:w="1927"/>
      </w:tblGrid>
      <w:tr w:rsidR="00A4083A" w:rsidRPr="00D17312" w:rsidTr="00A41CAB">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Disposition time</w:t>
            </w:r>
          </w:p>
        </w:tc>
      </w:tr>
      <w:tr w:rsidR="00A4083A" w:rsidRPr="00D17312" w:rsidTr="00A41CAB">
        <w:trPr>
          <w:trHeight w:val="330"/>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45</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+14</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36</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36</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-12</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37</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76</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42</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+15</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116</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-16</w:t>
            </w:r>
            <w:r>
              <w:rPr>
                <w:rFonts w:eastAsia="Times New Roman"/>
                <w:sz w:val="20"/>
                <w:szCs w:val="20"/>
                <w:lang w:eastAsia="cs-CZ"/>
              </w:rPr>
              <w:t> %</w:t>
            </w:r>
          </w:p>
        </w:tc>
      </w:tr>
      <w:tr w:rsidR="00A4083A" w:rsidRPr="00D17312" w:rsidTr="00A41CAB">
        <w:trPr>
          <w:trHeight w:val="330"/>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25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66</w:t>
            </w:r>
          </w:p>
        </w:tc>
        <w:tc>
          <w:tcPr>
            <w:tcW w:w="1927"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-32</w:t>
            </w:r>
            <w:r>
              <w:rPr>
                <w:rFonts w:eastAsia="Times New Roman"/>
                <w:sz w:val="20"/>
                <w:szCs w:val="20"/>
                <w:lang w:eastAsia="cs-CZ"/>
              </w:rPr>
              <w:t> %</w:t>
            </w:r>
          </w:p>
        </w:tc>
      </w:tr>
      <w:tr w:rsidR="00A4083A" w:rsidRPr="00D17312" w:rsidTr="00A41CAB">
        <w:trPr>
          <w:trHeight w:val="345"/>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25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62</w:t>
            </w:r>
          </w:p>
        </w:tc>
        <w:tc>
          <w:tcPr>
            <w:tcW w:w="1927"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-10</w:t>
            </w:r>
            <w:r>
              <w:rPr>
                <w:rFonts w:eastAsia="Times New Roman"/>
                <w:b/>
                <w:bCs/>
                <w:sz w:val="20"/>
                <w:szCs w:val="20"/>
                <w:lang w:eastAsia="cs-CZ"/>
              </w:rPr>
              <w:t> %</w:t>
            </w:r>
          </w:p>
        </w:tc>
      </w:tr>
    </w:tbl>
    <w:p w:rsidR="00A4083A" w:rsidRPr="00D17312" w:rsidRDefault="00A4083A" w:rsidP="00A4083A">
      <w:pPr>
        <w:rPr>
          <w:highlight w:val="yellow"/>
        </w:rPr>
      </w:pPr>
    </w:p>
    <w:p w:rsidR="00A4083A" w:rsidRPr="00D17312" w:rsidRDefault="00A4083A" w:rsidP="00A4083A">
      <w:pPr>
        <w:spacing w:line="240" w:lineRule="auto"/>
        <w:jc w:val="left"/>
        <w:rPr>
          <w:highlight w:val="yellow"/>
        </w:rPr>
      </w:pPr>
      <w:r w:rsidRPr="00D17312">
        <w:rPr>
          <w:highlight w:val="yellow"/>
        </w:rPr>
        <w:br w:type="page"/>
      </w:r>
    </w:p>
    <w:p w:rsidR="00A4083A" w:rsidRPr="00D17312" w:rsidRDefault="00A4083A" w:rsidP="00A4083A">
      <w:pPr>
        <w:pStyle w:val="Nadpis2"/>
      </w:pPr>
      <w:bookmarkStart w:id="422" w:name="_Toc515871257"/>
      <w:bookmarkStart w:id="423" w:name="_Toc43903064"/>
      <w:r w:rsidRPr="00D17312">
        <w:lastRenderedPageBreak/>
        <w:t>Trestní prvostupňová agenda</w:t>
      </w:r>
      <w:bookmarkEnd w:id="422"/>
      <w:bookmarkEnd w:id="423"/>
    </w:p>
    <w:p w:rsidR="00A4083A" w:rsidRPr="00D17312" w:rsidRDefault="00A4083A" w:rsidP="00A4083A">
      <w:pPr>
        <w:pStyle w:val="OdstavecASR"/>
      </w:pPr>
      <w:r w:rsidRPr="00D17312">
        <w:t>Situace v prvostupňové trestní agendě je z hlediska statistického sledování jednoduchá. Zkoumáme hlavní trestní agendu – rejstříky T a Tm. K žádným významným změnám ve vedení statistik v trestní agendě nedošlo a nemusíme se tedy obávat zkreslení v časových řadách. Na rozdíl od OS také není nutné očišťovat data o věci vyřízené trestním příkazem. KS totiž vyřizují výrazně složitější agendu a věci trestním příkazem proto téměř nerozhodují. Podle trestního řádu koná krajský soud v prvním stupni řízení o trestných činech, pokud za ně zákon stanoví trest odnětí svobody, jehož dolní hranice činí nejméně pět let, nebo pokud za ně lze uložit výjimečný trest, a dále o vymezených trestných činech.</w:t>
      </w:r>
    </w:p>
    <w:p w:rsidR="00A4083A" w:rsidRPr="00D17312" w:rsidRDefault="00A4083A" w:rsidP="00A4083A">
      <w:pPr>
        <w:pStyle w:val="Nadpis3"/>
        <w:rPr>
          <w:color w:val="auto"/>
        </w:rPr>
      </w:pPr>
      <w:bookmarkStart w:id="424" w:name="_Toc515871258"/>
      <w:bookmarkStart w:id="425" w:name="_Toc43903065"/>
      <w:r w:rsidRPr="00D17312">
        <w:rPr>
          <w:color w:val="auto"/>
        </w:rPr>
        <w:t>Délka řízení</w:t>
      </w:r>
      <w:bookmarkEnd w:id="424"/>
      <w:bookmarkEnd w:id="425"/>
    </w:p>
    <w:p w:rsidR="00A4083A" w:rsidRPr="00D17312" w:rsidRDefault="00A4083A" w:rsidP="00A4083A">
      <w:pPr>
        <w:pStyle w:val="Podnadpis"/>
        <w:rPr>
          <w:color w:val="auto"/>
        </w:rPr>
      </w:pPr>
      <w:bookmarkStart w:id="426" w:name="_Toc515871389"/>
      <w:bookmarkStart w:id="427" w:name="_Toc11135120"/>
      <w:bookmarkStart w:id="428" w:name="_Toc43841439"/>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59</w:t>
      </w:r>
      <w:r w:rsidRPr="00D17312">
        <w:rPr>
          <w:noProof/>
          <w:color w:val="auto"/>
        </w:rPr>
        <w:fldChar w:fldCharType="end"/>
      </w:r>
      <w:r w:rsidRPr="00D17312">
        <w:rPr>
          <w:color w:val="auto"/>
        </w:rPr>
        <w:t>: KS – délka prvostupňového trestního řízení v letech 2008–</w:t>
      </w:r>
      <w:bookmarkEnd w:id="426"/>
      <w:r w:rsidRPr="00D17312">
        <w:rPr>
          <w:color w:val="auto"/>
        </w:rPr>
        <w:t>201</w:t>
      </w:r>
      <w:bookmarkEnd w:id="427"/>
      <w:r w:rsidRPr="00D17312">
        <w:rPr>
          <w:color w:val="auto"/>
        </w:rPr>
        <w:t>9</w:t>
      </w:r>
      <w:bookmarkEnd w:id="428"/>
    </w:p>
    <w:p w:rsidR="00A4083A" w:rsidRPr="00D17312" w:rsidRDefault="00A4083A" w:rsidP="00A4083A">
      <w:pPr>
        <w:rPr>
          <w:highlight w:val="yellow"/>
        </w:rPr>
      </w:pPr>
      <w:r w:rsidRPr="00D17312">
        <w:rPr>
          <w:noProof/>
          <w:lang w:eastAsia="cs-CZ"/>
        </w:rPr>
        <w:drawing>
          <wp:inline distT="0" distB="0" distL="0" distR="0" wp14:anchorId="7D3D3C8A" wp14:editId="3148734B">
            <wp:extent cx="5114925" cy="37433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pPr>
      <w:r w:rsidRPr="00D17312">
        <w:t>V letech 2017 až 2019 poměrně výrazně vzrostl průměr a velmi dramaticky také devadesátý percentil, který po několika letech přestal klesat. V roce 2019 narostl rovněž i medián.</w:t>
      </w:r>
    </w:p>
    <w:p w:rsidR="00A4083A" w:rsidRPr="00D17312" w:rsidRDefault="00A4083A" w:rsidP="00A4083A">
      <w:pPr>
        <w:pStyle w:val="OdstavecASR"/>
      </w:pPr>
      <w:r w:rsidRPr="00D17312">
        <w:t>Délky řízení jsou u krajských soudů výrazně vyšší než u soudů okresních. Vzhledem ke složitosti vyřizované agendy je to zcela logický výsledek. Délky řízení v tomto roce více či méně narostly ve všech krajích alespoň u jednoho z ukazatelů.</w:t>
      </w:r>
    </w:p>
    <w:p w:rsidR="00A4083A" w:rsidRPr="00D17312" w:rsidRDefault="00A4083A" w:rsidP="00A4083A">
      <w:pPr>
        <w:pStyle w:val="OdstavecASR"/>
        <w:rPr>
          <w:highlight w:val="yellow"/>
        </w:rPr>
      </w:pPr>
      <w:r w:rsidRPr="00D17312">
        <w:t>Rychlé změny délek řízení u jednotlivých soudů (a vlastně i rozdíly mezi soudy) jsou dány velmi malým počtem pozorování. Vliv má také to, že všechny kauzy jsou náročné na vyřízení (ve srovnání s OS), ale v náročnosti jednotlivých případů existují významné rozdíly. Změny se v minulosti vzájemně obvykle vykompenzovaly, takže změny v celorepublikové délce řízení nebyly tak významné. Je tedy potřebné počkat na další data, aby bylo jasnějším, zda jde o výkyv, nebo dlouhodobější trend. Nicméně se zdá, že délky řízení v této agendě trvale rostou.</w:t>
      </w:r>
    </w:p>
    <w:p w:rsidR="00A4083A" w:rsidRPr="00D17312" w:rsidRDefault="00A4083A" w:rsidP="00A4083A">
      <w:pPr>
        <w:pStyle w:val="Podnadpis"/>
        <w:rPr>
          <w:color w:val="auto"/>
        </w:rPr>
      </w:pPr>
      <w:bookmarkStart w:id="429" w:name="_Toc515871478"/>
      <w:bookmarkStart w:id="430" w:name="_Toc11133246"/>
      <w:bookmarkStart w:id="431" w:name="_Toc43931225"/>
      <w:r w:rsidRPr="00D17312">
        <w:rPr>
          <w:color w:val="auto"/>
        </w:rPr>
        <w:lastRenderedPageBreak/>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52</w:t>
      </w:r>
      <w:r w:rsidRPr="00D17312">
        <w:rPr>
          <w:noProof/>
          <w:color w:val="auto"/>
        </w:rPr>
        <w:fldChar w:fldCharType="end"/>
      </w:r>
      <w:r w:rsidRPr="00D17312">
        <w:rPr>
          <w:color w:val="auto"/>
        </w:rPr>
        <w:t>: KS – délky prvostupňového trestního řízení dle soudů</w:t>
      </w:r>
      <w:bookmarkEnd w:id="429"/>
      <w:bookmarkEnd w:id="430"/>
      <w:bookmarkEnd w:id="431"/>
    </w:p>
    <w:tbl>
      <w:tblPr>
        <w:tblW w:w="7520" w:type="dxa"/>
        <w:tblCellMar>
          <w:left w:w="70" w:type="dxa"/>
          <w:right w:w="70" w:type="dxa"/>
        </w:tblCellMar>
        <w:tblLook w:val="04A0" w:firstRow="1" w:lastRow="0" w:firstColumn="1" w:lastColumn="0" w:noHBand="0" w:noVBand="1"/>
      </w:tblPr>
      <w:tblGrid>
        <w:gridCol w:w="2480"/>
        <w:gridCol w:w="580"/>
        <w:gridCol w:w="1041"/>
        <w:gridCol w:w="580"/>
        <w:gridCol w:w="1041"/>
        <w:gridCol w:w="757"/>
        <w:gridCol w:w="1041"/>
      </w:tblGrid>
      <w:tr w:rsidR="00A4083A" w:rsidRPr="00D17312" w:rsidTr="00A41C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Nadřízený soud</w:t>
            </w:r>
          </w:p>
        </w:tc>
        <w:tc>
          <w:tcPr>
            <w:tcW w:w="5040" w:type="dxa"/>
            <w:gridSpan w:val="6"/>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Délka řízení</w:t>
            </w:r>
          </w:p>
        </w:tc>
      </w:tr>
      <w:tr w:rsidR="00A4083A" w:rsidRPr="00D17312" w:rsidTr="00A41CAB">
        <w:trPr>
          <w:trHeight w:val="330"/>
        </w:trPr>
        <w:tc>
          <w:tcPr>
            <w:tcW w:w="24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621"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Průměr</w:t>
            </w:r>
          </w:p>
        </w:tc>
        <w:tc>
          <w:tcPr>
            <w:tcW w:w="1621" w:type="dxa"/>
            <w:gridSpan w:val="2"/>
            <w:tcBorders>
              <w:top w:val="nil"/>
              <w:left w:val="single" w:sz="4" w:space="0" w:color="auto"/>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Medián</w:t>
            </w:r>
          </w:p>
        </w:tc>
        <w:tc>
          <w:tcPr>
            <w:tcW w:w="1798"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Percentil 90</w:t>
            </w:r>
          </w:p>
        </w:tc>
      </w:tr>
      <w:tr w:rsidR="00A4083A" w:rsidRPr="00D17312"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5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608</w:t>
            </w:r>
          </w:p>
        </w:tc>
        <w:tc>
          <w:tcPr>
            <w:tcW w:w="1041"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58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302</w:t>
            </w:r>
          </w:p>
        </w:tc>
        <w:tc>
          <w:tcPr>
            <w:tcW w:w="1041"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-17</w:t>
            </w:r>
            <w:r>
              <w:rPr>
                <w:rFonts w:eastAsia="Times New Roman"/>
                <w:sz w:val="20"/>
                <w:szCs w:val="20"/>
                <w:lang w:eastAsia="cs-CZ"/>
              </w:rPr>
              <w:t> %</w:t>
            </w:r>
          </w:p>
        </w:tc>
        <w:tc>
          <w:tcPr>
            <w:tcW w:w="757"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w:t>
            </w:r>
            <w:r w:rsidR="006C7321">
              <w:rPr>
                <w:rFonts w:eastAsia="Times New Roman"/>
                <w:szCs w:val="24"/>
                <w:lang w:eastAsia="cs-CZ"/>
              </w:rPr>
              <w:t xml:space="preserve"> </w:t>
            </w:r>
            <w:r w:rsidRPr="00D17312">
              <w:rPr>
                <w:rFonts w:eastAsia="Times New Roman"/>
                <w:szCs w:val="24"/>
                <w:lang w:eastAsia="cs-CZ"/>
              </w:rPr>
              <w:t>881</w:t>
            </w:r>
          </w:p>
        </w:tc>
        <w:tc>
          <w:tcPr>
            <w:tcW w:w="1041"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+35</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5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455</w:t>
            </w:r>
          </w:p>
        </w:tc>
        <w:tc>
          <w:tcPr>
            <w:tcW w:w="1041"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+116</w:t>
            </w:r>
            <w:r>
              <w:rPr>
                <w:rFonts w:eastAsia="Times New Roman"/>
                <w:sz w:val="20"/>
                <w:szCs w:val="20"/>
                <w:lang w:eastAsia="cs-CZ"/>
              </w:rPr>
              <w:t> %</w:t>
            </w:r>
          </w:p>
        </w:tc>
        <w:tc>
          <w:tcPr>
            <w:tcW w:w="58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138</w:t>
            </w:r>
          </w:p>
        </w:tc>
        <w:tc>
          <w:tcPr>
            <w:tcW w:w="1041"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+17</w:t>
            </w:r>
            <w:r>
              <w:rPr>
                <w:rFonts w:eastAsia="Times New Roman"/>
                <w:sz w:val="20"/>
                <w:szCs w:val="20"/>
                <w:lang w:eastAsia="cs-CZ"/>
              </w:rPr>
              <w:t> %</w:t>
            </w:r>
          </w:p>
        </w:tc>
        <w:tc>
          <w:tcPr>
            <w:tcW w:w="75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w:t>
            </w:r>
            <w:r w:rsidR="006C7321">
              <w:rPr>
                <w:rFonts w:eastAsia="Times New Roman"/>
                <w:szCs w:val="24"/>
                <w:lang w:eastAsia="cs-CZ"/>
              </w:rPr>
              <w:t xml:space="preserve"> </w:t>
            </w:r>
            <w:r w:rsidRPr="00D17312">
              <w:rPr>
                <w:rFonts w:eastAsia="Times New Roman"/>
                <w:szCs w:val="24"/>
                <w:lang w:eastAsia="cs-CZ"/>
              </w:rPr>
              <w:t>616</w:t>
            </w:r>
          </w:p>
        </w:tc>
        <w:tc>
          <w:tcPr>
            <w:tcW w:w="1041"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+351</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5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908</w:t>
            </w:r>
          </w:p>
        </w:tc>
        <w:tc>
          <w:tcPr>
            <w:tcW w:w="1041"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+142</w:t>
            </w:r>
            <w:r>
              <w:rPr>
                <w:rFonts w:eastAsia="Times New Roman"/>
                <w:sz w:val="20"/>
                <w:szCs w:val="20"/>
                <w:lang w:eastAsia="cs-CZ"/>
              </w:rPr>
              <w:t> %</w:t>
            </w:r>
          </w:p>
        </w:tc>
        <w:tc>
          <w:tcPr>
            <w:tcW w:w="58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344</w:t>
            </w:r>
          </w:p>
        </w:tc>
        <w:tc>
          <w:tcPr>
            <w:tcW w:w="1041"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+106</w:t>
            </w:r>
            <w:r>
              <w:rPr>
                <w:rFonts w:eastAsia="Times New Roman"/>
                <w:sz w:val="20"/>
                <w:szCs w:val="20"/>
                <w:lang w:eastAsia="cs-CZ"/>
              </w:rPr>
              <w:t> %</w:t>
            </w:r>
          </w:p>
        </w:tc>
        <w:tc>
          <w:tcPr>
            <w:tcW w:w="75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w:t>
            </w:r>
            <w:r w:rsidR="006C7321">
              <w:rPr>
                <w:rFonts w:eastAsia="Times New Roman"/>
                <w:szCs w:val="24"/>
                <w:lang w:eastAsia="cs-CZ"/>
              </w:rPr>
              <w:t xml:space="preserve"> </w:t>
            </w:r>
            <w:r w:rsidRPr="00D17312">
              <w:rPr>
                <w:rFonts w:eastAsia="Times New Roman"/>
                <w:szCs w:val="24"/>
                <w:lang w:eastAsia="cs-CZ"/>
              </w:rPr>
              <w:t>409</w:t>
            </w:r>
          </w:p>
        </w:tc>
        <w:tc>
          <w:tcPr>
            <w:tcW w:w="1041"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+204</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5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613</w:t>
            </w:r>
          </w:p>
        </w:tc>
        <w:tc>
          <w:tcPr>
            <w:tcW w:w="1041"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+10</w:t>
            </w:r>
            <w:r>
              <w:rPr>
                <w:rFonts w:eastAsia="Times New Roman"/>
                <w:sz w:val="20"/>
                <w:szCs w:val="20"/>
                <w:lang w:eastAsia="cs-CZ"/>
              </w:rPr>
              <w:t> %</w:t>
            </w:r>
          </w:p>
        </w:tc>
        <w:tc>
          <w:tcPr>
            <w:tcW w:w="58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387</w:t>
            </w:r>
          </w:p>
        </w:tc>
        <w:tc>
          <w:tcPr>
            <w:tcW w:w="1041"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+36</w:t>
            </w:r>
            <w:r>
              <w:rPr>
                <w:rFonts w:eastAsia="Times New Roman"/>
                <w:sz w:val="20"/>
                <w:szCs w:val="20"/>
                <w:lang w:eastAsia="cs-CZ"/>
              </w:rPr>
              <w:t> %</w:t>
            </w:r>
          </w:p>
        </w:tc>
        <w:tc>
          <w:tcPr>
            <w:tcW w:w="75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w:t>
            </w:r>
            <w:r w:rsidR="006C7321">
              <w:rPr>
                <w:rFonts w:eastAsia="Times New Roman"/>
                <w:szCs w:val="24"/>
                <w:lang w:eastAsia="cs-CZ"/>
              </w:rPr>
              <w:t xml:space="preserve"> </w:t>
            </w:r>
            <w:r w:rsidRPr="00D17312">
              <w:rPr>
                <w:rFonts w:eastAsia="Times New Roman"/>
                <w:szCs w:val="24"/>
                <w:lang w:eastAsia="cs-CZ"/>
              </w:rPr>
              <w:t>393</w:t>
            </w:r>
          </w:p>
        </w:tc>
        <w:tc>
          <w:tcPr>
            <w:tcW w:w="1041"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+66</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5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631</w:t>
            </w:r>
          </w:p>
        </w:tc>
        <w:tc>
          <w:tcPr>
            <w:tcW w:w="1041"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c>
          <w:tcPr>
            <w:tcW w:w="58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332</w:t>
            </w:r>
          </w:p>
        </w:tc>
        <w:tc>
          <w:tcPr>
            <w:tcW w:w="1041"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75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w:t>
            </w:r>
            <w:r w:rsidR="006C7321">
              <w:rPr>
                <w:rFonts w:eastAsia="Times New Roman"/>
                <w:szCs w:val="24"/>
                <w:lang w:eastAsia="cs-CZ"/>
              </w:rPr>
              <w:t xml:space="preserve"> </w:t>
            </w:r>
            <w:r w:rsidRPr="00D17312">
              <w:rPr>
                <w:rFonts w:eastAsia="Times New Roman"/>
                <w:szCs w:val="24"/>
                <w:lang w:eastAsia="cs-CZ"/>
              </w:rPr>
              <w:t>302</w:t>
            </w:r>
          </w:p>
        </w:tc>
        <w:tc>
          <w:tcPr>
            <w:tcW w:w="1041"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-22</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5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489</w:t>
            </w:r>
          </w:p>
        </w:tc>
        <w:tc>
          <w:tcPr>
            <w:tcW w:w="1041"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+49</w:t>
            </w:r>
            <w:r>
              <w:rPr>
                <w:rFonts w:eastAsia="Times New Roman"/>
                <w:sz w:val="20"/>
                <w:szCs w:val="20"/>
                <w:lang w:eastAsia="cs-CZ"/>
              </w:rPr>
              <w:t> %</w:t>
            </w:r>
          </w:p>
        </w:tc>
        <w:tc>
          <w:tcPr>
            <w:tcW w:w="58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91</w:t>
            </w:r>
          </w:p>
        </w:tc>
        <w:tc>
          <w:tcPr>
            <w:tcW w:w="1041"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-31</w:t>
            </w:r>
            <w:r>
              <w:rPr>
                <w:rFonts w:eastAsia="Times New Roman"/>
                <w:sz w:val="20"/>
                <w:szCs w:val="20"/>
                <w:lang w:eastAsia="cs-CZ"/>
              </w:rPr>
              <w:t> %</w:t>
            </w:r>
          </w:p>
        </w:tc>
        <w:tc>
          <w:tcPr>
            <w:tcW w:w="75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w:t>
            </w:r>
            <w:r w:rsidR="006C7321">
              <w:rPr>
                <w:rFonts w:eastAsia="Times New Roman"/>
                <w:szCs w:val="24"/>
                <w:lang w:eastAsia="cs-CZ"/>
              </w:rPr>
              <w:t xml:space="preserve"> </w:t>
            </w:r>
            <w:r w:rsidRPr="00D17312">
              <w:rPr>
                <w:rFonts w:eastAsia="Times New Roman"/>
                <w:szCs w:val="24"/>
                <w:lang w:eastAsia="cs-CZ"/>
              </w:rPr>
              <w:t>150</w:t>
            </w:r>
          </w:p>
        </w:tc>
        <w:tc>
          <w:tcPr>
            <w:tcW w:w="1041"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+197</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5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455</w:t>
            </w:r>
          </w:p>
        </w:tc>
        <w:tc>
          <w:tcPr>
            <w:tcW w:w="1041"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58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259</w:t>
            </w:r>
          </w:p>
        </w:tc>
        <w:tc>
          <w:tcPr>
            <w:tcW w:w="1041"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+24</w:t>
            </w:r>
            <w:r>
              <w:rPr>
                <w:rFonts w:eastAsia="Times New Roman"/>
                <w:sz w:val="20"/>
                <w:szCs w:val="20"/>
                <w:lang w:eastAsia="cs-CZ"/>
              </w:rPr>
              <w:t> %</w:t>
            </w:r>
          </w:p>
        </w:tc>
        <w:tc>
          <w:tcPr>
            <w:tcW w:w="75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w:t>
            </w:r>
            <w:r w:rsidR="006C7321">
              <w:rPr>
                <w:rFonts w:eastAsia="Times New Roman"/>
                <w:szCs w:val="24"/>
                <w:lang w:eastAsia="cs-CZ"/>
              </w:rPr>
              <w:t xml:space="preserve"> </w:t>
            </w:r>
            <w:r w:rsidRPr="00D17312">
              <w:rPr>
                <w:rFonts w:eastAsia="Times New Roman"/>
                <w:szCs w:val="24"/>
                <w:lang w:eastAsia="cs-CZ"/>
              </w:rPr>
              <w:t>056</w:t>
            </w:r>
          </w:p>
        </w:tc>
        <w:tc>
          <w:tcPr>
            <w:tcW w:w="1041"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-14</w:t>
            </w:r>
            <w:r>
              <w:rPr>
                <w:rFonts w:eastAsia="Times New Roman"/>
                <w:sz w:val="20"/>
                <w:szCs w:val="20"/>
                <w:lang w:eastAsia="cs-CZ"/>
              </w:rPr>
              <w:t> %</w:t>
            </w:r>
          </w:p>
        </w:tc>
      </w:tr>
      <w:tr w:rsidR="00A4083A" w:rsidRPr="00D17312"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5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576</w:t>
            </w:r>
          </w:p>
        </w:tc>
        <w:tc>
          <w:tcPr>
            <w:tcW w:w="1041"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-17</w:t>
            </w:r>
            <w:r>
              <w:rPr>
                <w:rFonts w:eastAsia="Times New Roman"/>
                <w:sz w:val="20"/>
                <w:szCs w:val="20"/>
                <w:lang w:eastAsia="cs-CZ"/>
              </w:rPr>
              <w:t> %</w:t>
            </w:r>
          </w:p>
        </w:tc>
        <w:tc>
          <w:tcPr>
            <w:tcW w:w="580"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290</w:t>
            </w:r>
          </w:p>
        </w:tc>
        <w:tc>
          <w:tcPr>
            <w:tcW w:w="1041"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+14</w:t>
            </w:r>
            <w:r>
              <w:rPr>
                <w:rFonts w:eastAsia="Times New Roman"/>
                <w:sz w:val="20"/>
                <w:szCs w:val="20"/>
                <w:lang w:eastAsia="cs-CZ"/>
              </w:rPr>
              <w:t> %</w:t>
            </w:r>
          </w:p>
        </w:tc>
        <w:tc>
          <w:tcPr>
            <w:tcW w:w="757"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w:t>
            </w:r>
            <w:r w:rsidR="006C7321">
              <w:rPr>
                <w:rFonts w:eastAsia="Times New Roman"/>
                <w:szCs w:val="24"/>
                <w:lang w:eastAsia="cs-CZ"/>
              </w:rPr>
              <w:t xml:space="preserve"> </w:t>
            </w:r>
            <w:r w:rsidRPr="00D17312">
              <w:rPr>
                <w:rFonts w:eastAsia="Times New Roman"/>
                <w:szCs w:val="24"/>
                <w:lang w:eastAsia="cs-CZ"/>
              </w:rPr>
              <w:t>623</w:t>
            </w:r>
          </w:p>
        </w:tc>
        <w:tc>
          <w:tcPr>
            <w:tcW w:w="1041"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-32</w:t>
            </w:r>
            <w:r>
              <w:rPr>
                <w:rFonts w:eastAsia="Times New Roman"/>
                <w:sz w:val="20"/>
                <w:szCs w:val="20"/>
                <w:lang w:eastAsia="cs-CZ"/>
              </w:rPr>
              <w:t> %</w:t>
            </w:r>
          </w:p>
        </w:tc>
      </w:tr>
      <w:tr w:rsidR="00A4083A" w:rsidRPr="00D17312"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5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572</w:t>
            </w:r>
          </w:p>
        </w:tc>
        <w:tc>
          <w:tcPr>
            <w:tcW w:w="1041"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+9</w:t>
            </w:r>
            <w:r>
              <w:rPr>
                <w:rFonts w:eastAsia="Times New Roman"/>
                <w:b/>
                <w:bCs/>
                <w:sz w:val="20"/>
                <w:szCs w:val="20"/>
                <w:lang w:eastAsia="cs-CZ"/>
              </w:rPr>
              <w:t> %</w:t>
            </w:r>
          </w:p>
        </w:tc>
        <w:tc>
          <w:tcPr>
            <w:tcW w:w="580"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261</w:t>
            </w:r>
          </w:p>
        </w:tc>
        <w:tc>
          <w:tcPr>
            <w:tcW w:w="1041"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+8</w:t>
            </w:r>
            <w:r>
              <w:rPr>
                <w:rFonts w:eastAsia="Times New Roman"/>
                <w:b/>
                <w:bCs/>
                <w:sz w:val="20"/>
                <w:szCs w:val="20"/>
                <w:lang w:eastAsia="cs-CZ"/>
              </w:rPr>
              <w:t> %</w:t>
            </w:r>
          </w:p>
        </w:tc>
        <w:tc>
          <w:tcPr>
            <w:tcW w:w="757"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w:t>
            </w:r>
            <w:r w:rsidR="006C7321">
              <w:rPr>
                <w:rFonts w:eastAsia="Times New Roman"/>
                <w:b/>
                <w:bCs/>
                <w:szCs w:val="24"/>
                <w:lang w:eastAsia="cs-CZ"/>
              </w:rPr>
              <w:t xml:space="preserve"> </w:t>
            </w:r>
            <w:r w:rsidRPr="00D17312">
              <w:rPr>
                <w:rFonts w:eastAsia="Times New Roman"/>
                <w:b/>
                <w:bCs/>
                <w:szCs w:val="24"/>
                <w:lang w:eastAsia="cs-CZ"/>
              </w:rPr>
              <w:t>633</w:t>
            </w:r>
          </w:p>
        </w:tc>
        <w:tc>
          <w:tcPr>
            <w:tcW w:w="1041"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+33</w:t>
            </w:r>
            <w:r>
              <w:rPr>
                <w:rFonts w:eastAsia="Times New Roman"/>
                <w:b/>
                <w:bCs/>
                <w:sz w:val="20"/>
                <w:szCs w:val="20"/>
                <w:lang w:eastAsia="cs-CZ"/>
              </w:rPr>
              <w:t> %</w:t>
            </w:r>
          </w:p>
        </w:tc>
      </w:tr>
    </w:tbl>
    <w:p w:rsidR="00A4083A" w:rsidRPr="00D17312" w:rsidRDefault="00A4083A" w:rsidP="00A4083A">
      <w:pPr>
        <w:rPr>
          <w:highlight w:val="yellow"/>
        </w:rPr>
      </w:pPr>
    </w:p>
    <w:p w:rsidR="00A4083A" w:rsidRPr="00D17312" w:rsidRDefault="00A4083A" w:rsidP="00A4083A">
      <w:pPr>
        <w:pStyle w:val="OdstavecASR"/>
      </w:pPr>
      <w:r w:rsidRPr="00D17312">
        <w:t>Zde je na místě zdůraznit, že krajské soudy vyřizují velmi složitou prvostupňovou trestní agendu. Z podstaty složitosti a rozsahu trestních věcí projednávaných v prvním stupni u krajských soudů vyplývá, že jsou mnohdy časově náročnější (jak na samotné studium spisu soudcem či následný větší počet hlavních líčení). Výjimkou nejsou ani sofistikované obstrukční procesní postupy obhájců.</w:t>
      </w:r>
    </w:p>
    <w:p w:rsidR="00A4083A" w:rsidRPr="00D17312" w:rsidRDefault="00A4083A" w:rsidP="00A4083A">
      <w:pPr>
        <w:pStyle w:val="Nadpis3"/>
        <w:rPr>
          <w:color w:val="auto"/>
        </w:rPr>
      </w:pPr>
      <w:bookmarkStart w:id="432" w:name="_Toc41058977"/>
      <w:bookmarkStart w:id="433" w:name="_Toc515871259"/>
      <w:bookmarkStart w:id="434" w:name="_Toc43903066"/>
      <w:bookmarkEnd w:id="432"/>
      <w:r w:rsidRPr="00D17312">
        <w:rPr>
          <w:color w:val="auto"/>
        </w:rPr>
        <w:t>Vyřizování věcí</w:t>
      </w:r>
      <w:bookmarkEnd w:id="433"/>
      <w:bookmarkEnd w:id="434"/>
    </w:p>
    <w:p w:rsidR="00A4083A" w:rsidRPr="00D17312" w:rsidRDefault="00A4083A" w:rsidP="00A4083A">
      <w:pPr>
        <w:pStyle w:val="OdstavecASR"/>
      </w:pPr>
      <w:r w:rsidRPr="00D17312">
        <w:t>Na následujícím grafu vidíme vývoj v počtu napadlých + obživlých, vyřízených a nevyřízených věcí.</w:t>
      </w:r>
    </w:p>
    <w:p w:rsidR="00A4083A" w:rsidRPr="00D17312" w:rsidRDefault="00A4083A" w:rsidP="00A4083A">
      <w:pPr>
        <w:pStyle w:val="Podnadpis"/>
        <w:keepNext w:val="0"/>
        <w:rPr>
          <w:color w:val="auto"/>
        </w:rPr>
      </w:pPr>
      <w:bookmarkStart w:id="435" w:name="_Toc515871391"/>
      <w:bookmarkStart w:id="436" w:name="_Toc11135122"/>
      <w:bookmarkStart w:id="437" w:name="_Toc43841440"/>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60</w:t>
      </w:r>
      <w:r w:rsidRPr="00D17312">
        <w:rPr>
          <w:noProof/>
          <w:color w:val="auto"/>
        </w:rPr>
        <w:fldChar w:fldCharType="end"/>
      </w:r>
      <w:r w:rsidRPr="00D17312">
        <w:rPr>
          <w:color w:val="auto"/>
        </w:rPr>
        <w:t>: KS – vyřizování prvostupňových trestních věcí v letech 2008–201</w:t>
      </w:r>
      <w:bookmarkEnd w:id="435"/>
      <w:bookmarkEnd w:id="436"/>
      <w:r w:rsidRPr="00D17312">
        <w:rPr>
          <w:color w:val="auto"/>
        </w:rPr>
        <w:t>9</w:t>
      </w:r>
      <w:bookmarkEnd w:id="437"/>
    </w:p>
    <w:p w:rsidR="00A4083A" w:rsidRPr="00D17312" w:rsidRDefault="00A4083A" w:rsidP="00A4083A">
      <w:pPr>
        <w:rPr>
          <w:highlight w:val="yellow"/>
        </w:rPr>
      </w:pPr>
      <w:r w:rsidRPr="00D17312">
        <w:rPr>
          <w:noProof/>
          <w:lang w:eastAsia="cs-CZ"/>
        </w:rPr>
        <w:drawing>
          <wp:inline distT="0" distB="0" distL="0" distR="0" wp14:anchorId="437BD325" wp14:editId="0060168D">
            <wp:extent cx="5115560" cy="3743960"/>
            <wp:effectExtent l="0" t="0" r="0" b="8890"/>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rsidR="00A4083A" w:rsidRDefault="00A4083A" w:rsidP="00A4083A">
      <w:pPr>
        <w:pStyle w:val="OdstavecASR"/>
      </w:pPr>
      <w:r w:rsidRPr="00D17312">
        <w:lastRenderedPageBreak/>
        <w:t>Zatímco u okresních soudů je zřejmý jednoznačný klesající trend, u závažnějších trestných činů vyřizovaných krajskými soudy tomu tak není. Počet napadlých a vyřízených věcí se dlouhodobě pohybuje mezi 1 200 a 1 300 věcmi. V roce 2019 došlo k citelnému poklesu a počet příchozích věcí byl nejmenší od roku 2008.</w:t>
      </w:r>
    </w:p>
    <w:p w:rsidR="00A4083A" w:rsidRPr="00D17312" w:rsidRDefault="00A4083A" w:rsidP="00A4083A">
      <w:pPr>
        <w:pStyle w:val="OdstavecASR"/>
      </w:pPr>
      <w:r w:rsidRPr="00D17312">
        <w:t>Počet příchozích prvostupňových věcí u KS byl tedy v roce 2019 asi 63krát menší než počet příchozích věcí u OS, což je větší rozdíl než v roce 2018 (56krát). U nejmenších krajských soudů (KS České Budějovice, KS Plzeň a KS Praha) napadne ročně méně než 100 prvostupňových trestních věcí.</w:t>
      </w:r>
    </w:p>
    <w:p w:rsidR="00A4083A" w:rsidRPr="00D17312" w:rsidRDefault="00A4083A" w:rsidP="00A4083A">
      <w:pPr>
        <w:pStyle w:val="OdstavecASR"/>
      </w:pPr>
      <w:r w:rsidRPr="00D17312">
        <w:t>Od roku 2012 do roku 2016 byl počet příchozích věcí vyšší než počet vyřízených věcí. Počet nevyřízených věcí se tedy velmi pomalu zvyšoval. Tento stav se přerušil v roce 2017, aby se v roce 2018 opět obnovil. V roce 2019 pak zřejmě díky poklesu v počtu příchozích věcí byl počet vyřízených věcí větší než počet věcí příchozích. V roce 2019 rovněž klesl počet věcí nevyřízených déle než 2 roky. Zde uvedené údaje tedy mírní pesimismus, který by mohl plynout z části o délkách řízení.</w:t>
      </w:r>
    </w:p>
    <w:p w:rsidR="00A4083A" w:rsidRPr="00D17312" w:rsidRDefault="00A4083A" w:rsidP="00A4083A">
      <w:pPr>
        <w:pStyle w:val="Podnadpis"/>
        <w:rPr>
          <w:color w:val="auto"/>
          <w:highlight w:val="yellow"/>
        </w:rPr>
      </w:pPr>
      <w:bookmarkStart w:id="438" w:name="_Toc515871480"/>
      <w:bookmarkStart w:id="439" w:name="_Toc11133248"/>
      <w:bookmarkStart w:id="440" w:name="_Toc43931226"/>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53</w:t>
      </w:r>
      <w:r w:rsidRPr="00D17312">
        <w:rPr>
          <w:noProof/>
          <w:color w:val="auto"/>
        </w:rPr>
        <w:fldChar w:fldCharType="end"/>
      </w:r>
      <w:r w:rsidRPr="00D17312">
        <w:rPr>
          <w:color w:val="auto"/>
        </w:rPr>
        <w:t>: KS – vyřizování prvostupňových trestních věcí dle soudů</w:t>
      </w:r>
      <w:bookmarkEnd w:id="438"/>
      <w:bookmarkEnd w:id="439"/>
      <w:bookmarkEnd w:id="440"/>
    </w:p>
    <w:tbl>
      <w:tblPr>
        <w:tblW w:w="9140" w:type="dxa"/>
        <w:tblCellMar>
          <w:left w:w="70" w:type="dxa"/>
          <w:right w:w="70" w:type="dxa"/>
        </w:tblCellMar>
        <w:tblLook w:val="04A0" w:firstRow="1" w:lastRow="0" w:firstColumn="1" w:lastColumn="0" w:noHBand="0" w:noVBand="1"/>
      </w:tblPr>
      <w:tblGrid>
        <w:gridCol w:w="2020"/>
        <w:gridCol w:w="813"/>
        <w:gridCol w:w="1075"/>
        <w:gridCol w:w="846"/>
        <w:gridCol w:w="1074"/>
        <w:gridCol w:w="698"/>
        <w:gridCol w:w="1074"/>
        <w:gridCol w:w="1540"/>
      </w:tblGrid>
      <w:tr w:rsidR="00A4083A" w:rsidRPr="00D17312" w:rsidTr="00A41CAB">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5580" w:type="dxa"/>
            <w:gridSpan w:val="6"/>
            <w:tcBorders>
              <w:top w:val="double" w:sz="6" w:space="0" w:color="auto"/>
              <w:left w:val="nil"/>
              <w:bottom w:val="nil"/>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Míra vyřizování</w:t>
            </w:r>
          </w:p>
        </w:tc>
      </w:tr>
      <w:tr w:rsidR="00A4083A" w:rsidRPr="00D17312" w:rsidTr="00A41CAB">
        <w:trPr>
          <w:trHeight w:val="330"/>
        </w:trPr>
        <w:tc>
          <w:tcPr>
            <w:tcW w:w="202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888"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Nápad + obživa</w:t>
            </w:r>
          </w:p>
        </w:tc>
        <w:tc>
          <w:tcPr>
            <w:tcW w:w="1920" w:type="dxa"/>
            <w:gridSpan w:val="2"/>
            <w:tcBorders>
              <w:top w:val="nil"/>
              <w:left w:val="single" w:sz="4" w:space="0" w:color="auto"/>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Vyřízeno</w:t>
            </w:r>
          </w:p>
        </w:tc>
        <w:tc>
          <w:tcPr>
            <w:tcW w:w="1772" w:type="dxa"/>
            <w:gridSpan w:val="2"/>
            <w:tcBorders>
              <w:top w:val="nil"/>
              <w:left w:val="nil"/>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r>
      <w:tr w:rsidR="00A4083A" w:rsidRPr="00D17312" w:rsidTr="00A41CAB">
        <w:trPr>
          <w:trHeight w:val="330"/>
        </w:trPr>
        <w:tc>
          <w:tcPr>
            <w:tcW w:w="202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813"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260</w:t>
            </w:r>
          </w:p>
        </w:tc>
        <w:tc>
          <w:tcPr>
            <w:tcW w:w="1075"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-14</w:t>
            </w:r>
            <w:r>
              <w:rPr>
                <w:rFonts w:eastAsia="Times New Roman"/>
                <w:sz w:val="20"/>
                <w:szCs w:val="20"/>
                <w:lang w:eastAsia="cs-CZ"/>
              </w:rPr>
              <w:t> %</w:t>
            </w:r>
          </w:p>
        </w:tc>
        <w:tc>
          <w:tcPr>
            <w:tcW w:w="846" w:type="dxa"/>
            <w:tcBorders>
              <w:top w:val="single" w:sz="4" w:space="0" w:color="auto"/>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244</w:t>
            </w:r>
          </w:p>
        </w:tc>
        <w:tc>
          <w:tcPr>
            <w:tcW w:w="1074" w:type="dxa"/>
            <w:tcBorders>
              <w:top w:val="single" w:sz="4" w:space="0" w:color="auto"/>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-16</w:t>
            </w:r>
            <w:r>
              <w:rPr>
                <w:rFonts w:eastAsia="Times New Roman"/>
                <w:sz w:val="20"/>
                <w:szCs w:val="20"/>
                <w:lang w:eastAsia="cs-CZ"/>
              </w:rPr>
              <w:t> %</w:t>
            </w:r>
          </w:p>
        </w:tc>
        <w:tc>
          <w:tcPr>
            <w:tcW w:w="698"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176</w:t>
            </w:r>
          </w:p>
        </w:tc>
        <w:tc>
          <w:tcPr>
            <w:tcW w:w="1074" w:type="dxa"/>
            <w:tcBorders>
              <w:top w:val="single" w:sz="4" w:space="0" w:color="auto"/>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93,8</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81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88</w:t>
            </w:r>
          </w:p>
        </w:tc>
        <w:tc>
          <w:tcPr>
            <w:tcW w:w="1075"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84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88</w:t>
            </w:r>
          </w:p>
        </w:tc>
        <w:tc>
          <w:tcPr>
            <w:tcW w:w="107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c>
          <w:tcPr>
            <w:tcW w:w="69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30</w:t>
            </w:r>
          </w:p>
        </w:tc>
        <w:tc>
          <w:tcPr>
            <w:tcW w:w="107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100,0</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81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58</w:t>
            </w:r>
          </w:p>
        </w:tc>
        <w:tc>
          <w:tcPr>
            <w:tcW w:w="1075"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w:t>
            </w:r>
            <w:r>
              <w:rPr>
                <w:rFonts w:eastAsia="Times New Roman"/>
                <w:sz w:val="20"/>
                <w:szCs w:val="20"/>
                <w:lang w:eastAsia="cs-CZ"/>
              </w:rPr>
              <w:t> %</w:t>
            </w:r>
          </w:p>
        </w:tc>
        <w:tc>
          <w:tcPr>
            <w:tcW w:w="84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50</w:t>
            </w:r>
          </w:p>
        </w:tc>
        <w:tc>
          <w:tcPr>
            <w:tcW w:w="107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-22</w:t>
            </w:r>
            <w:r>
              <w:rPr>
                <w:rFonts w:eastAsia="Times New Roman"/>
                <w:sz w:val="20"/>
                <w:szCs w:val="20"/>
                <w:lang w:eastAsia="cs-CZ"/>
              </w:rPr>
              <w:t> %</w:t>
            </w:r>
          </w:p>
        </w:tc>
        <w:tc>
          <w:tcPr>
            <w:tcW w:w="69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49</w:t>
            </w:r>
          </w:p>
        </w:tc>
        <w:tc>
          <w:tcPr>
            <w:tcW w:w="107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+20</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86,2</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81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113</w:t>
            </w:r>
          </w:p>
        </w:tc>
        <w:tc>
          <w:tcPr>
            <w:tcW w:w="1075"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+22</w:t>
            </w:r>
            <w:r>
              <w:rPr>
                <w:rFonts w:eastAsia="Times New Roman"/>
                <w:sz w:val="20"/>
                <w:szCs w:val="20"/>
                <w:lang w:eastAsia="cs-CZ"/>
              </w:rPr>
              <w:t> %</w:t>
            </w:r>
          </w:p>
        </w:tc>
        <w:tc>
          <w:tcPr>
            <w:tcW w:w="84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110</w:t>
            </w:r>
          </w:p>
        </w:tc>
        <w:tc>
          <w:tcPr>
            <w:tcW w:w="107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+10</w:t>
            </w:r>
            <w:r>
              <w:rPr>
                <w:rFonts w:eastAsia="Times New Roman"/>
                <w:sz w:val="20"/>
                <w:szCs w:val="20"/>
                <w:lang w:eastAsia="cs-CZ"/>
              </w:rPr>
              <w:t> %</w:t>
            </w:r>
          </w:p>
        </w:tc>
        <w:tc>
          <w:tcPr>
            <w:tcW w:w="69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57</w:t>
            </w:r>
          </w:p>
        </w:tc>
        <w:tc>
          <w:tcPr>
            <w:tcW w:w="107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97,3</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81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147</w:t>
            </w:r>
          </w:p>
        </w:tc>
        <w:tc>
          <w:tcPr>
            <w:tcW w:w="1075"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-16</w:t>
            </w:r>
            <w:r>
              <w:rPr>
                <w:rFonts w:eastAsia="Times New Roman"/>
                <w:sz w:val="20"/>
                <w:szCs w:val="20"/>
                <w:lang w:eastAsia="cs-CZ"/>
              </w:rPr>
              <w:t> %</w:t>
            </w:r>
          </w:p>
        </w:tc>
        <w:tc>
          <w:tcPr>
            <w:tcW w:w="84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158</w:t>
            </w:r>
          </w:p>
        </w:tc>
        <w:tc>
          <w:tcPr>
            <w:tcW w:w="107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-14</w:t>
            </w:r>
            <w:r>
              <w:rPr>
                <w:rFonts w:eastAsia="Times New Roman"/>
                <w:sz w:val="20"/>
                <w:szCs w:val="20"/>
                <w:lang w:eastAsia="cs-CZ"/>
              </w:rPr>
              <w:t> %</w:t>
            </w:r>
          </w:p>
        </w:tc>
        <w:tc>
          <w:tcPr>
            <w:tcW w:w="69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124</w:t>
            </w:r>
          </w:p>
        </w:tc>
        <w:tc>
          <w:tcPr>
            <w:tcW w:w="107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107,5</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81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95</w:t>
            </w:r>
          </w:p>
        </w:tc>
        <w:tc>
          <w:tcPr>
            <w:tcW w:w="1075"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c>
          <w:tcPr>
            <w:tcW w:w="84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103</w:t>
            </w:r>
          </w:p>
        </w:tc>
        <w:tc>
          <w:tcPr>
            <w:tcW w:w="107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c>
          <w:tcPr>
            <w:tcW w:w="69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27</w:t>
            </w:r>
          </w:p>
        </w:tc>
        <w:tc>
          <w:tcPr>
            <w:tcW w:w="107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-25</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108,4</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81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246</w:t>
            </w:r>
          </w:p>
        </w:tc>
        <w:tc>
          <w:tcPr>
            <w:tcW w:w="1075"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84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242</w:t>
            </w:r>
          </w:p>
        </w:tc>
        <w:tc>
          <w:tcPr>
            <w:tcW w:w="107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c>
          <w:tcPr>
            <w:tcW w:w="69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167</w:t>
            </w:r>
          </w:p>
        </w:tc>
        <w:tc>
          <w:tcPr>
            <w:tcW w:w="107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154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98,4</w:t>
            </w:r>
            <w:r>
              <w:rPr>
                <w:rFonts w:eastAsia="Times New Roman"/>
                <w:szCs w:val="24"/>
                <w:lang w:eastAsia="cs-CZ"/>
              </w:rPr>
              <w:t> %</w:t>
            </w:r>
          </w:p>
        </w:tc>
      </w:tr>
      <w:tr w:rsidR="00A4083A" w:rsidRPr="00D17312" w:rsidTr="00A41CAB">
        <w:trPr>
          <w:trHeight w:val="330"/>
        </w:trPr>
        <w:tc>
          <w:tcPr>
            <w:tcW w:w="20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81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164</w:t>
            </w:r>
          </w:p>
        </w:tc>
        <w:tc>
          <w:tcPr>
            <w:tcW w:w="1075"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-23</w:t>
            </w:r>
            <w:r>
              <w:rPr>
                <w:rFonts w:eastAsia="Times New Roman"/>
                <w:sz w:val="20"/>
                <w:szCs w:val="20"/>
                <w:lang w:eastAsia="cs-CZ"/>
              </w:rPr>
              <w:t> %</w:t>
            </w:r>
          </w:p>
        </w:tc>
        <w:tc>
          <w:tcPr>
            <w:tcW w:w="846"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197</w:t>
            </w:r>
          </w:p>
        </w:tc>
        <w:tc>
          <w:tcPr>
            <w:tcW w:w="1074"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698"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122</w:t>
            </w:r>
          </w:p>
        </w:tc>
        <w:tc>
          <w:tcPr>
            <w:tcW w:w="1074"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-21</w:t>
            </w:r>
            <w:r>
              <w:rPr>
                <w:rFonts w:eastAsia="Times New Roman"/>
                <w:sz w:val="20"/>
                <w:szCs w:val="20"/>
                <w:lang w:eastAsia="cs-CZ"/>
              </w:rPr>
              <w:t> %</w:t>
            </w:r>
          </w:p>
        </w:tc>
        <w:tc>
          <w:tcPr>
            <w:tcW w:w="1540" w:type="dxa"/>
            <w:tcBorders>
              <w:top w:val="nil"/>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120,1</w:t>
            </w:r>
            <w:r>
              <w:rPr>
                <w:rFonts w:eastAsia="Times New Roman"/>
                <w:szCs w:val="24"/>
                <w:lang w:eastAsia="cs-CZ"/>
              </w:rPr>
              <w:t> %</w:t>
            </w:r>
          </w:p>
        </w:tc>
      </w:tr>
      <w:tr w:rsidR="00A4083A" w:rsidRPr="00D17312" w:rsidTr="00A41CAB">
        <w:trPr>
          <w:trHeight w:val="345"/>
        </w:trPr>
        <w:tc>
          <w:tcPr>
            <w:tcW w:w="20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81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1 171</w:t>
            </w:r>
          </w:p>
        </w:tc>
        <w:tc>
          <w:tcPr>
            <w:tcW w:w="1075"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-8</w:t>
            </w:r>
            <w:r>
              <w:rPr>
                <w:rFonts w:eastAsia="Times New Roman"/>
                <w:b/>
                <w:bCs/>
                <w:sz w:val="20"/>
                <w:szCs w:val="20"/>
                <w:lang w:eastAsia="cs-CZ"/>
              </w:rPr>
              <w:t> %</w:t>
            </w:r>
          </w:p>
        </w:tc>
        <w:tc>
          <w:tcPr>
            <w:tcW w:w="846"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1 192</w:t>
            </w:r>
          </w:p>
        </w:tc>
        <w:tc>
          <w:tcPr>
            <w:tcW w:w="1074"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-4</w:t>
            </w:r>
            <w:r>
              <w:rPr>
                <w:rFonts w:eastAsia="Times New Roman"/>
                <w:b/>
                <w:bCs/>
                <w:sz w:val="20"/>
                <w:szCs w:val="20"/>
                <w:lang w:eastAsia="cs-CZ"/>
              </w:rPr>
              <w:t> %</w:t>
            </w:r>
          </w:p>
        </w:tc>
        <w:tc>
          <w:tcPr>
            <w:tcW w:w="698"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752</w:t>
            </w:r>
          </w:p>
        </w:tc>
        <w:tc>
          <w:tcPr>
            <w:tcW w:w="1074"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-2</w:t>
            </w:r>
            <w:r>
              <w:rPr>
                <w:rFonts w:eastAsia="Times New Roman"/>
                <w:b/>
                <w:bCs/>
                <w:sz w:val="20"/>
                <w:szCs w:val="20"/>
                <w:lang w:eastAsia="cs-CZ"/>
              </w:rPr>
              <w:t> %</w:t>
            </w:r>
          </w:p>
        </w:tc>
        <w:tc>
          <w:tcPr>
            <w:tcW w:w="154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101,8</w:t>
            </w:r>
            <w:r>
              <w:rPr>
                <w:rFonts w:eastAsia="Times New Roman"/>
                <w:b/>
                <w:bCs/>
                <w:szCs w:val="24"/>
                <w:lang w:eastAsia="cs-CZ"/>
              </w:rPr>
              <w:t> %</w:t>
            </w:r>
          </w:p>
        </w:tc>
      </w:tr>
    </w:tbl>
    <w:p w:rsidR="00A4083A" w:rsidRPr="00D17312" w:rsidRDefault="00A4083A" w:rsidP="00A4083A">
      <w:pPr>
        <w:spacing w:line="240" w:lineRule="auto"/>
        <w:jc w:val="left"/>
        <w:rPr>
          <w:highlight w:val="yellow"/>
        </w:rPr>
      </w:pPr>
    </w:p>
    <w:p w:rsidR="00A4083A" w:rsidRPr="00D17312" w:rsidRDefault="00A4083A" w:rsidP="00A4083A">
      <w:pPr>
        <w:pStyle w:val="OdstavecASR"/>
      </w:pPr>
      <w:r w:rsidRPr="00D17312">
        <w:t>Z tabulky vyčteme, že některé soudy měly více příchozích věcí (nápad + obživa) než věcí vyřízených, u jiných byla situace opačná. Rozdíly v absolutních číslech však byly vždy velmi malé. Rozdíl mezi mírou vyřizování 95</w:t>
      </w:r>
      <w:r>
        <w:t> %</w:t>
      </w:r>
      <w:r w:rsidRPr="00D17312">
        <w:t xml:space="preserve"> a mírou vyřizování 105</w:t>
      </w:r>
      <w:r>
        <w:t> %</w:t>
      </w:r>
      <w:r w:rsidRPr="00D17312">
        <w:t xml:space="preserve"> může </w:t>
      </w:r>
      <w:r>
        <w:t>představovat</w:t>
      </w:r>
      <w:r w:rsidRPr="00D17312">
        <w:t xml:space="preserve"> jen několik vyřízených věcí. Pro ilustraci, pokud by KS České Budějovice vyřídil jen o 8 věcí více, vykázal by míru vyřizování 100</w:t>
      </w:r>
      <w:r>
        <w:t> %</w:t>
      </w:r>
      <w:r w:rsidRPr="00D17312">
        <w:t xml:space="preserve">. </w:t>
      </w:r>
      <w:r>
        <w:t>Důvodem je</w:t>
      </w:r>
      <w:r w:rsidRPr="00D17312">
        <w:t>, že počet věcí v této agendě je velmi malý.</w:t>
      </w:r>
    </w:p>
    <w:p w:rsidR="00A4083A" w:rsidRPr="00D17312" w:rsidRDefault="00A4083A" w:rsidP="00A4083A">
      <w:pPr>
        <w:pStyle w:val="OdstavecASR"/>
      </w:pPr>
      <w:r w:rsidRPr="00D17312">
        <w:t>Počet příchozích, vyřízených a nevyřízených věcí samozřejmě úzce souvisí s velikostí soudu. Pro lepší porovnání soudů je tedy v příštích podkapitolách</w:t>
      </w:r>
      <w:r w:rsidRPr="00D17312" w:rsidDel="00EA1996">
        <w:t xml:space="preserve"> </w:t>
      </w:r>
      <w:r w:rsidRPr="00D17312">
        <w:t>opět využit přepočet na soudce a disposition time. I u těchto ukazatelů však hraje roli malý počet pozorování.</w:t>
      </w:r>
    </w:p>
    <w:p w:rsidR="00A4083A" w:rsidRPr="00D17312" w:rsidRDefault="00A4083A" w:rsidP="00A4083A">
      <w:pPr>
        <w:spacing w:line="240" w:lineRule="auto"/>
        <w:jc w:val="left"/>
      </w:pPr>
      <w:r w:rsidRPr="00D17312">
        <w:br w:type="page"/>
      </w:r>
    </w:p>
    <w:p w:rsidR="00A4083A" w:rsidRPr="00D17312" w:rsidRDefault="00A4083A" w:rsidP="00A4083A">
      <w:pPr>
        <w:pStyle w:val="Nadpis3"/>
        <w:rPr>
          <w:color w:val="auto"/>
        </w:rPr>
      </w:pPr>
      <w:bookmarkStart w:id="441" w:name="_Toc43903067"/>
      <w:r w:rsidRPr="00D17312">
        <w:rPr>
          <w:color w:val="auto"/>
        </w:rPr>
        <w:lastRenderedPageBreak/>
        <w:t>Vyřizování v přepočtu na soudce</w:t>
      </w:r>
      <w:bookmarkEnd w:id="441"/>
    </w:p>
    <w:p w:rsidR="00A4083A" w:rsidRPr="00D17312" w:rsidRDefault="00A4083A" w:rsidP="00A4083A">
      <w:r w:rsidRPr="00D17312">
        <w:t>V tabulce níže je uveden přepočet na soudce získaný díky novým datům.</w:t>
      </w:r>
    </w:p>
    <w:p w:rsidR="00A4083A" w:rsidRPr="00D17312" w:rsidRDefault="00A4083A" w:rsidP="00A4083A">
      <w:pPr>
        <w:pStyle w:val="Podnadpis"/>
        <w:rPr>
          <w:color w:val="auto"/>
        </w:rPr>
      </w:pPr>
      <w:bookmarkStart w:id="442" w:name="_Toc43931227"/>
      <w:r w:rsidRPr="00D17312">
        <w:rPr>
          <w:color w:val="auto"/>
        </w:rPr>
        <w:t xml:space="preserve">Tabulka </w:t>
      </w:r>
      <w:r w:rsidRPr="00D17312">
        <w:rPr>
          <w:noProof/>
          <w:color w:val="auto"/>
        </w:rPr>
        <w:fldChar w:fldCharType="begin"/>
      </w:r>
      <w:r w:rsidRPr="00D17312">
        <w:rPr>
          <w:noProof/>
          <w:color w:val="auto"/>
        </w:rPr>
        <w:instrText xml:space="preserve"> SEQ Tabulka \* ARABIC </w:instrText>
      </w:r>
      <w:r w:rsidRPr="00D17312">
        <w:rPr>
          <w:noProof/>
          <w:color w:val="auto"/>
        </w:rPr>
        <w:fldChar w:fldCharType="separate"/>
      </w:r>
      <w:r w:rsidR="006E7F27">
        <w:rPr>
          <w:noProof/>
          <w:color w:val="auto"/>
        </w:rPr>
        <w:t>54</w:t>
      </w:r>
      <w:r w:rsidRPr="00D17312">
        <w:rPr>
          <w:noProof/>
          <w:color w:val="auto"/>
        </w:rPr>
        <w:fldChar w:fldCharType="end"/>
      </w:r>
      <w:r w:rsidRPr="00D17312">
        <w:rPr>
          <w:color w:val="auto"/>
        </w:rPr>
        <w:t>: KS – vyřiz. prvostupňových trestních věcí na soudce dle soudů</w:t>
      </w:r>
      <w:bookmarkEnd w:id="442"/>
    </w:p>
    <w:tbl>
      <w:tblPr>
        <w:tblW w:w="8780" w:type="dxa"/>
        <w:tblCellMar>
          <w:left w:w="70" w:type="dxa"/>
          <w:right w:w="70" w:type="dxa"/>
        </w:tblCellMar>
        <w:tblLook w:val="04A0" w:firstRow="1" w:lastRow="0" w:firstColumn="1" w:lastColumn="0" w:noHBand="0" w:noVBand="1"/>
      </w:tblPr>
      <w:tblGrid>
        <w:gridCol w:w="2480"/>
        <w:gridCol w:w="1660"/>
        <w:gridCol w:w="2036"/>
        <w:gridCol w:w="1141"/>
        <w:gridCol w:w="1463"/>
      </w:tblGrid>
      <w:tr w:rsidR="00A4083A" w:rsidRPr="00D17312" w:rsidTr="00A41C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166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soudců</w:t>
            </w:r>
          </w:p>
        </w:tc>
        <w:tc>
          <w:tcPr>
            <w:tcW w:w="4640" w:type="dxa"/>
            <w:gridSpan w:val="3"/>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věcí na soudce</w:t>
            </w:r>
          </w:p>
        </w:tc>
      </w:tr>
      <w:tr w:rsidR="00A4083A" w:rsidRPr="00D17312" w:rsidTr="00A41CAB">
        <w:trPr>
          <w:trHeight w:val="330"/>
        </w:trPr>
        <w:tc>
          <w:tcPr>
            <w:tcW w:w="24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66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2036"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Nápad + obživa</w:t>
            </w:r>
          </w:p>
        </w:tc>
        <w:tc>
          <w:tcPr>
            <w:tcW w:w="1141"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Vyřízeno</w:t>
            </w:r>
          </w:p>
        </w:tc>
        <w:tc>
          <w:tcPr>
            <w:tcW w:w="1463"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Nevyřízeno</w:t>
            </w:r>
          </w:p>
        </w:tc>
      </w:tr>
      <w:tr w:rsidR="00A4083A" w:rsidRPr="00D17312"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66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w:t>
            </w:r>
          </w:p>
        </w:tc>
        <w:tc>
          <w:tcPr>
            <w:tcW w:w="2036"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15,29</w:t>
            </w:r>
          </w:p>
        </w:tc>
        <w:tc>
          <w:tcPr>
            <w:tcW w:w="1141"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14,35</w:t>
            </w:r>
          </w:p>
        </w:tc>
        <w:tc>
          <w:tcPr>
            <w:tcW w:w="1463"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10,35</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14,67</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14,67</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5,00</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9,67</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8,33</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8,17</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18,83</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18,33</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9,50</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24,50</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26,33</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20,67</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7,5</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12,67</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13,73</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3,60</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20,50</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20,17</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13,92</w:t>
            </w:r>
          </w:p>
        </w:tc>
      </w:tr>
      <w:tr w:rsidR="00A4083A" w:rsidRPr="00D17312"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6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w:t>
            </w:r>
          </w:p>
        </w:tc>
        <w:tc>
          <w:tcPr>
            <w:tcW w:w="203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11,71</w:t>
            </w:r>
          </w:p>
        </w:tc>
        <w:tc>
          <w:tcPr>
            <w:tcW w:w="114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14,07</w:t>
            </w:r>
          </w:p>
        </w:tc>
        <w:tc>
          <w:tcPr>
            <w:tcW w:w="146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8,71</w:t>
            </w:r>
          </w:p>
        </w:tc>
      </w:tr>
      <w:tr w:rsidR="00A4083A" w:rsidRPr="00D17312"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6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74,5</w:t>
            </w:r>
          </w:p>
        </w:tc>
        <w:tc>
          <w:tcPr>
            <w:tcW w:w="203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15,72</w:t>
            </w:r>
          </w:p>
        </w:tc>
        <w:tc>
          <w:tcPr>
            <w:tcW w:w="114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16,00</w:t>
            </w:r>
          </w:p>
        </w:tc>
        <w:tc>
          <w:tcPr>
            <w:tcW w:w="146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10,09</w:t>
            </w:r>
          </w:p>
        </w:tc>
      </w:tr>
    </w:tbl>
    <w:p w:rsidR="00A4083A" w:rsidRPr="00D17312" w:rsidRDefault="00A4083A" w:rsidP="00A4083A"/>
    <w:p w:rsidR="00A4083A" w:rsidRDefault="00A4083A" w:rsidP="00A4083A">
      <w:r w:rsidRPr="00D17312">
        <w:t>V tabulce vidíme, že prvostupňovou agendu vyřizuje asi 75 soudců, což je přibližně jedna třetina z počtu soudců na trestním úseku. Stejně jako u civilní agendy je tedy prvostupňová agenda menší než agenda odvolací. V tomto výjimečném případě rovněž počty nevyřízených věcí na soudce příliš nekorespondují s výsledky z části o délkách řízení, což lze přisuzovat malému počtu věcí, malému počtu soudců, a tedy tendenci k velkým výkyvům v datech. Mezi soudy jsou nemalé rozdíly v počtu příchozích a vyřízených věcí na soudce, což opět plyne hlavně z velikosti agendy a případných personálních oslabení soudů.</w:t>
      </w:r>
    </w:p>
    <w:p w:rsidR="00A4083A" w:rsidRPr="00D17312" w:rsidRDefault="00A4083A" w:rsidP="00A4083A">
      <w:pPr>
        <w:pStyle w:val="Nadpis3"/>
        <w:rPr>
          <w:color w:val="auto"/>
        </w:rPr>
      </w:pPr>
      <w:bookmarkStart w:id="443" w:name="_Toc41058980"/>
      <w:bookmarkStart w:id="444" w:name="_Toc515871260"/>
      <w:bookmarkStart w:id="445" w:name="_Toc43903068"/>
      <w:bookmarkEnd w:id="443"/>
      <w:r w:rsidRPr="00D17312">
        <w:rPr>
          <w:color w:val="auto"/>
        </w:rPr>
        <w:t>Disposition time</w:t>
      </w:r>
      <w:bookmarkEnd w:id="444"/>
      <w:bookmarkEnd w:id="445"/>
    </w:p>
    <w:p w:rsidR="00A4083A" w:rsidRPr="00D17312" w:rsidRDefault="00A4083A" w:rsidP="00A4083A">
      <w:pPr>
        <w:pStyle w:val="OdstavecASR"/>
      </w:pPr>
      <w:r w:rsidRPr="00D17312">
        <w:t xml:space="preserve">Vidíme, že DT od roku 2011 do roku 2016 vykazoval rostoucí trend, což vyplynulo z postupného růstu počtu nevyřízených věcí. Teprve v roce 2017 klesl počet nevyřízených věcí a tedy i disposition time. </w:t>
      </w:r>
      <w:r>
        <w:t>V</w:t>
      </w:r>
      <w:r w:rsidRPr="00D17312">
        <w:t xml:space="preserve"> roce 2019 </w:t>
      </w:r>
      <w:r>
        <w:t xml:space="preserve">však DT </w:t>
      </w:r>
      <w:r w:rsidRPr="00D17312">
        <w:t>dosáhl nejvyšší hodnoty za posledních 10 let (třebaže ne výrazně)</w:t>
      </w:r>
      <w:r>
        <w:t>, a to v důsledku</w:t>
      </w:r>
      <w:r w:rsidRPr="00D17312">
        <w:t xml:space="preserve"> poklesu </w:t>
      </w:r>
      <w:r>
        <w:t xml:space="preserve">počtu </w:t>
      </w:r>
      <w:r w:rsidRPr="00D17312">
        <w:t>vyřízených věcí.</w:t>
      </w:r>
    </w:p>
    <w:p w:rsidR="00A4083A" w:rsidRPr="00D17312" w:rsidRDefault="00A4083A" w:rsidP="00A4083A">
      <w:pPr>
        <w:rPr>
          <w:highlight w:val="yellow"/>
        </w:rPr>
      </w:pPr>
    </w:p>
    <w:p w:rsidR="00A4083A" w:rsidRPr="00D17312" w:rsidRDefault="00A4083A" w:rsidP="00A4083A">
      <w:pPr>
        <w:pStyle w:val="Podnadpis"/>
        <w:rPr>
          <w:color w:val="auto"/>
        </w:rPr>
      </w:pPr>
      <w:bookmarkStart w:id="446" w:name="_Toc515871392"/>
      <w:bookmarkStart w:id="447" w:name="_Toc11135123"/>
      <w:bookmarkStart w:id="448" w:name="_Toc43841441"/>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61</w:t>
      </w:r>
      <w:r w:rsidRPr="00D17312">
        <w:rPr>
          <w:noProof/>
          <w:color w:val="auto"/>
        </w:rPr>
        <w:fldChar w:fldCharType="end"/>
      </w:r>
      <w:r w:rsidRPr="00D17312">
        <w:rPr>
          <w:color w:val="auto"/>
        </w:rPr>
        <w:t>: KS – DT prvostupňového trestního řízení v letech 2008–201</w:t>
      </w:r>
      <w:bookmarkEnd w:id="446"/>
      <w:bookmarkEnd w:id="447"/>
      <w:r w:rsidRPr="00D17312">
        <w:rPr>
          <w:color w:val="auto"/>
        </w:rPr>
        <w:t>9</w:t>
      </w:r>
      <w:bookmarkEnd w:id="448"/>
    </w:p>
    <w:p w:rsidR="00A4083A" w:rsidRPr="00D17312" w:rsidRDefault="00A4083A" w:rsidP="00A4083A">
      <w:pPr>
        <w:spacing w:line="240" w:lineRule="auto"/>
        <w:jc w:val="left"/>
        <w:rPr>
          <w:highlight w:val="yellow"/>
        </w:rPr>
      </w:pPr>
      <w:r w:rsidRPr="00D17312">
        <w:rPr>
          <w:noProof/>
          <w:lang w:eastAsia="cs-CZ"/>
        </w:rPr>
        <w:drawing>
          <wp:inline distT="0" distB="0" distL="0" distR="0" wp14:anchorId="014DC61D" wp14:editId="1FB6046E">
            <wp:extent cx="5112385" cy="3745230"/>
            <wp:effectExtent l="0" t="0" r="0" b="7620"/>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A4083A" w:rsidRPr="00D17312" w:rsidRDefault="00A4083A" w:rsidP="00A4083A">
      <w:pPr>
        <w:spacing w:line="240" w:lineRule="auto"/>
        <w:jc w:val="left"/>
        <w:rPr>
          <w:highlight w:val="yellow"/>
        </w:rPr>
      </w:pPr>
    </w:p>
    <w:p w:rsidR="00A4083A" w:rsidRPr="00D17312" w:rsidRDefault="00A4083A" w:rsidP="00A4083A">
      <w:pPr>
        <w:pStyle w:val="Podnadpis"/>
        <w:rPr>
          <w:color w:val="auto"/>
        </w:rPr>
      </w:pPr>
      <w:bookmarkStart w:id="449" w:name="_Toc515871481"/>
      <w:bookmarkStart w:id="450" w:name="_Toc11133249"/>
      <w:bookmarkStart w:id="451" w:name="_Toc43931228"/>
      <w:r w:rsidRPr="00D17312">
        <w:rPr>
          <w:color w:val="auto"/>
        </w:rPr>
        <w:t xml:space="preserve">Tabulka </w:t>
      </w:r>
      <w:r w:rsidRPr="00D17312">
        <w:rPr>
          <w:noProof/>
          <w:color w:val="auto"/>
        </w:rPr>
        <w:fldChar w:fldCharType="begin"/>
      </w:r>
      <w:r w:rsidRPr="00D17312">
        <w:rPr>
          <w:noProof/>
          <w:color w:val="auto"/>
        </w:rPr>
        <w:instrText xml:space="preserve"> SEQ Tabulka \* ARABIC </w:instrText>
      </w:r>
      <w:r w:rsidRPr="00D17312">
        <w:rPr>
          <w:noProof/>
          <w:color w:val="auto"/>
        </w:rPr>
        <w:fldChar w:fldCharType="separate"/>
      </w:r>
      <w:r w:rsidR="006E7F27">
        <w:rPr>
          <w:noProof/>
          <w:color w:val="auto"/>
        </w:rPr>
        <w:t>55</w:t>
      </w:r>
      <w:r w:rsidRPr="00D17312">
        <w:rPr>
          <w:noProof/>
          <w:color w:val="auto"/>
        </w:rPr>
        <w:fldChar w:fldCharType="end"/>
      </w:r>
      <w:r w:rsidRPr="00D17312">
        <w:rPr>
          <w:color w:val="auto"/>
        </w:rPr>
        <w:t>: KS – DT v prvostupňovém trestním řízení dle soudů</w:t>
      </w:r>
      <w:bookmarkEnd w:id="449"/>
      <w:bookmarkEnd w:id="450"/>
      <w:bookmarkEnd w:id="451"/>
    </w:p>
    <w:tbl>
      <w:tblPr>
        <w:tblW w:w="5960" w:type="dxa"/>
        <w:tblCellMar>
          <w:left w:w="70" w:type="dxa"/>
          <w:right w:w="70" w:type="dxa"/>
        </w:tblCellMar>
        <w:tblLook w:val="04A0" w:firstRow="1" w:lastRow="0" w:firstColumn="1" w:lastColumn="0" w:noHBand="0" w:noVBand="1"/>
      </w:tblPr>
      <w:tblGrid>
        <w:gridCol w:w="2780"/>
        <w:gridCol w:w="1253"/>
        <w:gridCol w:w="1927"/>
      </w:tblGrid>
      <w:tr w:rsidR="00A4083A" w:rsidRPr="00D17312" w:rsidTr="00A41CAB">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Disposition time</w:t>
            </w:r>
          </w:p>
        </w:tc>
      </w:tr>
      <w:tr w:rsidR="00A4083A" w:rsidRPr="00D17312" w:rsidTr="00A41CAB">
        <w:trPr>
          <w:trHeight w:val="330"/>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263</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+31</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124</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358</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+53</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189</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286</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96</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-18</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252</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r>
      <w:tr w:rsidR="00A4083A" w:rsidRPr="00D17312" w:rsidTr="00A41CAB">
        <w:trPr>
          <w:trHeight w:val="330"/>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25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226</w:t>
            </w:r>
          </w:p>
        </w:tc>
        <w:tc>
          <w:tcPr>
            <w:tcW w:w="1927"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-24</w:t>
            </w:r>
            <w:r>
              <w:rPr>
                <w:rFonts w:eastAsia="Times New Roman"/>
                <w:sz w:val="20"/>
                <w:szCs w:val="20"/>
                <w:lang w:eastAsia="cs-CZ"/>
              </w:rPr>
              <w:t> %</w:t>
            </w:r>
          </w:p>
        </w:tc>
      </w:tr>
      <w:tr w:rsidR="00A4083A" w:rsidRPr="00D17312" w:rsidTr="00A41CAB">
        <w:trPr>
          <w:trHeight w:val="345"/>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25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230</w:t>
            </w:r>
          </w:p>
        </w:tc>
        <w:tc>
          <w:tcPr>
            <w:tcW w:w="1927"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+1</w:t>
            </w:r>
            <w:r>
              <w:rPr>
                <w:rFonts w:eastAsia="Times New Roman"/>
                <w:b/>
                <w:bCs/>
                <w:sz w:val="20"/>
                <w:szCs w:val="20"/>
                <w:lang w:eastAsia="cs-CZ"/>
              </w:rPr>
              <w:t> %</w:t>
            </w:r>
          </w:p>
        </w:tc>
      </w:tr>
    </w:tbl>
    <w:p w:rsidR="00A4083A" w:rsidRPr="00D17312" w:rsidRDefault="00A4083A" w:rsidP="00A4083A">
      <w:pPr>
        <w:pStyle w:val="OdstavecASR"/>
        <w:rPr>
          <w:highlight w:val="yellow"/>
        </w:rPr>
      </w:pPr>
      <w:bookmarkStart w:id="452" w:name="_Toc515871261"/>
      <w:r w:rsidRPr="00D17312">
        <w:t>Závěry ze srovnání krajských soudů na základě délek řízení, přepočtu na soudce a DT se v tomto případě liší, což vyplývá (jak už bylo zmíněno) z jiné metodiky, jiného zdroje dat a malého počtu pozorování. Určitě závěry však je možné vyvodit. Lze říct, že především KS Ústí nad Labem a KS České Budějovice vykazují určité problémy s</w:t>
      </w:r>
      <w:r>
        <w:t> </w:t>
      </w:r>
      <w:r w:rsidRPr="00D17312">
        <w:t>vyřizováním</w:t>
      </w:r>
      <w:r>
        <w:t xml:space="preserve">, byť </w:t>
      </w:r>
      <w:r w:rsidRPr="00D17312">
        <w:t xml:space="preserve">KS v Ústí nad Labem v roce </w:t>
      </w:r>
      <w:r>
        <w:t xml:space="preserve">2019 </w:t>
      </w:r>
      <w:r w:rsidRPr="00D17312">
        <w:t>vykázal míru vyřizování přes 100</w:t>
      </w:r>
      <w:r>
        <w:t> %</w:t>
      </w:r>
      <w:r w:rsidRPr="00D17312">
        <w:t>. Naopak KS Praha a KS Hradec Králové si zatím vedou stále dobře.</w:t>
      </w:r>
    </w:p>
    <w:p w:rsidR="00A4083A" w:rsidRPr="00D17312" w:rsidRDefault="00A4083A" w:rsidP="00A4083A">
      <w:pPr>
        <w:pStyle w:val="OdstavecASR"/>
      </w:pPr>
      <w:r w:rsidRPr="00D17312">
        <w:t xml:space="preserve">Zatímco u OS je situace v trestní agendě v zásadě stabilní, u KS v posledních 3 letech </w:t>
      </w:r>
      <w:r>
        <w:t>tentýž závěr</w:t>
      </w:r>
      <w:r w:rsidRPr="00D17312">
        <w:t xml:space="preserve"> úplně neplatí. Délky řízení výrazně narostly (především průměr a devadesátý percentil) a</w:t>
      </w:r>
      <w:r>
        <w:t> </w:t>
      </w:r>
      <w:r w:rsidRPr="00D17312">
        <w:t>disposition time dosáhl v roce 2019 nejvyšší hodnoty za posledních 10 let. Na druhou stranu velmi mírně klesl počet nevyřízených věcí i počet věcí nevyřízených déle než 2 roky.</w:t>
      </w:r>
    </w:p>
    <w:p w:rsidR="00A4083A" w:rsidRPr="00D17312" w:rsidRDefault="00A4083A" w:rsidP="00A4083A">
      <w:pPr>
        <w:pStyle w:val="Nadpis3"/>
        <w:rPr>
          <w:color w:val="auto"/>
        </w:rPr>
      </w:pPr>
      <w:bookmarkStart w:id="453" w:name="_Toc43903069"/>
      <w:r w:rsidRPr="00D17312">
        <w:rPr>
          <w:color w:val="auto"/>
        </w:rPr>
        <w:lastRenderedPageBreak/>
        <w:t>Další statistiky</w:t>
      </w:r>
      <w:bookmarkEnd w:id="452"/>
      <w:bookmarkEnd w:id="453"/>
    </w:p>
    <w:p w:rsidR="00A4083A" w:rsidRDefault="00A4083A" w:rsidP="00A4083A">
      <w:pPr>
        <w:pStyle w:val="OdstavecASR"/>
      </w:pPr>
      <w:r w:rsidRPr="00D17312">
        <w:t>Jako další statistiky v této podkapitole uvádíme míru odvolání, míru změny rozsudku, nejčastější trestné činy dle věkových skupin</w:t>
      </w:r>
      <w:r>
        <w:t xml:space="preserve"> a</w:t>
      </w:r>
      <w:r w:rsidRPr="00D17312">
        <w:t xml:space="preserve"> věkovou strukturu</w:t>
      </w:r>
      <w:r>
        <w:t>, te</w:t>
      </w:r>
      <w:r w:rsidRPr="00D17312">
        <w:t>dy stejné ukazatele jako u okresních soudů. Opět je třeba zdůraznit, že u KS je malý počet pozorování.</w:t>
      </w:r>
    </w:p>
    <w:p w:rsidR="00A4083A" w:rsidRPr="00D17312" w:rsidRDefault="00A4083A" w:rsidP="00A4083A">
      <w:pPr>
        <w:pStyle w:val="Podnadpis"/>
        <w:rPr>
          <w:color w:val="auto"/>
        </w:rPr>
      </w:pPr>
      <w:bookmarkStart w:id="454" w:name="_Toc515871482"/>
      <w:bookmarkStart w:id="455" w:name="_Toc11133250"/>
      <w:bookmarkStart w:id="456" w:name="_Toc43931229"/>
      <w:r w:rsidRPr="00D17312">
        <w:rPr>
          <w:color w:val="auto"/>
        </w:rPr>
        <w:t xml:space="preserve">Tabulka </w:t>
      </w:r>
      <w:r w:rsidRPr="00D17312">
        <w:rPr>
          <w:noProof/>
          <w:color w:val="auto"/>
        </w:rPr>
        <w:fldChar w:fldCharType="begin"/>
      </w:r>
      <w:r w:rsidRPr="00D17312">
        <w:rPr>
          <w:noProof/>
          <w:color w:val="auto"/>
        </w:rPr>
        <w:instrText xml:space="preserve"> SEQ Tabulka \* ARABIC </w:instrText>
      </w:r>
      <w:r w:rsidRPr="00D17312">
        <w:rPr>
          <w:noProof/>
          <w:color w:val="auto"/>
        </w:rPr>
        <w:fldChar w:fldCharType="separate"/>
      </w:r>
      <w:r w:rsidR="006E7F27">
        <w:rPr>
          <w:noProof/>
          <w:color w:val="auto"/>
        </w:rPr>
        <w:t>56</w:t>
      </w:r>
      <w:r w:rsidRPr="00D17312">
        <w:rPr>
          <w:noProof/>
          <w:color w:val="auto"/>
        </w:rPr>
        <w:fldChar w:fldCharType="end"/>
      </w:r>
      <w:r w:rsidRPr="00D17312">
        <w:rPr>
          <w:color w:val="auto"/>
        </w:rPr>
        <w:t>: KS – míra odvolání dle soudů v trestním řízení</w:t>
      </w:r>
      <w:bookmarkEnd w:id="454"/>
      <w:bookmarkEnd w:id="455"/>
      <w:bookmarkEnd w:id="456"/>
    </w:p>
    <w:tbl>
      <w:tblPr>
        <w:tblW w:w="6300" w:type="dxa"/>
        <w:tblCellMar>
          <w:left w:w="70" w:type="dxa"/>
          <w:right w:w="70" w:type="dxa"/>
        </w:tblCellMar>
        <w:tblLook w:val="04A0" w:firstRow="1" w:lastRow="0" w:firstColumn="1" w:lastColumn="0" w:noHBand="0" w:noVBand="1"/>
      </w:tblPr>
      <w:tblGrid>
        <w:gridCol w:w="2780"/>
        <w:gridCol w:w="1598"/>
        <w:gridCol w:w="1922"/>
      </w:tblGrid>
      <w:tr w:rsidR="00A4083A" w:rsidRPr="00D17312" w:rsidTr="00A41CAB">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Míra odvolání v</w:t>
            </w:r>
            <w:r>
              <w:rPr>
                <w:rFonts w:eastAsia="Times New Roman"/>
                <w:b/>
                <w:bCs/>
                <w:szCs w:val="24"/>
                <w:lang w:eastAsia="cs-CZ"/>
              </w:rPr>
              <w:t> % </w:t>
            </w:r>
          </w:p>
        </w:tc>
      </w:tr>
      <w:tr w:rsidR="00A4083A" w:rsidRPr="00D17312" w:rsidTr="00A41CAB">
        <w:trPr>
          <w:trHeight w:val="330"/>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59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91,09</w:t>
            </w:r>
          </w:p>
        </w:tc>
        <w:tc>
          <w:tcPr>
            <w:tcW w:w="1922"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+24,6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59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90,40</w:t>
            </w:r>
          </w:p>
        </w:tc>
        <w:tc>
          <w:tcPr>
            <w:tcW w:w="1922"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+12,5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59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82,54</w:t>
            </w:r>
          </w:p>
        </w:tc>
        <w:tc>
          <w:tcPr>
            <w:tcW w:w="1922"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-7,6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59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72,04</w:t>
            </w:r>
          </w:p>
        </w:tc>
        <w:tc>
          <w:tcPr>
            <w:tcW w:w="1922"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-15,1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59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81,88</w:t>
            </w:r>
          </w:p>
        </w:tc>
        <w:tc>
          <w:tcPr>
            <w:tcW w:w="1922"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+4,1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59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62,28</w:t>
            </w:r>
          </w:p>
        </w:tc>
        <w:tc>
          <w:tcPr>
            <w:tcW w:w="1922"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-3,2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59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78,22</w:t>
            </w:r>
          </w:p>
        </w:tc>
        <w:tc>
          <w:tcPr>
            <w:tcW w:w="1922"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+3,6 p.b.</w:t>
            </w:r>
          </w:p>
        </w:tc>
      </w:tr>
      <w:tr w:rsidR="00A4083A" w:rsidRPr="00D17312" w:rsidTr="00A41CAB">
        <w:trPr>
          <w:trHeight w:val="330"/>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598"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65,63</w:t>
            </w:r>
          </w:p>
        </w:tc>
        <w:tc>
          <w:tcPr>
            <w:tcW w:w="1922" w:type="dxa"/>
            <w:tcBorders>
              <w:top w:val="nil"/>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-4,1 p.b.</w:t>
            </w:r>
          </w:p>
        </w:tc>
      </w:tr>
      <w:tr w:rsidR="00A4083A" w:rsidRPr="00D17312" w:rsidTr="00A41CAB">
        <w:trPr>
          <w:trHeight w:val="345"/>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598"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79,90</w:t>
            </w:r>
          </w:p>
        </w:tc>
        <w:tc>
          <w:tcPr>
            <w:tcW w:w="1922"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+7,1 p.b.</w:t>
            </w:r>
          </w:p>
        </w:tc>
      </w:tr>
    </w:tbl>
    <w:p w:rsidR="00A4083A" w:rsidRPr="00D17312" w:rsidRDefault="00A4083A" w:rsidP="00A4083A">
      <w:pPr>
        <w:rPr>
          <w:highlight w:val="yellow"/>
        </w:rPr>
      </w:pPr>
    </w:p>
    <w:p w:rsidR="00A4083A" w:rsidRPr="00D17312" w:rsidRDefault="00A4083A" w:rsidP="00A4083A">
      <w:pPr>
        <w:pStyle w:val="OdstavecASR"/>
        <w:tabs>
          <w:tab w:val="left" w:pos="7655"/>
        </w:tabs>
        <w:rPr>
          <w:highlight w:val="yellow"/>
        </w:rPr>
      </w:pPr>
      <w:bookmarkStart w:id="457" w:name="_Toc515871483"/>
      <w:bookmarkStart w:id="458" w:name="_Toc11133251"/>
      <w:r w:rsidRPr="00D17312">
        <w:t>Míra odvolání v této agendě narostla, a to na 80</w:t>
      </w:r>
      <w:r>
        <w:t> %</w:t>
      </w:r>
      <w:r w:rsidRPr="00D17312">
        <w:t>. To znamená, že v 8 z 10 vyřízených věcí je podáno odvolání proti konečnému rozhodnutí krajského soudu</w:t>
      </w:r>
      <w:r>
        <w:t>,</w:t>
      </w:r>
      <w:r w:rsidRPr="00D17312">
        <w:t xml:space="preserve"> </w:t>
      </w:r>
      <w:r>
        <w:t>c</w:t>
      </w:r>
      <w:r w:rsidRPr="00D17312">
        <w:t xml:space="preserve">ož ale není překvapivé. Vzhledem k typu projednávaných věcí je pravidlem uložení delších nepodmíněných trestů odnětí svobody, což je spolu se zákazem </w:t>
      </w:r>
      <w:r w:rsidRPr="00D17312">
        <w:rPr>
          <w:i/>
        </w:rPr>
        <w:t>reformatio in peius</w:t>
      </w:r>
      <w:r w:rsidRPr="00D17312">
        <w:t xml:space="preserve"> (</w:t>
      </w:r>
      <w:r>
        <w:t xml:space="preserve">změny </w:t>
      </w:r>
      <w:r w:rsidRPr="00D17312">
        <w:t xml:space="preserve">rozhodnutí k horšímu) více než dostatečná motivace k odvolání se pachatele bez ohledu na výsledek. V rámci jednotlivých krajských soudů dochází každý rok ke kladným i záporným odchylkám, takže i když jsou </w:t>
      </w:r>
      <w:r>
        <w:t>změny</w:t>
      </w:r>
      <w:r w:rsidRPr="00D17312">
        <w:t xml:space="preserve"> v roce 2019 </w:t>
      </w:r>
      <w:r>
        <w:t>významné</w:t>
      </w:r>
      <w:r w:rsidRPr="00D17312">
        <w:t>, hodnocení konkrétního roku není příliš vypovídající.</w:t>
      </w:r>
    </w:p>
    <w:p w:rsidR="00A4083A" w:rsidRPr="00D17312" w:rsidRDefault="00A4083A" w:rsidP="00A4083A">
      <w:pPr>
        <w:pStyle w:val="Podnadpis"/>
        <w:rPr>
          <w:color w:val="auto"/>
        </w:rPr>
      </w:pPr>
      <w:bookmarkStart w:id="459" w:name="_Toc43931230"/>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57</w:t>
      </w:r>
      <w:r w:rsidRPr="00D17312">
        <w:rPr>
          <w:noProof/>
          <w:color w:val="auto"/>
        </w:rPr>
        <w:fldChar w:fldCharType="end"/>
      </w:r>
      <w:r w:rsidRPr="00D17312">
        <w:rPr>
          <w:color w:val="auto"/>
        </w:rPr>
        <w:t>: KS – míra změny rozsudku dle soudů v trestním řízení</w:t>
      </w:r>
      <w:bookmarkEnd w:id="457"/>
      <w:bookmarkEnd w:id="458"/>
      <w:bookmarkEnd w:id="459"/>
    </w:p>
    <w:tbl>
      <w:tblPr>
        <w:tblW w:w="6980" w:type="dxa"/>
        <w:tblCellMar>
          <w:left w:w="70" w:type="dxa"/>
          <w:right w:w="70" w:type="dxa"/>
        </w:tblCellMar>
        <w:tblLook w:val="04A0" w:firstRow="1" w:lastRow="0" w:firstColumn="1" w:lastColumn="0" w:noHBand="0" w:noVBand="1"/>
      </w:tblPr>
      <w:tblGrid>
        <w:gridCol w:w="2780"/>
        <w:gridCol w:w="1661"/>
        <w:gridCol w:w="2539"/>
      </w:tblGrid>
      <w:tr w:rsidR="00A4083A" w:rsidRPr="00D17312" w:rsidTr="00A41CAB">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4200" w:type="dxa"/>
            <w:gridSpan w:val="2"/>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Míra změny rozsudku (v</w:t>
            </w:r>
            <w:r>
              <w:rPr>
                <w:rFonts w:eastAsia="Times New Roman"/>
                <w:b/>
                <w:bCs/>
                <w:szCs w:val="24"/>
                <w:lang w:eastAsia="cs-CZ"/>
              </w:rPr>
              <w:t> %</w:t>
            </w:r>
            <w:r w:rsidRPr="00D17312">
              <w:rPr>
                <w:rFonts w:eastAsia="Times New Roman"/>
                <w:b/>
                <w:bCs/>
                <w:szCs w:val="24"/>
                <w:lang w:eastAsia="cs-CZ"/>
              </w:rPr>
              <w:t>)</w:t>
            </w:r>
          </w:p>
        </w:tc>
      </w:tr>
      <w:tr w:rsidR="00A4083A" w:rsidRPr="00D17312" w:rsidTr="00A41CAB">
        <w:trPr>
          <w:trHeight w:val="330"/>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66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50,00</w:t>
            </w:r>
          </w:p>
        </w:tc>
        <w:tc>
          <w:tcPr>
            <w:tcW w:w="2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+1,7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66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49,06</w:t>
            </w:r>
          </w:p>
        </w:tc>
        <w:tc>
          <w:tcPr>
            <w:tcW w:w="2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+11,6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66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75,00</w:t>
            </w:r>
          </w:p>
        </w:tc>
        <w:tc>
          <w:tcPr>
            <w:tcW w:w="2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+1,5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66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45,45</w:t>
            </w:r>
          </w:p>
        </w:tc>
        <w:tc>
          <w:tcPr>
            <w:tcW w:w="2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+10,9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66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56,19</w:t>
            </w:r>
          </w:p>
        </w:tc>
        <w:tc>
          <w:tcPr>
            <w:tcW w:w="2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-7,6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66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57,63</w:t>
            </w:r>
          </w:p>
        </w:tc>
        <w:tc>
          <w:tcPr>
            <w:tcW w:w="2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-0,1 p.b.</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66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50,93</w:t>
            </w:r>
          </w:p>
        </w:tc>
        <w:tc>
          <w:tcPr>
            <w:tcW w:w="2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+2,0 p.b.</w:t>
            </w:r>
          </w:p>
        </w:tc>
      </w:tr>
      <w:tr w:rsidR="00A4083A" w:rsidRPr="00D17312" w:rsidTr="00A41CAB">
        <w:trPr>
          <w:trHeight w:val="330"/>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66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37,50</w:t>
            </w:r>
          </w:p>
        </w:tc>
        <w:tc>
          <w:tcPr>
            <w:tcW w:w="2539" w:type="dxa"/>
            <w:tcBorders>
              <w:top w:val="nil"/>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-15,2 p.b.</w:t>
            </w:r>
          </w:p>
        </w:tc>
      </w:tr>
      <w:tr w:rsidR="00A4083A" w:rsidRPr="00D17312" w:rsidTr="00A41CAB">
        <w:trPr>
          <w:trHeight w:val="345"/>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66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50,52</w:t>
            </w:r>
          </w:p>
        </w:tc>
        <w:tc>
          <w:tcPr>
            <w:tcW w:w="2539"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+0,5 p.b.</w:t>
            </w:r>
          </w:p>
        </w:tc>
      </w:tr>
    </w:tbl>
    <w:p w:rsidR="00A4083A" w:rsidRPr="00D17312" w:rsidRDefault="00A4083A" w:rsidP="00A4083A">
      <w:pPr>
        <w:rPr>
          <w:highlight w:val="yellow"/>
        </w:rPr>
      </w:pPr>
    </w:p>
    <w:p w:rsidR="00A4083A" w:rsidRPr="00D17312" w:rsidRDefault="00A4083A" w:rsidP="00A4083A">
      <w:pPr>
        <w:pStyle w:val="OdstavecASR"/>
        <w:rPr>
          <w:highlight w:val="yellow"/>
        </w:rPr>
      </w:pPr>
      <w:r w:rsidRPr="00D17312">
        <w:t>Míra změny rozsudku je také vyšší než u okresních soudů – přibližně o 16 procentních bodů v roce 2017, cca o 8 procentních bodů v roce 2018 a asi o 10 procentních bodů v roce 2019. Míra změny rozsudku za ČR se zdá na první pohled vysoká. Je ale třeba vzít v úvahu závažnost a složitost projednávaných věcí (jedná se o velmi vysoké tresty odnětí svobody a komplikovanou trestnou činnost). Vrchní soudy také často pouze změní výši uloženého trestu nebo věc vrátí krajským soudům k novému projednání.</w:t>
      </w:r>
    </w:p>
    <w:p w:rsidR="00A4083A" w:rsidRPr="00D17312" w:rsidRDefault="00A4083A" w:rsidP="00A4083A">
      <w:pPr>
        <w:pStyle w:val="OdstavecASR"/>
      </w:pPr>
      <w:r w:rsidRPr="00D17312">
        <w:lastRenderedPageBreak/>
        <w:t>Jak již bylo řečeno výše, opět se potvrzuje, že meziroční změny v míře celkové změny rozsudku nemají příliš velkou vypovídající hodnotu. Pro úplnost však toto srovnání provádíme.</w:t>
      </w:r>
    </w:p>
    <w:p w:rsidR="00A4083A" w:rsidRPr="00D17312" w:rsidRDefault="00A4083A" w:rsidP="00A4083A">
      <w:pPr>
        <w:pStyle w:val="OdstavecASR"/>
      </w:pPr>
      <w:r w:rsidRPr="00D17312">
        <w:t>Míra celkové změny rozsudku počítaná jako [(míra odvolání × míra změny rozsudku) / 100] se za celou ČR v posledních čtyřech letech pohybovala následovně:</w:t>
      </w:r>
    </w:p>
    <w:p w:rsidR="00A4083A" w:rsidRPr="00D17312" w:rsidRDefault="00A4083A" w:rsidP="00A4083A">
      <w:pPr>
        <w:pStyle w:val="OdstavecASR"/>
      </w:pPr>
      <w:r w:rsidRPr="00D17312">
        <w:t>2016: 74,10</w:t>
      </w:r>
      <w:r>
        <w:t> % </w:t>
      </w:r>
      <w:r w:rsidRPr="00D17312">
        <w:t>× 54,96</w:t>
      </w:r>
      <w:r>
        <w:t> % </w:t>
      </w:r>
      <w:r w:rsidRPr="00D17312">
        <w:rPr>
          <w:rFonts w:ascii="Cambria Math" w:hAnsi="Cambria Math" w:cs="Cambria Math"/>
        </w:rPr>
        <w:t>≐</w:t>
      </w:r>
      <w:r w:rsidRPr="00D17312">
        <w:t xml:space="preserve"> 40,73</w:t>
      </w:r>
      <w:r>
        <w:t> %</w:t>
      </w:r>
    </w:p>
    <w:p w:rsidR="00A4083A" w:rsidRPr="00D17312" w:rsidRDefault="00A4083A" w:rsidP="00A4083A">
      <w:pPr>
        <w:pStyle w:val="OdstavecASR"/>
      </w:pPr>
      <w:r w:rsidRPr="00D17312">
        <w:t>2017: 77,85</w:t>
      </w:r>
      <w:r>
        <w:t> % </w:t>
      </w:r>
      <w:r w:rsidRPr="00D17312">
        <w:t>× 58,44</w:t>
      </w:r>
      <w:r>
        <w:t> % </w:t>
      </w:r>
      <w:r w:rsidRPr="00D17312">
        <w:rPr>
          <w:rFonts w:ascii="Cambria Math" w:hAnsi="Cambria Math" w:cs="Cambria Math"/>
        </w:rPr>
        <w:t>≐</w:t>
      </w:r>
      <w:r w:rsidRPr="00D17312">
        <w:t xml:space="preserve"> 45,50</w:t>
      </w:r>
      <w:r>
        <w:t> %</w:t>
      </w:r>
    </w:p>
    <w:p w:rsidR="00A4083A" w:rsidRPr="00D17312" w:rsidRDefault="00A4083A" w:rsidP="00A4083A">
      <w:pPr>
        <w:pStyle w:val="OdstavecASR"/>
      </w:pPr>
      <w:r w:rsidRPr="00D17312">
        <w:t>2018: 72,81</w:t>
      </w:r>
      <w:r>
        <w:t> % </w:t>
      </w:r>
      <w:r w:rsidRPr="00D17312">
        <w:t>× 50,01</w:t>
      </w:r>
      <w:r>
        <w:t> % </w:t>
      </w:r>
      <w:r w:rsidRPr="00D17312">
        <w:rPr>
          <w:rFonts w:ascii="Cambria Math" w:hAnsi="Cambria Math" w:cs="Cambria Math"/>
        </w:rPr>
        <w:t>≐</w:t>
      </w:r>
      <w:r w:rsidRPr="00D17312">
        <w:t xml:space="preserve"> 36,41</w:t>
      </w:r>
      <w:r>
        <w:t> %</w:t>
      </w:r>
    </w:p>
    <w:p w:rsidR="00A4083A" w:rsidRPr="00D17312" w:rsidRDefault="00A4083A" w:rsidP="00A4083A">
      <w:pPr>
        <w:pStyle w:val="OdstavecASR"/>
      </w:pPr>
      <w:r w:rsidRPr="00D17312">
        <w:t>2019: 79,90</w:t>
      </w:r>
      <w:r>
        <w:t> % </w:t>
      </w:r>
      <w:r w:rsidRPr="00D17312">
        <w:t>× 50,52</w:t>
      </w:r>
      <w:r>
        <w:t> % </w:t>
      </w:r>
      <w:r w:rsidRPr="00D17312">
        <w:rPr>
          <w:rFonts w:ascii="Cambria Math" w:hAnsi="Cambria Math" w:cs="Cambria Math"/>
        </w:rPr>
        <w:t>≐</w:t>
      </w:r>
      <w:r w:rsidRPr="00D17312">
        <w:t xml:space="preserve"> 40,37</w:t>
      </w:r>
      <w:r>
        <w:t> %</w:t>
      </w:r>
    </w:p>
    <w:p w:rsidR="00A4083A" w:rsidRPr="00D17312" w:rsidRDefault="00A4083A" w:rsidP="00A4083A">
      <w:pPr>
        <w:pStyle w:val="OdstavecASR"/>
      </w:pPr>
      <w:r w:rsidRPr="00D17312">
        <w:t xml:space="preserve">V následující tabulce je </w:t>
      </w:r>
      <w:r>
        <w:t xml:space="preserve">zachycena </w:t>
      </w:r>
      <w:r w:rsidRPr="00D17312">
        <w:t>stejná statistika jako u OS – nejčastější trestné činy dle věkových kategorií. Rovněž je připojen graf s věkovou strukturou obžalovaných. Kvůli malému počtu pozorování zde ještě více platí upozornění, že se jedná o</w:t>
      </w:r>
      <w:r>
        <w:t xml:space="preserve"> ilustrativní</w:t>
      </w:r>
      <w:r w:rsidRPr="00D17312">
        <w:t xml:space="preserve"> statistiku </w:t>
      </w:r>
      <w:r>
        <w:t xml:space="preserve">zařazenou </w:t>
      </w:r>
      <w:r w:rsidRPr="00D17312">
        <w:t xml:space="preserve">pro zajímavost, </w:t>
      </w:r>
      <w:r>
        <w:t xml:space="preserve">nikoliv o detailní </w:t>
      </w:r>
      <w:r w:rsidRPr="00D17312">
        <w:t>analýzu dané problematiky. Data jsou za rok 2019.</w:t>
      </w:r>
    </w:p>
    <w:p w:rsidR="00A4083A" w:rsidRPr="00D17312" w:rsidRDefault="00A4083A" w:rsidP="00A4083A">
      <w:pPr>
        <w:pStyle w:val="Podnadpis"/>
        <w:rPr>
          <w:color w:val="auto"/>
        </w:rPr>
      </w:pPr>
      <w:bookmarkStart w:id="460" w:name="_Toc43931231"/>
      <w:r w:rsidRPr="00D17312">
        <w:rPr>
          <w:color w:val="auto"/>
        </w:rPr>
        <w:t xml:space="preserve">Tabulka </w:t>
      </w:r>
      <w:r w:rsidRPr="00D17312">
        <w:rPr>
          <w:noProof/>
          <w:color w:val="auto"/>
        </w:rPr>
        <w:fldChar w:fldCharType="begin"/>
      </w:r>
      <w:r w:rsidRPr="00D17312">
        <w:rPr>
          <w:noProof/>
          <w:color w:val="auto"/>
        </w:rPr>
        <w:instrText xml:space="preserve"> SEQ Tabulka \* ARABIC </w:instrText>
      </w:r>
      <w:r w:rsidRPr="00D17312">
        <w:rPr>
          <w:noProof/>
          <w:color w:val="auto"/>
        </w:rPr>
        <w:fldChar w:fldCharType="separate"/>
      </w:r>
      <w:r w:rsidR="006E7F27">
        <w:rPr>
          <w:noProof/>
          <w:color w:val="auto"/>
        </w:rPr>
        <w:t>58</w:t>
      </w:r>
      <w:r w:rsidRPr="00D17312">
        <w:rPr>
          <w:noProof/>
          <w:color w:val="auto"/>
        </w:rPr>
        <w:fldChar w:fldCharType="end"/>
      </w:r>
      <w:r w:rsidRPr="00D17312">
        <w:rPr>
          <w:color w:val="auto"/>
        </w:rPr>
        <w:t>: KS – nejčastější trestné činy dle věkových skupin</w:t>
      </w:r>
      <w:bookmarkEnd w:id="460"/>
    </w:p>
    <w:tbl>
      <w:tblPr>
        <w:tblW w:w="9214" w:type="dxa"/>
        <w:tblCellMar>
          <w:left w:w="70" w:type="dxa"/>
          <w:right w:w="70" w:type="dxa"/>
        </w:tblCellMar>
        <w:tblLook w:val="04A0" w:firstRow="1" w:lastRow="0" w:firstColumn="1" w:lastColumn="0" w:noHBand="0" w:noVBand="1"/>
      </w:tblPr>
      <w:tblGrid>
        <w:gridCol w:w="1560"/>
        <w:gridCol w:w="1160"/>
        <w:gridCol w:w="1391"/>
        <w:gridCol w:w="1160"/>
        <w:gridCol w:w="1392"/>
        <w:gridCol w:w="1160"/>
        <w:gridCol w:w="1391"/>
      </w:tblGrid>
      <w:tr w:rsidR="00A4083A" w:rsidRPr="00D17312" w:rsidTr="00A41CAB">
        <w:trPr>
          <w:trHeight w:val="345"/>
        </w:trPr>
        <w:tc>
          <w:tcPr>
            <w:tcW w:w="156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Věková skupina</w:t>
            </w:r>
          </w:p>
        </w:tc>
        <w:tc>
          <w:tcPr>
            <w:tcW w:w="1160" w:type="dxa"/>
            <w:tcBorders>
              <w:top w:val="double" w:sz="6" w:space="0" w:color="auto"/>
              <w:left w:val="single" w:sz="4" w:space="0" w:color="auto"/>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Paragraf</w:t>
            </w:r>
          </w:p>
        </w:tc>
        <w:tc>
          <w:tcPr>
            <w:tcW w:w="1391" w:type="dxa"/>
            <w:tcBorders>
              <w:top w:val="double" w:sz="6" w:space="0" w:color="auto"/>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Podíl v</w:t>
            </w:r>
            <w:r>
              <w:rPr>
                <w:rFonts w:eastAsia="Times New Roman"/>
                <w:b/>
                <w:szCs w:val="24"/>
                <w:lang w:eastAsia="cs-CZ"/>
              </w:rPr>
              <w:t> %</w:t>
            </w:r>
          </w:p>
        </w:tc>
        <w:tc>
          <w:tcPr>
            <w:tcW w:w="116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Paragraf</w:t>
            </w:r>
          </w:p>
        </w:tc>
        <w:tc>
          <w:tcPr>
            <w:tcW w:w="1392" w:type="dxa"/>
            <w:tcBorders>
              <w:top w:val="double" w:sz="6" w:space="0" w:color="auto"/>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Podíl v</w:t>
            </w:r>
            <w:r>
              <w:rPr>
                <w:rFonts w:eastAsia="Times New Roman"/>
                <w:b/>
                <w:szCs w:val="24"/>
                <w:lang w:eastAsia="cs-CZ"/>
              </w:rPr>
              <w:t> %</w:t>
            </w:r>
          </w:p>
        </w:tc>
        <w:tc>
          <w:tcPr>
            <w:tcW w:w="116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Paragraf</w:t>
            </w:r>
          </w:p>
        </w:tc>
        <w:tc>
          <w:tcPr>
            <w:tcW w:w="1391"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szCs w:val="24"/>
                <w:lang w:eastAsia="cs-CZ"/>
              </w:rPr>
            </w:pPr>
            <w:r w:rsidRPr="00D17312">
              <w:rPr>
                <w:rFonts w:eastAsia="Times New Roman"/>
                <w:b/>
                <w:szCs w:val="24"/>
                <w:lang w:eastAsia="cs-CZ"/>
              </w:rPr>
              <w:t>Podíl v</w:t>
            </w:r>
            <w:r>
              <w:rPr>
                <w:rFonts w:eastAsia="Times New Roman"/>
                <w:b/>
                <w:szCs w:val="24"/>
                <w:lang w:eastAsia="cs-CZ"/>
              </w:rPr>
              <w:t> %</w:t>
            </w:r>
          </w:p>
        </w:tc>
      </w:tr>
      <w:tr w:rsidR="00A4083A" w:rsidRPr="00D17312" w:rsidTr="00A41CAB">
        <w:trPr>
          <w:trHeight w:val="330"/>
        </w:trPr>
        <w:tc>
          <w:tcPr>
            <w:tcW w:w="15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15 až 24 let</w:t>
            </w:r>
          </w:p>
        </w:tc>
        <w:tc>
          <w:tcPr>
            <w:tcW w:w="116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283</w:t>
            </w:r>
          </w:p>
        </w:tc>
        <w:tc>
          <w:tcPr>
            <w:tcW w:w="1391" w:type="dxa"/>
            <w:tcBorders>
              <w:top w:val="nil"/>
              <w:left w:val="nil"/>
              <w:bottom w:val="single" w:sz="4"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16,10</w:t>
            </w:r>
          </w:p>
        </w:tc>
        <w:tc>
          <w:tcPr>
            <w:tcW w:w="11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185</w:t>
            </w:r>
          </w:p>
        </w:tc>
        <w:tc>
          <w:tcPr>
            <w:tcW w:w="1392" w:type="dxa"/>
            <w:tcBorders>
              <w:top w:val="nil"/>
              <w:left w:val="nil"/>
              <w:bottom w:val="single" w:sz="4"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13,17</w:t>
            </w:r>
          </w:p>
        </w:tc>
        <w:tc>
          <w:tcPr>
            <w:tcW w:w="11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140</w:t>
            </w:r>
          </w:p>
        </w:tc>
        <w:tc>
          <w:tcPr>
            <w:tcW w:w="139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24,00</w:t>
            </w:r>
          </w:p>
        </w:tc>
      </w:tr>
      <w:tr w:rsidR="00A4083A" w:rsidRPr="00D17312" w:rsidTr="00A41CAB">
        <w:trPr>
          <w:trHeight w:val="315"/>
        </w:trPr>
        <w:tc>
          <w:tcPr>
            <w:tcW w:w="15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25 až 34 let</w:t>
            </w:r>
          </w:p>
        </w:tc>
        <w:tc>
          <w:tcPr>
            <w:tcW w:w="116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283</w:t>
            </w:r>
          </w:p>
        </w:tc>
        <w:tc>
          <w:tcPr>
            <w:tcW w:w="1391" w:type="dxa"/>
            <w:tcBorders>
              <w:top w:val="nil"/>
              <w:left w:val="nil"/>
              <w:bottom w:val="single" w:sz="4"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25,60</w:t>
            </w:r>
          </w:p>
        </w:tc>
        <w:tc>
          <w:tcPr>
            <w:tcW w:w="11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240</w:t>
            </w:r>
          </w:p>
        </w:tc>
        <w:tc>
          <w:tcPr>
            <w:tcW w:w="1392" w:type="dxa"/>
            <w:tcBorders>
              <w:top w:val="nil"/>
              <w:left w:val="nil"/>
              <w:bottom w:val="single" w:sz="4"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13,20</w:t>
            </w:r>
          </w:p>
        </w:tc>
        <w:tc>
          <w:tcPr>
            <w:tcW w:w="11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209</w:t>
            </w:r>
          </w:p>
        </w:tc>
        <w:tc>
          <w:tcPr>
            <w:tcW w:w="139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8,88</w:t>
            </w:r>
          </w:p>
        </w:tc>
      </w:tr>
      <w:tr w:rsidR="00A4083A" w:rsidRPr="00D17312" w:rsidTr="00A41CAB">
        <w:trPr>
          <w:trHeight w:val="315"/>
        </w:trPr>
        <w:tc>
          <w:tcPr>
            <w:tcW w:w="15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35 až 44 let</w:t>
            </w:r>
          </w:p>
        </w:tc>
        <w:tc>
          <w:tcPr>
            <w:tcW w:w="116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283</w:t>
            </w:r>
          </w:p>
        </w:tc>
        <w:tc>
          <w:tcPr>
            <w:tcW w:w="1391" w:type="dxa"/>
            <w:tcBorders>
              <w:top w:val="nil"/>
              <w:left w:val="nil"/>
              <w:bottom w:val="single" w:sz="4"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19,74</w:t>
            </w:r>
          </w:p>
        </w:tc>
        <w:tc>
          <w:tcPr>
            <w:tcW w:w="11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209</w:t>
            </w:r>
          </w:p>
        </w:tc>
        <w:tc>
          <w:tcPr>
            <w:tcW w:w="1392" w:type="dxa"/>
            <w:tcBorders>
              <w:top w:val="nil"/>
              <w:left w:val="nil"/>
              <w:bottom w:val="single" w:sz="4"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17,65</w:t>
            </w:r>
          </w:p>
        </w:tc>
        <w:tc>
          <w:tcPr>
            <w:tcW w:w="11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240</w:t>
            </w:r>
          </w:p>
        </w:tc>
        <w:tc>
          <w:tcPr>
            <w:tcW w:w="139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16,95</w:t>
            </w:r>
          </w:p>
        </w:tc>
      </w:tr>
      <w:tr w:rsidR="00A4083A" w:rsidRPr="00D17312" w:rsidTr="00A41CAB">
        <w:trPr>
          <w:trHeight w:val="315"/>
        </w:trPr>
        <w:tc>
          <w:tcPr>
            <w:tcW w:w="15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45 až 54 let</w:t>
            </w:r>
          </w:p>
        </w:tc>
        <w:tc>
          <w:tcPr>
            <w:tcW w:w="116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240</w:t>
            </w:r>
          </w:p>
        </w:tc>
        <w:tc>
          <w:tcPr>
            <w:tcW w:w="1391" w:type="dxa"/>
            <w:tcBorders>
              <w:top w:val="nil"/>
              <w:left w:val="nil"/>
              <w:bottom w:val="single" w:sz="4"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20,78</w:t>
            </w:r>
          </w:p>
        </w:tc>
        <w:tc>
          <w:tcPr>
            <w:tcW w:w="11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209</w:t>
            </w:r>
          </w:p>
        </w:tc>
        <w:tc>
          <w:tcPr>
            <w:tcW w:w="1392" w:type="dxa"/>
            <w:tcBorders>
              <w:top w:val="nil"/>
              <w:left w:val="nil"/>
              <w:bottom w:val="single" w:sz="4"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14,72</w:t>
            </w:r>
          </w:p>
        </w:tc>
        <w:tc>
          <w:tcPr>
            <w:tcW w:w="11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283</w:t>
            </w:r>
          </w:p>
        </w:tc>
        <w:tc>
          <w:tcPr>
            <w:tcW w:w="139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13,42</w:t>
            </w:r>
          </w:p>
        </w:tc>
      </w:tr>
      <w:tr w:rsidR="00A4083A" w:rsidRPr="00D17312" w:rsidTr="00A41CAB">
        <w:trPr>
          <w:trHeight w:val="315"/>
        </w:trPr>
        <w:tc>
          <w:tcPr>
            <w:tcW w:w="15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55 až 64 let</w:t>
            </w:r>
          </w:p>
        </w:tc>
        <w:tc>
          <w:tcPr>
            <w:tcW w:w="116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283</w:t>
            </w:r>
          </w:p>
        </w:tc>
        <w:tc>
          <w:tcPr>
            <w:tcW w:w="1391" w:type="dxa"/>
            <w:tcBorders>
              <w:top w:val="nil"/>
              <w:left w:val="nil"/>
              <w:bottom w:val="single" w:sz="4"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19,57</w:t>
            </w:r>
          </w:p>
        </w:tc>
        <w:tc>
          <w:tcPr>
            <w:tcW w:w="11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240</w:t>
            </w:r>
          </w:p>
        </w:tc>
        <w:tc>
          <w:tcPr>
            <w:tcW w:w="1392" w:type="dxa"/>
            <w:tcBorders>
              <w:top w:val="nil"/>
              <w:left w:val="nil"/>
              <w:bottom w:val="single" w:sz="4"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14,13</w:t>
            </w:r>
          </w:p>
        </w:tc>
        <w:tc>
          <w:tcPr>
            <w:tcW w:w="11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209</w:t>
            </w:r>
          </w:p>
        </w:tc>
        <w:tc>
          <w:tcPr>
            <w:tcW w:w="139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14,13</w:t>
            </w:r>
          </w:p>
        </w:tc>
      </w:tr>
      <w:tr w:rsidR="00A4083A" w:rsidRPr="00D17312" w:rsidTr="00A41CAB">
        <w:trPr>
          <w:trHeight w:val="315"/>
        </w:trPr>
        <w:tc>
          <w:tcPr>
            <w:tcW w:w="15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65 až 74 let*</w:t>
            </w:r>
          </w:p>
        </w:tc>
        <w:tc>
          <w:tcPr>
            <w:tcW w:w="116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185</w:t>
            </w:r>
          </w:p>
        </w:tc>
        <w:tc>
          <w:tcPr>
            <w:tcW w:w="1391" w:type="dxa"/>
            <w:tcBorders>
              <w:top w:val="nil"/>
              <w:left w:val="nil"/>
              <w:bottom w:val="single" w:sz="4"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31,25</w:t>
            </w:r>
          </w:p>
        </w:tc>
        <w:tc>
          <w:tcPr>
            <w:tcW w:w="11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140</w:t>
            </w:r>
          </w:p>
        </w:tc>
        <w:tc>
          <w:tcPr>
            <w:tcW w:w="1392" w:type="dxa"/>
            <w:tcBorders>
              <w:top w:val="nil"/>
              <w:left w:val="nil"/>
              <w:bottom w:val="single" w:sz="4"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12,50</w:t>
            </w:r>
          </w:p>
        </w:tc>
        <w:tc>
          <w:tcPr>
            <w:tcW w:w="11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209</w:t>
            </w:r>
          </w:p>
        </w:tc>
        <w:tc>
          <w:tcPr>
            <w:tcW w:w="139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12,50</w:t>
            </w:r>
          </w:p>
        </w:tc>
      </w:tr>
      <w:tr w:rsidR="00A4083A" w:rsidRPr="00D17312" w:rsidTr="00A41CAB">
        <w:trPr>
          <w:trHeight w:val="330"/>
        </w:trPr>
        <w:tc>
          <w:tcPr>
            <w:tcW w:w="15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75 a více let*</w:t>
            </w:r>
          </w:p>
        </w:tc>
        <w:tc>
          <w:tcPr>
            <w:tcW w:w="1160"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187</w:t>
            </w:r>
          </w:p>
        </w:tc>
        <w:tc>
          <w:tcPr>
            <w:tcW w:w="1391" w:type="dxa"/>
            <w:tcBorders>
              <w:top w:val="nil"/>
              <w:left w:val="nil"/>
              <w:bottom w:val="double" w:sz="6"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25,00</w:t>
            </w:r>
          </w:p>
        </w:tc>
        <w:tc>
          <w:tcPr>
            <w:tcW w:w="11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283</w:t>
            </w:r>
          </w:p>
        </w:tc>
        <w:tc>
          <w:tcPr>
            <w:tcW w:w="1392" w:type="dxa"/>
            <w:tcBorders>
              <w:top w:val="nil"/>
              <w:left w:val="nil"/>
              <w:bottom w:val="double" w:sz="6" w:space="0" w:color="auto"/>
              <w:right w:val="single" w:sz="4" w:space="0" w:color="auto"/>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25,00</w:t>
            </w:r>
          </w:p>
        </w:tc>
        <w:tc>
          <w:tcPr>
            <w:tcW w:w="11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140</w:t>
            </w:r>
          </w:p>
        </w:tc>
        <w:tc>
          <w:tcPr>
            <w:tcW w:w="139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25,00</w:t>
            </w:r>
          </w:p>
        </w:tc>
      </w:tr>
    </w:tbl>
    <w:p w:rsidR="00A4083A" w:rsidRPr="00D17312" w:rsidRDefault="00A4083A" w:rsidP="00A4083A">
      <w:pPr>
        <w:pStyle w:val="OdstavecASR"/>
      </w:pPr>
    </w:p>
    <w:p w:rsidR="00A4083A" w:rsidRPr="00D17312" w:rsidRDefault="00A4083A" w:rsidP="00A4083A">
      <w:pPr>
        <w:pStyle w:val="OdstavecASR"/>
      </w:pPr>
      <w:r w:rsidRPr="00D17312">
        <w:t xml:space="preserve">U dvou nejvyšších věkových skupin je počet pozorování tak malý, že nemá žádný smysl data interpretovat. U nižších věkových skupin vidíme, že nejčastěji se opakují tři trestné činy: </w:t>
      </w:r>
      <w:r w:rsidRPr="00D17312">
        <w:rPr>
          <w:i/>
        </w:rPr>
        <w:t>podvod</w:t>
      </w:r>
      <w:r w:rsidRPr="00D17312">
        <w:t xml:space="preserve"> (§ 209 trestního zákoníku), </w:t>
      </w:r>
      <w:r w:rsidRPr="00D17312">
        <w:rPr>
          <w:i/>
        </w:rPr>
        <w:t>nedovolená výroba a jiné nakládání s omamnými a psychotropními látkami a s jedy</w:t>
      </w:r>
      <w:r w:rsidRPr="00D17312">
        <w:t xml:space="preserve"> (§ 283 trestního zákoníku) a </w:t>
      </w:r>
      <w:r w:rsidRPr="00D17312">
        <w:rPr>
          <w:i/>
        </w:rPr>
        <w:t>zkrácení daně, poplatku a podobné povinné platby</w:t>
      </w:r>
      <w:r w:rsidRPr="00D17312">
        <w:t xml:space="preserve"> (§ 240 trestního zákoníku). </w:t>
      </w:r>
      <w:r>
        <w:t>Jde s</w:t>
      </w:r>
      <w:r w:rsidRPr="00D17312">
        <w:t>amozřejmě o kvalifikované skutkové podstaty, které věcně připadají do působnosti krajských soudů</w:t>
      </w:r>
      <w:r>
        <w:t xml:space="preserve">, </w:t>
      </w:r>
      <w:r w:rsidRPr="00D17312">
        <w:t>tedy o závažnější trestnou činnost.</w:t>
      </w:r>
    </w:p>
    <w:p w:rsidR="00A4083A" w:rsidRPr="00D17312" w:rsidRDefault="00A4083A" w:rsidP="00A4083A">
      <w:pPr>
        <w:pStyle w:val="OdstavecASR"/>
      </w:pPr>
      <w:r w:rsidRPr="00D17312">
        <w:t xml:space="preserve">Určité rozdíly mezi věkovými skupinami existují. Nejpatrnější je to u věkové skupiny 15 až 24 let, kde se místo trestných činů </w:t>
      </w:r>
      <w:r w:rsidRPr="00D17312">
        <w:rPr>
          <w:i/>
        </w:rPr>
        <w:t>podvodu</w:t>
      </w:r>
      <w:r w:rsidRPr="00D17312">
        <w:t xml:space="preserve"> a </w:t>
      </w:r>
      <w:r w:rsidRPr="00D17312">
        <w:rPr>
          <w:i/>
        </w:rPr>
        <w:t>zkrácení daně, poplatku a podobné povinné platby</w:t>
      </w:r>
      <w:r w:rsidRPr="00D17312">
        <w:t xml:space="preserve"> nejčastěji objevují trestné činy </w:t>
      </w:r>
      <w:r w:rsidRPr="00D17312">
        <w:rPr>
          <w:i/>
        </w:rPr>
        <w:t>znásilnění</w:t>
      </w:r>
      <w:r w:rsidRPr="00D17312">
        <w:t xml:space="preserve"> (§</w:t>
      </w:r>
      <w:r>
        <w:t> </w:t>
      </w:r>
      <w:r w:rsidRPr="00D17312">
        <w:t xml:space="preserve">185) a </w:t>
      </w:r>
      <w:r w:rsidRPr="00D17312">
        <w:rPr>
          <w:i/>
        </w:rPr>
        <w:t>vražda</w:t>
      </w:r>
      <w:r w:rsidRPr="00D17312">
        <w:t xml:space="preserve"> (§</w:t>
      </w:r>
      <w:r>
        <w:t> </w:t>
      </w:r>
      <w:r w:rsidRPr="00D17312">
        <w:t>140).</w:t>
      </w:r>
    </w:p>
    <w:p w:rsidR="00A4083A" w:rsidRPr="00D17312" w:rsidRDefault="00A4083A" w:rsidP="00A4083A">
      <w:pPr>
        <w:pStyle w:val="OdstavecASR"/>
        <w:rPr>
          <w:b/>
          <w:bCs/>
        </w:rPr>
      </w:pPr>
      <w:r w:rsidRPr="00D17312">
        <w:t>Níže je pak vidět věková struktura obžalovaných. Obžalovaní u KS jsou o něco starší než obžalovaní u OS</w:t>
      </w:r>
      <w:r>
        <w:t>,</w:t>
      </w:r>
      <w:r w:rsidRPr="00D17312">
        <w:t xml:space="preserve"> </w:t>
      </w:r>
      <w:r>
        <w:t>m</w:t>
      </w:r>
      <w:r w:rsidRPr="00D17312">
        <w:t>ožná ale méně, než by se dalo očekávat. Průměrný věk u OS je 34,8</w:t>
      </w:r>
      <w:r>
        <w:t> </w:t>
      </w:r>
      <w:r w:rsidRPr="00D17312">
        <w:t>roku a u KS</w:t>
      </w:r>
      <w:r>
        <w:t> </w:t>
      </w:r>
      <w:r w:rsidRPr="00D17312">
        <w:t>37</w:t>
      </w:r>
      <w:r>
        <w:t> </w:t>
      </w:r>
      <w:r w:rsidRPr="00D17312">
        <w:t>let</w:t>
      </w:r>
      <w:r>
        <w:t>.</w:t>
      </w:r>
    </w:p>
    <w:p w:rsidR="00A4083A" w:rsidRPr="00D17312" w:rsidRDefault="00A4083A" w:rsidP="00A4083A">
      <w:pPr>
        <w:pStyle w:val="Podnadpis"/>
        <w:rPr>
          <w:color w:val="auto"/>
        </w:rPr>
      </w:pPr>
      <w:bookmarkStart w:id="461" w:name="_Toc43841442"/>
      <w:r w:rsidRPr="00D17312">
        <w:rPr>
          <w:bCs/>
          <w:color w:val="auto"/>
        </w:rPr>
        <w:lastRenderedPageBreak/>
        <w:t xml:space="preserve">Graf </w:t>
      </w:r>
      <w:r w:rsidRPr="00D17312">
        <w:rPr>
          <w:bCs/>
          <w:color w:val="auto"/>
        </w:rPr>
        <w:fldChar w:fldCharType="begin"/>
      </w:r>
      <w:r w:rsidRPr="00D17312">
        <w:rPr>
          <w:bCs/>
          <w:color w:val="auto"/>
        </w:rPr>
        <w:instrText xml:space="preserve"> SEQ Graf \* ARABIC </w:instrText>
      </w:r>
      <w:r w:rsidRPr="00D17312">
        <w:rPr>
          <w:bCs/>
          <w:color w:val="auto"/>
        </w:rPr>
        <w:fldChar w:fldCharType="separate"/>
      </w:r>
      <w:r w:rsidR="006E7F27">
        <w:rPr>
          <w:bCs/>
          <w:noProof/>
          <w:color w:val="auto"/>
        </w:rPr>
        <w:t>62</w:t>
      </w:r>
      <w:r w:rsidRPr="00D17312">
        <w:rPr>
          <w:bCs/>
          <w:noProof/>
          <w:color w:val="auto"/>
        </w:rPr>
        <w:fldChar w:fldCharType="end"/>
      </w:r>
      <w:r w:rsidRPr="00D17312">
        <w:rPr>
          <w:color w:val="auto"/>
        </w:rPr>
        <w:t xml:space="preserve">: </w:t>
      </w:r>
      <w:r>
        <w:rPr>
          <w:color w:val="auto"/>
        </w:rPr>
        <w:t>K</w:t>
      </w:r>
      <w:r w:rsidRPr="00D17312">
        <w:rPr>
          <w:color w:val="auto"/>
        </w:rPr>
        <w:t>S – věková struktura obžalovaných</w:t>
      </w:r>
      <w:bookmarkEnd w:id="461"/>
    </w:p>
    <w:p w:rsidR="00A4083A" w:rsidRPr="00D17312" w:rsidRDefault="00A4083A" w:rsidP="00A4083A">
      <w:pPr>
        <w:pStyle w:val="OdstavecASR"/>
      </w:pPr>
      <w:r w:rsidRPr="00D17312">
        <w:rPr>
          <w:noProof/>
          <w:lang w:eastAsia="cs-CZ"/>
        </w:rPr>
        <w:drawing>
          <wp:inline distT="0" distB="0" distL="0" distR="0" wp14:anchorId="24D4B329" wp14:editId="0EE9F7BA">
            <wp:extent cx="5112385" cy="3745230"/>
            <wp:effectExtent l="0" t="0" r="0" b="762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A4083A" w:rsidRDefault="00A4083A" w:rsidP="00A4083A">
      <w:pPr>
        <w:spacing w:line="240" w:lineRule="auto"/>
        <w:jc w:val="left"/>
      </w:pPr>
      <w:r>
        <w:br w:type="page"/>
      </w:r>
    </w:p>
    <w:p w:rsidR="00A4083A" w:rsidRPr="00D17312" w:rsidRDefault="00A4083A" w:rsidP="00A4083A">
      <w:pPr>
        <w:pStyle w:val="Nadpis2"/>
      </w:pPr>
      <w:bookmarkStart w:id="462" w:name="_Toc515871262"/>
      <w:bookmarkStart w:id="463" w:name="_Toc43903070"/>
      <w:r w:rsidRPr="00D17312">
        <w:lastRenderedPageBreak/>
        <w:t>Trestní odvolací agenda</w:t>
      </w:r>
      <w:bookmarkEnd w:id="462"/>
      <w:bookmarkEnd w:id="463"/>
    </w:p>
    <w:p w:rsidR="00A4083A" w:rsidRPr="00D17312" w:rsidRDefault="00A4083A" w:rsidP="00A4083A">
      <w:pPr>
        <w:pStyle w:val="OdstavecASR"/>
      </w:pPr>
      <w:r w:rsidRPr="00D17312">
        <w:t>Trestní odvolací agenda zahrnuje rejstříky To a Tmo. Ke změnám ve vedení statistik nedošlo a data dále není třeba nijak očišťovat.</w:t>
      </w:r>
    </w:p>
    <w:p w:rsidR="00A4083A" w:rsidRPr="00D17312" w:rsidRDefault="00A4083A" w:rsidP="00A4083A">
      <w:pPr>
        <w:pStyle w:val="Nadpis3"/>
        <w:rPr>
          <w:color w:val="auto"/>
        </w:rPr>
      </w:pPr>
      <w:bookmarkStart w:id="464" w:name="_Ref511391169"/>
      <w:bookmarkStart w:id="465" w:name="_Toc515871263"/>
      <w:bookmarkStart w:id="466" w:name="_Toc43903071"/>
      <w:r w:rsidRPr="00D17312">
        <w:rPr>
          <w:color w:val="auto"/>
        </w:rPr>
        <w:t>Délka řízení</w:t>
      </w:r>
      <w:bookmarkEnd w:id="464"/>
      <w:bookmarkEnd w:id="465"/>
      <w:bookmarkEnd w:id="466"/>
    </w:p>
    <w:p w:rsidR="00A4083A" w:rsidRPr="00D17312" w:rsidRDefault="00A4083A" w:rsidP="00A4083A">
      <w:pPr>
        <w:pStyle w:val="OdstavecASR"/>
      </w:pPr>
      <w:r w:rsidRPr="00D17312">
        <w:t>U této agendy uvádíme délku řízení ode dne nápadu u odvolacího soudu do dne jeho vyřízení, který je i dnem pravomocného skončení věci. Stejně jako u civilního řízení platí, že vyřídit věc v odvolací agendě je pro soud jednodušší, než ji vyřídit v prvostupňové agendě. Z grafu vyplývá, že délky řízení jsou velmi nízké (nejnižší ze všech agend) a měnily se jen velmi málo. Rozdíly mezi soudy také nejsou většinou nijak vysoké. I KS Ústí nad Labem se v posledních letech výrazně podařilo snížit délku řízení a „dotáhnout“ se tak na jiné KS. Celkově se tedy z hlediska rychlosti vyřizování jedná o relativně bezproblémovou agendu.</w:t>
      </w:r>
    </w:p>
    <w:p w:rsidR="00A4083A" w:rsidRPr="00D17312" w:rsidRDefault="00A4083A" w:rsidP="00A4083A">
      <w:pPr>
        <w:pStyle w:val="Podnadpis"/>
        <w:rPr>
          <w:color w:val="auto"/>
        </w:rPr>
      </w:pPr>
      <w:bookmarkStart w:id="467" w:name="_Toc515871393"/>
      <w:bookmarkStart w:id="468" w:name="_Toc11135124"/>
      <w:bookmarkStart w:id="469" w:name="_Toc43841443"/>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63</w:t>
      </w:r>
      <w:r w:rsidRPr="00D17312">
        <w:rPr>
          <w:noProof/>
          <w:color w:val="auto"/>
        </w:rPr>
        <w:fldChar w:fldCharType="end"/>
      </w:r>
      <w:r w:rsidRPr="00D17312">
        <w:rPr>
          <w:color w:val="auto"/>
        </w:rPr>
        <w:t>: KS – délka odvolacího trestního řízení v letech 2008–201</w:t>
      </w:r>
      <w:bookmarkEnd w:id="467"/>
      <w:bookmarkEnd w:id="468"/>
      <w:r w:rsidRPr="00D17312">
        <w:rPr>
          <w:color w:val="auto"/>
        </w:rPr>
        <w:t>9</w:t>
      </w:r>
      <w:bookmarkEnd w:id="469"/>
    </w:p>
    <w:p w:rsidR="00A4083A" w:rsidRPr="00D17312" w:rsidRDefault="00A4083A" w:rsidP="00A4083A">
      <w:pPr>
        <w:spacing w:line="240" w:lineRule="auto"/>
        <w:jc w:val="left"/>
        <w:rPr>
          <w:highlight w:val="yellow"/>
        </w:rPr>
      </w:pPr>
      <w:r w:rsidRPr="00D17312">
        <w:rPr>
          <w:noProof/>
          <w:lang w:eastAsia="cs-CZ"/>
        </w:rPr>
        <w:drawing>
          <wp:inline distT="0" distB="0" distL="0" distR="0" wp14:anchorId="40D14727" wp14:editId="37A37FEE">
            <wp:extent cx="5112385" cy="3745230"/>
            <wp:effectExtent l="0" t="0" r="0" b="7620"/>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A4083A" w:rsidRDefault="00A4083A" w:rsidP="00A4083A">
      <w:pPr>
        <w:pStyle w:val="OdstavecASR"/>
      </w:pPr>
      <w:r w:rsidRPr="00D17312">
        <w:t xml:space="preserve">Krajské soudy vyřizují v odvolací agendě nejčastěji odvolání v následujících trestných činech: </w:t>
      </w:r>
      <w:r w:rsidRPr="00D17312">
        <w:rPr>
          <w:i/>
        </w:rPr>
        <w:t>krádež</w:t>
      </w:r>
      <w:r w:rsidRPr="00D17312">
        <w:t xml:space="preserve"> (§ 205 trestního zákoníku), </w:t>
      </w:r>
      <w:r w:rsidRPr="00D17312">
        <w:rPr>
          <w:i/>
        </w:rPr>
        <w:t>maření výkonu úředního rozhodnutí a vykázání</w:t>
      </w:r>
      <w:r w:rsidRPr="00D17312">
        <w:t xml:space="preserve"> (§ 337) a </w:t>
      </w:r>
      <w:r w:rsidRPr="00D17312">
        <w:rPr>
          <w:i/>
        </w:rPr>
        <w:t>podvod</w:t>
      </w:r>
      <w:r w:rsidRPr="00D17312">
        <w:t xml:space="preserve"> (§ 209). Těmito trestnými činy se velmi často zabývají okresní soudy v prvním stupni. Logicky je u nich pak v absolutních číslech podáváno nejvíce odvolání.</w:t>
      </w:r>
    </w:p>
    <w:p w:rsidR="00A4083A" w:rsidRDefault="00A4083A" w:rsidP="00A4083A">
      <w:pPr>
        <w:pStyle w:val="OdstavecASR"/>
      </w:pPr>
    </w:p>
    <w:p w:rsidR="00A4083A" w:rsidRDefault="00A4083A" w:rsidP="00A4083A">
      <w:pPr>
        <w:pStyle w:val="OdstavecASR"/>
      </w:pPr>
    </w:p>
    <w:p w:rsidR="00A4083A" w:rsidRDefault="00A4083A" w:rsidP="00A4083A">
      <w:pPr>
        <w:pStyle w:val="OdstavecASR"/>
      </w:pPr>
    </w:p>
    <w:p w:rsidR="00A4083A" w:rsidRDefault="00A4083A" w:rsidP="00A4083A">
      <w:pPr>
        <w:pStyle w:val="OdstavecASR"/>
      </w:pPr>
    </w:p>
    <w:p w:rsidR="00A4083A" w:rsidRPr="00D17312" w:rsidRDefault="00A4083A" w:rsidP="00A4083A">
      <w:pPr>
        <w:pStyle w:val="OdstavecASR"/>
      </w:pPr>
    </w:p>
    <w:p w:rsidR="00A4083A" w:rsidRPr="00D17312" w:rsidRDefault="00A4083A" w:rsidP="00A4083A">
      <w:pPr>
        <w:pStyle w:val="Podnadpis"/>
        <w:rPr>
          <w:color w:val="auto"/>
        </w:rPr>
      </w:pPr>
      <w:bookmarkStart w:id="470" w:name="_Toc515871487"/>
      <w:bookmarkStart w:id="471" w:name="_Toc11133254"/>
      <w:bookmarkStart w:id="472" w:name="_Toc43931232"/>
      <w:r w:rsidRPr="00D17312">
        <w:rPr>
          <w:color w:val="auto"/>
        </w:rPr>
        <w:lastRenderedPageBreak/>
        <w:t xml:space="preserve">Tabulka </w:t>
      </w:r>
      <w:r w:rsidRPr="00D17312">
        <w:rPr>
          <w:noProof/>
          <w:color w:val="auto"/>
        </w:rPr>
        <w:fldChar w:fldCharType="begin"/>
      </w:r>
      <w:r w:rsidRPr="00D17312">
        <w:rPr>
          <w:noProof/>
          <w:color w:val="auto"/>
        </w:rPr>
        <w:instrText xml:space="preserve"> SEQ Tabulka \* ARABIC </w:instrText>
      </w:r>
      <w:r w:rsidRPr="00D17312">
        <w:rPr>
          <w:noProof/>
          <w:color w:val="auto"/>
        </w:rPr>
        <w:fldChar w:fldCharType="separate"/>
      </w:r>
      <w:r w:rsidR="006E7F27">
        <w:rPr>
          <w:noProof/>
          <w:color w:val="auto"/>
        </w:rPr>
        <w:t>59</w:t>
      </w:r>
      <w:r w:rsidRPr="00D17312">
        <w:rPr>
          <w:noProof/>
          <w:color w:val="auto"/>
        </w:rPr>
        <w:fldChar w:fldCharType="end"/>
      </w:r>
      <w:r w:rsidRPr="00D17312">
        <w:rPr>
          <w:color w:val="auto"/>
        </w:rPr>
        <w:t>: KS – délky odvolacího trestního řízení dle soudů</w:t>
      </w:r>
      <w:bookmarkEnd w:id="470"/>
      <w:bookmarkEnd w:id="471"/>
      <w:bookmarkEnd w:id="472"/>
    </w:p>
    <w:tbl>
      <w:tblPr>
        <w:tblW w:w="7520" w:type="dxa"/>
        <w:tblCellMar>
          <w:left w:w="70" w:type="dxa"/>
          <w:right w:w="70" w:type="dxa"/>
        </w:tblCellMar>
        <w:tblLook w:val="04A0" w:firstRow="1" w:lastRow="0" w:firstColumn="1" w:lastColumn="0" w:noHBand="0" w:noVBand="1"/>
      </w:tblPr>
      <w:tblGrid>
        <w:gridCol w:w="2480"/>
        <w:gridCol w:w="500"/>
        <w:gridCol w:w="1107"/>
        <w:gridCol w:w="499"/>
        <w:gridCol w:w="1107"/>
        <w:gridCol w:w="720"/>
        <w:gridCol w:w="1107"/>
      </w:tblGrid>
      <w:tr w:rsidR="00A4083A" w:rsidRPr="00D17312" w:rsidTr="00A41C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Délka řízení</w:t>
            </w:r>
          </w:p>
        </w:tc>
      </w:tr>
      <w:tr w:rsidR="00A4083A" w:rsidRPr="00D17312" w:rsidTr="00A41CAB">
        <w:trPr>
          <w:trHeight w:val="330"/>
        </w:trPr>
        <w:tc>
          <w:tcPr>
            <w:tcW w:w="24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607"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Průměr</w:t>
            </w:r>
          </w:p>
        </w:tc>
        <w:tc>
          <w:tcPr>
            <w:tcW w:w="1606" w:type="dxa"/>
            <w:gridSpan w:val="2"/>
            <w:tcBorders>
              <w:top w:val="nil"/>
              <w:left w:val="single" w:sz="4" w:space="0" w:color="auto"/>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Medián</w:t>
            </w:r>
          </w:p>
        </w:tc>
        <w:tc>
          <w:tcPr>
            <w:tcW w:w="1827"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Percentil 90</w:t>
            </w:r>
          </w:p>
        </w:tc>
      </w:tr>
      <w:tr w:rsidR="00A4083A" w:rsidRPr="00D17312"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50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49</w:t>
            </w:r>
          </w:p>
        </w:tc>
        <w:tc>
          <w:tcPr>
            <w:tcW w:w="1107"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+26</w:t>
            </w:r>
            <w:r>
              <w:rPr>
                <w:rFonts w:eastAsia="Times New Roman"/>
                <w:sz w:val="20"/>
                <w:szCs w:val="20"/>
                <w:lang w:eastAsia="cs-CZ"/>
              </w:rPr>
              <w:t> %</w:t>
            </w:r>
          </w:p>
        </w:tc>
        <w:tc>
          <w:tcPr>
            <w:tcW w:w="499"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30</w:t>
            </w:r>
          </w:p>
        </w:tc>
        <w:tc>
          <w:tcPr>
            <w:tcW w:w="110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72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76</w:t>
            </w:r>
          </w:p>
        </w:tc>
        <w:tc>
          <w:tcPr>
            <w:tcW w:w="1107"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+19</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5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32</w:t>
            </w:r>
          </w:p>
        </w:tc>
        <w:tc>
          <w:tcPr>
            <w:tcW w:w="110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499"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27</w:t>
            </w:r>
          </w:p>
        </w:tc>
        <w:tc>
          <w:tcPr>
            <w:tcW w:w="110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+17</w:t>
            </w:r>
            <w:r>
              <w:rPr>
                <w:rFonts w:eastAsia="Times New Roman"/>
                <w:sz w:val="20"/>
                <w:szCs w:val="20"/>
                <w:lang w:eastAsia="cs-CZ"/>
              </w:rPr>
              <w:t> %</w:t>
            </w:r>
          </w:p>
        </w:tc>
        <w:tc>
          <w:tcPr>
            <w:tcW w:w="7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56</w:t>
            </w:r>
          </w:p>
        </w:tc>
        <w:tc>
          <w:tcPr>
            <w:tcW w:w="110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5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70</w:t>
            </w:r>
          </w:p>
        </w:tc>
        <w:tc>
          <w:tcPr>
            <w:tcW w:w="110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+19</w:t>
            </w:r>
            <w:r>
              <w:rPr>
                <w:rFonts w:eastAsia="Times New Roman"/>
                <w:sz w:val="20"/>
                <w:szCs w:val="20"/>
                <w:lang w:eastAsia="cs-CZ"/>
              </w:rPr>
              <w:t> %</w:t>
            </w:r>
          </w:p>
        </w:tc>
        <w:tc>
          <w:tcPr>
            <w:tcW w:w="499"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54</w:t>
            </w:r>
          </w:p>
        </w:tc>
        <w:tc>
          <w:tcPr>
            <w:tcW w:w="110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+23</w:t>
            </w:r>
            <w:r>
              <w:rPr>
                <w:rFonts w:eastAsia="Times New Roman"/>
                <w:sz w:val="20"/>
                <w:szCs w:val="20"/>
                <w:lang w:eastAsia="cs-CZ"/>
              </w:rPr>
              <w:t> %</w:t>
            </w:r>
          </w:p>
        </w:tc>
        <w:tc>
          <w:tcPr>
            <w:tcW w:w="7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144</w:t>
            </w:r>
          </w:p>
        </w:tc>
        <w:tc>
          <w:tcPr>
            <w:tcW w:w="110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+35</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5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69</w:t>
            </w:r>
          </w:p>
        </w:tc>
        <w:tc>
          <w:tcPr>
            <w:tcW w:w="110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c>
          <w:tcPr>
            <w:tcW w:w="499"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41</w:t>
            </w:r>
          </w:p>
        </w:tc>
        <w:tc>
          <w:tcPr>
            <w:tcW w:w="110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7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119</w:t>
            </w:r>
          </w:p>
        </w:tc>
        <w:tc>
          <w:tcPr>
            <w:tcW w:w="110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5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71</w:t>
            </w:r>
          </w:p>
        </w:tc>
        <w:tc>
          <w:tcPr>
            <w:tcW w:w="110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c>
          <w:tcPr>
            <w:tcW w:w="499"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44</w:t>
            </w:r>
          </w:p>
        </w:tc>
        <w:tc>
          <w:tcPr>
            <w:tcW w:w="110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c>
          <w:tcPr>
            <w:tcW w:w="7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145</w:t>
            </w:r>
          </w:p>
        </w:tc>
        <w:tc>
          <w:tcPr>
            <w:tcW w:w="110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-10</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5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54</w:t>
            </w:r>
          </w:p>
        </w:tc>
        <w:tc>
          <w:tcPr>
            <w:tcW w:w="110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+13</w:t>
            </w:r>
            <w:r>
              <w:rPr>
                <w:rFonts w:eastAsia="Times New Roman"/>
                <w:sz w:val="20"/>
                <w:szCs w:val="20"/>
                <w:lang w:eastAsia="cs-CZ"/>
              </w:rPr>
              <w:t> %</w:t>
            </w:r>
          </w:p>
        </w:tc>
        <w:tc>
          <w:tcPr>
            <w:tcW w:w="499"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42</w:t>
            </w:r>
          </w:p>
        </w:tc>
        <w:tc>
          <w:tcPr>
            <w:tcW w:w="110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+27</w:t>
            </w:r>
            <w:r>
              <w:rPr>
                <w:rFonts w:eastAsia="Times New Roman"/>
                <w:sz w:val="20"/>
                <w:szCs w:val="20"/>
                <w:lang w:eastAsia="cs-CZ"/>
              </w:rPr>
              <w:t> %</w:t>
            </w:r>
          </w:p>
        </w:tc>
        <w:tc>
          <w:tcPr>
            <w:tcW w:w="7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93</w:t>
            </w:r>
          </w:p>
        </w:tc>
        <w:tc>
          <w:tcPr>
            <w:tcW w:w="110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5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55</w:t>
            </w:r>
          </w:p>
        </w:tc>
        <w:tc>
          <w:tcPr>
            <w:tcW w:w="110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c>
          <w:tcPr>
            <w:tcW w:w="499"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33</w:t>
            </w:r>
          </w:p>
        </w:tc>
        <w:tc>
          <w:tcPr>
            <w:tcW w:w="110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-20</w:t>
            </w:r>
            <w:r>
              <w:rPr>
                <w:rFonts w:eastAsia="Times New Roman"/>
                <w:sz w:val="20"/>
                <w:szCs w:val="20"/>
                <w:lang w:eastAsia="cs-CZ"/>
              </w:rPr>
              <w:t> %</w:t>
            </w:r>
          </w:p>
        </w:tc>
        <w:tc>
          <w:tcPr>
            <w:tcW w:w="7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85</w:t>
            </w:r>
          </w:p>
        </w:tc>
        <w:tc>
          <w:tcPr>
            <w:tcW w:w="110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r>
      <w:tr w:rsidR="00A4083A" w:rsidRPr="00D17312"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50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56</w:t>
            </w:r>
          </w:p>
        </w:tc>
        <w:tc>
          <w:tcPr>
            <w:tcW w:w="1107"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499"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41</w:t>
            </w:r>
          </w:p>
        </w:tc>
        <w:tc>
          <w:tcPr>
            <w:tcW w:w="1107"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7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110</w:t>
            </w:r>
          </w:p>
        </w:tc>
        <w:tc>
          <w:tcPr>
            <w:tcW w:w="1107"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r>
      <w:tr w:rsidR="00A4083A" w:rsidRPr="00D17312"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50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56</w:t>
            </w:r>
          </w:p>
        </w:tc>
        <w:tc>
          <w:tcPr>
            <w:tcW w:w="1107"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b/>
                <w:bCs/>
                <w:sz w:val="20"/>
                <w:szCs w:val="20"/>
                <w:lang w:eastAsia="cs-CZ"/>
              </w:rPr>
            </w:pPr>
            <w:r w:rsidRPr="00D17312">
              <w:rPr>
                <w:rFonts w:eastAsia="Times New Roman"/>
                <w:b/>
                <w:bCs/>
                <w:sz w:val="20"/>
                <w:szCs w:val="20"/>
                <w:lang w:eastAsia="cs-CZ"/>
              </w:rPr>
              <w:t>+4</w:t>
            </w:r>
            <w:r>
              <w:rPr>
                <w:rFonts w:eastAsia="Times New Roman"/>
                <w:b/>
                <w:bCs/>
                <w:sz w:val="20"/>
                <w:szCs w:val="20"/>
                <w:lang w:eastAsia="cs-CZ"/>
              </w:rPr>
              <w:t> %</w:t>
            </w:r>
          </w:p>
        </w:tc>
        <w:tc>
          <w:tcPr>
            <w:tcW w:w="499"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36</w:t>
            </w:r>
          </w:p>
        </w:tc>
        <w:tc>
          <w:tcPr>
            <w:tcW w:w="1107"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b/>
                <w:bCs/>
                <w:sz w:val="20"/>
                <w:szCs w:val="20"/>
                <w:lang w:eastAsia="cs-CZ"/>
              </w:rPr>
            </w:pPr>
            <w:r w:rsidRPr="00D17312">
              <w:rPr>
                <w:rFonts w:eastAsia="Times New Roman"/>
                <w:b/>
                <w:bCs/>
                <w:sz w:val="20"/>
                <w:szCs w:val="20"/>
                <w:lang w:eastAsia="cs-CZ"/>
              </w:rPr>
              <w:t>+0</w:t>
            </w:r>
            <w:r>
              <w:rPr>
                <w:rFonts w:eastAsia="Times New Roman"/>
                <w:b/>
                <w:bCs/>
                <w:sz w:val="20"/>
                <w:szCs w:val="20"/>
                <w:lang w:eastAsia="cs-CZ"/>
              </w:rPr>
              <w:t> %</w:t>
            </w:r>
          </w:p>
        </w:tc>
        <w:tc>
          <w:tcPr>
            <w:tcW w:w="7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102</w:t>
            </w:r>
          </w:p>
        </w:tc>
        <w:tc>
          <w:tcPr>
            <w:tcW w:w="1107"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b/>
                <w:bCs/>
                <w:sz w:val="20"/>
                <w:szCs w:val="20"/>
                <w:lang w:eastAsia="cs-CZ"/>
              </w:rPr>
            </w:pPr>
            <w:r w:rsidRPr="00D17312">
              <w:rPr>
                <w:rFonts w:eastAsia="Times New Roman"/>
                <w:b/>
                <w:bCs/>
                <w:sz w:val="20"/>
                <w:szCs w:val="20"/>
                <w:lang w:eastAsia="cs-CZ"/>
              </w:rPr>
              <w:t>-2</w:t>
            </w:r>
            <w:r>
              <w:rPr>
                <w:rFonts w:eastAsia="Times New Roman"/>
                <w:b/>
                <w:bCs/>
                <w:sz w:val="20"/>
                <w:szCs w:val="20"/>
                <w:lang w:eastAsia="cs-CZ"/>
              </w:rPr>
              <w:t> %</w:t>
            </w:r>
          </w:p>
        </w:tc>
      </w:tr>
    </w:tbl>
    <w:p w:rsidR="00A4083A" w:rsidRPr="00D17312" w:rsidRDefault="00A4083A" w:rsidP="00A4083A">
      <w:pPr>
        <w:spacing w:line="240" w:lineRule="auto"/>
        <w:jc w:val="left"/>
        <w:rPr>
          <w:highlight w:val="yellow"/>
        </w:rPr>
      </w:pPr>
    </w:p>
    <w:p w:rsidR="00A4083A" w:rsidRPr="00D17312" w:rsidRDefault="00A4083A" w:rsidP="00A4083A">
      <w:pPr>
        <w:pStyle w:val="Podnadpis"/>
        <w:rPr>
          <w:color w:val="auto"/>
        </w:rPr>
      </w:pPr>
      <w:bookmarkStart w:id="473" w:name="_Toc515871394"/>
      <w:bookmarkStart w:id="474" w:name="_Toc11135125"/>
      <w:bookmarkStart w:id="475" w:name="_Toc43841444"/>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64</w:t>
      </w:r>
      <w:r w:rsidRPr="00D17312">
        <w:rPr>
          <w:noProof/>
          <w:color w:val="auto"/>
        </w:rPr>
        <w:fldChar w:fldCharType="end"/>
      </w:r>
      <w:r w:rsidRPr="00D17312">
        <w:rPr>
          <w:color w:val="auto"/>
        </w:rPr>
        <w:t>: KS – distribuce délek trestního odvolacího řízení</w:t>
      </w:r>
      <w:bookmarkEnd w:id="473"/>
      <w:bookmarkEnd w:id="474"/>
      <w:bookmarkEnd w:id="475"/>
    </w:p>
    <w:p w:rsidR="00A4083A" w:rsidRPr="00D17312" w:rsidRDefault="00A4083A" w:rsidP="00A4083A">
      <w:pPr>
        <w:rPr>
          <w:highlight w:val="yellow"/>
        </w:rPr>
      </w:pPr>
      <w:r w:rsidRPr="00D17312">
        <w:rPr>
          <w:noProof/>
          <w:lang w:eastAsia="cs-CZ"/>
        </w:rPr>
        <w:drawing>
          <wp:inline distT="0" distB="0" distL="0" distR="0" wp14:anchorId="166FA25C" wp14:editId="53B44F2E">
            <wp:extent cx="5112385" cy="3745230"/>
            <wp:effectExtent l="0" t="0" r="0" b="762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A4083A" w:rsidRPr="00D17312" w:rsidRDefault="00A4083A" w:rsidP="00A4083A">
      <w:pPr>
        <w:pStyle w:val="OdstavecASR"/>
      </w:pPr>
      <w:r w:rsidRPr="00D17312">
        <w:t>I v histogramu je vidět, jak nízké délky řízení jsou. Suverénně největší skupina věcí byla vyřízena za 20 až 30 dnů. Asi 35</w:t>
      </w:r>
      <w:r>
        <w:t> % </w:t>
      </w:r>
      <w:r w:rsidRPr="00D17312">
        <w:t>věcí bylo vyřízeno do 1 měsíce. Pouze asi jen 5</w:t>
      </w:r>
      <w:r>
        <w:t> % </w:t>
      </w:r>
      <w:r w:rsidRPr="00D17312">
        <w:t>případů bylo vyřízeno za více než 200 dnů.</w:t>
      </w:r>
      <w:bookmarkStart w:id="476" w:name="_Ref511391173"/>
      <w:bookmarkStart w:id="477" w:name="_Toc515871264"/>
    </w:p>
    <w:p w:rsidR="00A4083A" w:rsidRPr="00D17312" w:rsidRDefault="00A4083A" w:rsidP="00A4083A">
      <w:pPr>
        <w:pStyle w:val="Nadpis3"/>
        <w:ind w:left="720"/>
        <w:rPr>
          <w:color w:val="auto"/>
        </w:rPr>
      </w:pPr>
      <w:bookmarkStart w:id="478" w:name="_Ref40897302"/>
      <w:bookmarkStart w:id="479" w:name="_Toc43903072"/>
      <w:r w:rsidRPr="00D17312">
        <w:rPr>
          <w:color w:val="auto"/>
        </w:rPr>
        <w:lastRenderedPageBreak/>
        <w:t>Vyřizování věcí</w:t>
      </w:r>
      <w:bookmarkEnd w:id="476"/>
      <w:bookmarkEnd w:id="477"/>
      <w:bookmarkEnd w:id="478"/>
      <w:bookmarkEnd w:id="479"/>
    </w:p>
    <w:p w:rsidR="00A4083A" w:rsidRPr="00D17312" w:rsidRDefault="00A4083A" w:rsidP="00A4083A">
      <w:pPr>
        <w:pStyle w:val="Podnadpis"/>
        <w:rPr>
          <w:color w:val="auto"/>
        </w:rPr>
      </w:pPr>
      <w:bookmarkStart w:id="480" w:name="_Toc515871395"/>
      <w:bookmarkStart w:id="481" w:name="_Toc11135126"/>
      <w:bookmarkStart w:id="482" w:name="_Toc43841445"/>
      <w:r w:rsidRPr="00D17312">
        <w:rPr>
          <w:color w:val="auto"/>
        </w:rPr>
        <w:t xml:space="preserve">Graf </w:t>
      </w:r>
      <w:r w:rsidRPr="00D17312">
        <w:rPr>
          <w:noProof/>
          <w:color w:val="auto"/>
        </w:rPr>
        <w:fldChar w:fldCharType="begin"/>
      </w:r>
      <w:r w:rsidRPr="00D17312">
        <w:rPr>
          <w:noProof/>
          <w:color w:val="auto"/>
        </w:rPr>
        <w:instrText xml:space="preserve"> SEQ Graf \* ARABIC </w:instrText>
      </w:r>
      <w:r w:rsidRPr="00D17312">
        <w:rPr>
          <w:noProof/>
          <w:color w:val="auto"/>
        </w:rPr>
        <w:fldChar w:fldCharType="separate"/>
      </w:r>
      <w:r w:rsidR="006E7F27">
        <w:rPr>
          <w:noProof/>
          <w:color w:val="auto"/>
        </w:rPr>
        <w:t>65</w:t>
      </w:r>
      <w:r w:rsidRPr="00D17312">
        <w:rPr>
          <w:noProof/>
          <w:color w:val="auto"/>
        </w:rPr>
        <w:fldChar w:fldCharType="end"/>
      </w:r>
      <w:r w:rsidRPr="00D17312">
        <w:rPr>
          <w:color w:val="auto"/>
        </w:rPr>
        <w:t>: KS – vyřizování odvolacích trestních věcí v letech 2008–</w:t>
      </w:r>
      <w:bookmarkEnd w:id="480"/>
      <w:r w:rsidRPr="00D17312">
        <w:rPr>
          <w:color w:val="auto"/>
        </w:rPr>
        <w:t>201</w:t>
      </w:r>
      <w:bookmarkEnd w:id="481"/>
      <w:r w:rsidRPr="00D17312">
        <w:rPr>
          <w:color w:val="auto"/>
        </w:rPr>
        <w:t>9</w:t>
      </w:r>
      <w:bookmarkEnd w:id="482"/>
    </w:p>
    <w:p w:rsidR="00A4083A" w:rsidRPr="00D17312" w:rsidRDefault="00A4083A" w:rsidP="00A4083A">
      <w:pPr>
        <w:rPr>
          <w:highlight w:val="yellow"/>
        </w:rPr>
      </w:pPr>
      <w:r w:rsidRPr="00D17312">
        <w:rPr>
          <w:noProof/>
          <w:lang w:eastAsia="cs-CZ"/>
        </w:rPr>
        <w:drawing>
          <wp:inline distT="0" distB="0" distL="0" distR="0" wp14:anchorId="474E748C" wp14:editId="27D9FAB9">
            <wp:extent cx="5112385" cy="3745230"/>
            <wp:effectExtent l="0" t="0" r="0" b="762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A4083A" w:rsidRPr="00D17312" w:rsidRDefault="00A4083A" w:rsidP="00A4083A">
      <w:pPr>
        <w:pStyle w:val="OdstavecASR"/>
      </w:pPr>
      <w:bookmarkStart w:id="483" w:name="_Toc515871488"/>
      <w:bookmarkStart w:id="484" w:name="_Toc11133255"/>
      <w:r w:rsidRPr="00D17312">
        <w:t>Zajímavé je, že počet vyřízených trestních věcí u okresních soudů klesal, ale nápad v druhostupňové trestní agendě u krajských soudů byl v letech 2013 až 2016 stabilní. Až od roku 2017 se i zde objevil pokles. Nápad v této agendě neklesal, protože u okresních státních zastupitelství se snižoval počet věcí ve zkráceném přípravném řízení a tím docházelo ke snížení nápadu u okresních soudů. Jednalo se ale především o jednodušší trestní věci, které většinou končily u okresních soudů pravomocným trestním příkazem, proti němuž</w:t>
      </w:r>
      <w:r>
        <w:t xml:space="preserve"> již podání</w:t>
      </w:r>
      <w:r w:rsidRPr="00D17312">
        <w:t xml:space="preserve"> odvolání není možné. Proto se pokles vyřízené prvostupňové agendy u okresních soudů většinou neprojevil v odvolací agendě krajských soudů. V roce 2019 došlo k malému poklesu v příchozích, vyřízených i nevyřízených věcech.</w:t>
      </w:r>
    </w:p>
    <w:p w:rsidR="00A4083A" w:rsidRPr="00D17312" w:rsidRDefault="00A4083A" w:rsidP="00A4083A">
      <w:pPr>
        <w:pStyle w:val="Podnadpis"/>
        <w:rPr>
          <w:color w:val="auto"/>
        </w:rPr>
      </w:pPr>
      <w:bookmarkStart w:id="485" w:name="_Toc43931233"/>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60</w:t>
      </w:r>
      <w:r w:rsidRPr="00D17312">
        <w:rPr>
          <w:noProof/>
          <w:color w:val="auto"/>
        </w:rPr>
        <w:fldChar w:fldCharType="end"/>
      </w:r>
      <w:r w:rsidRPr="00D17312">
        <w:rPr>
          <w:color w:val="auto"/>
        </w:rPr>
        <w:t>:</w:t>
      </w:r>
      <w:bookmarkStart w:id="486" w:name="_Toc485734615"/>
      <w:bookmarkStart w:id="487" w:name="_Toc487792853"/>
      <w:r w:rsidRPr="00D17312">
        <w:rPr>
          <w:color w:val="auto"/>
        </w:rPr>
        <w:t xml:space="preserve"> KS – vyřizování odvolacích trestních věcí dle soudů</w:t>
      </w:r>
      <w:bookmarkEnd w:id="483"/>
      <w:bookmarkEnd w:id="484"/>
      <w:bookmarkEnd w:id="486"/>
      <w:bookmarkEnd w:id="487"/>
      <w:bookmarkEnd w:id="485"/>
    </w:p>
    <w:tbl>
      <w:tblPr>
        <w:tblW w:w="9140" w:type="dxa"/>
        <w:tblCellMar>
          <w:left w:w="70" w:type="dxa"/>
          <w:right w:w="70" w:type="dxa"/>
        </w:tblCellMar>
        <w:tblLook w:val="04A0" w:firstRow="1" w:lastRow="0" w:firstColumn="1" w:lastColumn="0" w:noHBand="0" w:noVBand="1"/>
      </w:tblPr>
      <w:tblGrid>
        <w:gridCol w:w="2020"/>
        <w:gridCol w:w="1034"/>
        <w:gridCol w:w="848"/>
        <w:gridCol w:w="1002"/>
        <w:gridCol w:w="848"/>
        <w:gridCol w:w="832"/>
        <w:gridCol w:w="1017"/>
        <w:gridCol w:w="1539"/>
      </w:tblGrid>
      <w:tr w:rsidR="00A4083A" w:rsidRPr="00D17312" w:rsidTr="00A41CAB">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5581" w:type="dxa"/>
            <w:gridSpan w:val="6"/>
            <w:tcBorders>
              <w:top w:val="double" w:sz="6" w:space="0" w:color="auto"/>
              <w:left w:val="nil"/>
              <w:bottom w:val="nil"/>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věcí</w:t>
            </w:r>
          </w:p>
        </w:tc>
        <w:tc>
          <w:tcPr>
            <w:tcW w:w="1539" w:type="dxa"/>
            <w:vMerge w:val="restart"/>
            <w:tcBorders>
              <w:top w:val="double" w:sz="6" w:space="0" w:color="auto"/>
              <w:left w:val="nil"/>
              <w:bottom w:val="double" w:sz="6" w:space="0" w:color="000000"/>
              <w:right w:val="nil"/>
            </w:tcBorders>
            <w:shd w:val="clear" w:color="auto" w:fill="auto"/>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Míra vyřizování</w:t>
            </w:r>
          </w:p>
        </w:tc>
      </w:tr>
      <w:tr w:rsidR="00A4083A" w:rsidRPr="00D17312" w:rsidTr="00A41CAB">
        <w:trPr>
          <w:trHeight w:val="330"/>
        </w:trPr>
        <w:tc>
          <w:tcPr>
            <w:tcW w:w="202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882"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Nápad + obživa</w:t>
            </w:r>
          </w:p>
        </w:tc>
        <w:tc>
          <w:tcPr>
            <w:tcW w:w="1850" w:type="dxa"/>
            <w:gridSpan w:val="2"/>
            <w:tcBorders>
              <w:top w:val="nil"/>
              <w:left w:val="single" w:sz="4" w:space="0" w:color="auto"/>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Vyřízeno</w:t>
            </w:r>
          </w:p>
        </w:tc>
        <w:tc>
          <w:tcPr>
            <w:tcW w:w="1849" w:type="dxa"/>
            <w:gridSpan w:val="2"/>
            <w:tcBorders>
              <w:top w:val="nil"/>
              <w:left w:val="nil"/>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Nevyřízeno</w:t>
            </w:r>
          </w:p>
        </w:tc>
        <w:tc>
          <w:tcPr>
            <w:tcW w:w="1539"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r>
      <w:tr w:rsidR="00A4083A" w:rsidRPr="00D17312" w:rsidTr="00A41CAB">
        <w:trPr>
          <w:trHeight w:val="330"/>
        </w:trPr>
        <w:tc>
          <w:tcPr>
            <w:tcW w:w="202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034"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3 682</w:t>
            </w:r>
          </w:p>
        </w:tc>
        <w:tc>
          <w:tcPr>
            <w:tcW w:w="848"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1002" w:type="dxa"/>
            <w:tcBorders>
              <w:top w:val="single" w:sz="4" w:space="0" w:color="auto"/>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3 749</w:t>
            </w: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832"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165</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-29</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101,8</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03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2 737</w:t>
            </w:r>
          </w:p>
        </w:tc>
        <w:tc>
          <w:tcPr>
            <w:tcW w:w="84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w:t>
            </w:r>
            <w:r>
              <w:rPr>
                <w:rFonts w:eastAsia="Times New Roman"/>
                <w:sz w:val="20"/>
                <w:szCs w:val="20"/>
                <w:lang w:eastAsia="cs-CZ"/>
              </w:rPr>
              <w:t> %</w:t>
            </w:r>
          </w:p>
        </w:tc>
        <w:tc>
          <w:tcPr>
            <w:tcW w:w="1002"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2 753</w:t>
            </w:r>
          </w:p>
        </w:tc>
        <w:tc>
          <w:tcPr>
            <w:tcW w:w="848"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83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26</w:t>
            </w:r>
          </w:p>
        </w:tc>
        <w:tc>
          <w:tcPr>
            <w:tcW w:w="101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-38</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100,6</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03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1 095</w:t>
            </w:r>
          </w:p>
        </w:tc>
        <w:tc>
          <w:tcPr>
            <w:tcW w:w="84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1002"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1 099</w:t>
            </w:r>
          </w:p>
        </w:tc>
        <w:tc>
          <w:tcPr>
            <w:tcW w:w="848"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83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97</w:t>
            </w:r>
          </w:p>
        </w:tc>
        <w:tc>
          <w:tcPr>
            <w:tcW w:w="101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100,4</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03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2 250</w:t>
            </w:r>
          </w:p>
        </w:tc>
        <w:tc>
          <w:tcPr>
            <w:tcW w:w="84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1002"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2 225</w:t>
            </w:r>
          </w:p>
        </w:tc>
        <w:tc>
          <w:tcPr>
            <w:tcW w:w="848"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83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179</w:t>
            </w:r>
          </w:p>
        </w:tc>
        <w:tc>
          <w:tcPr>
            <w:tcW w:w="101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+16</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98,9</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03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3 268</w:t>
            </w:r>
          </w:p>
        </w:tc>
        <w:tc>
          <w:tcPr>
            <w:tcW w:w="84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w:t>
            </w:r>
            <w:r>
              <w:rPr>
                <w:rFonts w:eastAsia="Times New Roman"/>
                <w:sz w:val="20"/>
                <w:szCs w:val="20"/>
                <w:lang w:eastAsia="cs-CZ"/>
              </w:rPr>
              <w:t> %</w:t>
            </w:r>
          </w:p>
        </w:tc>
        <w:tc>
          <w:tcPr>
            <w:tcW w:w="1002"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3 305</w:t>
            </w:r>
          </w:p>
        </w:tc>
        <w:tc>
          <w:tcPr>
            <w:tcW w:w="848"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w:t>
            </w:r>
            <w:r>
              <w:rPr>
                <w:rFonts w:eastAsia="Times New Roman"/>
                <w:sz w:val="20"/>
                <w:szCs w:val="20"/>
                <w:lang w:eastAsia="cs-CZ"/>
              </w:rPr>
              <w:t> %</w:t>
            </w:r>
          </w:p>
        </w:tc>
        <w:tc>
          <w:tcPr>
            <w:tcW w:w="83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306</w:t>
            </w:r>
          </w:p>
        </w:tc>
        <w:tc>
          <w:tcPr>
            <w:tcW w:w="101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101,1</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03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2 001</w:t>
            </w:r>
          </w:p>
        </w:tc>
        <w:tc>
          <w:tcPr>
            <w:tcW w:w="84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1002"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2 006</w:t>
            </w:r>
          </w:p>
        </w:tc>
        <w:tc>
          <w:tcPr>
            <w:tcW w:w="848"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83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87</w:t>
            </w:r>
          </w:p>
        </w:tc>
        <w:tc>
          <w:tcPr>
            <w:tcW w:w="101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100,2</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034"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3 248</w:t>
            </w:r>
          </w:p>
        </w:tc>
        <w:tc>
          <w:tcPr>
            <w:tcW w:w="848"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1002"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3 183</w:t>
            </w:r>
          </w:p>
        </w:tc>
        <w:tc>
          <w:tcPr>
            <w:tcW w:w="848"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83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267</w:t>
            </w:r>
          </w:p>
        </w:tc>
        <w:tc>
          <w:tcPr>
            <w:tcW w:w="1017"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+32</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98,0</w:t>
            </w:r>
            <w:r>
              <w:rPr>
                <w:rFonts w:eastAsia="Times New Roman"/>
                <w:szCs w:val="24"/>
                <w:lang w:eastAsia="cs-CZ"/>
              </w:rPr>
              <w:t> %</w:t>
            </w:r>
          </w:p>
        </w:tc>
      </w:tr>
      <w:tr w:rsidR="00A4083A" w:rsidRPr="00D17312" w:rsidTr="00A41CAB">
        <w:trPr>
          <w:trHeight w:val="330"/>
        </w:trPr>
        <w:tc>
          <w:tcPr>
            <w:tcW w:w="20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034"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3 828</w:t>
            </w:r>
          </w:p>
        </w:tc>
        <w:tc>
          <w:tcPr>
            <w:tcW w:w="848"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1002"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3 851</w:t>
            </w:r>
          </w:p>
        </w:tc>
        <w:tc>
          <w:tcPr>
            <w:tcW w:w="848"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832"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311</w:t>
            </w:r>
          </w:p>
        </w:tc>
        <w:tc>
          <w:tcPr>
            <w:tcW w:w="1017"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1539" w:type="dxa"/>
            <w:tcBorders>
              <w:top w:val="nil"/>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100,6</w:t>
            </w:r>
            <w:r>
              <w:rPr>
                <w:rFonts w:eastAsia="Times New Roman"/>
                <w:szCs w:val="24"/>
                <w:lang w:eastAsia="cs-CZ"/>
              </w:rPr>
              <w:t> %</w:t>
            </w:r>
          </w:p>
        </w:tc>
      </w:tr>
      <w:tr w:rsidR="00A4083A" w:rsidRPr="00D17312" w:rsidTr="00A41CAB">
        <w:trPr>
          <w:trHeight w:val="345"/>
        </w:trPr>
        <w:tc>
          <w:tcPr>
            <w:tcW w:w="20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034"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22 109</w:t>
            </w:r>
          </w:p>
        </w:tc>
        <w:tc>
          <w:tcPr>
            <w:tcW w:w="848"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-1</w:t>
            </w:r>
            <w:r>
              <w:rPr>
                <w:rFonts w:eastAsia="Times New Roman"/>
                <w:b/>
                <w:bCs/>
                <w:sz w:val="20"/>
                <w:szCs w:val="20"/>
                <w:lang w:eastAsia="cs-CZ"/>
              </w:rPr>
              <w:t> %</w:t>
            </w:r>
          </w:p>
        </w:tc>
        <w:tc>
          <w:tcPr>
            <w:tcW w:w="1002"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22 171</w:t>
            </w:r>
          </w:p>
        </w:tc>
        <w:tc>
          <w:tcPr>
            <w:tcW w:w="848"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-1</w:t>
            </w:r>
            <w:r>
              <w:rPr>
                <w:rFonts w:eastAsia="Times New Roman"/>
                <w:b/>
                <w:bCs/>
                <w:sz w:val="20"/>
                <w:szCs w:val="20"/>
                <w:lang w:eastAsia="cs-CZ"/>
              </w:rPr>
              <w:t> %</w:t>
            </w:r>
          </w:p>
        </w:tc>
        <w:tc>
          <w:tcPr>
            <w:tcW w:w="832"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1 438</w:t>
            </w:r>
          </w:p>
        </w:tc>
        <w:tc>
          <w:tcPr>
            <w:tcW w:w="1017"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-4</w:t>
            </w:r>
            <w:r>
              <w:rPr>
                <w:rFonts w:eastAsia="Times New Roman"/>
                <w:b/>
                <w:bCs/>
                <w:sz w:val="20"/>
                <w:szCs w:val="20"/>
                <w:lang w:eastAsia="cs-CZ"/>
              </w:rPr>
              <w:t> %</w:t>
            </w:r>
          </w:p>
        </w:tc>
        <w:tc>
          <w:tcPr>
            <w:tcW w:w="1539"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100,3</w:t>
            </w:r>
            <w:r>
              <w:rPr>
                <w:rFonts w:eastAsia="Times New Roman"/>
                <w:b/>
                <w:bCs/>
                <w:szCs w:val="24"/>
                <w:lang w:eastAsia="cs-CZ"/>
              </w:rPr>
              <w:t> %</w:t>
            </w:r>
          </w:p>
        </w:tc>
      </w:tr>
    </w:tbl>
    <w:p w:rsidR="00A4083A" w:rsidRPr="00D17312" w:rsidRDefault="00A4083A" w:rsidP="00A4083A">
      <w:pPr>
        <w:pStyle w:val="OdstavecASR"/>
      </w:pPr>
      <w:r w:rsidRPr="00D17312">
        <w:lastRenderedPageBreak/>
        <w:t>Dále v grafu vidíme, že počet nevyřízených věcí je stabilní a vzhledem k ročnímu nápadu a vyřízeným věcem velmi nízký. To úzce souvisí s nízkými délkami řízení. Také z toho plyne, že DT je velmi nízký. V posledních třech letech počet nevyřízených věcí poklesl, což zřejmě souvisí s poklesem v počtu příchozích věcí. Míra vyřizování se takřka u všech soudů silně blížila 100</w:t>
      </w:r>
      <w:r>
        <w:t> %</w:t>
      </w:r>
      <w:r w:rsidRPr="00D17312">
        <w:t>.</w:t>
      </w:r>
    </w:p>
    <w:p w:rsidR="00A4083A" w:rsidRPr="00D17312" w:rsidRDefault="00A4083A" w:rsidP="00A4083A">
      <w:pPr>
        <w:pStyle w:val="Nadpis3"/>
        <w:rPr>
          <w:color w:val="auto"/>
        </w:rPr>
      </w:pPr>
      <w:bookmarkStart w:id="488" w:name="_Toc43903073"/>
      <w:r w:rsidRPr="00D17312">
        <w:rPr>
          <w:color w:val="auto"/>
        </w:rPr>
        <w:t xml:space="preserve">Vyřizování v přepočtu na </w:t>
      </w:r>
      <w:r>
        <w:rPr>
          <w:color w:val="auto"/>
        </w:rPr>
        <w:t>soudce</w:t>
      </w:r>
      <w:bookmarkEnd w:id="488"/>
    </w:p>
    <w:p w:rsidR="00A4083A" w:rsidRPr="00D17312" w:rsidRDefault="00A4083A" w:rsidP="00A4083A">
      <w:r w:rsidRPr="00D17312">
        <w:t>V tabulce opět vidíme přepočet na soudce dle nově dostupných dat. V počtu vyřízených a příchozích věcí na soudce vidíme, že mezi soudy jsou určité rozdíly, ale žádný soud extrémně nevybočuje. Suverénně nejméně nevyřízených věcí na soudce má KS Praha, nejvíce jich pak má KS Ústí nad Labem. Výsledky jsou víceméně v souladu s výsledky z předchozí části o délkách řízení.</w:t>
      </w:r>
    </w:p>
    <w:p w:rsidR="00A4083A" w:rsidRPr="00D17312" w:rsidRDefault="00A4083A" w:rsidP="00A4083A">
      <w:pPr>
        <w:pStyle w:val="Podnadpis"/>
        <w:rPr>
          <w:color w:val="auto"/>
        </w:rPr>
      </w:pPr>
      <w:bookmarkStart w:id="489" w:name="_Toc43931234"/>
      <w:r w:rsidRPr="00D17312">
        <w:rPr>
          <w:color w:val="auto"/>
        </w:rPr>
        <w:t xml:space="preserve">Tabulka </w:t>
      </w:r>
      <w:r w:rsidRPr="00D17312">
        <w:rPr>
          <w:noProof/>
          <w:color w:val="auto"/>
        </w:rPr>
        <w:fldChar w:fldCharType="begin"/>
      </w:r>
      <w:r w:rsidRPr="00D17312">
        <w:rPr>
          <w:noProof/>
          <w:color w:val="auto"/>
        </w:rPr>
        <w:instrText xml:space="preserve"> SEQ Tabulka \* ARABIC </w:instrText>
      </w:r>
      <w:r w:rsidRPr="00D17312">
        <w:rPr>
          <w:noProof/>
          <w:color w:val="auto"/>
        </w:rPr>
        <w:fldChar w:fldCharType="separate"/>
      </w:r>
      <w:r w:rsidR="006E7F27">
        <w:rPr>
          <w:noProof/>
          <w:color w:val="auto"/>
        </w:rPr>
        <w:t>61</w:t>
      </w:r>
      <w:r w:rsidRPr="00D17312">
        <w:rPr>
          <w:noProof/>
          <w:color w:val="auto"/>
        </w:rPr>
        <w:fldChar w:fldCharType="end"/>
      </w:r>
      <w:r w:rsidRPr="00D17312">
        <w:rPr>
          <w:color w:val="auto"/>
        </w:rPr>
        <w:t>: KS – vyřizování odvolacích trestních věcí na soudce dle soudů</w:t>
      </w:r>
      <w:bookmarkEnd w:id="489"/>
    </w:p>
    <w:tbl>
      <w:tblPr>
        <w:tblW w:w="8780" w:type="dxa"/>
        <w:tblCellMar>
          <w:left w:w="70" w:type="dxa"/>
          <w:right w:w="70" w:type="dxa"/>
        </w:tblCellMar>
        <w:tblLook w:val="04A0" w:firstRow="1" w:lastRow="0" w:firstColumn="1" w:lastColumn="0" w:noHBand="0" w:noVBand="1"/>
      </w:tblPr>
      <w:tblGrid>
        <w:gridCol w:w="2480"/>
        <w:gridCol w:w="1660"/>
        <w:gridCol w:w="2036"/>
        <w:gridCol w:w="1141"/>
        <w:gridCol w:w="1463"/>
      </w:tblGrid>
      <w:tr w:rsidR="00A4083A" w:rsidRPr="00D17312" w:rsidTr="00A41C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166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soudců</w:t>
            </w:r>
          </w:p>
        </w:tc>
        <w:tc>
          <w:tcPr>
            <w:tcW w:w="4640" w:type="dxa"/>
            <w:gridSpan w:val="3"/>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věcí na soudce</w:t>
            </w:r>
          </w:p>
        </w:tc>
      </w:tr>
      <w:tr w:rsidR="00A4083A" w:rsidRPr="00D17312" w:rsidTr="00A41CAB">
        <w:trPr>
          <w:trHeight w:val="330"/>
        </w:trPr>
        <w:tc>
          <w:tcPr>
            <w:tcW w:w="24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66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2036"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Nápad + obživa</w:t>
            </w:r>
          </w:p>
        </w:tc>
        <w:tc>
          <w:tcPr>
            <w:tcW w:w="1141"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Vyřízeno</w:t>
            </w:r>
          </w:p>
        </w:tc>
        <w:tc>
          <w:tcPr>
            <w:tcW w:w="1463"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Nevyřízeno</w:t>
            </w:r>
          </w:p>
        </w:tc>
      </w:tr>
      <w:tr w:rsidR="00A4083A" w:rsidRPr="00D17312"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66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23,8</w:t>
            </w:r>
          </w:p>
        </w:tc>
        <w:tc>
          <w:tcPr>
            <w:tcW w:w="2036"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154,71</w:t>
            </w:r>
          </w:p>
        </w:tc>
        <w:tc>
          <w:tcPr>
            <w:tcW w:w="1141"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157,52</w:t>
            </w:r>
          </w:p>
        </w:tc>
        <w:tc>
          <w:tcPr>
            <w:tcW w:w="1463"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6,93</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161,00</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161,94</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1,53</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121,67</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122,11</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10,78</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140,63</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139,06</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11,19</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20,2</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161,78</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163,61</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15,15</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10,9</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183,58</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184,04</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7,98</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162,40</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159,15</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13,35</w:t>
            </w:r>
          </w:p>
        </w:tc>
      </w:tr>
      <w:tr w:rsidR="00A4083A" w:rsidRPr="00D17312"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6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27</w:t>
            </w:r>
          </w:p>
        </w:tc>
        <w:tc>
          <w:tcPr>
            <w:tcW w:w="203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141,78</w:t>
            </w:r>
          </w:p>
        </w:tc>
        <w:tc>
          <w:tcPr>
            <w:tcW w:w="114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142,63</w:t>
            </w:r>
          </w:p>
        </w:tc>
        <w:tc>
          <w:tcPr>
            <w:tcW w:w="146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11,52</w:t>
            </w:r>
          </w:p>
        </w:tc>
      </w:tr>
      <w:tr w:rsidR="00A4083A" w:rsidRPr="00D17312"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6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143,9</w:t>
            </w:r>
          </w:p>
        </w:tc>
        <w:tc>
          <w:tcPr>
            <w:tcW w:w="203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166,64</w:t>
            </w:r>
          </w:p>
        </w:tc>
        <w:tc>
          <w:tcPr>
            <w:tcW w:w="114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180,24</w:t>
            </w:r>
          </w:p>
        </w:tc>
        <w:tc>
          <w:tcPr>
            <w:tcW w:w="146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110,10</w:t>
            </w:r>
          </w:p>
        </w:tc>
      </w:tr>
    </w:tbl>
    <w:p w:rsidR="00A4083A" w:rsidRPr="00D17312" w:rsidRDefault="00A4083A" w:rsidP="00A4083A"/>
    <w:p w:rsidR="00A4083A" w:rsidRDefault="00A4083A" w:rsidP="00A4083A">
      <w:r w:rsidRPr="00D17312">
        <w:t>Prvostupňovou agendu vyřizuje 75 soudců a odvolací agendu 144 soudců, vidíme tedy, že odvolací úsek je asi dvakrát větší než úsek prvostupňový. Pokud oba počty soudců sečteme, dostaneme číslo 219, což je číslo prakticky shodné s evidenčním počtem soudců. Vidíme tedy, že na rozdíl od okresních soudů se evidenční a „reálný“ počet soudců takřka neliší. Roli zde mimo jiné určitě budou hrát mateřské/rodičovské dovolené, kterých je u krajských soudů výrazně méně.</w:t>
      </w:r>
    </w:p>
    <w:p w:rsidR="00A4083A" w:rsidRPr="00D17312" w:rsidRDefault="00A4083A" w:rsidP="00A4083A">
      <w:pPr>
        <w:pStyle w:val="Nadpis3"/>
        <w:rPr>
          <w:color w:val="auto"/>
        </w:rPr>
      </w:pPr>
      <w:bookmarkStart w:id="490" w:name="_Toc515871265"/>
      <w:bookmarkStart w:id="491" w:name="_Toc43903074"/>
      <w:r w:rsidRPr="00D17312">
        <w:rPr>
          <w:color w:val="auto"/>
        </w:rPr>
        <w:lastRenderedPageBreak/>
        <w:t>Disposition time</w:t>
      </w:r>
      <w:bookmarkEnd w:id="490"/>
      <w:bookmarkEnd w:id="491"/>
    </w:p>
    <w:p w:rsidR="00A4083A" w:rsidRPr="00D17312" w:rsidRDefault="00A4083A" w:rsidP="00A4083A">
      <w:pPr>
        <w:pStyle w:val="Podnadpis"/>
        <w:rPr>
          <w:color w:val="auto"/>
        </w:rPr>
      </w:pPr>
      <w:bookmarkStart w:id="492" w:name="_Toc515871396"/>
      <w:bookmarkStart w:id="493" w:name="_Toc11135127"/>
      <w:bookmarkStart w:id="494" w:name="_Toc43841446"/>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66</w:t>
      </w:r>
      <w:r w:rsidRPr="00D17312">
        <w:rPr>
          <w:noProof/>
          <w:color w:val="auto"/>
        </w:rPr>
        <w:fldChar w:fldCharType="end"/>
      </w:r>
      <w:r w:rsidRPr="00D17312">
        <w:rPr>
          <w:color w:val="auto"/>
        </w:rPr>
        <w:t>: KS – DT odvolacího trestního řízení v letech 2008–</w:t>
      </w:r>
      <w:bookmarkEnd w:id="492"/>
      <w:r w:rsidRPr="00D17312">
        <w:rPr>
          <w:color w:val="auto"/>
        </w:rPr>
        <w:t>201</w:t>
      </w:r>
      <w:bookmarkEnd w:id="493"/>
      <w:r w:rsidRPr="00D17312">
        <w:rPr>
          <w:color w:val="auto"/>
        </w:rPr>
        <w:t>9</w:t>
      </w:r>
      <w:bookmarkEnd w:id="494"/>
    </w:p>
    <w:p w:rsidR="00A4083A" w:rsidRPr="00D17312" w:rsidRDefault="00A4083A" w:rsidP="00A4083A">
      <w:pPr>
        <w:rPr>
          <w:highlight w:val="yellow"/>
        </w:rPr>
      </w:pPr>
      <w:r w:rsidRPr="00D17312">
        <w:rPr>
          <w:noProof/>
          <w:lang w:eastAsia="cs-CZ"/>
        </w:rPr>
        <w:drawing>
          <wp:inline distT="0" distB="0" distL="0" distR="0" wp14:anchorId="70745934" wp14:editId="3A8F2377">
            <wp:extent cx="5112385" cy="3745230"/>
            <wp:effectExtent l="0" t="0" r="0" b="7620"/>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A4083A" w:rsidRPr="00D17312" w:rsidRDefault="00A4083A" w:rsidP="00A4083A">
      <w:pPr>
        <w:pStyle w:val="OdstavecASR"/>
      </w:pPr>
      <w:r w:rsidRPr="00D17312">
        <w:t>Výsledky v této podkapitole korespondují s výsledky z podkapitol </w:t>
      </w:r>
      <w:r w:rsidRPr="00D17312">
        <w:fldChar w:fldCharType="begin"/>
      </w:r>
      <w:r w:rsidRPr="00D17312">
        <w:instrText xml:space="preserve"> REF _Ref511391169 \r \h  \* MERGEFORMAT </w:instrText>
      </w:r>
      <w:r w:rsidRPr="00D17312">
        <w:fldChar w:fldCharType="separate"/>
      </w:r>
      <w:r w:rsidR="006E7F27">
        <w:t>3.5.1</w:t>
      </w:r>
      <w:r w:rsidRPr="00D17312">
        <w:fldChar w:fldCharType="end"/>
      </w:r>
      <w:r w:rsidRPr="00D17312">
        <w:t xml:space="preserve"> a </w:t>
      </w:r>
      <w:r w:rsidRPr="00D17312">
        <w:fldChar w:fldCharType="begin"/>
      </w:r>
      <w:r w:rsidRPr="00D17312">
        <w:instrText xml:space="preserve"> REF _Ref40897302 \r \h </w:instrText>
      </w:r>
      <w:r w:rsidRPr="00D17312">
        <w:fldChar w:fldCharType="separate"/>
      </w:r>
      <w:r w:rsidR="006E7F27">
        <w:t>3.5.2</w:t>
      </w:r>
      <w:r w:rsidRPr="00D17312">
        <w:fldChar w:fldCharType="end"/>
      </w:r>
      <w:r w:rsidRPr="00D17312">
        <w:t>. Z grafu je patrné, že DT je opravdu nízký a neměnný, což vyplývá z poměru vyřízených a nevyřízených věcí a z toho, že jsou tyto ukazatele také poměrně neměnné. V tabulce vidíme, že relativní změny jsou u </w:t>
      </w:r>
      <w:r>
        <w:t>některých soudů celkem velké, n</w:t>
      </w:r>
      <w:r w:rsidRPr="00D17312">
        <w:t>apříklad pokles 29</w:t>
      </w:r>
      <w:r>
        <w:t> % </w:t>
      </w:r>
      <w:r w:rsidRPr="00D17312">
        <w:t>u MS Praha. V absolutních číslech se ale jedná pouze o změny v řádech dnů. Roli zde také hraje zaokrouhlování, proto vidíme u KS Praha hodnotu -36</w:t>
      </w:r>
      <w:r>
        <w:t> %</w:t>
      </w:r>
      <w:r w:rsidRPr="00D17312">
        <w:t>, přestože by jinak výsledek vyšel na -25</w:t>
      </w:r>
      <w:r>
        <w:t> % </w:t>
      </w:r>
      <w:r w:rsidRPr="00D17312">
        <w:t>(při práci s celými čísly by to byl pokles ze čtyř na tři).</w:t>
      </w:r>
    </w:p>
    <w:p w:rsidR="00A4083A" w:rsidRPr="00D17312" w:rsidRDefault="00A4083A" w:rsidP="00A4083A">
      <w:pPr>
        <w:pStyle w:val="OdstavecASR"/>
      </w:pPr>
      <w:r w:rsidRPr="00D17312">
        <w:t>Změny se navíc vzájemně „vykompenzují“, takže celorepublikový ukazatel je takřka neměnný.</w:t>
      </w:r>
      <w:bookmarkStart w:id="495" w:name="_Toc515871489"/>
    </w:p>
    <w:p w:rsidR="00A4083A" w:rsidRPr="00D17312" w:rsidRDefault="00A4083A" w:rsidP="00A4083A">
      <w:pPr>
        <w:pStyle w:val="Podnadpis"/>
        <w:rPr>
          <w:color w:val="auto"/>
        </w:rPr>
      </w:pPr>
      <w:bookmarkStart w:id="496" w:name="_Toc11133256"/>
      <w:bookmarkStart w:id="497" w:name="_Toc43931235"/>
      <w:r w:rsidRPr="00D17312">
        <w:rPr>
          <w:color w:val="auto"/>
        </w:rPr>
        <w:t xml:space="preserve">Tabulka </w:t>
      </w:r>
      <w:r w:rsidRPr="00D17312">
        <w:rPr>
          <w:noProof/>
          <w:color w:val="auto"/>
        </w:rPr>
        <w:fldChar w:fldCharType="begin"/>
      </w:r>
      <w:r w:rsidRPr="00D17312">
        <w:rPr>
          <w:noProof/>
          <w:color w:val="auto"/>
        </w:rPr>
        <w:instrText xml:space="preserve"> SEQ Tabulka \* ARABIC </w:instrText>
      </w:r>
      <w:r w:rsidRPr="00D17312">
        <w:rPr>
          <w:noProof/>
          <w:color w:val="auto"/>
        </w:rPr>
        <w:fldChar w:fldCharType="separate"/>
      </w:r>
      <w:r w:rsidR="006E7F27">
        <w:rPr>
          <w:noProof/>
          <w:color w:val="auto"/>
        </w:rPr>
        <w:t>62</w:t>
      </w:r>
      <w:r w:rsidRPr="00D17312">
        <w:rPr>
          <w:noProof/>
          <w:color w:val="auto"/>
        </w:rPr>
        <w:fldChar w:fldCharType="end"/>
      </w:r>
      <w:r w:rsidRPr="00D17312">
        <w:rPr>
          <w:color w:val="auto"/>
        </w:rPr>
        <w:t>: KS – DT odvolacího trestního řízení dle soudů</w:t>
      </w:r>
      <w:bookmarkEnd w:id="495"/>
      <w:bookmarkEnd w:id="496"/>
      <w:bookmarkEnd w:id="497"/>
    </w:p>
    <w:tbl>
      <w:tblPr>
        <w:tblW w:w="5960" w:type="dxa"/>
        <w:tblCellMar>
          <w:left w:w="70" w:type="dxa"/>
          <w:right w:w="70" w:type="dxa"/>
        </w:tblCellMar>
        <w:tblLook w:val="04A0" w:firstRow="1" w:lastRow="0" w:firstColumn="1" w:lastColumn="0" w:noHBand="0" w:noVBand="1"/>
      </w:tblPr>
      <w:tblGrid>
        <w:gridCol w:w="2780"/>
        <w:gridCol w:w="988"/>
        <w:gridCol w:w="2192"/>
      </w:tblGrid>
      <w:tr w:rsidR="00A4083A" w:rsidRPr="00D17312" w:rsidTr="00A41CAB">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Disposition time</w:t>
            </w:r>
          </w:p>
        </w:tc>
      </w:tr>
      <w:tr w:rsidR="00A4083A" w:rsidRPr="00D17312" w:rsidTr="00A41CAB">
        <w:trPr>
          <w:trHeight w:val="330"/>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98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w:t>
            </w:r>
          </w:p>
        </w:tc>
        <w:tc>
          <w:tcPr>
            <w:tcW w:w="2192"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-29</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98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w:t>
            </w:r>
          </w:p>
        </w:tc>
        <w:tc>
          <w:tcPr>
            <w:tcW w:w="2192"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-36</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98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32</w:t>
            </w:r>
          </w:p>
        </w:tc>
        <w:tc>
          <w:tcPr>
            <w:tcW w:w="2192"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98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29</w:t>
            </w:r>
          </w:p>
        </w:tc>
        <w:tc>
          <w:tcPr>
            <w:tcW w:w="2192"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+25</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98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34</w:t>
            </w:r>
          </w:p>
        </w:tc>
        <w:tc>
          <w:tcPr>
            <w:tcW w:w="2192"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98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w:t>
            </w:r>
          </w:p>
        </w:tc>
        <w:tc>
          <w:tcPr>
            <w:tcW w:w="2192"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98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31</w:t>
            </w:r>
          </w:p>
        </w:tc>
        <w:tc>
          <w:tcPr>
            <w:tcW w:w="2192"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+31</w:t>
            </w:r>
            <w:r>
              <w:rPr>
                <w:rFonts w:eastAsia="Times New Roman"/>
                <w:sz w:val="20"/>
                <w:szCs w:val="20"/>
                <w:lang w:eastAsia="cs-CZ"/>
              </w:rPr>
              <w:t> %</w:t>
            </w:r>
          </w:p>
        </w:tc>
      </w:tr>
      <w:tr w:rsidR="00A4083A" w:rsidRPr="00D17312" w:rsidTr="00A41CAB">
        <w:trPr>
          <w:trHeight w:val="330"/>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988"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29</w:t>
            </w:r>
          </w:p>
        </w:tc>
        <w:tc>
          <w:tcPr>
            <w:tcW w:w="2192"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r>
      <w:tr w:rsidR="00A4083A" w:rsidRPr="00D17312" w:rsidTr="00A41CAB">
        <w:trPr>
          <w:trHeight w:val="345"/>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988"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24</w:t>
            </w:r>
          </w:p>
        </w:tc>
        <w:tc>
          <w:tcPr>
            <w:tcW w:w="2192"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-3</w:t>
            </w:r>
            <w:r>
              <w:rPr>
                <w:rFonts w:eastAsia="Times New Roman"/>
                <w:b/>
                <w:bCs/>
                <w:sz w:val="20"/>
                <w:szCs w:val="20"/>
                <w:lang w:eastAsia="cs-CZ"/>
              </w:rPr>
              <w:t> %</w:t>
            </w:r>
          </w:p>
        </w:tc>
      </w:tr>
    </w:tbl>
    <w:p w:rsidR="00A4083A" w:rsidRDefault="00A4083A" w:rsidP="00A4083A">
      <w:pPr>
        <w:rPr>
          <w:highlight w:val="yellow"/>
        </w:rPr>
      </w:pPr>
    </w:p>
    <w:p w:rsidR="00A4083A" w:rsidRDefault="00A4083A" w:rsidP="00A4083A">
      <w:pPr>
        <w:spacing w:line="240" w:lineRule="auto"/>
        <w:jc w:val="left"/>
        <w:rPr>
          <w:highlight w:val="yellow"/>
        </w:rPr>
      </w:pPr>
      <w:r>
        <w:rPr>
          <w:highlight w:val="yellow"/>
        </w:rPr>
        <w:br w:type="page"/>
      </w:r>
    </w:p>
    <w:p w:rsidR="00A4083A" w:rsidRPr="00D17312" w:rsidRDefault="00A4083A" w:rsidP="00A4083A">
      <w:pPr>
        <w:pStyle w:val="Nadpis2"/>
      </w:pPr>
      <w:bookmarkStart w:id="498" w:name="_Toc515871266"/>
      <w:bookmarkStart w:id="499" w:name="_Toc43903075"/>
      <w:r w:rsidRPr="00D17312">
        <w:lastRenderedPageBreak/>
        <w:t>Správní agenda</w:t>
      </w:r>
      <w:bookmarkEnd w:id="498"/>
      <w:bookmarkEnd w:id="499"/>
    </w:p>
    <w:p w:rsidR="00A4083A" w:rsidRPr="00D17312" w:rsidRDefault="00A4083A" w:rsidP="00A4083A">
      <w:pPr>
        <w:pStyle w:val="OdstavecASR"/>
      </w:pPr>
      <w:r w:rsidRPr="00D17312">
        <w:t>Správní agenda krajských soudů zahrnuje rejstříky A (všeobecná správní agenda), Af (agenda ve věcech finanční správy), Ad (sociální a důchodová agenda) a Az (azylová agenda). V roce 2010 došlo ke změně ve vykazování. Do roku 2009 totiž správní agenda zahrnovala rejstříky Az, Ca a Cad. K žádným dalším změnám ve vedení statistik nedošlo. V roce 2012 došlo ke změně v příslušnosti správních soudů, která do určité míry ulevila Městskému soudu v Praze.</w:t>
      </w:r>
    </w:p>
    <w:p w:rsidR="00A4083A" w:rsidRPr="00D17312" w:rsidRDefault="00A4083A" w:rsidP="00A4083A">
      <w:pPr>
        <w:pStyle w:val="Nadpis3"/>
        <w:rPr>
          <w:color w:val="auto"/>
        </w:rPr>
      </w:pPr>
      <w:bookmarkStart w:id="500" w:name="_Toc515871267"/>
      <w:bookmarkStart w:id="501" w:name="_Toc43903076"/>
      <w:r w:rsidRPr="00D17312">
        <w:rPr>
          <w:color w:val="auto"/>
        </w:rPr>
        <w:t>Délka řízení</w:t>
      </w:r>
      <w:bookmarkEnd w:id="500"/>
      <w:bookmarkEnd w:id="501"/>
    </w:p>
    <w:p w:rsidR="00A4083A" w:rsidRPr="00D17312" w:rsidRDefault="00A4083A" w:rsidP="00A4083A">
      <w:pPr>
        <w:pStyle w:val="OdstavecASR"/>
      </w:pPr>
      <w:r w:rsidRPr="00D17312">
        <w:t>Z grafu vyplývá, že délka řízení vykazovala až do roku 2014 (respektive 2015) jasný stoupající trend. Ten byl způsoben především tím, že správní úseky soudů byly značně zatížené a soudy, především pak MS Praha, stíhaly vyřizovat správní věci jen s velkými obtížemi.</w:t>
      </w:r>
    </w:p>
    <w:p w:rsidR="00A4083A" w:rsidRPr="00D17312" w:rsidRDefault="00A4083A" w:rsidP="00A4083A">
      <w:pPr>
        <w:pStyle w:val="OdstavecASR"/>
        <w:rPr>
          <w:highlight w:val="yellow"/>
        </w:rPr>
      </w:pPr>
      <w:r w:rsidRPr="00D17312">
        <w:t>Teprve v posledních letech se podařilo rostoucí trend v délce řízení zastavit. V roce 2017 sice mírně vzrostl medián, ale na druhou stranu zase klesl devadesátý percentil. V roce 2018 dokonce klesl medián, průměr i devadesátý percentil. V roce 2019 ale všechny ukazatele vzrostly asi na úroveň v roce 2017.</w:t>
      </w:r>
    </w:p>
    <w:p w:rsidR="00A4083A" w:rsidRPr="00D17312" w:rsidRDefault="00A4083A" w:rsidP="00A4083A">
      <w:pPr>
        <w:pStyle w:val="OdstavecASR"/>
      </w:pPr>
      <w:r w:rsidRPr="00D17312">
        <w:t>Z tabulky vyčteme, že MS Praha opravdu vykazuje velmi vysoké délky řízení, což potvrzuje výše uvedené tvrzení o zatíženosti soudů. Vysoké délky řízení ale už vykazuje i například KS Brno.</w:t>
      </w:r>
    </w:p>
    <w:p w:rsidR="00A4083A" w:rsidRPr="00D17312" w:rsidRDefault="00A4083A" w:rsidP="00A4083A">
      <w:pPr>
        <w:pStyle w:val="OdstavecASR"/>
      </w:pPr>
      <w:r w:rsidRPr="00D17312">
        <w:t>Rozdíl mezi MS Praha a ostatními soudy byl nicméně v letech 2016 a 2017 výrazně menší než dříve, což můžeme považovat za příznivé znamení. Největší rozdíl registrujeme v roce 2014, kdy byla mediánová délka řízení v Praze 763 dnů a 310 dnů ve zbytku ČR.</w:t>
      </w:r>
    </w:p>
    <w:p w:rsidR="00A4083A" w:rsidRPr="00D17312" w:rsidRDefault="00A4083A" w:rsidP="00A4083A">
      <w:pPr>
        <w:pStyle w:val="Podnadpis"/>
        <w:rPr>
          <w:color w:val="auto"/>
        </w:rPr>
      </w:pPr>
      <w:bookmarkStart w:id="502" w:name="_Toc515871397"/>
      <w:bookmarkStart w:id="503" w:name="_Toc11135128"/>
      <w:bookmarkStart w:id="504" w:name="_Toc43841447"/>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67</w:t>
      </w:r>
      <w:r w:rsidRPr="00D17312">
        <w:rPr>
          <w:noProof/>
          <w:color w:val="auto"/>
        </w:rPr>
        <w:fldChar w:fldCharType="end"/>
      </w:r>
      <w:r w:rsidRPr="00D17312">
        <w:rPr>
          <w:color w:val="auto"/>
        </w:rPr>
        <w:t>: KS – délka správního řízení u KS v letech 2008–201</w:t>
      </w:r>
      <w:bookmarkEnd w:id="502"/>
      <w:bookmarkEnd w:id="503"/>
      <w:r w:rsidRPr="00D17312">
        <w:rPr>
          <w:color w:val="auto"/>
        </w:rPr>
        <w:t>9</w:t>
      </w:r>
      <w:bookmarkEnd w:id="504"/>
    </w:p>
    <w:p w:rsidR="00A4083A" w:rsidRPr="00D17312" w:rsidRDefault="00A4083A" w:rsidP="00A4083A">
      <w:pPr>
        <w:rPr>
          <w:highlight w:val="yellow"/>
        </w:rPr>
      </w:pPr>
      <w:r w:rsidRPr="00D17312">
        <w:rPr>
          <w:noProof/>
          <w:lang w:eastAsia="cs-CZ"/>
        </w:rPr>
        <w:drawing>
          <wp:inline distT="0" distB="0" distL="0" distR="0" wp14:anchorId="20506493" wp14:editId="472F14CC">
            <wp:extent cx="5112385" cy="3745230"/>
            <wp:effectExtent l="0" t="0" r="0" b="762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A4083A" w:rsidRPr="00D17312" w:rsidRDefault="00A4083A" w:rsidP="00A4083A">
      <w:r>
        <w:t>V</w:t>
      </w:r>
      <w:r w:rsidRPr="00D17312">
        <w:t xml:space="preserve"> tabulce </w:t>
      </w:r>
      <w:r>
        <w:t xml:space="preserve">rovněž </w:t>
      </w:r>
      <w:r w:rsidRPr="00D17312">
        <w:t>vidíme, že v roce 2019 narostla délka řízení téměř u všech krajských soudů.</w:t>
      </w:r>
    </w:p>
    <w:p w:rsidR="00A4083A" w:rsidRPr="00821AA1" w:rsidRDefault="00A4083A" w:rsidP="00A4083A">
      <w:r w:rsidRPr="00821AA1">
        <w:t xml:space="preserve">Poměrně zajímavý je fakt, že mediánová délka řízení je u KS v Brně vyšší než průměrná délka řízení. To je v oblasti soudnictví značně nezvyklé, neboť průměrné délky řízení jsou obvykle </w:t>
      </w:r>
      <w:r w:rsidRPr="00821AA1">
        <w:lastRenderedPageBreak/>
        <w:t>„taženy“ extrémně vysokými hodnotami. Ani u ostatních krajských soudů nejsou rozdíly mezi mediánem a průměrem příliš velké.</w:t>
      </w:r>
    </w:p>
    <w:p w:rsidR="00A4083A" w:rsidRPr="00D17312" w:rsidRDefault="00A4083A" w:rsidP="00A4083A">
      <w:pPr>
        <w:pStyle w:val="Podnadpis"/>
        <w:rPr>
          <w:color w:val="auto"/>
        </w:rPr>
      </w:pPr>
      <w:bookmarkStart w:id="505" w:name="_Toc515871490"/>
      <w:bookmarkStart w:id="506" w:name="_Toc11133257"/>
      <w:bookmarkStart w:id="507" w:name="_Toc43931236"/>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63</w:t>
      </w:r>
      <w:r w:rsidRPr="00D17312">
        <w:rPr>
          <w:noProof/>
          <w:color w:val="auto"/>
        </w:rPr>
        <w:fldChar w:fldCharType="end"/>
      </w:r>
      <w:r w:rsidRPr="00D17312">
        <w:rPr>
          <w:color w:val="auto"/>
        </w:rPr>
        <w:t>: KS – délky správního řízení dle soudů</w:t>
      </w:r>
      <w:bookmarkEnd w:id="505"/>
      <w:bookmarkEnd w:id="506"/>
      <w:bookmarkEnd w:id="507"/>
    </w:p>
    <w:tbl>
      <w:tblPr>
        <w:tblW w:w="7520" w:type="dxa"/>
        <w:tblCellMar>
          <w:left w:w="70" w:type="dxa"/>
          <w:right w:w="70" w:type="dxa"/>
        </w:tblCellMar>
        <w:tblLook w:val="04A0" w:firstRow="1" w:lastRow="0" w:firstColumn="1" w:lastColumn="0" w:noHBand="0" w:noVBand="1"/>
      </w:tblPr>
      <w:tblGrid>
        <w:gridCol w:w="2480"/>
        <w:gridCol w:w="637"/>
        <w:gridCol w:w="979"/>
        <w:gridCol w:w="636"/>
        <w:gridCol w:w="979"/>
        <w:gridCol w:w="830"/>
        <w:gridCol w:w="979"/>
      </w:tblGrid>
      <w:tr w:rsidR="00A4083A" w:rsidRPr="00D17312" w:rsidTr="00A41C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Délka řízení</w:t>
            </w:r>
          </w:p>
        </w:tc>
      </w:tr>
      <w:tr w:rsidR="00A4083A" w:rsidRPr="00D17312" w:rsidTr="00A41CAB">
        <w:trPr>
          <w:trHeight w:val="330"/>
        </w:trPr>
        <w:tc>
          <w:tcPr>
            <w:tcW w:w="24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616"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Průměr</w:t>
            </w:r>
          </w:p>
        </w:tc>
        <w:tc>
          <w:tcPr>
            <w:tcW w:w="1615" w:type="dxa"/>
            <w:gridSpan w:val="2"/>
            <w:tcBorders>
              <w:top w:val="nil"/>
              <w:left w:val="single" w:sz="4" w:space="0" w:color="auto"/>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Medián</w:t>
            </w:r>
          </w:p>
        </w:tc>
        <w:tc>
          <w:tcPr>
            <w:tcW w:w="1809"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Percentil 90</w:t>
            </w:r>
          </w:p>
        </w:tc>
      </w:tr>
      <w:tr w:rsidR="00A4083A" w:rsidRPr="00D17312"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637"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646</w:t>
            </w:r>
          </w:p>
        </w:tc>
        <w:tc>
          <w:tcPr>
            <w:tcW w:w="979"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+14</w:t>
            </w:r>
            <w:r>
              <w:rPr>
                <w:rFonts w:eastAsia="Times New Roman"/>
                <w:sz w:val="20"/>
                <w:szCs w:val="20"/>
                <w:lang w:eastAsia="cs-CZ"/>
              </w:rPr>
              <w:t> %</w:t>
            </w:r>
          </w:p>
        </w:tc>
        <w:tc>
          <w:tcPr>
            <w:tcW w:w="63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545</w:t>
            </w:r>
          </w:p>
        </w:tc>
        <w:tc>
          <w:tcPr>
            <w:tcW w:w="97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+28</w:t>
            </w:r>
            <w:r>
              <w:rPr>
                <w:rFonts w:eastAsia="Times New Roman"/>
                <w:sz w:val="20"/>
                <w:szCs w:val="20"/>
                <w:lang w:eastAsia="cs-CZ"/>
              </w:rPr>
              <w:t> %</w:t>
            </w:r>
          </w:p>
        </w:tc>
        <w:tc>
          <w:tcPr>
            <w:tcW w:w="83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1 415</w:t>
            </w:r>
          </w:p>
        </w:tc>
        <w:tc>
          <w:tcPr>
            <w:tcW w:w="979"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+15</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63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427</w:t>
            </w:r>
          </w:p>
        </w:tc>
        <w:tc>
          <w:tcPr>
            <w:tcW w:w="97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+17</w:t>
            </w:r>
            <w:r>
              <w:rPr>
                <w:rFonts w:eastAsia="Times New Roman"/>
                <w:sz w:val="20"/>
                <w:szCs w:val="20"/>
                <w:lang w:eastAsia="cs-CZ"/>
              </w:rPr>
              <w:t> %</w:t>
            </w:r>
          </w:p>
        </w:tc>
        <w:tc>
          <w:tcPr>
            <w:tcW w:w="63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347</w:t>
            </w:r>
          </w:p>
        </w:tc>
        <w:tc>
          <w:tcPr>
            <w:tcW w:w="97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+25</w:t>
            </w:r>
            <w:r>
              <w:rPr>
                <w:rFonts w:eastAsia="Times New Roman"/>
                <w:sz w:val="20"/>
                <w:szCs w:val="20"/>
                <w:lang w:eastAsia="cs-CZ"/>
              </w:rPr>
              <w:t> %</w:t>
            </w:r>
          </w:p>
        </w:tc>
        <w:tc>
          <w:tcPr>
            <w:tcW w:w="83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926</w:t>
            </w:r>
          </w:p>
        </w:tc>
        <w:tc>
          <w:tcPr>
            <w:tcW w:w="97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+10</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63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248</w:t>
            </w:r>
          </w:p>
        </w:tc>
        <w:tc>
          <w:tcPr>
            <w:tcW w:w="97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+20</w:t>
            </w:r>
            <w:r>
              <w:rPr>
                <w:rFonts w:eastAsia="Times New Roman"/>
                <w:sz w:val="20"/>
                <w:szCs w:val="20"/>
                <w:lang w:eastAsia="cs-CZ"/>
              </w:rPr>
              <w:t> %</w:t>
            </w:r>
          </w:p>
        </w:tc>
        <w:tc>
          <w:tcPr>
            <w:tcW w:w="63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191</w:t>
            </w:r>
          </w:p>
        </w:tc>
        <w:tc>
          <w:tcPr>
            <w:tcW w:w="97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+30</w:t>
            </w:r>
            <w:r>
              <w:rPr>
                <w:rFonts w:eastAsia="Times New Roman"/>
                <w:sz w:val="20"/>
                <w:szCs w:val="20"/>
                <w:lang w:eastAsia="cs-CZ"/>
              </w:rPr>
              <w:t> %</w:t>
            </w:r>
          </w:p>
        </w:tc>
        <w:tc>
          <w:tcPr>
            <w:tcW w:w="83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531</w:t>
            </w:r>
          </w:p>
        </w:tc>
        <w:tc>
          <w:tcPr>
            <w:tcW w:w="97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+21</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63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284</w:t>
            </w:r>
          </w:p>
        </w:tc>
        <w:tc>
          <w:tcPr>
            <w:tcW w:w="97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+10</w:t>
            </w:r>
            <w:r>
              <w:rPr>
                <w:rFonts w:eastAsia="Times New Roman"/>
                <w:sz w:val="20"/>
                <w:szCs w:val="20"/>
                <w:lang w:eastAsia="cs-CZ"/>
              </w:rPr>
              <w:t> %</w:t>
            </w:r>
          </w:p>
        </w:tc>
        <w:tc>
          <w:tcPr>
            <w:tcW w:w="63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237</w:t>
            </w:r>
          </w:p>
        </w:tc>
        <w:tc>
          <w:tcPr>
            <w:tcW w:w="97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-14</w:t>
            </w:r>
            <w:r>
              <w:rPr>
                <w:rFonts w:eastAsia="Times New Roman"/>
                <w:sz w:val="20"/>
                <w:szCs w:val="20"/>
                <w:lang w:eastAsia="cs-CZ"/>
              </w:rPr>
              <w:t> %</w:t>
            </w:r>
          </w:p>
        </w:tc>
        <w:tc>
          <w:tcPr>
            <w:tcW w:w="83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566</w:t>
            </w:r>
          </w:p>
        </w:tc>
        <w:tc>
          <w:tcPr>
            <w:tcW w:w="97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+18</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63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505</w:t>
            </w:r>
          </w:p>
        </w:tc>
        <w:tc>
          <w:tcPr>
            <w:tcW w:w="97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+16</w:t>
            </w:r>
            <w:r>
              <w:rPr>
                <w:rFonts w:eastAsia="Times New Roman"/>
                <w:sz w:val="20"/>
                <w:szCs w:val="20"/>
                <w:lang w:eastAsia="cs-CZ"/>
              </w:rPr>
              <w:t> %</w:t>
            </w:r>
          </w:p>
        </w:tc>
        <w:tc>
          <w:tcPr>
            <w:tcW w:w="63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397</w:t>
            </w:r>
          </w:p>
        </w:tc>
        <w:tc>
          <w:tcPr>
            <w:tcW w:w="97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c>
          <w:tcPr>
            <w:tcW w:w="83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1 070</w:t>
            </w:r>
          </w:p>
        </w:tc>
        <w:tc>
          <w:tcPr>
            <w:tcW w:w="97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+14</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63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426</w:t>
            </w:r>
          </w:p>
        </w:tc>
        <w:tc>
          <w:tcPr>
            <w:tcW w:w="97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+12</w:t>
            </w:r>
            <w:r>
              <w:rPr>
                <w:rFonts w:eastAsia="Times New Roman"/>
                <w:sz w:val="20"/>
                <w:szCs w:val="20"/>
                <w:lang w:eastAsia="cs-CZ"/>
              </w:rPr>
              <w:t> %</w:t>
            </w:r>
          </w:p>
        </w:tc>
        <w:tc>
          <w:tcPr>
            <w:tcW w:w="63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426</w:t>
            </w:r>
          </w:p>
        </w:tc>
        <w:tc>
          <w:tcPr>
            <w:tcW w:w="97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+16</w:t>
            </w:r>
            <w:r>
              <w:rPr>
                <w:rFonts w:eastAsia="Times New Roman"/>
                <w:sz w:val="20"/>
                <w:szCs w:val="20"/>
                <w:lang w:eastAsia="cs-CZ"/>
              </w:rPr>
              <w:t> %</w:t>
            </w:r>
          </w:p>
        </w:tc>
        <w:tc>
          <w:tcPr>
            <w:tcW w:w="83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703</w:t>
            </w:r>
          </w:p>
        </w:tc>
        <w:tc>
          <w:tcPr>
            <w:tcW w:w="97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63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558</w:t>
            </w:r>
          </w:p>
        </w:tc>
        <w:tc>
          <w:tcPr>
            <w:tcW w:w="97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c>
          <w:tcPr>
            <w:tcW w:w="63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606</w:t>
            </w:r>
          </w:p>
        </w:tc>
        <w:tc>
          <w:tcPr>
            <w:tcW w:w="97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83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863</w:t>
            </w:r>
          </w:p>
        </w:tc>
        <w:tc>
          <w:tcPr>
            <w:tcW w:w="97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r>
      <w:tr w:rsidR="00A4083A" w:rsidRPr="00D17312"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637"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306</w:t>
            </w:r>
          </w:p>
        </w:tc>
        <w:tc>
          <w:tcPr>
            <w:tcW w:w="97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c>
          <w:tcPr>
            <w:tcW w:w="636"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255</w:t>
            </w:r>
          </w:p>
        </w:tc>
        <w:tc>
          <w:tcPr>
            <w:tcW w:w="979"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-16</w:t>
            </w:r>
            <w:r>
              <w:rPr>
                <w:rFonts w:eastAsia="Times New Roman"/>
                <w:sz w:val="20"/>
                <w:szCs w:val="20"/>
                <w:lang w:eastAsia="cs-CZ"/>
              </w:rPr>
              <w:t> %</w:t>
            </w:r>
          </w:p>
        </w:tc>
        <w:tc>
          <w:tcPr>
            <w:tcW w:w="83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585</w:t>
            </w:r>
          </w:p>
        </w:tc>
        <w:tc>
          <w:tcPr>
            <w:tcW w:w="97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-18</w:t>
            </w:r>
            <w:r>
              <w:rPr>
                <w:rFonts w:eastAsia="Times New Roman"/>
                <w:sz w:val="20"/>
                <w:szCs w:val="20"/>
                <w:lang w:eastAsia="cs-CZ"/>
              </w:rPr>
              <w:t> %</w:t>
            </w:r>
          </w:p>
        </w:tc>
      </w:tr>
      <w:tr w:rsidR="00A4083A" w:rsidRPr="00D17312"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637"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486</w:t>
            </w:r>
          </w:p>
        </w:tc>
        <w:tc>
          <w:tcPr>
            <w:tcW w:w="97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+10</w:t>
            </w:r>
            <w:r>
              <w:rPr>
                <w:rFonts w:eastAsia="Times New Roman"/>
                <w:b/>
                <w:bCs/>
                <w:sz w:val="20"/>
                <w:szCs w:val="20"/>
                <w:lang w:eastAsia="cs-CZ"/>
              </w:rPr>
              <w:t> %</w:t>
            </w:r>
          </w:p>
        </w:tc>
        <w:tc>
          <w:tcPr>
            <w:tcW w:w="636"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391</w:t>
            </w:r>
          </w:p>
        </w:tc>
        <w:tc>
          <w:tcPr>
            <w:tcW w:w="979"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+8</w:t>
            </w:r>
            <w:r>
              <w:rPr>
                <w:rFonts w:eastAsia="Times New Roman"/>
                <w:b/>
                <w:bCs/>
                <w:sz w:val="20"/>
                <w:szCs w:val="20"/>
                <w:lang w:eastAsia="cs-CZ"/>
              </w:rPr>
              <w:t> %</w:t>
            </w:r>
          </w:p>
        </w:tc>
        <w:tc>
          <w:tcPr>
            <w:tcW w:w="83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1 043</w:t>
            </w:r>
          </w:p>
        </w:tc>
        <w:tc>
          <w:tcPr>
            <w:tcW w:w="97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+9</w:t>
            </w:r>
            <w:r>
              <w:rPr>
                <w:rFonts w:eastAsia="Times New Roman"/>
                <w:b/>
                <w:bCs/>
                <w:sz w:val="20"/>
                <w:szCs w:val="20"/>
                <w:lang w:eastAsia="cs-CZ"/>
              </w:rPr>
              <w:t> %</w:t>
            </w:r>
          </w:p>
        </w:tc>
      </w:tr>
    </w:tbl>
    <w:p w:rsidR="00A4083A" w:rsidRPr="00D17312" w:rsidRDefault="00A4083A" w:rsidP="00A4083A">
      <w:pPr>
        <w:rPr>
          <w:highlight w:val="yellow"/>
        </w:rPr>
      </w:pPr>
    </w:p>
    <w:p w:rsidR="00A4083A" w:rsidRDefault="00A4083A" w:rsidP="00A4083A">
      <w:pPr>
        <w:pStyle w:val="OdstavecASR"/>
      </w:pPr>
      <w:r w:rsidRPr="00D17312">
        <w:t>Stejně jako u ostatních agend jsou na závěr délky řízení zobrazeny v histogramu. Šířka intervalu je 50 dnů. V porovnání s ostatními prvostupňovými agendami je ve správní agendě vysoký medián. V porovnání s rokem 2018 jsou vidět změny i na histogramu. Například došlo ke zvýšení podílu věcí s délkou řízení větší než 1500 dnů asi na 3</w:t>
      </w:r>
      <w:r>
        <w:t> % </w:t>
      </w:r>
      <w:r w:rsidRPr="00D17312">
        <w:t>a zároveň klesl podíl rychle vyřízených věcí. Celkově se tedy zdá, že data opět ukazují negativní trend. Je ale třeba je prozkoumat dále.</w:t>
      </w:r>
    </w:p>
    <w:p w:rsidR="00A4083A" w:rsidRPr="00D17312" w:rsidRDefault="00A4083A" w:rsidP="00A4083A">
      <w:pPr>
        <w:pStyle w:val="Podnadpis"/>
        <w:rPr>
          <w:color w:val="auto"/>
        </w:rPr>
      </w:pPr>
      <w:bookmarkStart w:id="508" w:name="_Toc515871398"/>
      <w:bookmarkStart w:id="509" w:name="_Toc11135129"/>
      <w:bookmarkStart w:id="510" w:name="_Toc43841448"/>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68</w:t>
      </w:r>
      <w:r w:rsidRPr="00D17312">
        <w:rPr>
          <w:color w:val="auto"/>
        </w:rPr>
        <w:fldChar w:fldCharType="end"/>
      </w:r>
      <w:r w:rsidRPr="00D17312">
        <w:rPr>
          <w:color w:val="auto"/>
        </w:rPr>
        <w:t>: KS – distribuce délek správního řízení</w:t>
      </w:r>
      <w:bookmarkEnd w:id="508"/>
      <w:bookmarkEnd w:id="509"/>
      <w:bookmarkEnd w:id="510"/>
    </w:p>
    <w:p w:rsidR="00A4083A" w:rsidRPr="00D17312" w:rsidRDefault="00A4083A" w:rsidP="00A4083A">
      <w:pPr>
        <w:rPr>
          <w:highlight w:val="yellow"/>
        </w:rPr>
      </w:pPr>
      <w:r w:rsidRPr="00D17312">
        <w:rPr>
          <w:noProof/>
          <w:lang w:eastAsia="cs-CZ"/>
        </w:rPr>
        <w:drawing>
          <wp:inline distT="0" distB="0" distL="0" distR="0" wp14:anchorId="743DB531" wp14:editId="7E5D05E5">
            <wp:extent cx="5112385" cy="3745230"/>
            <wp:effectExtent l="0" t="0" r="0" b="7620"/>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A4083A" w:rsidRPr="00D17312" w:rsidRDefault="00A4083A" w:rsidP="00A4083A">
      <w:pPr>
        <w:rPr>
          <w:highlight w:val="yellow"/>
        </w:rPr>
      </w:pPr>
    </w:p>
    <w:p w:rsidR="00A4083A" w:rsidRPr="00D17312" w:rsidRDefault="00A4083A" w:rsidP="00A4083A">
      <w:pPr>
        <w:pStyle w:val="Nadpis3"/>
        <w:rPr>
          <w:color w:val="auto"/>
        </w:rPr>
      </w:pPr>
      <w:bookmarkStart w:id="511" w:name="_Toc515871268"/>
      <w:bookmarkStart w:id="512" w:name="_Toc43903077"/>
      <w:r w:rsidRPr="00D17312">
        <w:rPr>
          <w:color w:val="auto"/>
        </w:rPr>
        <w:lastRenderedPageBreak/>
        <w:t>Vyřizování věcí</w:t>
      </w:r>
      <w:bookmarkEnd w:id="511"/>
      <w:bookmarkEnd w:id="512"/>
    </w:p>
    <w:p w:rsidR="00A4083A" w:rsidRPr="00D17312" w:rsidRDefault="00A4083A" w:rsidP="00A4083A">
      <w:pPr>
        <w:pStyle w:val="OdstavecASR"/>
      </w:pPr>
      <w:bookmarkStart w:id="513" w:name="_Toc515871399"/>
      <w:r w:rsidRPr="00D17312">
        <w:t>Z grafu níže je patrné, že nápad se v průběhu let poměrně rychle mění. To může plynout z legislativních změn, ze změn v jednotlivých agendách (např. v azylové agendě) nebo jednorázových šoků. Počet vyřízených věcí samozřejmě s určitým zpožděním kopíruje počet věcí napadlých. Po roce 2013 vidíme dva znepokojivé jevy. Počet příchozích věcí poměrně rychle stoupal a zároveň převyšoval počet věcí vyřízených, což vede k trvalému růstu v počtu nevyřízených věcí. Konečně teprve v roce 2019 došlo k značnému poklesu v počtu příchozích věcí.</w:t>
      </w:r>
    </w:p>
    <w:p w:rsidR="00A4083A" w:rsidRPr="00D17312" w:rsidRDefault="00A4083A" w:rsidP="00A4083A">
      <w:pPr>
        <w:pStyle w:val="OdstavecASR"/>
        <w:rPr>
          <w:highlight w:val="yellow"/>
        </w:rPr>
      </w:pPr>
      <w:r w:rsidRPr="00D17312">
        <w:t>Pohled na počty nevyřízených věcí ukazuje, že počet extrémně dlouho nevyřízených věcí (déle než 3 roky, případně nevyřízené 1 až 3 roky) velmi mírně stoupl. Většina těchto věcí tedy bude mít (až bude pravomocně skončena) větší délku řízení než je současná mediánová délka.</w:t>
      </w:r>
    </w:p>
    <w:p w:rsidR="00A4083A" w:rsidRPr="00D17312" w:rsidRDefault="00A4083A" w:rsidP="00A4083A">
      <w:pPr>
        <w:pStyle w:val="Podnadpis"/>
        <w:rPr>
          <w:color w:val="auto"/>
          <w:highlight w:val="yellow"/>
        </w:rPr>
      </w:pPr>
      <w:bookmarkStart w:id="514" w:name="_Toc11135130"/>
      <w:bookmarkStart w:id="515" w:name="_Toc43841449"/>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69</w:t>
      </w:r>
      <w:r w:rsidRPr="00D17312">
        <w:rPr>
          <w:noProof/>
          <w:color w:val="auto"/>
        </w:rPr>
        <w:fldChar w:fldCharType="end"/>
      </w:r>
      <w:r w:rsidRPr="00D17312">
        <w:rPr>
          <w:color w:val="auto"/>
        </w:rPr>
        <w:t>: KS – vyřizování správních věcí v letech 2008–201</w:t>
      </w:r>
      <w:bookmarkEnd w:id="513"/>
      <w:bookmarkEnd w:id="514"/>
      <w:r w:rsidRPr="00D17312">
        <w:rPr>
          <w:color w:val="auto"/>
        </w:rPr>
        <w:t>9</w:t>
      </w:r>
      <w:bookmarkEnd w:id="515"/>
    </w:p>
    <w:p w:rsidR="00A4083A" w:rsidRDefault="00A4083A" w:rsidP="00A4083A">
      <w:pPr>
        <w:rPr>
          <w:noProof/>
        </w:rPr>
      </w:pPr>
      <w:r w:rsidRPr="00D17312">
        <w:rPr>
          <w:noProof/>
          <w:lang w:eastAsia="cs-CZ"/>
        </w:rPr>
        <w:drawing>
          <wp:inline distT="0" distB="0" distL="0" distR="0" wp14:anchorId="51B80E03" wp14:editId="1CFE719E">
            <wp:extent cx="5112385" cy="3745230"/>
            <wp:effectExtent l="0" t="0" r="0" b="7620"/>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A4083A" w:rsidRDefault="00A4083A" w:rsidP="00A4083A">
      <w:pPr>
        <w:pStyle w:val="OdstavecASR"/>
      </w:pPr>
      <w:r w:rsidRPr="00D17312">
        <w:t xml:space="preserve">Z jednotlivých soudů dokázaly v tomto roce vyřídit </w:t>
      </w:r>
      <w:r>
        <w:t xml:space="preserve">stejně nebo </w:t>
      </w:r>
      <w:r w:rsidRPr="00D17312">
        <w:t>více věcí, než přišlo, všechny soudy kromě KS Praha. U některých soudů byl rozdíl výrazný (především KS Hradec Králové). Data v této podkapitole nejsou nijak normalizována, takže nelze činit závěry o celkové zatíženosti jednotlivých soudů. K tomu slouží ostatní podkapitoly.</w:t>
      </w:r>
    </w:p>
    <w:p w:rsidR="00A4083A" w:rsidRDefault="00A4083A" w:rsidP="00A4083A">
      <w:pPr>
        <w:spacing w:line="240" w:lineRule="auto"/>
        <w:jc w:val="left"/>
      </w:pPr>
      <w:r>
        <w:br w:type="page"/>
      </w:r>
    </w:p>
    <w:p w:rsidR="00A4083A" w:rsidRPr="00D17312" w:rsidRDefault="00A4083A" w:rsidP="00A4083A">
      <w:pPr>
        <w:pStyle w:val="Podnadpis"/>
        <w:rPr>
          <w:color w:val="auto"/>
        </w:rPr>
      </w:pPr>
      <w:bookmarkStart w:id="516" w:name="_Toc515871491"/>
      <w:bookmarkStart w:id="517" w:name="_Toc11133258"/>
      <w:bookmarkStart w:id="518" w:name="_Toc43931237"/>
      <w:r w:rsidRPr="00D17312">
        <w:rPr>
          <w:color w:val="auto"/>
        </w:rPr>
        <w:lastRenderedPageBreak/>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64</w:t>
      </w:r>
      <w:r w:rsidRPr="00D17312">
        <w:rPr>
          <w:noProof/>
          <w:color w:val="auto"/>
        </w:rPr>
        <w:fldChar w:fldCharType="end"/>
      </w:r>
      <w:r w:rsidRPr="00D17312">
        <w:rPr>
          <w:color w:val="auto"/>
        </w:rPr>
        <w:t>: KS – vyřizování správních věcí dle soudů</w:t>
      </w:r>
      <w:bookmarkEnd w:id="516"/>
      <w:bookmarkEnd w:id="517"/>
      <w:bookmarkEnd w:id="518"/>
    </w:p>
    <w:tbl>
      <w:tblPr>
        <w:tblW w:w="9260" w:type="dxa"/>
        <w:tblCellMar>
          <w:left w:w="70" w:type="dxa"/>
          <w:right w:w="70" w:type="dxa"/>
        </w:tblCellMar>
        <w:tblLook w:val="04A0" w:firstRow="1" w:lastRow="0" w:firstColumn="1" w:lastColumn="0" w:noHBand="0" w:noVBand="1"/>
      </w:tblPr>
      <w:tblGrid>
        <w:gridCol w:w="2020"/>
        <w:gridCol w:w="1058"/>
        <w:gridCol w:w="823"/>
        <w:gridCol w:w="1028"/>
        <w:gridCol w:w="941"/>
        <w:gridCol w:w="1028"/>
        <w:gridCol w:w="823"/>
        <w:gridCol w:w="1539"/>
      </w:tblGrid>
      <w:tr w:rsidR="00A4083A" w:rsidRPr="00D17312" w:rsidTr="00A41CAB">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5701" w:type="dxa"/>
            <w:gridSpan w:val="6"/>
            <w:tcBorders>
              <w:top w:val="double" w:sz="6" w:space="0" w:color="auto"/>
              <w:left w:val="nil"/>
              <w:bottom w:val="nil"/>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věcí</w:t>
            </w:r>
          </w:p>
        </w:tc>
        <w:tc>
          <w:tcPr>
            <w:tcW w:w="1539" w:type="dxa"/>
            <w:vMerge w:val="restart"/>
            <w:tcBorders>
              <w:top w:val="double" w:sz="6" w:space="0" w:color="auto"/>
              <w:left w:val="nil"/>
              <w:bottom w:val="double" w:sz="6" w:space="0" w:color="000000"/>
              <w:right w:val="nil"/>
            </w:tcBorders>
            <w:shd w:val="clear" w:color="auto" w:fill="auto"/>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Míra vyřizování</w:t>
            </w:r>
          </w:p>
        </w:tc>
      </w:tr>
      <w:tr w:rsidR="00A4083A" w:rsidRPr="00D17312" w:rsidTr="00A41CAB">
        <w:trPr>
          <w:trHeight w:val="330"/>
        </w:trPr>
        <w:tc>
          <w:tcPr>
            <w:tcW w:w="202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881"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Nápad + obživa</w:t>
            </w:r>
          </w:p>
        </w:tc>
        <w:tc>
          <w:tcPr>
            <w:tcW w:w="1969" w:type="dxa"/>
            <w:gridSpan w:val="2"/>
            <w:tcBorders>
              <w:top w:val="nil"/>
              <w:left w:val="single" w:sz="4" w:space="0" w:color="auto"/>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Vyřízeno</w:t>
            </w:r>
          </w:p>
        </w:tc>
        <w:tc>
          <w:tcPr>
            <w:tcW w:w="1851" w:type="dxa"/>
            <w:gridSpan w:val="2"/>
            <w:tcBorders>
              <w:top w:val="nil"/>
              <w:left w:val="nil"/>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Nevyřízeno</w:t>
            </w:r>
          </w:p>
        </w:tc>
        <w:tc>
          <w:tcPr>
            <w:tcW w:w="1539"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r>
      <w:tr w:rsidR="00A4083A" w:rsidRPr="00D17312" w:rsidTr="00A41CAB">
        <w:trPr>
          <w:trHeight w:val="330"/>
        </w:trPr>
        <w:tc>
          <w:tcPr>
            <w:tcW w:w="202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058"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3 422</w:t>
            </w:r>
          </w:p>
        </w:tc>
        <w:tc>
          <w:tcPr>
            <w:tcW w:w="823"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1028" w:type="dxa"/>
            <w:tcBorders>
              <w:top w:val="single" w:sz="4" w:space="0" w:color="auto"/>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3 635</w:t>
            </w:r>
          </w:p>
        </w:tc>
        <w:tc>
          <w:tcPr>
            <w:tcW w:w="941" w:type="dxa"/>
            <w:tcBorders>
              <w:top w:val="single" w:sz="4" w:space="0" w:color="auto"/>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1028"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4 617</w:t>
            </w:r>
          </w:p>
        </w:tc>
        <w:tc>
          <w:tcPr>
            <w:tcW w:w="823" w:type="dxa"/>
            <w:tcBorders>
              <w:top w:val="single" w:sz="4" w:space="0" w:color="auto"/>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106,2</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05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930</w:t>
            </w:r>
          </w:p>
        </w:tc>
        <w:tc>
          <w:tcPr>
            <w:tcW w:w="82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c>
          <w:tcPr>
            <w:tcW w:w="1028"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885</w:t>
            </w:r>
          </w:p>
        </w:tc>
        <w:tc>
          <w:tcPr>
            <w:tcW w:w="941"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+16</w:t>
            </w:r>
            <w:r>
              <w:rPr>
                <w:rFonts w:eastAsia="Times New Roman"/>
                <w:sz w:val="20"/>
                <w:szCs w:val="20"/>
                <w:lang w:eastAsia="cs-CZ"/>
              </w:rPr>
              <w:t> %</w:t>
            </w:r>
          </w:p>
        </w:tc>
        <w:tc>
          <w:tcPr>
            <w:tcW w:w="102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1 028</w:t>
            </w:r>
          </w:p>
        </w:tc>
        <w:tc>
          <w:tcPr>
            <w:tcW w:w="82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95,2</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05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450</w:t>
            </w:r>
          </w:p>
        </w:tc>
        <w:tc>
          <w:tcPr>
            <w:tcW w:w="82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-10</w:t>
            </w:r>
            <w:r>
              <w:rPr>
                <w:rFonts w:eastAsia="Times New Roman"/>
                <w:sz w:val="20"/>
                <w:szCs w:val="20"/>
                <w:lang w:eastAsia="cs-CZ"/>
              </w:rPr>
              <w:t> %</w:t>
            </w:r>
          </w:p>
        </w:tc>
        <w:tc>
          <w:tcPr>
            <w:tcW w:w="1028"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517</w:t>
            </w:r>
          </w:p>
        </w:tc>
        <w:tc>
          <w:tcPr>
            <w:tcW w:w="941"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c>
          <w:tcPr>
            <w:tcW w:w="102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180</w:t>
            </w:r>
          </w:p>
        </w:tc>
        <w:tc>
          <w:tcPr>
            <w:tcW w:w="82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-27</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114,9</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05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948</w:t>
            </w:r>
          </w:p>
        </w:tc>
        <w:tc>
          <w:tcPr>
            <w:tcW w:w="82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c>
          <w:tcPr>
            <w:tcW w:w="1028"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994</w:t>
            </w:r>
          </w:p>
        </w:tc>
        <w:tc>
          <w:tcPr>
            <w:tcW w:w="941"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+17</w:t>
            </w:r>
            <w:r>
              <w:rPr>
                <w:rFonts w:eastAsia="Times New Roman"/>
                <w:sz w:val="20"/>
                <w:szCs w:val="20"/>
                <w:lang w:eastAsia="cs-CZ"/>
              </w:rPr>
              <w:t> %</w:t>
            </w:r>
          </w:p>
        </w:tc>
        <w:tc>
          <w:tcPr>
            <w:tcW w:w="102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665</w:t>
            </w:r>
          </w:p>
        </w:tc>
        <w:tc>
          <w:tcPr>
            <w:tcW w:w="82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104,9</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05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790</w:t>
            </w:r>
          </w:p>
        </w:tc>
        <w:tc>
          <w:tcPr>
            <w:tcW w:w="82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c>
          <w:tcPr>
            <w:tcW w:w="1028"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877</w:t>
            </w:r>
          </w:p>
        </w:tc>
        <w:tc>
          <w:tcPr>
            <w:tcW w:w="941"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102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1 052</w:t>
            </w:r>
          </w:p>
        </w:tc>
        <w:tc>
          <w:tcPr>
            <w:tcW w:w="82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111,0</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05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731</w:t>
            </w:r>
          </w:p>
        </w:tc>
        <w:tc>
          <w:tcPr>
            <w:tcW w:w="82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-18</w:t>
            </w:r>
            <w:r>
              <w:rPr>
                <w:rFonts w:eastAsia="Times New Roman"/>
                <w:sz w:val="20"/>
                <w:szCs w:val="20"/>
                <w:lang w:eastAsia="cs-CZ"/>
              </w:rPr>
              <w:t> %</w:t>
            </w:r>
          </w:p>
        </w:tc>
        <w:tc>
          <w:tcPr>
            <w:tcW w:w="1028"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901</w:t>
            </w:r>
          </w:p>
        </w:tc>
        <w:tc>
          <w:tcPr>
            <w:tcW w:w="941"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+16</w:t>
            </w:r>
            <w:r>
              <w:rPr>
                <w:rFonts w:eastAsia="Times New Roman"/>
                <w:sz w:val="20"/>
                <w:szCs w:val="20"/>
                <w:lang w:eastAsia="cs-CZ"/>
              </w:rPr>
              <w:t> %</w:t>
            </w:r>
          </w:p>
        </w:tc>
        <w:tc>
          <w:tcPr>
            <w:tcW w:w="102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726</w:t>
            </w:r>
          </w:p>
        </w:tc>
        <w:tc>
          <w:tcPr>
            <w:tcW w:w="82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-19</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123,3</w:t>
            </w:r>
            <w:r>
              <w:rPr>
                <w:rFonts w:eastAsia="Times New Roman"/>
                <w:szCs w:val="24"/>
                <w:lang w:eastAsia="cs-CZ"/>
              </w:rPr>
              <w:t> %</w:t>
            </w:r>
          </w:p>
        </w:tc>
      </w:tr>
      <w:tr w:rsidR="00A4083A" w:rsidRPr="00D17312" w:rsidTr="00A41CAB">
        <w:trPr>
          <w:trHeight w:val="315"/>
        </w:trPr>
        <w:tc>
          <w:tcPr>
            <w:tcW w:w="20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05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1 941</w:t>
            </w:r>
          </w:p>
        </w:tc>
        <w:tc>
          <w:tcPr>
            <w:tcW w:w="823"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1028"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1 962</w:t>
            </w:r>
          </w:p>
        </w:tc>
        <w:tc>
          <w:tcPr>
            <w:tcW w:w="941"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102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2 117</w:t>
            </w:r>
          </w:p>
        </w:tc>
        <w:tc>
          <w:tcPr>
            <w:tcW w:w="823"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c>
          <w:tcPr>
            <w:tcW w:w="153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101,1</w:t>
            </w:r>
            <w:r>
              <w:rPr>
                <w:rFonts w:eastAsia="Times New Roman"/>
                <w:szCs w:val="24"/>
                <w:lang w:eastAsia="cs-CZ"/>
              </w:rPr>
              <w:t> %</w:t>
            </w:r>
          </w:p>
        </w:tc>
      </w:tr>
      <w:tr w:rsidR="00A4083A" w:rsidRPr="00D17312" w:rsidTr="00A41CAB">
        <w:trPr>
          <w:trHeight w:val="330"/>
        </w:trPr>
        <w:tc>
          <w:tcPr>
            <w:tcW w:w="20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058"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1 368</w:t>
            </w:r>
          </w:p>
        </w:tc>
        <w:tc>
          <w:tcPr>
            <w:tcW w:w="823"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1028"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1 562</w:t>
            </w:r>
          </w:p>
        </w:tc>
        <w:tc>
          <w:tcPr>
            <w:tcW w:w="941"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c>
          <w:tcPr>
            <w:tcW w:w="1028"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657</w:t>
            </w:r>
          </w:p>
        </w:tc>
        <w:tc>
          <w:tcPr>
            <w:tcW w:w="823"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-23</w:t>
            </w:r>
            <w:r>
              <w:rPr>
                <w:rFonts w:eastAsia="Times New Roman"/>
                <w:sz w:val="20"/>
                <w:szCs w:val="20"/>
                <w:lang w:eastAsia="cs-CZ"/>
              </w:rPr>
              <w:t> %</w:t>
            </w:r>
          </w:p>
        </w:tc>
        <w:tc>
          <w:tcPr>
            <w:tcW w:w="1539" w:type="dxa"/>
            <w:tcBorders>
              <w:top w:val="nil"/>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114,2</w:t>
            </w:r>
            <w:r>
              <w:rPr>
                <w:rFonts w:eastAsia="Times New Roman"/>
                <w:szCs w:val="24"/>
                <w:lang w:eastAsia="cs-CZ"/>
              </w:rPr>
              <w:t> %</w:t>
            </w:r>
          </w:p>
        </w:tc>
      </w:tr>
      <w:tr w:rsidR="00A4083A" w:rsidRPr="00D17312" w:rsidTr="00A41CAB">
        <w:trPr>
          <w:trHeight w:val="345"/>
        </w:trPr>
        <w:tc>
          <w:tcPr>
            <w:tcW w:w="20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058"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10 580</w:t>
            </w:r>
          </w:p>
        </w:tc>
        <w:tc>
          <w:tcPr>
            <w:tcW w:w="823"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-5</w:t>
            </w:r>
            <w:r>
              <w:rPr>
                <w:rFonts w:eastAsia="Times New Roman"/>
                <w:b/>
                <w:bCs/>
                <w:sz w:val="20"/>
                <w:szCs w:val="20"/>
                <w:lang w:eastAsia="cs-CZ"/>
              </w:rPr>
              <w:t> %</w:t>
            </w:r>
          </w:p>
        </w:tc>
        <w:tc>
          <w:tcPr>
            <w:tcW w:w="1028"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11 333</w:t>
            </w:r>
          </w:p>
        </w:tc>
        <w:tc>
          <w:tcPr>
            <w:tcW w:w="941"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+9</w:t>
            </w:r>
            <w:r>
              <w:rPr>
                <w:rFonts w:eastAsia="Times New Roman"/>
                <w:b/>
                <w:bCs/>
                <w:sz w:val="20"/>
                <w:szCs w:val="20"/>
                <w:lang w:eastAsia="cs-CZ"/>
              </w:rPr>
              <w:t> %</w:t>
            </w:r>
          </w:p>
        </w:tc>
        <w:tc>
          <w:tcPr>
            <w:tcW w:w="1028"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11 042</w:t>
            </w:r>
          </w:p>
        </w:tc>
        <w:tc>
          <w:tcPr>
            <w:tcW w:w="823"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-6</w:t>
            </w:r>
            <w:r>
              <w:rPr>
                <w:rFonts w:eastAsia="Times New Roman"/>
                <w:b/>
                <w:bCs/>
                <w:sz w:val="20"/>
                <w:szCs w:val="20"/>
                <w:lang w:eastAsia="cs-CZ"/>
              </w:rPr>
              <w:t> %</w:t>
            </w:r>
          </w:p>
        </w:tc>
        <w:tc>
          <w:tcPr>
            <w:tcW w:w="1539"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107,1</w:t>
            </w:r>
            <w:r>
              <w:rPr>
                <w:rFonts w:eastAsia="Times New Roman"/>
                <w:b/>
                <w:bCs/>
                <w:szCs w:val="24"/>
                <w:lang w:eastAsia="cs-CZ"/>
              </w:rPr>
              <w:t> %</w:t>
            </w:r>
          </w:p>
        </w:tc>
      </w:tr>
    </w:tbl>
    <w:p w:rsidR="00A4083A" w:rsidRPr="00D17312" w:rsidRDefault="00A4083A" w:rsidP="00A4083A">
      <w:pPr>
        <w:rPr>
          <w:highlight w:val="yellow"/>
        </w:rPr>
      </w:pPr>
    </w:p>
    <w:p w:rsidR="00A4083A" w:rsidRDefault="00A4083A" w:rsidP="00A4083A">
      <w:pPr>
        <w:pStyle w:val="OdstavecASR"/>
      </w:pPr>
      <w:bookmarkStart w:id="519" w:name="_Toc515871400"/>
      <w:bookmarkStart w:id="520" w:name="_Toc11135131"/>
      <w:r w:rsidRPr="00D17312">
        <w:t xml:space="preserve">U správní agendy </w:t>
      </w:r>
      <w:r>
        <w:t xml:space="preserve">rovněž </w:t>
      </w:r>
      <w:r w:rsidRPr="00D17312">
        <w:t xml:space="preserve">můžeme </w:t>
      </w:r>
      <w:r>
        <w:t>zkoumat</w:t>
      </w:r>
      <w:r w:rsidRPr="00D17312">
        <w:t>, jak se měnilo složení příchozích věcí. K tomu slouží následující skládaný plošný graf. Graf ukazuje, že od roku 2012 roste počet příchozích věcí ve všeobecné správní agendě (rejstřík A). V roce 2012, kdy začal růst rejstřík A, byl počet příchozích věcí v tomto rejstříku 3 895 (45,4</w:t>
      </w:r>
      <w:r>
        <w:t> %</w:t>
      </w:r>
      <w:r w:rsidRPr="00D17312">
        <w:t xml:space="preserve"> z celkového počtu příchozích věcí ve správním soudnictví). V roce 2018 přišlo v tomto rejstříku 7 002 věcí (62,9</w:t>
      </w:r>
      <w:r>
        <w:t> %</w:t>
      </w:r>
      <w:r w:rsidRPr="00D17312">
        <w:t xml:space="preserve"> z celkového počtu). V posledních letech roste také azylová agenda (rejstřík Az). V roce 2019 došlo k poklesu především v rejstříku A, mírně rovněž v rejstříku Af. Naopak </w:t>
      </w:r>
      <w:r>
        <w:t>poněkud</w:t>
      </w:r>
      <w:r w:rsidRPr="00D17312">
        <w:t xml:space="preserve"> narostl rejstřík Az.</w:t>
      </w:r>
    </w:p>
    <w:p w:rsidR="00A4083A" w:rsidRPr="00D17312" w:rsidRDefault="00A4083A" w:rsidP="00A4083A">
      <w:pPr>
        <w:pStyle w:val="Podnadpis"/>
        <w:rPr>
          <w:color w:val="auto"/>
        </w:rPr>
      </w:pPr>
      <w:bookmarkStart w:id="521" w:name="_Toc43841450"/>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70</w:t>
      </w:r>
      <w:r w:rsidRPr="00D17312">
        <w:rPr>
          <w:noProof/>
          <w:color w:val="auto"/>
        </w:rPr>
        <w:fldChar w:fldCharType="end"/>
      </w:r>
      <w:r w:rsidRPr="00D17312">
        <w:rPr>
          <w:color w:val="auto"/>
        </w:rPr>
        <w:t>: KS – vývoj počtu příchozích věcí dle agend správního soudnictví</w:t>
      </w:r>
      <w:bookmarkEnd w:id="519"/>
      <w:bookmarkEnd w:id="520"/>
      <w:bookmarkEnd w:id="521"/>
    </w:p>
    <w:p w:rsidR="00A4083A" w:rsidRPr="00D17312" w:rsidRDefault="00A4083A" w:rsidP="00A4083A">
      <w:pPr>
        <w:rPr>
          <w:highlight w:val="yellow"/>
        </w:rPr>
      </w:pPr>
      <w:r w:rsidRPr="00D17312">
        <w:rPr>
          <w:noProof/>
          <w:lang w:eastAsia="cs-CZ"/>
        </w:rPr>
        <w:drawing>
          <wp:inline distT="0" distB="0" distL="0" distR="0" wp14:anchorId="68597CC8" wp14:editId="4C150250">
            <wp:extent cx="5112385" cy="3745230"/>
            <wp:effectExtent l="0" t="0" r="0" b="7620"/>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A4083A" w:rsidRPr="00D17312" w:rsidRDefault="00A4083A" w:rsidP="00A4083A">
      <w:pPr>
        <w:pStyle w:val="OdstavecASR"/>
        <w:rPr>
          <w:highlight w:val="yellow"/>
        </w:rPr>
      </w:pPr>
      <w:r w:rsidRPr="00D17312">
        <w:t xml:space="preserve">Další tabulka ukazuje složení nevyřízených věcí ve správním soudnictví v procentech k 31. 12. 2019. </w:t>
      </w:r>
      <w:r w:rsidRPr="003C143C">
        <w:t xml:space="preserve">Za nejtěžší bývá v průměru považována agenda Af, toto tvrzení je ovšem nutno brát s rezervou, zejména vzhledem k vysoké variabilitě skladby „zbytkové“ všeobecné agendy A. </w:t>
      </w:r>
      <w:r w:rsidRPr="003C143C">
        <w:lastRenderedPageBreak/>
        <w:t xml:space="preserve">Tato agenda také tvoří výrazně větší část počtu nevyřízených věcí, než je její podíl na celkovém počtu ve věcech příchozích. To koresponduje s výše uvedeným tvrzením a ukazuje, že agenda Af je opravdu nejsložitější. U soudu zůstávají tyto věci v průměru nejdéle </w:t>
      </w:r>
      <w:r w:rsidRPr="00D17312">
        <w:t>nevyřízené. To pak potvrzuje i délka řízení získaná z pravomocně skončených věcí. V tabulce dále vidíme, že největší podíl tvoří tato agenda v Ostravě, v Brně a u MS Praha. Naopak asi čtvrtinu nevyřízených věcí tvoří azylová agenda u KS v Hradci Králové.</w:t>
      </w:r>
    </w:p>
    <w:p w:rsidR="00A4083A" w:rsidRPr="00D17312" w:rsidRDefault="00A4083A" w:rsidP="00A4083A">
      <w:pPr>
        <w:pStyle w:val="Podnadpis"/>
        <w:rPr>
          <w:color w:val="auto"/>
        </w:rPr>
      </w:pPr>
      <w:bookmarkStart w:id="522" w:name="_Toc515871492"/>
      <w:bookmarkStart w:id="523" w:name="_Toc11133259"/>
      <w:bookmarkStart w:id="524" w:name="_Toc43931238"/>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65</w:t>
      </w:r>
      <w:r w:rsidRPr="00D17312">
        <w:rPr>
          <w:noProof/>
          <w:color w:val="auto"/>
        </w:rPr>
        <w:fldChar w:fldCharType="end"/>
      </w:r>
      <w:r w:rsidRPr="00D17312">
        <w:rPr>
          <w:color w:val="auto"/>
        </w:rPr>
        <w:t>: KS – podíl nevyřízených věcí druhů agendy správního soudnictví</w:t>
      </w:r>
      <w:bookmarkEnd w:id="522"/>
      <w:bookmarkEnd w:id="523"/>
      <w:bookmarkEnd w:id="524"/>
    </w:p>
    <w:tbl>
      <w:tblPr>
        <w:tblW w:w="6200" w:type="dxa"/>
        <w:tblCellMar>
          <w:left w:w="70" w:type="dxa"/>
          <w:right w:w="70" w:type="dxa"/>
        </w:tblCellMar>
        <w:tblLook w:val="04A0" w:firstRow="1" w:lastRow="0" w:firstColumn="1" w:lastColumn="0" w:noHBand="0" w:noVBand="1"/>
      </w:tblPr>
      <w:tblGrid>
        <w:gridCol w:w="2200"/>
        <w:gridCol w:w="1000"/>
        <w:gridCol w:w="1000"/>
        <w:gridCol w:w="1000"/>
        <w:gridCol w:w="1000"/>
      </w:tblGrid>
      <w:tr w:rsidR="00A4083A" w:rsidRPr="00D17312" w:rsidTr="00A41CAB">
        <w:trPr>
          <w:trHeight w:val="345"/>
        </w:trPr>
        <w:tc>
          <w:tcPr>
            <w:tcW w:w="2200" w:type="dxa"/>
            <w:vMerge w:val="restart"/>
            <w:tcBorders>
              <w:top w:val="double" w:sz="6" w:space="0" w:color="auto"/>
              <w:left w:val="nil"/>
              <w:bottom w:val="double" w:sz="6" w:space="0" w:color="000000"/>
              <w:right w:val="nil"/>
            </w:tcBorders>
            <w:shd w:val="clear" w:color="auto" w:fill="auto"/>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4000" w:type="dxa"/>
            <w:gridSpan w:val="4"/>
            <w:tcBorders>
              <w:top w:val="double" w:sz="6" w:space="0" w:color="auto"/>
              <w:left w:val="nil"/>
              <w:bottom w:val="nil"/>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Agenda</w:t>
            </w:r>
          </w:p>
        </w:tc>
      </w:tr>
      <w:tr w:rsidR="00A4083A" w:rsidRPr="00D17312" w:rsidTr="00A41CAB">
        <w:trPr>
          <w:trHeight w:val="345"/>
        </w:trPr>
        <w:tc>
          <w:tcPr>
            <w:tcW w:w="220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000" w:type="dxa"/>
            <w:tcBorders>
              <w:top w:val="nil"/>
              <w:left w:val="nil"/>
              <w:bottom w:val="double" w:sz="6" w:space="0" w:color="auto"/>
              <w:right w:val="nil"/>
            </w:tcBorders>
            <w:shd w:val="clear" w:color="auto" w:fill="auto"/>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A</w:t>
            </w:r>
          </w:p>
        </w:tc>
        <w:tc>
          <w:tcPr>
            <w:tcW w:w="1000" w:type="dxa"/>
            <w:tcBorders>
              <w:top w:val="nil"/>
              <w:left w:val="nil"/>
              <w:bottom w:val="double" w:sz="6" w:space="0" w:color="auto"/>
              <w:right w:val="nil"/>
            </w:tcBorders>
            <w:shd w:val="clear" w:color="auto" w:fill="auto"/>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Af</w:t>
            </w:r>
          </w:p>
        </w:tc>
        <w:tc>
          <w:tcPr>
            <w:tcW w:w="1000" w:type="dxa"/>
            <w:tcBorders>
              <w:top w:val="nil"/>
              <w:left w:val="nil"/>
              <w:bottom w:val="double" w:sz="6" w:space="0" w:color="auto"/>
              <w:right w:val="nil"/>
            </w:tcBorders>
            <w:shd w:val="clear" w:color="auto" w:fill="auto"/>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Ad</w:t>
            </w:r>
          </w:p>
        </w:tc>
        <w:tc>
          <w:tcPr>
            <w:tcW w:w="1000" w:type="dxa"/>
            <w:tcBorders>
              <w:top w:val="nil"/>
              <w:left w:val="nil"/>
              <w:bottom w:val="double" w:sz="6" w:space="0" w:color="auto"/>
              <w:right w:val="nil"/>
            </w:tcBorders>
            <w:shd w:val="clear" w:color="auto" w:fill="auto"/>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Az</w:t>
            </w:r>
          </w:p>
        </w:tc>
      </w:tr>
      <w:tr w:rsidR="00A4083A" w:rsidRPr="00D17312" w:rsidTr="00A41CAB">
        <w:trPr>
          <w:trHeight w:val="330"/>
        </w:trPr>
        <w:tc>
          <w:tcPr>
            <w:tcW w:w="22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55,08</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24,84</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11,28</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8,79</w:t>
            </w:r>
          </w:p>
        </w:tc>
      </w:tr>
      <w:tr w:rsidR="00A4083A" w:rsidRPr="00D17312" w:rsidTr="00A41CAB">
        <w:trPr>
          <w:trHeight w:val="315"/>
        </w:trPr>
        <w:tc>
          <w:tcPr>
            <w:tcW w:w="22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59,05</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22,96</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9,73</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8,27</w:t>
            </w:r>
          </w:p>
        </w:tc>
      </w:tr>
      <w:tr w:rsidR="00A4083A" w:rsidRPr="00D17312" w:rsidTr="00A41CAB">
        <w:trPr>
          <w:trHeight w:val="315"/>
        </w:trPr>
        <w:tc>
          <w:tcPr>
            <w:tcW w:w="22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58,89</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25,00</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15,56</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0,56</w:t>
            </w:r>
          </w:p>
        </w:tc>
      </w:tr>
      <w:tr w:rsidR="00A4083A" w:rsidRPr="00D17312" w:rsidTr="00A41CAB">
        <w:trPr>
          <w:trHeight w:val="315"/>
        </w:trPr>
        <w:tc>
          <w:tcPr>
            <w:tcW w:w="22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66,77</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18,35</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11,58</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3,31</w:t>
            </w:r>
          </w:p>
        </w:tc>
      </w:tr>
      <w:tr w:rsidR="00A4083A" w:rsidRPr="00D17312" w:rsidTr="00A41CAB">
        <w:trPr>
          <w:trHeight w:val="315"/>
        </w:trPr>
        <w:tc>
          <w:tcPr>
            <w:tcW w:w="22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60,36</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23,86</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12,55</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3,23</w:t>
            </w:r>
          </w:p>
        </w:tc>
      </w:tr>
      <w:tr w:rsidR="00A4083A" w:rsidRPr="00D17312" w:rsidTr="00A41CAB">
        <w:trPr>
          <w:trHeight w:val="315"/>
        </w:trPr>
        <w:tc>
          <w:tcPr>
            <w:tcW w:w="22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42,56</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22,04</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13,22</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22,18</w:t>
            </w:r>
          </w:p>
        </w:tc>
      </w:tr>
      <w:tr w:rsidR="00A4083A" w:rsidRPr="00D17312" w:rsidTr="00A41CAB">
        <w:trPr>
          <w:trHeight w:val="315"/>
        </w:trPr>
        <w:tc>
          <w:tcPr>
            <w:tcW w:w="22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52,10</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31,41</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8,97</w:t>
            </w:r>
          </w:p>
        </w:tc>
        <w:tc>
          <w:tcPr>
            <w:tcW w:w="100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7,51</w:t>
            </w:r>
          </w:p>
        </w:tc>
      </w:tr>
      <w:tr w:rsidR="00A4083A" w:rsidRPr="00D17312" w:rsidTr="00A41CAB">
        <w:trPr>
          <w:trHeight w:val="330"/>
        </w:trPr>
        <w:tc>
          <w:tcPr>
            <w:tcW w:w="220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00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42,62</w:t>
            </w:r>
          </w:p>
        </w:tc>
        <w:tc>
          <w:tcPr>
            <w:tcW w:w="100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27,09</w:t>
            </w:r>
          </w:p>
        </w:tc>
        <w:tc>
          <w:tcPr>
            <w:tcW w:w="100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20,55</w:t>
            </w:r>
          </w:p>
        </w:tc>
        <w:tc>
          <w:tcPr>
            <w:tcW w:w="100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9,74</w:t>
            </w:r>
          </w:p>
        </w:tc>
      </w:tr>
      <w:tr w:rsidR="00A4083A" w:rsidRPr="00D17312" w:rsidTr="00A41CAB">
        <w:trPr>
          <w:trHeight w:val="345"/>
        </w:trPr>
        <w:tc>
          <w:tcPr>
            <w:tcW w:w="220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00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54,58</w:t>
            </w:r>
          </w:p>
        </w:tc>
        <w:tc>
          <w:tcPr>
            <w:tcW w:w="100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25,39</w:t>
            </w:r>
          </w:p>
        </w:tc>
        <w:tc>
          <w:tcPr>
            <w:tcW w:w="100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11,58</w:t>
            </w:r>
          </w:p>
        </w:tc>
        <w:tc>
          <w:tcPr>
            <w:tcW w:w="100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8,44</w:t>
            </w:r>
          </w:p>
        </w:tc>
      </w:tr>
    </w:tbl>
    <w:p w:rsidR="00A4083A" w:rsidRPr="00D17312" w:rsidRDefault="00A4083A" w:rsidP="00A4083A">
      <w:pPr>
        <w:rPr>
          <w:highlight w:val="yellow"/>
        </w:rPr>
      </w:pPr>
    </w:p>
    <w:p w:rsidR="00A4083A" w:rsidRDefault="00A4083A" w:rsidP="00A4083A">
      <w:bookmarkStart w:id="525" w:name="_Toc515871269"/>
      <w:r w:rsidRPr="00D17312">
        <w:t>Oproti roku 2018 narostl počet nevyřízených věcí v rejstříku Az, což souvisí s poklesem nevyřízených věcí v ostatních rejstřících</w:t>
      </w:r>
      <w:r>
        <w:t>;</w:t>
      </w:r>
      <w:r w:rsidRPr="00D17312">
        <w:t xml:space="preserve"> ten, jak již bylo výše uvedeno, plyne z poklesu </w:t>
      </w:r>
      <w:r>
        <w:t xml:space="preserve">počtu </w:t>
      </w:r>
      <w:r w:rsidRPr="00D17312">
        <w:t>napadlých věcí.</w:t>
      </w:r>
    </w:p>
    <w:p w:rsidR="00A4083A" w:rsidRPr="00D17312" w:rsidRDefault="00A4083A" w:rsidP="00A4083A">
      <w:pPr>
        <w:pStyle w:val="Nadpis3"/>
        <w:rPr>
          <w:color w:val="auto"/>
        </w:rPr>
      </w:pPr>
      <w:bookmarkStart w:id="526" w:name="_Toc43903078"/>
      <w:r w:rsidRPr="00D17312">
        <w:rPr>
          <w:color w:val="auto"/>
        </w:rPr>
        <w:t>Vyřizování věcí v přepočtu na soudce</w:t>
      </w:r>
      <w:bookmarkEnd w:id="525"/>
      <w:bookmarkEnd w:id="526"/>
    </w:p>
    <w:p w:rsidR="00A4083A" w:rsidRPr="00451E10" w:rsidRDefault="00A4083A" w:rsidP="00A4083A">
      <w:pPr>
        <w:pStyle w:val="OdstavecASR"/>
      </w:pPr>
      <w:r w:rsidRPr="00D17312">
        <w:t>Na rozdíl od ostatních agend bylo možné počet soudců, kteří vyřizují správní agendu dohledat i v předchozích verzích zprávy.</w:t>
      </w:r>
      <w:r>
        <w:t xml:space="preserve"> Tento rok nicméně budou využita</w:t>
      </w:r>
      <w:r w:rsidRPr="00D17312">
        <w:t xml:space="preserve"> data ze stejného zdroje jako u ostatních agend. </w:t>
      </w:r>
      <w:r w:rsidRPr="00451E10">
        <w:t>V podkapitole 3.1.1 (graf 47 a tabulka 33) jsou odlišná data než data uvedená zde (tabulka 66). V podkapitole 3.1.1 se jedná o evidenční počet soudců, zatímco zde se jedná o počet soudců (úvazků), kteří danou agendu skutečně vyřizují. Údaje se proto mírně liší. Jedná se o stejný princip jako u ostatních agend. Jak je uvedeno v úvodu zprávy, přiznáváme, že se toto může jevit jako matoucí, ale přínosy převyšují nad negativy. Evidenční počet soudců uvedený v podkapitole 3.1.1 má především tu výhodu, že jde zpět do minulosti a umožňuje nám tedy sledovat data v časové řadě. Data v této kapitole umožňují přesnější přepočet na soudce a jedná se o data ze stejného zdroje jako data v ostatních podkapitolách o přepočtu na soudce.</w:t>
      </w:r>
    </w:p>
    <w:p w:rsidR="00A4083A" w:rsidRPr="00451E10" w:rsidRDefault="00A4083A" w:rsidP="00A4083A">
      <w:pPr>
        <w:pStyle w:val="OdstavecASR"/>
        <w:rPr>
          <w:highlight w:val="yellow"/>
        </w:rPr>
      </w:pPr>
      <w:r w:rsidRPr="00451E10">
        <w:t>V tabulce tedy uvádíme údaje, kde je počet soudců (úvazků) k 1. 1. 2020. Údaje o nápadu, obživě a vyřízených věcech jsou za rok 2019. Data o počtu nevyřízených věcí jsou k 31. 12. 2019.</w:t>
      </w:r>
    </w:p>
    <w:p w:rsidR="00A4083A" w:rsidRDefault="00A4083A" w:rsidP="00A4083A">
      <w:pPr>
        <w:spacing w:line="240" w:lineRule="auto"/>
        <w:jc w:val="left"/>
        <w:rPr>
          <w:rFonts w:eastAsia="Times New Roman"/>
          <w:b/>
          <w:iCs/>
          <w:spacing w:val="15"/>
          <w:szCs w:val="24"/>
        </w:rPr>
      </w:pPr>
      <w:bookmarkStart w:id="527" w:name="_Toc515871493"/>
      <w:bookmarkStart w:id="528" w:name="_Toc11133260"/>
      <w:r>
        <w:br w:type="page"/>
      </w:r>
    </w:p>
    <w:p w:rsidR="00A4083A" w:rsidRPr="00D17312" w:rsidRDefault="00A4083A" w:rsidP="00A4083A">
      <w:pPr>
        <w:pStyle w:val="Podnadpis"/>
        <w:rPr>
          <w:color w:val="auto"/>
        </w:rPr>
      </w:pPr>
      <w:bookmarkStart w:id="529" w:name="_Toc43931239"/>
      <w:r w:rsidRPr="00D17312">
        <w:rPr>
          <w:color w:val="auto"/>
        </w:rPr>
        <w:lastRenderedPageBreak/>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66</w:t>
      </w:r>
      <w:r w:rsidRPr="00D17312">
        <w:rPr>
          <w:noProof/>
          <w:color w:val="auto"/>
        </w:rPr>
        <w:fldChar w:fldCharType="end"/>
      </w:r>
      <w:r w:rsidRPr="00D17312">
        <w:rPr>
          <w:color w:val="auto"/>
        </w:rPr>
        <w:t>: KS – vyřizování správních věcí na soudce dle soudů</w:t>
      </w:r>
      <w:bookmarkEnd w:id="527"/>
      <w:bookmarkEnd w:id="528"/>
      <w:bookmarkEnd w:id="529"/>
    </w:p>
    <w:tbl>
      <w:tblPr>
        <w:tblW w:w="8780" w:type="dxa"/>
        <w:tblCellMar>
          <w:left w:w="70" w:type="dxa"/>
          <w:right w:w="70" w:type="dxa"/>
        </w:tblCellMar>
        <w:tblLook w:val="04A0" w:firstRow="1" w:lastRow="0" w:firstColumn="1" w:lastColumn="0" w:noHBand="0" w:noVBand="1"/>
      </w:tblPr>
      <w:tblGrid>
        <w:gridCol w:w="2480"/>
        <w:gridCol w:w="1660"/>
        <w:gridCol w:w="2036"/>
        <w:gridCol w:w="1141"/>
        <w:gridCol w:w="1463"/>
      </w:tblGrid>
      <w:tr w:rsidR="00A4083A" w:rsidRPr="00D17312" w:rsidTr="00A41C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166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soudců</w:t>
            </w:r>
          </w:p>
        </w:tc>
        <w:tc>
          <w:tcPr>
            <w:tcW w:w="4640" w:type="dxa"/>
            <w:gridSpan w:val="3"/>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věcí na soudce</w:t>
            </w:r>
          </w:p>
        </w:tc>
      </w:tr>
      <w:tr w:rsidR="00A4083A" w:rsidRPr="00D17312" w:rsidTr="00A41CAB">
        <w:trPr>
          <w:trHeight w:val="330"/>
        </w:trPr>
        <w:tc>
          <w:tcPr>
            <w:tcW w:w="24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66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2036"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Nápad + obživa</w:t>
            </w:r>
          </w:p>
        </w:tc>
        <w:tc>
          <w:tcPr>
            <w:tcW w:w="1141"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Vyřízeno</w:t>
            </w:r>
          </w:p>
        </w:tc>
        <w:tc>
          <w:tcPr>
            <w:tcW w:w="1463"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Nevyřízeno</w:t>
            </w:r>
          </w:p>
        </w:tc>
      </w:tr>
      <w:tr w:rsidR="00A4083A" w:rsidRPr="00D17312"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66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34</w:t>
            </w:r>
          </w:p>
        </w:tc>
        <w:tc>
          <w:tcPr>
            <w:tcW w:w="2036"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100,65</w:t>
            </w:r>
          </w:p>
        </w:tc>
        <w:tc>
          <w:tcPr>
            <w:tcW w:w="1141"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106,91</w:t>
            </w:r>
          </w:p>
        </w:tc>
        <w:tc>
          <w:tcPr>
            <w:tcW w:w="1463"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135,79</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155,00</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147,50</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171,33</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90,00</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103,40</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36,00</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118,50</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124,25</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83,13</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112,86</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125,29</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150,29</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10,7</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68,32</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84,21</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67,85</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66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w:t>
            </w:r>
          </w:p>
        </w:tc>
        <w:tc>
          <w:tcPr>
            <w:tcW w:w="203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114,18</w:t>
            </w:r>
          </w:p>
        </w:tc>
        <w:tc>
          <w:tcPr>
            <w:tcW w:w="114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115,41</w:t>
            </w:r>
          </w:p>
        </w:tc>
        <w:tc>
          <w:tcPr>
            <w:tcW w:w="146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124,53</w:t>
            </w:r>
          </w:p>
        </w:tc>
      </w:tr>
      <w:tr w:rsidR="00A4083A" w:rsidRPr="00D17312"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6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w:t>
            </w:r>
          </w:p>
        </w:tc>
        <w:tc>
          <w:tcPr>
            <w:tcW w:w="203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136,80</w:t>
            </w:r>
          </w:p>
        </w:tc>
        <w:tc>
          <w:tcPr>
            <w:tcW w:w="114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156,20</w:t>
            </w:r>
          </w:p>
        </w:tc>
        <w:tc>
          <w:tcPr>
            <w:tcW w:w="146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65,70</w:t>
            </w:r>
          </w:p>
        </w:tc>
      </w:tr>
      <w:tr w:rsidR="00A4083A" w:rsidRPr="00D17312"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66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97,7</w:t>
            </w:r>
          </w:p>
        </w:tc>
        <w:tc>
          <w:tcPr>
            <w:tcW w:w="203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245,45</w:t>
            </w:r>
          </w:p>
        </w:tc>
        <w:tc>
          <w:tcPr>
            <w:tcW w:w="114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265,47</w:t>
            </w:r>
          </w:p>
        </w:tc>
        <w:tc>
          <w:tcPr>
            <w:tcW w:w="146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162,17</w:t>
            </w:r>
          </w:p>
        </w:tc>
      </w:tr>
    </w:tbl>
    <w:p w:rsidR="00A4083A" w:rsidRPr="00D17312" w:rsidRDefault="00A4083A" w:rsidP="00A4083A">
      <w:pPr>
        <w:rPr>
          <w:highlight w:val="yellow"/>
        </w:rPr>
      </w:pPr>
    </w:p>
    <w:p w:rsidR="00A4083A" w:rsidRDefault="00A4083A" w:rsidP="00A4083A">
      <w:pPr>
        <w:pStyle w:val="OdstavecASR"/>
      </w:pPr>
      <w:r w:rsidRPr="00D17312">
        <w:t xml:space="preserve">V tabulce na první pohled upoutá KS Hradec Králové, který má v porovnání s ostatními krajskými soudy zjevně silnější zastoupení soudců na správním úseku. V počtu nevyřízených věcí si dle očekávání špatně vede MS Praha a KS Brno. V letech 2017 a 2018 vykázal nejvíce nevyřízených věcí v přepočtu na soudce KS Ústí nad Labem. Dle nových dat to je nyní KS Praha. Tyto čtyři soudy tedy zřejmě mají se správní agendou největší problémy, čemuž nasvědčují i délky řízení. Také je třeba zdůraznit, že určité rozdíly ve vyřizování věcí i délkách řízení plynou ze složení agendy a její složitosti. Velmi dobře se naopak daří </w:t>
      </w:r>
      <w:r>
        <w:t>K</w:t>
      </w:r>
      <w:r w:rsidRPr="00D17312">
        <w:t>rajskému soud</w:t>
      </w:r>
      <w:r>
        <w:t>u</w:t>
      </w:r>
      <w:r w:rsidRPr="00D17312">
        <w:t xml:space="preserve"> v Českých Budějovicích.</w:t>
      </w:r>
    </w:p>
    <w:p w:rsidR="00A4083A" w:rsidRPr="00D17312" w:rsidRDefault="00A4083A" w:rsidP="00A4083A">
      <w:pPr>
        <w:pStyle w:val="Nadpis3"/>
        <w:rPr>
          <w:color w:val="auto"/>
        </w:rPr>
      </w:pPr>
      <w:bookmarkStart w:id="530" w:name="_Toc515871270"/>
      <w:bookmarkStart w:id="531" w:name="_Toc43903079"/>
      <w:r w:rsidRPr="00D17312">
        <w:rPr>
          <w:color w:val="auto"/>
        </w:rPr>
        <w:t>Disposition time</w:t>
      </w:r>
      <w:bookmarkEnd w:id="530"/>
      <w:bookmarkEnd w:id="531"/>
    </w:p>
    <w:p w:rsidR="00A4083A" w:rsidRPr="00D17312" w:rsidRDefault="00A4083A" w:rsidP="00A4083A">
      <w:pPr>
        <w:pStyle w:val="OdstavecASR"/>
      </w:pPr>
      <w:r w:rsidRPr="00D17312">
        <w:t>DT potvrzuje závěry z předchozích podkapitol. Celkově je značně vysoký, což plyne z poměru nevyřízených věcí k vyřízeným. Díky výraznému poklesu v počtu nevyřízených věcí došlo ke značnému poklesu DT. Díky tomu pak DT po šesti letech klesl pod 365 (počet nevyřízených věcí je menší než počet věcí vyřízených).</w:t>
      </w:r>
    </w:p>
    <w:p w:rsidR="00A4083A" w:rsidRPr="00D17312" w:rsidRDefault="00A4083A" w:rsidP="00A4083A">
      <w:pPr>
        <w:pStyle w:val="OdstavecASR"/>
      </w:pPr>
      <w:r w:rsidRPr="00D17312">
        <w:t>Velký nárůst v DT v roce 2011 vyplývá z toho, že v roce 2010 došlo k velkému dočasnému poklesu v nápadu, který se samozřejmě odrazil i v poklesu počtu vyřízených věcí. Vzhledem k vysokým délkám řízení došlo k tomuto poklesu až o rok později. Podobně jako u ostatních ukazatelů DT jasně ukazuje, že největší problémy s vyřizováním správní agendy má MS Praha, KS Ústí nad Labem a KS Praha. Další soudy ale také mají vysoké DT, snad pouze s výjimkou KS Č. Budějovice.</w:t>
      </w:r>
    </w:p>
    <w:p w:rsidR="00A4083A" w:rsidRPr="00D17312" w:rsidRDefault="00A4083A" w:rsidP="00A4083A">
      <w:pPr>
        <w:pStyle w:val="Podnadpis"/>
        <w:rPr>
          <w:color w:val="auto"/>
        </w:rPr>
      </w:pPr>
      <w:bookmarkStart w:id="532" w:name="_Toc515871401"/>
      <w:bookmarkStart w:id="533" w:name="_Toc11135132"/>
      <w:bookmarkStart w:id="534" w:name="_Toc43841451"/>
      <w:r w:rsidRPr="00D17312">
        <w:rPr>
          <w:color w:val="auto"/>
        </w:rPr>
        <w:lastRenderedPageBreak/>
        <w:t xml:space="preserve">Graf </w:t>
      </w:r>
      <w:r w:rsidRPr="00D17312">
        <w:rPr>
          <w:noProof/>
          <w:color w:val="auto"/>
        </w:rPr>
        <w:fldChar w:fldCharType="begin"/>
      </w:r>
      <w:r w:rsidRPr="00D17312">
        <w:rPr>
          <w:noProof/>
          <w:color w:val="auto"/>
        </w:rPr>
        <w:instrText xml:space="preserve"> SEQ Graf \* ARABIC </w:instrText>
      </w:r>
      <w:r w:rsidRPr="00D17312">
        <w:rPr>
          <w:noProof/>
          <w:color w:val="auto"/>
        </w:rPr>
        <w:fldChar w:fldCharType="separate"/>
      </w:r>
      <w:r w:rsidR="006E7F27">
        <w:rPr>
          <w:noProof/>
          <w:color w:val="auto"/>
        </w:rPr>
        <w:t>71</w:t>
      </w:r>
      <w:r w:rsidRPr="00D17312">
        <w:rPr>
          <w:noProof/>
          <w:color w:val="auto"/>
        </w:rPr>
        <w:fldChar w:fldCharType="end"/>
      </w:r>
      <w:r w:rsidRPr="00D17312">
        <w:rPr>
          <w:color w:val="auto"/>
        </w:rPr>
        <w:t>: KS – DT správního řízení v letech 2008–201</w:t>
      </w:r>
      <w:bookmarkEnd w:id="532"/>
      <w:bookmarkEnd w:id="533"/>
      <w:r w:rsidRPr="00D17312">
        <w:rPr>
          <w:color w:val="auto"/>
        </w:rPr>
        <w:t>9</w:t>
      </w:r>
      <w:bookmarkEnd w:id="534"/>
    </w:p>
    <w:p w:rsidR="00A4083A" w:rsidRDefault="00A4083A" w:rsidP="00A4083A">
      <w:pPr>
        <w:rPr>
          <w:highlight w:val="yellow"/>
        </w:rPr>
      </w:pPr>
      <w:r w:rsidRPr="00D17312">
        <w:rPr>
          <w:noProof/>
          <w:lang w:eastAsia="cs-CZ"/>
        </w:rPr>
        <w:drawing>
          <wp:inline distT="0" distB="0" distL="0" distR="0" wp14:anchorId="5D0681FD" wp14:editId="5DB5B953">
            <wp:extent cx="5112385" cy="3745230"/>
            <wp:effectExtent l="0" t="0" r="0" b="7620"/>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A4083A" w:rsidRPr="00D17312" w:rsidRDefault="00A4083A" w:rsidP="00A4083A">
      <w:pPr>
        <w:rPr>
          <w:highlight w:val="yellow"/>
        </w:rPr>
      </w:pPr>
    </w:p>
    <w:p w:rsidR="00A4083A" w:rsidRPr="00D17312" w:rsidRDefault="00A4083A" w:rsidP="00A4083A">
      <w:pPr>
        <w:pStyle w:val="Podnadpis"/>
        <w:rPr>
          <w:color w:val="auto"/>
        </w:rPr>
      </w:pPr>
      <w:bookmarkStart w:id="535" w:name="_Toc515871494"/>
      <w:bookmarkStart w:id="536" w:name="_Toc11133261"/>
      <w:bookmarkStart w:id="537" w:name="_Toc43931240"/>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67</w:t>
      </w:r>
      <w:r w:rsidRPr="00D17312">
        <w:rPr>
          <w:noProof/>
          <w:color w:val="auto"/>
        </w:rPr>
        <w:fldChar w:fldCharType="end"/>
      </w:r>
      <w:r w:rsidRPr="00D17312">
        <w:rPr>
          <w:color w:val="auto"/>
        </w:rPr>
        <w:t>: KS – DT správního řízení dle soudů</w:t>
      </w:r>
      <w:bookmarkEnd w:id="535"/>
      <w:bookmarkEnd w:id="536"/>
      <w:bookmarkEnd w:id="537"/>
    </w:p>
    <w:tbl>
      <w:tblPr>
        <w:tblW w:w="5960" w:type="dxa"/>
        <w:tblCellMar>
          <w:left w:w="70" w:type="dxa"/>
          <w:right w:w="70" w:type="dxa"/>
        </w:tblCellMar>
        <w:tblLook w:val="04A0" w:firstRow="1" w:lastRow="0" w:firstColumn="1" w:lastColumn="0" w:noHBand="0" w:noVBand="1"/>
      </w:tblPr>
      <w:tblGrid>
        <w:gridCol w:w="2780"/>
        <w:gridCol w:w="1253"/>
        <w:gridCol w:w="1927"/>
      </w:tblGrid>
      <w:tr w:rsidR="00A4083A" w:rsidRPr="00D17312" w:rsidTr="00A41CAB">
        <w:trPr>
          <w:trHeight w:val="345"/>
        </w:trPr>
        <w:tc>
          <w:tcPr>
            <w:tcW w:w="278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Disposition time</w:t>
            </w:r>
          </w:p>
        </w:tc>
      </w:tr>
      <w:tr w:rsidR="00A4083A" w:rsidRPr="00D17312" w:rsidTr="00A41CAB">
        <w:trPr>
          <w:trHeight w:val="330"/>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518</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470</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+38</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194</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306</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+34</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483</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420</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+13</w:t>
            </w:r>
            <w:r>
              <w:rPr>
                <w:rFonts w:eastAsia="Times New Roman"/>
                <w:sz w:val="20"/>
                <w:szCs w:val="20"/>
                <w:lang w:eastAsia="cs-CZ"/>
              </w:rPr>
              <w:t> %</w:t>
            </w:r>
          </w:p>
        </w:tc>
      </w:tr>
      <w:tr w:rsidR="00A4083A" w:rsidRPr="00D17312" w:rsidTr="00A41CAB">
        <w:trPr>
          <w:trHeight w:val="315"/>
        </w:trPr>
        <w:tc>
          <w:tcPr>
            <w:tcW w:w="27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25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414</w:t>
            </w:r>
          </w:p>
        </w:tc>
        <w:tc>
          <w:tcPr>
            <w:tcW w:w="192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+16</w:t>
            </w:r>
            <w:r>
              <w:rPr>
                <w:rFonts w:eastAsia="Times New Roman"/>
                <w:sz w:val="20"/>
                <w:szCs w:val="20"/>
                <w:lang w:eastAsia="cs-CZ"/>
              </w:rPr>
              <w:t> %</w:t>
            </w:r>
          </w:p>
        </w:tc>
      </w:tr>
      <w:tr w:rsidR="00A4083A" w:rsidRPr="00D17312" w:rsidTr="00A41CAB">
        <w:trPr>
          <w:trHeight w:val="330"/>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25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215</w:t>
            </w:r>
          </w:p>
        </w:tc>
        <w:tc>
          <w:tcPr>
            <w:tcW w:w="1927"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-34</w:t>
            </w:r>
            <w:r>
              <w:rPr>
                <w:rFonts w:eastAsia="Times New Roman"/>
                <w:sz w:val="20"/>
                <w:szCs w:val="20"/>
                <w:lang w:eastAsia="cs-CZ"/>
              </w:rPr>
              <w:t> %</w:t>
            </w:r>
          </w:p>
        </w:tc>
      </w:tr>
      <w:tr w:rsidR="00A4083A" w:rsidRPr="00D17312" w:rsidTr="00A41CAB">
        <w:trPr>
          <w:trHeight w:val="345"/>
        </w:trPr>
        <w:tc>
          <w:tcPr>
            <w:tcW w:w="27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25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412</w:t>
            </w:r>
          </w:p>
        </w:tc>
        <w:tc>
          <w:tcPr>
            <w:tcW w:w="1927"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+3</w:t>
            </w:r>
            <w:r>
              <w:rPr>
                <w:rFonts w:eastAsia="Times New Roman"/>
                <w:b/>
                <w:bCs/>
                <w:sz w:val="20"/>
                <w:szCs w:val="20"/>
                <w:lang w:eastAsia="cs-CZ"/>
              </w:rPr>
              <w:t> %</w:t>
            </w:r>
          </w:p>
        </w:tc>
      </w:tr>
    </w:tbl>
    <w:p w:rsidR="00A4083A" w:rsidRPr="00D17312" w:rsidRDefault="00A4083A" w:rsidP="00A4083A">
      <w:pPr>
        <w:rPr>
          <w:highlight w:val="yellow"/>
        </w:rPr>
      </w:pPr>
    </w:p>
    <w:p w:rsidR="00A4083A" w:rsidRDefault="00A4083A" w:rsidP="00A4083A">
      <w:pPr>
        <w:pStyle w:val="OdstavecASR"/>
      </w:pPr>
      <w:r w:rsidRPr="00D17312">
        <w:t>Celkově jsou délky řízení ve správním soudnictví značně vysoké a značná je i zatíženost správních úseků soudů. Městskému soudu v Praze se již alespoň podařilo zarazit rostoucí trend v délkách řízení a v počtu nevyřízených věcí. Celkově situace ve správním soudnictví nevypadá dobře, nicméně se již objevují první pozitiva, jako je pokles příchozích a nevyřízených věcí v tomto roce.</w:t>
      </w:r>
    </w:p>
    <w:p w:rsidR="00A4083A" w:rsidRPr="00D17312" w:rsidRDefault="00A4083A" w:rsidP="00A4083A">
      <w:pPr>
        <w:pStyle w:val="OdstavecASR"/>
      </w:pPr>
      <w:r w:rsidRPr="00D17312">
        <w:t xml:space="preserve">Ministerstvo spravedlnosti si je problémů </w:t>
      </w:r>
      <w:r>
        <w:t xml:space="preserve">v agendě správního soudnictví </w:t>
      </w:r>
      <w:r w:rsidRPr="00D17312">
        <w:t>vědomo a zahájilo cílené posilování správních úseků vybraných soudů.</w:t>
      </w:r>
    </w:p>
    <w:p w:rsidR="00A4083A" w:rsidRPr="00D17312" w:rsidRDefault="00A4083A" w:rsidP="00A4083A">
      <w:pPr>
        <w:spacing w:line="240" w:lineRule="auto"/>
        <w:jc w:val="left"/>
      </w:pPr>
      <w:r w:rsidRPr="00D17312">
        <w:br w:type="page"/>
      </w:r>
    </w:p>
    <w:p w:rsidR="00A4083A" w:rsidRPr="00D17312" w:rsidRDefault="00A4083A" w:rsidP="00A4083A">
      <w:pPr>
        <w:pStyle w:val="Nadpis2"/>
      </w:pPr>
      <w:bookmarkStart w:id="538" w:name="_Ref511982760"/>
      <w:bookmarkStart w:id="539" w:name="_Toc515871272"/>
      <w:bookmarkStart w:id="540" w:name="_Toc43903080"/>
      <w:r w:rsidRPr="00D17312">
        <w:lastRenderedPageBreak/>
        <w:t>Insolvenční agenda</w:t>
      </w:r>
      <w:bookmarkEnd w:id="538"/>
      <w:bookmarkEnd w:id="539"/>
      <w:bookmarkEnd w:id="540"/>
    </w:p>
    <w:p w:rsidR="00A4083A" w:rsidRPr="00D17312" w:rsidRDefault="00A4083A" w:rsidP="00A4083A">
      <w:pPr>
        <w:pStyle w:val="OdstavecASR"/>
      </w:pPr>
      <w:r w:rsidRPr="00D17312">
        <w:t>Insolvenční agenda je vedena v prvostupňovém rejstříku INS. Ve vedení statistik nedošlo v průběhu sledovaných let k žádným změnám. Přesto můžeme očekávat, že se většina ukazatelů během let výrazně měnila. Jedná se totiž o poměrně novou agendu z roku 2008 (do té doby byly insolvenční věci upraveny jiným systémem a byly vedeny v jiných rejstřících) a obvykle trvá několik let, než se ukazatele ustálí. Je ještě třeba připomenout, že součástí insolvenční agendy je projednávání a rozhodování incidenčních sporů, které jsou vedeny v rejstříku ICm. Tomuto rejstříku se věnuje další kapitola.</w:t>
      </w:r>
    </w:p>
    <w:p w:rsidR="00A4083A" w:rsidRDefault="00A4083A" w:rsidP="00A4083A">
      <w:pPr>
        <w:pStyle w:val="OdstavecASR"/>
      </w:pPr>
      <w:bookmarkStart w:id="541" w:name="_Toc515871273"/>
      <w:r w:rsidRPr="00D17312">
        <w:t xml:space="preserve">Když tato agenda vznikla, dalo se říci, že ve skutečnosti šlo o dvě zcela odlišné agendy – insolvenci podnikatelů (zejména osob právnických a podnikajících fyzických osob) a insolvenci nepodnikatelů (zpravidla fyzických osob jako spotřebitelů). Insolvence fyzických osob spotřebitelů se </w:t>
      </w:r>
      <w:r>
        <w:t>označovaly</w:t>
      </w:r>
      <w:r w:rsidRPr="00D17312">
        <w:t xml:space="preserve"> jako spotřebitelské insolvence. Podnikatelské </w:t>
      </w:r>
      <w:r>
        <w:t>a</w:t>
      </w:r>
      <w:r w:rsidRPr="00D17312">
        <w:t xml:space="preserve"> spotřebitelské insolvence tak představ</w:t>
      </w:r>
      <w:r>
        <w:t>ovaly</w:t>
      </w:r>
      <w:r w:rsidRPr="00D17312">
        <w:t xml:space="preserve"> skutkově i právně rozdílné druhy insolvencí. V naprosté většině případů se spotřebitelské insolvence řešily a dodnes řeší tzv. oddlužením, naopak ty podnikatelské zpravidla konkursem. Toto rozdělení však postupem času a dalšími novelizacemi zákona č. 182/2006 Sb., o úpadku a způsobech jeho řešení (insolvenční zákon), který tuto agendu upravuje, </w:t>
      </w:r>
      <w:r>
        <w:t xml:space="preserve">částečně </w:t>
      </w:r>
      <w:r w:rsidRPr="00D17312">
        <w:t xml:space="preserve">ztratilo na důležitosti. Zejména významná novela </w:t>
      </w:r>
      <w:r>
        <w:t xml:space="preserve">insolvenčního zákona </w:t>
      </w:r>
      <w:r w:rsidRPr="00D17312">
        <w:t>účinná od 1. července 2017</w:t>
      </w:r>
      <w:r>
        <w:t>,</w:t>
      </w:r>
      <w:r w:rsidRPr="00D17312">
        <w:t xml:space="preserve"> provedená zákonem č. 64/2017 Sb.</w:t>
      </w:r>
      <w:r>
        <w:t>,</w:t>
      </w:r>
      <w:r w:rsidRPr="00D17312">
        <w:t xml:space="preserve"> ještě podstatněji otevřela podnikajícím fyzickým osobám možnost řešit úpadek oddlužením. </w:t>
      </w:r>
      <w:r>
        <w:t>I</w:t>
      </w:r>
      <w:r w:rsidRPr="00D17312">
        <w:t xml:space="preserve"> právnické osoby, které zákon nezařazuje mezi podnikatele, </w:t>
      </w:r>
      <w:r>
        <w:t xml:space="preserve">nadto </w:t>
      </w:r>
      <w:r w:rsidRPr="00D17312">
        <w:t>mají možnost projít oddlužením.</w:t>
      </w:r>
      <w:r>
        <w:t xml:space="preserve"> V důsledku</w:t>
      </w:r>
      <w:r w:rsidRPr="00D17312">
        <w:t xml:space="preserve"> to</w:t>
      </w:r>
      <w:r>
        <w:t>ho</w:t>
      </w:r>
      <w:r w:rsidRPr="00D17312">
        <w:t xml:space="preserve"> </w:t>
      </w:r>
      <w:r>
        <w:t xml:space="preserve">již </w:t>
      </w:r>
      <w:r w:rsidRPr="00D17312">
        <w:t>rozdělení na spotřebitelské a</w:t>
      </w:r>
      <w:r>
        <w:t> </w:t>
      </w:r>
      <w:r w:rsidRPr="00D17312">
        <w:t xml:space="preserve">podnikatelské insolvence jen podle </w:t>
      </w:r>
      <w:r>
        <w:t>členění</w:t>
      </w:r>
      <w:r w:rsidRPr="00D17312">
        <w:t xml:space="preserve"> na fyzické a právnické osoby </w:t>
      </w:r>
      <w:r>
        <w:t>nadále plně nekoresponduje. Ministerstvo spravedlnosti pak b</w:t>
      </w:r>
      <w:r w:rsidRPr="00D17312">
        <w:t>ohužel v současné době ne vždy disponuje daty, která by umožnila</w:t>
      </w:r>
      <w:r>
        <w:t xml:space="preserve"> </w:t>
      </w:r>
      <w:r w:rsidRPr="00D17312">
        <w:t xml:space="preserve">spotřebitelské a podnikatelské insolvence </w:t>
      </w:r>
      <w:r>
        <w:t>důsledně</w:t>
      </w:r>
      <w:r w:rsidRPr="00D17312">
        <w:t xml:space="preserve"> rozlišit. V podkapitole </w:t>
      </w:r>
      <w:r>
        <w:t xml:space="preserve">věnované </w:t>
      </w:r>
      <w:r w:rsidRPr="00D17312">
        <w:t>délk</w:t>
      </w:r>
      <w:r>
        <w:t>ám</w:t>
      </w:r>
      <w:r w:rsidRPr="00D17312">
        <w:t xml:space="preserve"> řízení </w:t>
      </w:r>
      <w:r>
        <w:t>proto</w:t>
      </w:r>
      <w:r w:rsidRPr="00D17312">
        <w:t xml:space="preserve"> dělíme insolvence na insolvence fyzických osob (ty ale zahrnují i podnikající fyzické osoby) a insolvence právnických osob. V ostatních podkapitolách nejsou k dispozici data, která by dělení umožnila. Další novela insolvenčního zákona (zákon č. 31/2019 Sb.) účinná od 1. června 2019 kromě řady změn technického charakteru opětovně zásadně zasáhla do procesu oddlužení. Jejím hlavním záměrem je zpřístupnění institutu oddlužení i dlužníkům v tzv. </w:t>
      </w:r>
      <w:r w:rsidRPr="00D17312">
        <w:rPr>
          <w:i/>
        </w:rPr>
        <w:t>dluhové pasti</w:t>
      </w:r>
      <w:r w:rsidRPr="00D17312">
        <w:t>. Novel</w:t>
      </w:r>
      <w:r>
        <w:t xml:space="preserve">a zároveň </w:t>
      </w:r>
      <w:r w:rsidRPr="00D17312">
        <w:t xml:space="preserve">reagovala na potřeby, které vyplynuly z aplikační praxe pro oddlužení fyzických osob </w:t>
      </w:r>
      <w:r>
        <w:t xml:space="preserve">– </w:t>
      </w:r>
      <w:r w:rsidRPr="00D17312">
        <w:t xml:space="preserve">podnikatelů. Změny zavedené </w:t>
      </w:r>
      <w:r>
        <w:t>poslední</w:t>
      </w:r>
      <w:r w:rsidRPr="00D17312">
        <w:t xml:space="preserve"> novelou jsou velmi významné a jejich účinek bude mít dopad v delším časovém horizontu. </w:t>
      </w:r>
      <w:r>
        <w:t xml:space="preserve">Mohou </w:t>
      </w:r>
      <w:r w:rsidRPr="00D17312">
        <w:t>ovlivnit jak délky řízení, tak vyřizování insolvenčních věcí.</w:t>
      </w:r>
    </w:p>
    <w:p w:rsidR="00A4083A" w:rsidRPr="00D17312" w:rsidRDefault="00A4083A" w:rsidP="00A4083A">
      <w:pPr>
        <w:pStyle w:val="Nadpis3"/>
        <w:rPr>
          <w:color w:val="auto"/>
        </w:rPr>
      </w:pPr>
      <w:bookmarkStart w:id="542" w:name="_Toc43903081"/>
      <w:r w:rsidRPr="00D17312">
        <w:rPr>
          <w:color w:val="auto"/>
        </w:rPr>
        <w:t>Délka řízení</w:t>
      </w:r>
      <w:bookmarkEnd w:id="541"/>
      <w:bookmarkEnd w:id="542"/>
    </w:p>
    <w:p w:rsidR="00A4083A" w:rsidRPr="00D17312" w:rsidRDefault="00A4083A" w:rsidP="00A4083A">
      <w:pPr>
        <w:pStyle w:val="OdstavecASR"/>
      </w:pPr>
      <w:r w:rsidRPr="00D17312">
        <w:t>Sledování délky řízení je u této agendy složitější, protože se jedná o vícefázové řízení upravené insolvenčním zákonem. Jednoduše řečeno, v první fázi je rozhodnuto o insolvenčním návrhu, případně i o způsobu řešení úpadku. Pokud insolvenční soud nerozhodne o úpadku a vyřídí tedy insolvenční návrh jiným způsobem, řízení končí. V opačném případě nastává další fáze řízení, jejíž délka se odvíjí především od způsobu řešení úpadku (oddlužení, konkur</w:t>
      </w:r>
      <w:r>
        <w:t>s</w:t>
      </w:r>
      <w:r w:rsidRPr="00D17312">
        <w:t xml:space="preserve">, reorganizace). Například oddlužení běžně trvá pět let. Soud má reálný vliv na délku řízení pouze v první fázi, ve fázi řešení úpadku má u oddlužení pouze nepřímý vliv na délku řízení. Zkoumat tedy budeme délku řízení týkající </w:t>
      </w:r>
      <w:r>
        <w:t xml:space="preserve">se </w:t>
      </w:r>
      <w:r w:rsidRPr="00D17312">
        <w:t>právě této první fáze insolvenčního řízení. Budeme pracovat s délkou řízení ode dne zahájení řízení do dne rozhodnutí o insolvenčním návrhu, tedy do dne, kdy bylo rozhodnuto o úpadku nebo bylo o insolvenčním návrhu rozhodnuto jinak.</w:t>
      </w:r>
    </w:p>
    <w:p w:rsidR="00A4083A" w:rsidRPr="00D17312" w:rsidRDefault="00A4083A" w:rsidP="00A4083A">
      <w:pPr>
        <w:pStyle w:val="Podnadpis"/>
        <w:rPr>
          <w:color w:val="auto"/>
        </w:rPr>
      </w:pPr>
      <w:bookmarkStart w:id="543" w:name="_Toc515871402"/>
      <w:bookmarkStart w:id="544" w:name="_Toc11135133"/>
      <w:bookmarkStart w:id="545" w:name="_Toc43841452"/>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72</w:t>
      </w:r>
      <w:r w:rsidRPr="00D17312">
        <w:rPr>
          <w:noProof/>
          <w:color w:val="auto"/>
        </w:rPr>
        <w:fldChar w:fldCharType="end"/>
      </w:r>
      <w:r w:rsidRPr="00D17312">
        <w:rPr>
          <w:color w:val="auto"/>
        </w:rPr>
        <w:t>: KS – délka insolvenčního řízení v letech 2008–201</w:t>
      </w:r>
      <w:bookmarkEnd w:id="543"/>
      <w:bookmarkEnd w:id="544"/>
      <w:r w:rsidRPr="00D17312">
        <w:rPr>
          <w:color w:val="auto"/>
        </w:rPr>
        <w:t>9</w:t>
      </w:r>
      <w:bookmarkEnd w:id="545"/>
    </w:p>
    <w:p w:rsidR="00A4083A" w:rsidRPr="00D17312" w:rsidRDefault="00A4083A" w:rsidP="00A4083A">
      <w:pPr>
        <w:rPr>
          <w:highlight w:val="yellow"/>
        </w:rPr>
      </w:pPr>
      <w:r w:rsidRPr="00D17312">
        <w:rPr>
          <w:noProof/>
          <w:lang w:eastAsia="cs-CZ"/>
        </w:rPr>
        <w:drawing>
          <wp:inline distT="0" distB="0" distL="0" distR="0" wp14:anchorId="1F938D01" wp14:editId="7A952FC2">
            <wp:extent cx="5114925" cy="3743325"/>
            <wp:effectExtent l="0" t="0" r="0" b="9525"/>
            <wp:docPr id="131" name="Obráze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pPr>
      <w:r w:rsidRPr="00D17312">
        <w:t>Na grafu sledujeme zjevný rostoucí trend, který ale postupně zpomaluje. Nárůst v prvních letech lze jednoduše vysvětlit. Jednalo se o zcela novou soudní agendu, počet napadlých a vyřízených věcí byl velmi malý a soudy neměly žádné nedodělky z minula. Postupem času se musela vykazovaná délka řízení nezbytně zvýšit. Od roku 2014 je již nicméně poměrně stabilní. V absolutních číslech jsou vykazované délky řízení v porovnání s ostatními agendami relativně malé. V roce 2017 vzrostl o několik dnů medián, ale na druhou stranu klesl devadesátý percentil. To znamená, že klesla variabilita v délkách řízení</w:t>
      </w:r>
      <w:r>
        <w:t>:</w:t>
      </w:r>
      <w:r w:rsidRPr="00D17312">
        <w:t xml:space="preserve"> </w:t>
      </w:r>
      <w:r>
        <w:t>v</w:t>
      </w:r>
      <w:r w:rsidRPr="00D17312">
        <w:t>yřídit běžnou věc trvalo déle, ale extrémně dlouhé věci byly vyřízeny rychleji. V roce 2018 pak narostly medián, průměr i percentil 90, ale jen velmi mírně. V roce 2019 došlo k mírnému poklesu, například průměr klesl na úroveň roku 2015.</w:t>
      </w:r>
    </w:p>
    <w:p w:rsidR="00A4083A" w:rsidRDefault="00A4083A" w:rsidP="00A4083A">
      <w:pPr>
        <w:pStyle w:val="OdstavecASR"/>
      </w:pPr>
      <w:r w:rsidRPr="00D17312">
        <w:t>V tabulce vidíme, že rozdíly v délce řízení jsou mezi soudy malé. To naznačuje, že v ČR není soud, který by měl výraznější problémy s vyřizováním insolvenčních návrhů</w:t>
      </w:r>
      <w:bookmarkStart w:id="546" w:name="_Toc515871496"/>
      <w:bookmarkStart w:id="547" w:name="_Toc11133262"/>
      <w:r w:rsidRPr="00D17312">
        <w:t>. Zaujme značný pokles délek řízení u KS Ostrava, a to mediánu, průměru i percentilu 90.</w:t>
      </w:r>
    </w:p>
    <w:p w:rsidR="00A4083A" w:rsidRDefault="00A4083A" w:rsidP="00A4083A">
      <w:pPr>
        <w:spacing w:line="240" w:lineRule="auto"/>
        <w:jc w:val="left"/>
      </w:pPr>
      <w:r>
        <w:br w:type="page"/>
      </w:r>
    </w:p>
    <w:p w:rsidR="00A4083A" w:rsidRPr="00D17312" w:rsidRDefault="00A4083A" w:rsidP="00A4083A">
      <w:pPr>
        <w:pStyle w:val="Podnadpis"/>
        <w:rPr>
          <w:color w:val="auto"/>
          <w:highlight w:val="yellow"/>
        </w:rPr>
      </w:pPr>
      <w:bookmarkStart w:id="548" w:name="_Toc43931241"/>
      <w:r w:rsidRPr="00D17312">
        <w:rPr>
          <w:color w:val="auto"/>
        </w:rPr>
        <w:lastRenderedPageBreak/>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68</w:t>
      </w:r>
      <w:r w:rsidRPr="00D17312">
        <w:rPr>
          <w:noProof/>
          <w:color w:val="auto"/>
        </w:rPr>
        <w:fldChar w:fldCharType="end"/>
      </w:r>
      <w:r w:rsidRPr="00D17312">
        <w:rPr>
          <w:color w:val="auto"/>
        </w:rPr>
        <w:t>: KS – délky insolvenčního řízení dle soudů</w:t>
      </w:r>
      <w:bookmarkEnd w:id="546"/>
      <w:bookmarkEnd w:id="547"/>
      <w:bookmarkEnd w:id="548"/>
    </w:p>
    <w:tbl>
      <w:tblPr>
        <w:tblW w:w="7958" w:type="dxa"/>
        <w:tblCellMar>
          <w:left w:w="70" w:type="dxa"/>
          <w:right w:w="70" w:type="dxa"/>
        </w:tblCellMar>
        <w:tblLook w:val="04A0" w:firstRow="1" w:lastRow="0" w:firstColumn="1" w:lastColumn="0" w:noHBand="0" w:noVBand="1"/>
      </w:tblPr>
      <w:tblGrid>
        <w:gridCol w:w="2480"/>
        <w:gridCol w:w="781"/>
        <w:gridCol w:w="1050"/>
        <w:gridCol w:w="6"/>
        <w:gridCol w:w="740"/>
        <w:gridCol w:w="1054"/>
        <w:gridCol w:w="6"/>
        <w:gridCol w:w="785"/>
        <w:gridCol w:w="1050"/>
        <w:gridCol w:w="6"/>
      </w:tblGrid>
      <w:tr w:rsidR="00A4083A" w:rsidRPr="00D17312" w:rsidTr="00A41CAB">
        <w:trPr>
          <w:gridAfter w:val="1"/>
          <w:wAfter w:w="6" w:type="dxa"/>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5472" w:type="dxa"/>
            <w:gridSpan w:val="8"/>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Délka řízení</w:t>
            </w:r>
          </w:p>
        </w:tc>
      </w:tr>
      <w:tr w:rsidR="00A4083A" w:rsidRPr="00D17312" w:rsidTr="00A41CAB">
        <w:trPr>
          <w:gridAfter w:val="1"/>
          <w:wAfter w:w="6" w:type="dxa"/>
          <w:trHeight w:val="330"/>
        </w:trPr>
        <w:tc>
          <w:tcPr>
            <w:tcW w:w="24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831" w:type="dxa"/>
            <w:gridSpan w:val="2"/>
            <w:tcBorders>
              <w:top w:val="nil"/>
              <w:left w:val="nil"/>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Průměr</w:t>
            </w:r>
          </w:p>
        </w:tc>
        <w:tc>
          <w:tcPr>
            <w:tcW w:w="1800" w:type="dxa"/>
            <w:gridSpan w:val="3"/>
            <w:tcBorders>
              <w:top w:val="nil"/>
              <w:left w:val="nil"/>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Medián</w:t>
            </w:r>
          </w:p>
        </w:tc>
        <w:tc>
          <w:tcPr>
            <w:tcW w:w="1841" w:type="dxa"/>
            <w:gridSpan w:val="3"/>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Percentil 90</w:t>
            </w:r>
          </w:p>
        </w:tc>
      </w:tr>
      <w:tr w:rsidR="00A4083A" w:rsidRPr="00D17312"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781"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87</w:t>
            </w:r>
          </w:p>
        </w:tc>
        <w:tc>
          <w:tcPr>
            <w:tcW w:w="1056" w:type="dxa"/>
            <w:gridSpan w:val="2"/>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74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56</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-10</w:t>
            </w:r>
            <w:r>
              <w:rPr>
                <w:rFonts w:eastAsia="Times New Roman"/>
                <w:sz w:val="20"/>
                <w:szCs w:val="20"/>
                <w:lang w:eastAsia="cs-CZ"/>
              </w:rPr>
              <w:t> %</w:t>
            </w:r>
          </w:p>
        </w:tc>
        <w:tc>
          <w:tcPr>
            <w:tcW w:w="785"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200</w:t>
            </w:r>
          </w:p>
        </w:tc>
        <w:tc>
          <w:tcPr>
            <w:tcW w:w="1056" w:type="dxa"/>
            <w:gridSpan w:val="2"/>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78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69</w:t>
            </w:r>
          </w:p>
        </w:tc>
        <w:tc>
          <w:tcPr>
            <w:tcW w:w="1056" w:type="dxa"/>
            <w:gridSpan w:val="2"/>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c>
          <w:tcPr>
            <w:tcW w:w="74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48</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-19</w:t>
            </w:r>
            <w:r>
              <w:rPr>
                <w:rFonts w:eastAsia="Times New Roman"/>
                <w:sz w:val="20"/>
                <w:szCs w:val="20"/>
                <w:lang w:eastAsia="cs-CZ"/>
              </w:rPr>
              <w:t> %</w:t>
            </w:r>
          </w:p>
        </w:tc>
        <w:tc>
          <w:tcPr>
            <w:tcW w:w="78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144</w:t>
            </w:r>
          </w:p>
        </w:tc>
        <w:tc>
          <w:tcPr>
            <w:tcW w:w="1056" w:type="dxa"/>
            <w:gridSpan w:val="2"/>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78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63</w:t>
            </w:r>
          </w:p>
        </w:tc>
        <w:tc>
          <w:tcPr>
            <w:tcW w:w="1056" w:type="dxa"/>
            <w:gridSpan w:val="2"/>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74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45</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c>
          <w:tcPr>
            <w:tcW w:w="78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133</w:t>
            </w:r>
          </w:p>
        </w:tc>
        <w:tc>
          <w:tcPr>
            <w:tcW w:w="1056" w:type="dxa"/>
            <w:gridSpan w:val="2"/>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78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68</w:t>
            </w:r>
          </w:p>
        </w:tc>
        <w:tc>
          <w:tcPr>
            <w:tcW w:w="1056" w:type="dxa"/>
            <w:gridSpan w:val="2"/>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74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48</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-13</w:t>
            </w:r>
            <w:r>
              <w:rPr>
                <w:rFonts w:eastAsia="Times New Roman"/>
                <w:sz w:val="20"/>
                <w:szCs w:val="20"/>
                <w:lang w:eastAsia="cs-CZ"/>
              </w:rPr>
              <w:t> %</w:t>
            </w:r>
          </w:p>
        </w:tc>
        <w:tc>
          <w:tcPr>
            <w:tcW w:w="78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133</w:t>
            </w:r>
          </w:p>
        </w:tc>
        <w:tc>
          <w:tcPr>
            <w:tcW w:w="1056" w:type="dxa"/>
            <w:gridSpan w:val="2"/>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78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60</w:t>
            </w:r>
          </w:p>
        </w:tc>
        <w:tc>
          <w:tcPr>
            <w:tcW w:w="1056" w:type="dxa"/>
            <w:gridSpan w:val="2"/>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c>
          <w:tcPr>
            <w:tcW w:w="74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41</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-15</w:t>
            </w:r>
            <w:r>
              <w:rPr>
                <w:rFonts w:eastAsia="Times New Roman"/>
                <w:sz w:val="20"/>
                <w:szCs w:val="20"/>
                <w:lang w:eastAsia="cs-CZ"/>
              </w:rPr>
              <w:t> %</w:t>
            </w:r>
          </w:p>
        </w:tc>
        <w:tc>
          <w:tcPr>
            <w:tcW w:w="78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132</w:t>
            </w:r>
          </w:p>
        </w:tc>
        <w:tc>
          <w:tcPr>
            <w:tcW w:w="1056" w:type="dxa"/>
            <w:gridSpan w:val="2"/>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78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71</w:t>
            </w:r>
          </w:p>
        </w:tc>
        <w:tc>
          <w:tcPr>
            <w:tcW w:w="1056" w:type="dxa"/>
            <w:gridSpan w:val="2"/>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-15</w:t>
            </w:r>
            <w:r>
              <w:rPr>
                <w:rFonts w:eastAsia="Times New Roman"/>
                <w:sz w:val="20"/>
                <w:szCs w:val="20"/>
                <w:lang w:eastAsia="cs-CZ"/>
              </w:rPr>
              <w:t> %</w:t>
            </w:r>
          </w:p>
        </w:tc>
        <w:tc>
          <w:tcPr>
            <w:tcW w:w="74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52</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-17</w:t>
            </w:r>
            <w:r>
              <w:rPr>
                <w:rFonts w:eastAsia="Times New Roman"/>
                <w:sz w:val="20"/>
                <w:szCs w:val="20"/>
                <w:lang w:eastAsia="cs-CZ"/>
              </w:rPr>
              <w:t> %</w:t>
            </w:r>
          </w:p>
        </w:tc>
        <w:tc>
          <w:tcPr>
            <w:tcW w:w="78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147</w:t>
            </w:r>
          </w:p>
        </w:tc>
        <w:tc>
          <w:tcPr>
            <w:tcW w:w="1056" w:type="dxa"/>
            <w:gridSpan w:val="2"/>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-21</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78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81</w:t>
            </w:r>
          </w:p>
        </w:tc>
        <w:tc>
          <w:tcPr>
            <w:tcW w:w="1056" w:type="dxa"/>
            <w:gridSpan w:val="2"/>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-12</w:t>
            </w:r>
            <w:r>
              <w:rPr>
                <w:rFonts w:eastAsia="Times New Roman"/>
                <w:sz w:val="20"/>
                <w:szCs w:val="20"/>
                <w:lang w:eastAsia="cs-CZ"/>
              </w:rPr>
              <w:t> %</w:t>
            </w:r>
          </w:p>
        </w:tc>
        <w:tc>
          <w:tcPr>
            <w:tcW w:w="740"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54</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-14</w:t>
            </w:r>
            <w:r>
              <w:rPr>
                <w:rFonts w:eastAsia="Times New Roman"/>
                <w:sz w:val="20"/>
                <w:szCs w:val="20"/>
                <w:lang w:eastAsia="cs-CZ"/>
              </w:rPr>
              <w:t> %</w:t>
            </w:r>
          </w:p>
        </w:tc>
        <w:tc>
          <w:tcPr>
            <w:tcW w:w="785"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188</w:t>
            </w:r>
          </w:p>
        </w:tc>
        <w:tc>
          <w:tcPr>
            <w:tcW w:w="1056" w:type="dxa"/>
            <w:gridSpan w:val="2"/>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r>
      <w:tr w:rsidR="00A4083A" w:rsidRPr="00D17312"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78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58</w:t>
            </w:r>
          </w:p>
        </w:tc>
        <w:tc>
          <w:tcPr>
            <w:tcW w:w="1056"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-36</w:t>
            </w:r>
            <w:r>
              <w:rPr>
                <w:rFonts w:eastAsia="Times New Roman"/>
                <w:sz w:val="20"/>
                <w:szCs w:val="20"/>
                <w:lang w:eastAsia="cs-CZ"/>
              </w:rPr>
              <w:t> %</w:t>
            </w:r>
          </w:p>
        </w:tc>
        <w:tc>
          <w:tcPr>
            <w:tcW w:w="740"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42</w:t>
            </w:r>
          </w:p>
        </w:tc>
        <w:tc>
          <w:tcPr>
            <w:tcW w:w="1060" w:type="dxa"/>
            <w:gridSpan w:val="2"/>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-32</w:t>
            </w:r>
            <w:r>
              <w:rPr>
                <w:rFonts w:eastAsia="Times New Roman"/>
                <w:sz w:val="20"/>
                <w:szCs w:val="20"/>
                <w:lang w:eastAsia="cs-CZ"/>
              </w:rPr>
              <w:t> %</w:t>
            </w:r>
          </w:p>
        </w:tc>
        <w:tc>
          <w:tcPr>
            <w:tcW w:w="785"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116</w:t>
            </w:r>
          </w:p>
        </w:tc>
        <w:tc>
          <w:tcPr>
            <w:tcW w:w="1056"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-40</w:t>
            </w:r>
            <w:r>
              <w:rPr>
                <w:rFonts w:eastAsia="Times New Roman"/>
                <w:sz w:val="20"/>
                <w:szCs w:val="20"/>
                <w:lang w:eastAsia="cs-CZ"/>
              </w:rPr>
              <w:t> %</w:t>
            </w:r>
          </w:p>
        </w:tc>
      </w:tr>
      <w:tr w:rsidR="00A4083A" w:rsidRPr="00D17312"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781"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68</w:t>
            </w:r>
          </w:p>
        </w:tc>
        <w:tc>
          <w:tcPr>
            <w:tcW w:w="1056"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-9</w:t>
            </w:r>
            <w:r>
              <w:rPr>
                <w:rFonts w:eastAsia="Times New Roman"/>
                <w:b/>
                <w:bCs/>
                <w:sz w:val="20"/>
                <w:szCs w:val="20"/>
                <w:lang w:eastAsia="cs-CZ"/>
              </w:rPr>
              <w:t> %</w:t>
            </w:r>
          </w:p>
        </w:tc>
        <w:tc>
          <w:tcPr>
            <w:tcW w:w="740" w:type="dxa"/>
            <w:tcBorders>
              <w:top w:val="nil"/>
              <w:left w:val="single" w:sz="4" w:space="0" w:color="auto"/>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47</w:t>
            </w:r>
          </w:p>
        </w:tc>
        <w:tc>
          <w:tcPr>
            <w:tcW w:w="1060" w:type="dxa"/>
            <w:gridSpan w:val="2"/>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-10</w:t>
            </w:r>
            <w:r>
              <w:rPr>
                <w:rFonts w:eastAsia="Times New Roman"/>
                <w:b/>
                <w:bCs/>
                <w:sz w:val="20"/>
                <w:szCs w:val="20"/>
                <w:lang w:eastAsia="cs-CZ"/>
              </w:rPr>
              <w:t> %</w:t>
            </w:r>
          </w:p>
        </w:tc>
        <w:tc>
          <w:tcPr>
            <w:tcW w:w="785"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145</w:t>
            </w:r>
          </w:p>
        </w:tc>
        <w:tc>
          <w:tcPr>
            <w:tcW w:w="1056"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-8</w:t>
            </w:r>
            <w:r>
              <w:rPr>
                <w:rFonts w:eastAsia="Times New Roman"/>
                <w:b/>
                <w:bCs/>
                <w:sz w:val="20"/>
                <w:szCs w:val="20"/>
                <w:lang w:eastAsia="cs-CZ"/>
              </w:rPr>
              <w:t> %</w:t>
            </w:r>
          </w:p>
        </w:tc>
      </w:tr>
    </w:tbl>
    <w:p w:rsidR="00A4083A" w:rsidRPr="00D17312" w:rsidRDefault="00A4083A" w:rsidP="00A4083A">
      <w:pPr>
        <w:rPr>
          <w:highlight w:val="yellow"/>
        </w:rPr>
      </w:pPr>
    </w:p>
    <w:p w:rsidR="00A4083A" w:rsidRPr="00D17312" w:rsidRDefault="00A4083A" w:rsidP="00A4083A">
      <w:pPr>
        <w:pStyle w:val="OdstavecASR"/>
        <w:keepNext/>
        <w:rPr>
          <w:b/>
        </w:rPr>
      </w:pPr>
      <w:r w:rsidRPr="00D17312">
        <w:rPr>
          <w:b/>
        </w:rPr>
        <w:t>Pouze právnické osoby (PO)</w:t>
      </w:r>
    </w:p>
    <w:p w:rsidR="00A4083A" w:rsidRPr="00D17312" w:rsidRDefault="00A4083A" w:rsidP="00A4083A">
      <w:pPr>
        <w:pStyle w:val="OdstavecASR"/>
      </w:pPr>
      <w:r w:rsidRPr="00D17312">
        <w:t xml:space="preserve">Tvrzení, že soud nemá vliv na délku řízení ve fázi řešení úpadku, platí většinou </w:t>
      </w:r>
      <w:r>
        <w:t xml:space="preserve">v situacích, v nichž je </w:t>
      </w:r>
      <w:r w:rsidRPr="00D17312">
        <w:t>úpadek zpravidla řeš</w:t>
      </w:r>
      <w:r>
        <w:t>en</w:t>
      </w:r>
      <w:r w:rsidRPr="00D17312">
        <w:t xml:space="preserve"> oddlužením. U právnických osob je tomu jinak. Délka řízení přímo závisí na rychlosti zpeněžování majetku insolvenčním správcem (a tedy i intenzitě a kvalitě dohledové činnosti soudce) a rychlosti vyřizování incidenčních sporů. Z tohoto důvodů zde uvádíme délku řízení ode dne rozhodnutí o úpadku do dne konečného rozhodnutí soudem I. stupně u věcí, kde je dlužníkem právnická osoba.</w:t>
      </w:r>
    </w:p>
    <w:p w:rsidR="00A4083A" w:rsidRPr="00D17312" w:rsidRDefault="00A4083A" w:rsidP="00A4083A">
      <w:pPr>
        <w:pStyle w:val="OdstavecASR"/>
      </w:pPr>
      <w:r w:rsidRPr="00D17312">
        <w:t>V grafu níže vidíme silný rostoucí trend. Ten vyplývá z faktu, že se postupně ukončují řízení, která byla zahajována od roku 2008 a pomalu se nakumulovala. V dřívějších letech věci skončily především z jiného důvodu než zrušením konkur</w:t>
      </w:r>
      <w:r>
        <w:t>s</w:t>
      </w:r>
      <w:r w:rsidRPr="00D17312">
        <w:t>u po obdržení zprávy insolvenčního správce o splnění rozvrhového usnesení, u řešení úpadku oddlužením jeho splněním nebo v případě řešení reorganizací splněním reorganizačního plánu. Jednoduše řečeno, větší podíl věcí skončil předčasně.</w:t>
      </w:r>
    </w:p>
    <w:p w:rsidR="00A4083A" w:rsidRPr="00D17312" w:rsidRDefault="00A4083A" w:rsidP="00A4083A">
      <w:pPr>
        <w:pStyle w:val="Podnadpis"/>
        <w:rPr>
          <w:color w:val="auto"/>
        </w:rPr>
      </w:pPr>
      <w:bookmarkStart w:id="549" w:name="_Toc515871403"/>
      <w:bookmarkStart w:id="550" w:name="_Toc11135134"/>
      <w:bookmarkStart w:id="551" w:name="_Toc43841453"/>
      <w:r w:rsidRPr="00D17312">
        <w:rPr>
          <w:color w:val="auto"/>
        </w:rPr>
        <w:lastRenderedPageBreak/>
        <w:t xml:space="preserve">Graf </w:t>
      </w:r>
      <w:r w:rsidRPr="00D17312">
        <w:rPr>
          <w:noProof/>
          <w:color w:val="auto"/>
        </w:rPr>
        <w:fldChar w:fldCharType="begin"/>
      </w:r>
      <w:r w:rsidRPr="00D17312">
        <w:rPr>
          <w:noProof/>
          <w:color w:val="auto"/>
        </w:rPr>
        <w:instrText xml:space="preserve"> SEQ Graf \* ARABIC </w:instrText>
      </w:r>
      <w:r w:rsidRPr="00D17312">
        <w:rPr>
          <w:noProof/>
          <w:color w:val="auto"/>
        </w:rPr>
        <w:fldChar w:fldCharType="separate"/>
      </w:r>
      <w:r w:rsidR="006E7F27">
        <w:rPr>
          <w:noProof/>
          <w:color w:val="auto"/>
        </w:rPr>
        <w:t>73</w:t>
      </w:r>
      <w:r w:rsidRPr="00D17312">
        <w:rPr>
          <w:noProof/>
          <w:color w:val="auto"/>
        </w:rPr>
        <w:fldChar w:fldCharType="end"/>
      </w:r>
      <w:r w:rsidRPr="00D17312">
        <w:rPr>
          <w:color w:val="auto"/>
        </w:rPr>
        <w:t>: KS – délka druhé fáze insolvenčního řízení u PO v letech 2010–201</w:t>
      </w:r>
      <w:bookmarkEnd w:id="549"/>
      <w:bookmarkEnd w:id="550"/>
      <w:r w:rsidRPr="00D17312">
        <w:rPr>
          <w:color w:val="auto"/>
        </w:rPr>
        <w:t>9</w:t>
      </w:r>
      <w:bookmarkEnd w:id="551"/>
    </w:p>
    <w:p w:rsidR="00A4083A" w:rsidRPr="00D17312" w:rsidRDefault="00A4083A" w:rsidP="00A4083A">
      <w:pPr>
        <w:pStyle w:val="OdstavecASR"/>
        <w:rPr>
          <w:noProof/>
          <w:highlight w:val="yellow"/>
          <w:lang w:eastAsia="cs-CZ"/>
        </w:rPr>
      </w:pPr>
      <w:r w:rsidRPr="00D17312">
        <w:rPr>
          <w:noProof/>
          <w:lang w:eastAsia="cs-CZ"/>
        </w:rPr>
        <w:drawing>
          <wp:inline distT="0" distB="0" distL="0" distR="0" wp14:anchorId="485621DB" wp14:editId="2B5DBC7B">
            <wp:extent cx="5114925" cy="3743325"/>
            <wp:effectExtent l="0" t="0" r="0" b="9525"/>
            <wp:docPr id="132" name="Obráze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pPr>
      <w:r w:rsidRPr="00D17312">
        <w:t>V tabulce vidíme, že devadesátý percentil je vzhledem k jeho absolutní výši poměrně vyrovnaný. Co se týče mediánu, rozdíly mezi soudy jsou v něm významnější.</w:t>
      </w:r>
    </w:p>
    <w:p w:rsidR="00A4083A" w:rsidRDefault="00A4083A" w:rsidP="00A4083A">
      <w:pPr>
        <w:pStyle w:val="OdstavecASR"/>
      </w:pPr>
      <w:r w:rsidRPr="00D17312">
        <w:t>Nejlépe si vedou MS Praha a KS Praha. Naopak nejpomaleji vyřizuje věci KS Plzeň. Vzhledem k malému počtu pozorování dochází meziročně ke značným změnám. Například loni měl nejdelší délky řízení KS v Ústí nad Labem, který vykázal výrazné zkrácení délky řízení.</w:t>
      </w:r>
    </w:p>
    <w:p w:rsidR="00A4083A" w:rsidRDefault="00A4083A" w:rsidP="00A4083A">
      <w:pPr>
        <w:pStyle w:val="OdstavecASR"/>
      </w:pPr>
      <w:r w:rsidRPr="00D17312">
        <w:t>Ještě je třeba dodat, že insolvence právnických osoby tvoří velmi malou část agendy.</w:t>
      </w:r>
    </w:p>
    <w:p w:rsidR="00A4083A" w:rsidRPr="00D17312" w:rsidRDefault="00A4083A" w:rsidP="00A4083A">
      <w:pPr>
        <w:pStyle w:val="OdstavecASR"/>
      </w:pPr>
      <w:r w:rsidRPr="00D17312">
        <w:t xml:space="preserve">Bližší pohled na data dále ukazuje, že insolvence akciových společností trvají déle. Délky řízení u ostatních právních forem podnikání jsou vyrovnané. Tento závěr je logický, neboť akciové společnosti jsou zpravidla výrazně větší a insolvence je tedy složitější. </w:t>
      </w:r>
      <w:r>
        <w:t>N</w:t>
      </w:r>
      <w:r w:rsidRPr="00D17312">
        <w:t xml:space="preserve">ejběžnější </w:t>
      </w:r>
      <w:r>
        <w:t xml:space="preserve">jsou </w:t>
      </w:r>
      <w:r w:rsidRPr="00D17312">
        <w:t>insolvence společností s ručením omezením</w:t>
      </w:r>
      <w:r>
        <w:t>, protože se jedná o zdaleka nejrozšířenější formu podnikající právnické osoby.</w:t>
      </w:r>
    </w:p>
    <w:p w:rsidR="00A4083A" w:rsidRPr="00D17312" w:rsidRDefault="00A4083A" w:rsidP="00A4083A">
      <w:pPr>
        <w:spacing w:line="240" w:lineRule="auto"/>
        <w:jc w:val="left"/>
        <w:rPr>
          <w:highlight w:val="yellow"/>
        </w:rPr>
      </w:pPr>
      <w:r w:rsidRPr="00D17312">
        <w:rPr>
          <w:highlight w:val="yellow"/>
        </w:rPr>
        <w:br w:type="page"/>
      </w:r>
    </w:p>
    <w:p w:rsidR="00A4083A" w:rsidRPr="00D17312" w:rsidRDefault="00A4083A" w:rsidP="00A4083A">
      <w:pPr>
        <w:pStyle w:val="Podnadpis"/>
        <w:rPr>
          <w:color w:val="auto"/>
        </w:rPr>
      </w:pPr>
      <w:bookmarkStart w:id="552" w:name="_Toc515871498"/>
      <w:bookmarkStart w:id="553" w:name="_Toc11133263"/>
      <w:bookmarkStart w:id="554" w:name="_Toc43931242"/>
      <w:r w:rsidRPr="00D17312">
        <w:rPr>
          <w:color w:val="auto"/>
        </w:rPr>
        <w:lastRenderedPageBreak/>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69</w:t>
      </w:r>
      <w:r w:rsidRPr="00D17312">
        <w:rPr>
          <w:color w:val="auto"/>
        </w:rPr>
        <w:fldChar w:fldCharType="end"/>
      </w:r>
      <w:r w:rsidRPr="00D17312">
        <w:rPr>
          <w:color w:val="auto"/>
        </w:rPr>
        <w:t>: KS – délka druhé fáze insolvenčního řízení u PO dle soudů</w:t>
      </w:r>
      <w:bookmarkEnd w:id="552"/>
      <w:bookmarkEnd w:id="553"/>
      <w:bookmarkEnd w:id="554"/>
    </w:p>
    <w:tbl>
      <w:tblPr>
        <w:tblW w:w="7520" w:type="dxa"/>
        <w:tblCellMar>
          <w:left w:w="70" w:type="dxa"/>
          <w:right w:w="70" w:type="dxa"/>
        </w:tblCellMar>
        <w:tblLook w:val="04A0" w:firstRow="1" w:lastRow="0" w:firstColumn="1" w:lastColumn="0" w:noHBand="0" w:noVBand="1"/>
      </w:tblPr>
      <w:tblGrid>
        <w:gridCol w:w="2480"/>
        <w:gridCol w:w="771"/>
        <w:gridCol w:w="909"/>
        <w:gridCol w:w="771"/>
        <w:gridCol w:w="909"/>
        <w:gridCol w:w="771"/>
        <w:gridCol w:w="909"/>
      </w:tblGrid>
      <w:tr w:rsidR="00A4083A" w:rsidRPr="00D17312" w:rsidTr="00A41C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Délka řízení</w:t>
            </w:r>
          </w:p>
        </w:tc>
      </w:tr>
      <w:tr w:rsidR="00A4083A" w:rsidRPr="00D17312" w:rsidTr="00A41CAB">
        <w:trPr>
          <w:trHeight w:val="330"/>
        </w:trPr>
        <w:tc>
          <w:tcPr>
            <w:tcW w:w="24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680" w:type="dxa"/>
            <w:gridSpan w:val="2"/>
            <w:tcBorders>
              <w:top w:val="nil"/>
              <w:left w:val="nil"/>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Průměr</w:t>
            </w:r>
          </w:p>
        </w:tc>
        <w:tc>
          <w:tcPr>
            <w:tcW w:w="1680" w:type="dxa"/>
            <w:gridSpan w:val="2"/>
            <w:tcBorders>
              <w:top w:val="nil"/>
              <w:left w:val="nil"/>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Medián</w:t>
            </w:r>
          </w:p>
        </w:tc>
        <w:tc>
          <w:tcPr>
            <w:tcW w:w="1680"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Percentil 90</w:t>
            </w:r>
          </w:p>
        </w:tc>
      </w:tr>
      <w:tr w:rsidR="00A4083A" w:rsidRPr="00D17312"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771"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1 269</w:t>
            </w:r>
          </w:p>
        </w:tc>
        <w:tc>
          <w:tcPr>
            <w:tcW w:w="909"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+17</w:t>
            </w:r>
            <w:r>
              <w:rPr>
                <w:rFonts w:eastAsia="Times New Roman"/>
                <w:sz w:val="20"/>
                <w:szCs w:val="20"/>
                <w:lang w:eastAsia="cs-CZ"/>
              </w:rPr>
              <w:t> %</w:t>
            </w:r>
          </w:p>
        </w:tc>
        <w:tc>
          <w:tcPr>
            <w:tcW w:w="771"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1 035</w:t>
            </w:r>
          </w:p>
        </w:tc>
        <w:tc>
          <w:tcPr>
            <w:tcW w:w="90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+19</w:t>
            </w:r>
            <w:r>
              <w:rPr>
                <w:rFonts w:eastAsia="Times New Roman"/>
                <w:sz w:val="20"/>
                <w:szCs w:val="20"/>
                <w:lang w:eastAsia="cs-CZ"/>
              </w:rPr>
              <w:t> %</w:t>
            </w:r>
          </w:p>
        </w:tc>
        <w:tc>
          <w:tcPr>
            <w:tcW w:w="771"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2 536</w:t>
            </w:r>
          </w:p>
        </w:tc>
        <w:tc>
          <w:tcPr>
            <w:tcW w:w="909"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+12</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77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1 271</w:t>
            </w:r>
          </w:p>
        </w:tc>
        <w:tc>
          <w:tcPr>
            <w:tcW w:w="90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-17</w:t>
            </w:r>
            <w:r>
              <w:rPr>
                <w:rFonts w:eastAsia="Times New Roman"/>
                <w:sz w:val="20"/>
                <w:szCs w:val="20"/>
                <w:lang w:eastAsia="cs-CZ"/>
              </w:rPr>
              <w:t> %</w:t>
            </w:r>
          </w:p>
        </w:tc>
        <w:tc>
          <w:tcPr>
            <w:tcW w:w="771"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1 102</w:t>
            </w:r>
          </w:p>
        </w:tc>
        <w:tc>
          <w:tcPr>
            <w:tcW w:w="90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-31</w:t>
            </w:r>
            <w:r>
              <w:rPr>
                <w:rFonts w:eastAsia="Times New Roman"/>
                <w:sz w:val="20"/>
                <w:szCs w:val="20"/>
                <w:lang w:eastAsia="cs-CZ"/>
              </w:rPr>
              <w:t> %</w:t>
            </w:r>
          </w:p>
        </w:tc>
        <w:tc>
          <w:tcPr>
            <w:tcW w:w="77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2 653</w:t>
            </w:r>
          </w:p>
        </w:tc>
        <w:tc>
          <w:tcPr>
            <w:tcW w:w="90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-5</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77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1 407</w:t>
            </w:r>
          </w:p>
        </w:tc>
        <w:tc>
          <w:tcPr>
            <w:tcW w:w="90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+5</w:t>
            </w:r>
            <w:r>
              <w:rPr>
                <w:rFonts w:eastAsia="Times New Roman"/>
                <w:sz w:val="20"/>
                <w:szCs w:val="20"/>
                <w:lang w:eastAsia="cs-CZ"/>
              </w:rPr>
              <w:t> %</w:t>
            </w:r>
          </w:p>
        </w:tc>
        <w:tc>
          <w:tcPr>
            <w:tcW w:w="771"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1 362</w:t>
            </w:r>
          </w:p>
        </w:tc>
        <w:tc>
          <w:tcPr>
            <w:tcW w:w="90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+12</w:t>
            </w:r>
            <w:r>
              <w:rPr>
                <w:rFonts w:eastAsia="Times New Roman"/>
                <w:sz w:val="20"/>
                <w:szCs w:val="20"/>
                <w:lang w:eastAsia="cs-CZ"/>
              </w:rPr>
              <w:t> %</w:t>
            </w:r>
          </w:p>
        </w:tc>
        <w:tc>
          <w:tcPr>
            <w:tcW w:w="77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2 808</w:t>
            </w:r>
          </w:p>
        </w:tc>
        <w:tc>
          <w:tcPr>
            <w:tcW w:w="90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+5</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77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1 727</w:t>
            </w:r>
          </w:p>
        </w:tc>
        <w:tc>
          <w:tcPr>
            <w:tcW w:w="90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+18</w:t>
            </w:r>
            <w:r>
              <w:rPr>
                <w:rFonts w:eastAsia="Times New Roman"/>
                <w:sz w:val="20"/>
                <w:szCs w:val="20"/>
                <w:lang w:eastAsia="cs-CZ"/>
              </w:rPr>
              <w:t> %</w:t>
            </w:r>
          </w:p>
        </w:tc>
        <w:tc>
          <w:tcPr>
            <w:tcW w:w="771"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1 652</w:t>
            </w:r>
          </w:p>
        </w:tc>
        <w:tc>
          <w:tcPr>
            <w:tcW w:w="90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+28</w:t>
            </w:r>
            <w:r>
              <w:rPr>
                <w:rFonts w:eastAsia="Times New Roman"/>
                <w:sz w:val="20"/>
                <w:szCs w:val="20"/>
                <w:lang w:eastAsia="cs-CZ"/>
              </w:rPr>
              <w:t> %</w:t>
            </w:r>
          </w:p>
        </w:tc>
        <w:tc>
          <w:tcPr>
            <w:tcW w:w="77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3 324</w:t>
            </w:r>
          </w:p>
        </w:tc>
        <w:tc>
          <w:tcPr>
            <w:tcW w:w="90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+16</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77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1 447</w:t>
            </w:r>
          </w:p>
        </w:tc>
        <w:tc>
          <w:tcPr>
            <w:tcW w:w="90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-22</w:t>
            </w:r>
            <w:r>
              <w:rPr>
                <w:rFonts w:eastAsia="Times New Roman"/>
                <w:sz w:val="20"/>
                <w:szCs w:val="20"/>
                <w:lang w:eastAsia="cs-CZ"/>
              </w:rPr>
              <w:t> %</w:t>
            </w:r>
          </w:p>
        </w:tc>
        <w:tc>
          <w:tcPr>
            <w:tcW w:w="771"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1 239</w:t>
            </w:r>
          </w:p>
        </w:tc>
        <w:tc>
          <w:tcPr>
            <w:tcW w:w="90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-31</w:t>
            </w:r>
            <w:r>
              <w:rPr>
                <w:rFonts w:eastAsia="Times New Roman"/>
                <w:sz w:val="20"/>
                <w:szCs w:val="20"/>
                <w:lang w:eastAsia="cs-CZ"/>
              </w:rPr>
              <w:t> %</w:t>
            </w:r>
          </w:p>
        </w:tc>
        <w:tc>
          <w:tcPr>
            <w:tcW w:w="77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2 876</w:t>
            </w:r>
          </w:p>
        </w:tc>
        <w:tc>
          <w:tcPr>
            <w:tcW w:w="90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77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1 574</w:t>
            </w:r>
          </w:p>
        </w:tc>
        <w:tc>
          <w:tcPr>
            <w:tcW w:w="90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771"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1 442</w:t>
            </w:r>
          </w:p>
        </w:tc>
        <w:tc>
          <w:tcPr>
            <w:tcW w:w="90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c>
          <w:tcPr>
            <w:tcW w:w="77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2 884</w:t>
            </w:r>
          </w:p>
        </w:tc>
        <w:tc>
          <w:tcPr>
            <w:tcW w:w="90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77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1 480</w:t>
            </w:r>
          </w:p>
        </w:tc>
        <w:tc>
          <w:tcPr>
            <w:tcW w:w="90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+16</w:t>
            </w:r>
            <w:r>
              <w:rPr>
                <w:rFonts w:eastAsia="Times New Roman"/>
                <w:sz w:val="20"/>
                <w:szCs w:val="20"/>
                <w:lang w:eastAsia="cs-CZ"/>
              </w:rPr>
              <w:t> %</w:t>
            </w:r>
          </w:p>
        </w:tc>
        <w:tc>
          <w:tcPr>
            <w:tcW w:w="771"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1 335</w:t>
            </w:r>
          </w:p>
        </w:tc>
        <w:tc>
          <w:tcPr>
            <w:tcW w:w="90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+10</w:t>
            </w:r>
            <w:r>
              <w:rPr>
                <w:rFonts w:eastAsia="Times New Roman"/>
                <w:sz w:val="20"/>
                <w:szCs w:val="20"/>
                <w:lang w:eastAsia="cs-CZ"/>
              </w:rPr>
              <w:t> %</w:t>
            </w:r>
          </w:p>
        </w:tc>
        <w:tc>
          <w:tcPr>
            <w:tcW w:w="77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2 907</w:t>
            </w:r>
          </w:p>
        </w:tc>
        <w:tc>
          <w:tcPr>
            <w:tcW w:w="90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+18</w:t>
            </w:r>
            <w:r>
              <w:rPr>
                <w:rFonts w:eastAsia="Times New Roman"/>
                <w:sz w:val="20"/>
                <w:szCs w:val="20"/>
                <w:lang w:eastAsia="cs-CZ"/>
              </w:rPr>
              <w:t> %</w:t>
            </w:r>
          </w:p>
        </w:tc>
      </w:tr>
      <w:tr w:rsidR="00A4083A" w:rsidRPr="00D17312"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77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1 632</w:t>
            </w:r>
          </w:p>
        </w:tc>
        <w:tc>
          <w:tcPr>
            <w:tcW w:w="90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+21</w:t>
            </w:r>
            <w:r>
              <w:rPr>
                <w:rFonts w:eastAsia="Times New Roman"/>
                <w:sz w:val="20"/>
                <w:szCs w:val="20"/>
                <w:lang w:eastAsia="cs-CZ"/>
              </w:rPr>
              <w:t> %</w:t>
            </w:r>
          </w:p>
        </w:tc>
        <w:tc>
          <w:tcPr>
            <w:tcW w:w="771"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1 550</w:t>
            </w:r>
          </w:p>
        </w:tc>
        <w:tc>
          <w:tcPr>
            <w:tcW w:w="909"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+28</w:t>
            </w:r>
            <w:r>
              <w:rPr>
                <w:rFonts w:eastAsia="Times New Roman"/>
                <w:sz w:val="20"/>
                <w:szCs w:val="20"/>
                <w:lang w:eastAsia="cs-CZ"/>
              </w:rPr>
              <w:t> %</w:t>
            </w:r>
          </w:p>
        </w:tc>
        <w:tc>
          <w:tcPr>
            <w:tcW w:w="77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3 079</w:t>
            </w:r>
          </w:p>
        </w:tc>
        <w:tc>
          <w:tcPr>
            <w:tcW w:w="90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sz w:val="20"/>
                <w:szCs w:val="20"/>
                <w:lang w:eastAsia="cs-CZ"/>
              </w:rPr>
            </w:pPr>
            <w:r w:rsidRPr="00D17312">
              <w:rPr>
                <w:rFonts w:eastAsia="Times New Roman"/>
                <w:sz w:val="20"/>
                <w:szCs w:val="20"/>
                <w:lang w:eastAsia="cs-CZ"/>
              </w:rPr>
              <w:t>+23</w:t>
            </w:r>
            <w:r>
              <w:rPr>
                <w:rFonts w:eastAsia="Times New Roman"/>
                <w:sz w:val="20"/>
                <w:szCs w:val="20"/>
                <w:lang w:eastAsia="cs-CZ"/>
              </w:rPr>
              <w:t> %</w:t>
            </w:r>
          </w:p>
        </w:tc>
      </w:tr>
      <w:tr w:rsidR="00A4083A" w:rsidRPr="00D17312"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771"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1 436</w:t>
            </w:r>
          </w:p>
        </w:tc>
        <w:tc>
          <w:tcPr>
            <w:tcW w:w="90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b/>
                <w:bCs/>
                <w:sz w:val="20"/>
                <w:szCs w:val="20"/>
                <w:lang w:eastAsia="cs-CZ"/>
              </w:rPr>
            </w:pPr>
            <w:r w:rsidRPr="00D17312">
              <w:rPr>
                <w:rFonts w:eastAsia="Times New Roman"/>
                <w:b/>
                <w:bCs/>
                <w:sz w:val="20"/>
                <w:szCs w:val="20"/>
                <w:lang w:eastAsia="cs-CZ"/>
              </w:rPr>
              <w:t>+11</w:t>
            </w:r>
            <w:r>
              <w:rPr>
                <w:rFonts w:eastAsia="Times New Roman"/>
                <w:b/>
                <w:bCs/>
                <w:sz w:val="20"/>
                <w:szCs w:val="20"/>
                <w:lang w:eastAsia="cs-CZ"/>
              </w:rPr>
              <w:t> %</w:t>
            </w:r>
          </w:p>
        </w:tc>
        <w:tc>
          <w:tcPr>
            <w:tcW w:w="771" w:type="dxa"/>
            <w:tcBorders>
              <w:top w:val="nil"/>
              <w:left w:val="single" w:sz="4" w:space="0" w:color="auto"/>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1 259</w:t>
            </w:r>
          </w:p>
        </w:tc>
        <w:tc>
          <w:tcPr>
            <w:tcW w:w="909"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right"/>
              <w:rPr>
                <w:rFonts w:eastAsia="Times New Roman"/>
                <w:b/>
                <w:bCs/>
                <w:sz w:val="20"/>
                <w:szCs w:val="20"/>
                <w:lang w:eastAsia="cs-CZ"/>
              </w:rPr>
            </w:pPr>
            <w:r w:rsidRPr="00D17312">
              <w:rPr>
                <w:rFonts w:eastAsia="Times New Roman"/>
                <w:b/>
                <w:bCs/>
                <w:sz w:val="20"/>
                <w:szCs w:val="20"/>
                <w:lang w:eastAsia="cs-CZ"/>
              </w:rPr>
              <w:t>+12</w:t>
            </w:r>
            <w:r>
              <w:rPr>
                <w:rFonts w:eastAsia="Times New Roman"/>
                <w:b/>
                <w:bCs/>
                <w:sz w:val="20"/>
                <w:szCs w:val="20"/>
                <w:lang w:eastAsia="cs-CZ"/>
              </w:rPr>
              <w:t> %</w:t>
            </w:r>
          </w:p>
        </w:tc>
        <w:tc>
          <w:tcPr>
            <w:tcW w:w="771"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2 876</w:t>
            </w:r>
          </w:p>
        </w:tc>
        <w:tc>
          <w:tcPr>
            <w:tcW w:w="90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right"/>
              <w:rPr>
                <w:rFonts w:eastAsia="Times New Roman"/>
                <w:b/>
                <w:bCs/>
                <w:sz w:val="20"/>
                <w:szCs w:val="20"/>
                <w:lang w:eastAsia="cs-CZ"/>
              </w:rPr>
            </w:pPr>
            <w:r w:rsidRPr="00D17312">
              <w:rPr>
                <w:rFonts w:eastAsia="Times New Roman"/>
                <w:b/>
                <w:bCs/>
                <w:sz w:val="20"/>
                <w:szCs w:val="20"/>
                <w:lang w:eastAsia="cs-CZ"/>
              </w:rPr>
              <w:t>+12</w:t>
            </w:r>
            <w:r>
              <w:rPr>
                <w:rFonts w:eastAsia="Times New Roman"/>
                <w:b/>
                <w:bCs/>
                <w:sz w:val="20"/>
                <w:szCs w:val="20"/>
                <w:lang w:eastAsia="cs-CZ"/>
              </w:rPr>
              <w:t> %</w:t>
            </w:r>
          </w:p>
        </w:tc>
      </w:tr>
    </w:tbl>
    <w:p w:rsidR="00A4083A" w:rsidRPr="00D17312" w:rsidRDefault="00A4083A" w:rsidP="00A4083A">
      <w:pPr>
        <w:rPr>
          <w:highlight w:val="yellow"/>
        </w:rPr>
      </w:pPr>
    </w:p>
    <w:p w:rsidR="00A4083A" w:rsidRPr="00D17312" w:rsidRDefault="00A4083A" w:rsidP="00A4083A">
      <w:pPr>
        <w:pStyle w:val="OdstavecASR"/>
        <w:keepNext/>
        <w:rPr>
          <w:b/>
        </w:rPr>
      </w:pPr>
      <w:r w:rsidRPr="00D17312">
        <w:rPr>
          <w:b/>
        </w:rPr>
        <w:t>Jen fyzické osoby (FO)</w:t>
      </w:r>
    </w:p>
    <w:p w:rsidR="00A4083A" w:rsidRPr="00D17312" w:rsidRDefault="00A4083A" w:rsidP="00A4083A">
      <w:pPr>
        <w:pStyle w:val="OdstavecASR"/>
      </w:pPr>
      <w:bookmarkStart w:id="555" w:name="_Toc515871404"/>
      <w:bookmarkStart w:id="556" w:name="_Toc11135135"/>
      <w:r w:rsidRPr="00D17312">
        <w:t>Jak jsme uvedli již výše, úpadek většiny fyzických osob je řešen oddlužením, a soud tedy nemá vliv na délku druhé fáze řízení. Malá část se však řeší stejně jako úpadek právnických osob, tj. konkur</w:t>
      </w:r>
      <w:r>
        <w:t>s</w:t>
      </w:r>
      <w:r w:rsidRPr="00D17312">
        <w:t>em</w:t>
      </w:r>
      <w:r>
        <w:t>;</w:t>
      </w:r>
      <w:r w:rsidRPr="00D17312">
        <w:t xml:space="preserve"> u těchto řízení soudy vliv na délku řízení</w:t>
      </w:r>
      <w:r>
        <w:t xml:space="preserve"> </w:t>
      </w:r>
      <w:r w:rsidRPr="00D17312">
        <w:t>mají. Proto v grafu a tabulce níže uvádíme délky druhé fáze insolvenčního řízení u fyzických osob, je-li úpadek řešen konkur</w:t>
      </w:r>
      <w:r>
        <w:t>s</w:t>
      </w:r>
      <w:r w:rsidRPr="00D17312">
        <w:t>em</w:t>
      </w:r>
      <w:r>
        <w:t>,</w:t>
      </w:r>
      <w:r w:rsidRPr="00D17312">
        <w:t xml:space="preserve"> bez případů, kdy došlo ke změně řešení úpadku na konkur</w:t>
      </w:r>
      <w:r>
        <w:t>s</w:t>
      </w:r>
      <w:r w:rsidRPr="00D17312">
        <w:t>.</w:t>
      </w:r>
    </w:p>
    <w:p w:rsidR="00A4083A" w:rsidRPr="00D17312" w:rsidRDefault="00A4083A" w:rsidP="00A4083A">
      <w:pPr>
        <w:pStyle w:val="Podnadpis"/>
        <w:rPr>
          <w:color w:val="auto"/>
        </w:rPr>
      </w:pPr>
      <w:bookmarkStart w:id="557" w:name="_Toc43841454"/>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74</w:t>
      </w:r>
      <w:r w:rsidRPr="00D17312">
        <w:rPr>
          <w:color w:val="auto"/>
        </w:rPr>
        <w:fldChar w:fldCharType="end"/>
      </w:r>
      <w:r w:rsidRPr="00D17312">
        <w:rPr>
          <w:color w:val="auto"/>
        </w:rPr>
        <w:t>: KS – délka druhé fáze insolvenčního řízení u FO v letech 2010–201</w:t>
      </w:r>
      <w:bookmarkEnd w:id="555"/>
      <w:bookmarkEnd w:id="556"/>
      <w:r w:rsidRPr="00D17312">
        <w:rPr>
          <w:color w:val="auto"/>
        </w:rPr>
        <w:t>9</w:t>
      </w:r>
      <w:bookmarkEnd w:id="557"/>
    </w:p>
    <w:p w:rsidR="00A4083A" w:rsidRPr="00D17312" w:rsidRDefault="00A4083A" w:rsidP="00A4083A">
      <w:pPr>
        <w:pStyle w:val="OdstavecASR"/>
        <w:rPr>
          <w:highlight w:val="yellow"/>
        </w:rPr>
      </w:pPr>
      <w:r w:rsidRPr="00D17312">
        <w:rPr>
          <w:noProof/>
          <w:lang w:eastAsia="cs-CZ"/>
        </w:rPr>
        <w:drawing>
          <wp:inline distT="0" distB="0" distL="0" distR="0" wp14:anchorId="46148011" wp14:editId="1B81EDA9">
            <wp:extent cx="5114925" cy="3743325"/>
            <wp:effectExtent l="0" t="0" r="0" b="9525"/>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Podnadpis"/>
        <w:pageBreakBefore/>
        <w:rPr>
          <w:color w:val="auto"/>
        </w:rPr>
      </w:pPr>
      <w:bookmarkStart w:id="558" w:name="_Toc11133264"/>
      <w:bookmarkStart w:id="559" w:name="_Toc43931243"/>
      <w:r w:rsidRPr="00D17312">
        <w:rPr>
          <w:color w:val="auto"/>
        </w:rPr>
        <w:lastRenderedPageBreak/>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70</w:t>
      </w:r>
      <w:r w:rsidRPr="00D17312">
        <w:rPr>
          <w:color w:val="auto"/>
        </w:rPr>
        <w:fldChar w:fldCharType="end"/>
      </w:r>
      <w:r w:rsidRPr="00D17312">
        <w:rPr>
          <w:color w:val="auto"/>
        </w:rPr>
        <w:t>: KS – délka druhé fáze insolvenčního řízení u FO dle soudů</w:t>
      </w:r>
      <w:bookmarkEnd w:id="558"/>
      <w:bookmarkEnd w:id="559"/>
    </w:p>
    <w:tbl>
      <w:tblPr>
        <w:tblW w:w="7520" w:type="dxa"/>
        <w:tblCellMar>
          <w:left w:w="70" w:type="dxa"/>
          <w:right w:w="70" w:type="dxa"/>
        </w:tblCellMar>
        <w:tblLook w:val="04A0" w:firstRow="1" w:lastRow="0" w:firstColumn="1" w:lastColumn="0" w:noHBand="0" w:noVBand="1"/>
      </w:tblPr>
      <w:tblGrid>
        <w:gridCol w:w="2480"/>
        <w:gridCol w:w="820"/>
        <w:gridCol w:w="860"/>
        <w:gridCol w:w="820"/>
        <w:gridCol w:w="860"/>
        <w:gridCol w:w="820"/>
        <w:gridCol w:w="860"/>
      </w:tblGrid>
      <w:tr w:rsidR="00A4083A" w:rsidRPr="004E5E4E" w:rsidTr="00A41C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4E5E4E" w:rsidRDefault="00A4083A" w:rsidP="00A41CAB">
            <w:pPr>
              <w:spacing w:line="240" w:lineRule="auto"/>
              <w:jc w:val="center"/>
              <w:rPr>
                <w:rFonts w:eastAsia="Times New Roman"/>
                <w:b/>
                <w:bCs/>
                <w:color w:val="000000"/>
                <w:szCs w:val="24"/>
                <w:lang w:eastAsia="cs-CZ"/>
              </w:rPr>
            </w:pPr>
            <w:r w:rsidRPr="004E5E4E">
              <w:rPr>
                <w:rFonts w:eastAsia="Times New Roman"/>
                <w:b/>
                <w:bCs/>
                <w:color w:val="000000"/>
                <w:szCs w:val="24"/>
                <w:lang w:eastAsia="cs-CZ"/>
              </w:rPr>
              <w:t>Nadřízený soud</w:t>
            </w:r>
          </w:p>
        </w:tc>
        <w:tc>
          <w:tcPr>
            <w:tcW w:w="5040" w:type="dxa"/>
            <w:gridSpan w:val="6"/>
            <w:tcBorders>
              <w:top w:val="double" w:sz="6" w:space="0" w:color="auto"/>
              <w:left w:val="nil"/>
              <w:bottom w:val="nil"/>
              <w:right w:val="nil"/>
            </w:tcBorders>
            <w:shd w:val="clear" w:color="auto" w:fill="auto"/>
            <w:noWrap/>
            <w:vAlign w:val="center"/>
            <w:hideMark/>
          </w:tcPr>
          <w:p w:rsidR="00A4083A" w:rsidRPr="004E5E4E" w:rsidRDefault="00A4083A" w:rsidP="00A41CAB">
            <w:pPr>
              <w:spacing w:line="240" w:lineRule="auto"/>
              <w:jc w:val="center"/>
              <w:rPr>
                <w:rFonts w:eastAsia="Times New Roman"/>
                <w:b/>
                <w:bCs/>
                <w:color w:val="000000"/>
                <w:szCs w:val="24"/>
                <w:lang w:eastAsia="cs-CZ"/>
              </w:rPr>
            </w:pPr>
            <w:r w:rsidRPr="004E5E4E">
              <w:rPr>
                <w:rFonts w:eastAsia="Times New Roman"/>
                <w:b/>
                <w:bCs/>
                <w:color w:val="000000"/>
                <w:szCs w:val="24"/>
                <w:lang w:eastAsia="cs-CZ"/>
              </w:rPr>
              <w:t>Délka řízení</w:t>
            </w:r>
          </w:p>
        </w:tc>
      </w:tr>
      <w:tr w:rsidR="00A4083A" w:rsidRPr="004E5E4E" w:rsidTr="00A41CAB">
        <w:trPr>
          <w:trHeight w:val="330"/>
        </w:trPr>
        <w:tc>
          <w:tcPr>
            <w:tcW w:w="2480" w:type="dxa"/>
            <w:vMerge/>
            <w:tcBorders>
              <w:top w:val="double" w:sz="6" w:space="0" w:color="auto"/>
              <w:left w:val="nil"/>
              <w:bottom w:val="double" w:sz="6" w:space="0" w:color="000000"/>
              <w:right w:val="nil"/>
            </w:tcBorders>
            <w:vAlign w:val="center"/>
            <w:hideMark/>
          </w:tcPr>
          <w:p w:rsidR="00A4083A" w:rsidRPr="004E5E4E" w:rsidRDefault="00A4083A" w:rsidP="00A41CAB">
            <w:pPr>
              <w:spacing w:line="240" w:lineRule="auto"/>
              <w:jc w:val="left"/>
              <w:rPr>
                <w:rFonts w:eastAsia="Times New Roman"/>
                <w:b/>
                <w:bCs/>
                <w:color w:val="000000"/>
                <w:szCs w:val="24"/>
                <w:lang w:eastAsia="cs-CZ"/>
              </w:rPr>
            </w:pPr>
          </w:p>
        </w:tc>
        <w:tc>
          <w:tcPr>
            <w:tcW w:w="1680" w:type="dxa"/>
            <w:gridSpan w:val="2"/>
            <w:tcBorders>
              <w:top w:val="nil"/>
              <w:left w:val="nil"/>
              <w:bottom w:val="double" w:sz="6" w:space="0" w:color="auto"/>
              <w:right w:val="single" w:sz="4" w:space="0" w:color="000000"/>
            </w:tcBorders>
            <w:shd w:val="clear" w:color="auto" w:fill="auto"/>
            <w:noWrap/>
            <w:vAlign w:val="center"/>
            <w:hideMark/>
          </w:tcPr>
          <w:p w:rsidR="00A4083A" w:rsidRPr="004E5E4E" w:rsidRDefault="00A4083A" w:rsidP="00A41CAB">
            <w:pPr>
              <w:spacing w:line="240" w:lineRule="auto"/>
              <w:jc w:val="center"/>
              <w:rPr>
                <w:rFonts w:eastAsia="Times New Roman"/>
                <w:b/>
                <w:bCs/>
                <w:color w:val="000000"/>
                <w:szCs w:val="24"/>
                <w:lang w:eastAsia="cs-CZ"/>
              </w:rPr>
            </w:pPr>
            <w:r w:rsidRPr="004E5E4E">
              <w:rPr>
                <w:rFonts w:eastAsia="Times New Roman"/>
                <w:b/>
                <w:bCs/>
                <w:color w:val="000000"/>
                <w:szCs w:val="24"/>
                <w:lang w:eastAsia="cs-CZ"/>
              </w:rPr>
              <w:t>Průměr</w:t>
            </w:r>
          </w:p>
        </w:tc>
        <w:tc>
          <w:tcPr>
            <w:tcW w:w="1680" w:type="dxa"/>
            <w:gridSpan w:val="2"/>
            <w:tcBorders>
              <w:top w:val="nil"/>
              <w:left w:val="nil"/>
              <w:bottom w:val="double" w:sz="6" w:space="0" w:color="auto"/>
              <w:right w:val="single" w:sz="4" w:space="0" w:color="000000"/>
            </w:tcBorders>
            <w:shd w:val="clear" w:color="auto" w:fill="auto"/>
            <w:noWrap/>
            <w:vAlign w:val="center"/>
            <w:hideMark/>
          </w:tcPr>
          <w:p w:rsidR="00A4083A" w:rsidRPr="004E5E4E" w:rsidRDefault="00A4083A" w:rsidP="00A41CAB">
            <w:pPr>
              <w:spacing w:line="240" w:lineRule="auto"/>
              <w:jc w:val="center"/>
              <w:rPr>
                <w:rFonts w:eastAsia="Times New Roman"/>
                <w:b/>
                <w:bCs/>
                <w:color w:val="000000"/>
                <w:szCs w:val="24"/>
                <w:lang w:eastAsia="cs-CZ"/>
              </w:rPr>
            </w:pPr>
            <w:r w:rsidRPr="004E5E4E">
              <w:rPr>
                <w:rFonts w:eastAsia="Times New Roman"/>
                <w:b/>
                <w:bCs/>
                <w:color w:val="000000"/>
                <w:szCs w:val="24"/>
                <w:lang w:eastAsia="cs-CZ"/>
              </w:rPr>
              <w:t>Medián</w:t>
            </w:r>
          </w:p>
        </w:tc>
        <w:tc>
          <w:tcPr>
            <w:tcW w:w="1680" w:type="dxa"/>
            <w:gridSpan w:val="2"/>
            <w:tcBorders>
              <w:top w:val="nil"/>
              <w:left w:val="nil"/>
              <w:bottom w:val="double" w:sz="6" w:space="0" w:color="auto"/>
              <w:right w:val="nil"/>
            </w:tcBorders>
            <w:shd w:val="clear" w:color="auto" w:fill="auto"/>
            <w:noWrap/>
            <w:vAlign w:val="center"/>
            <w:hideMark/>
          </w:tcPr>
          <w:p w:rsidR="00A4083A" w:rsidRPr="004E5E4E" w:rsidRDefault="00A4083A" w:rsidP="00A41CAB">
            <w:pPr>
              <w:spacing w:line="240" w:lineRule="auto"/>
              <w:jc w:val="center"/>
              <w:rPr>
                <w:rFonts w:eastAsia="Times New Roman"/>
                <w:b/>
                <w:bCs/>
                <w:color w:val="000000"/>
                <w:szCs w:val="24"/>
                <w:lang w:eastAsia="cs-CZ"/>
              </w:rPr>
            </w:pPr>
            <w:r w:rsidRPr="004E5E4E">
              <w:rPr>
                <w:rFonts w:eastAsia="Times New Roman"/>
                <w:b/>
                <w:bCs/>
                <w:color w:val="000000"/>
                <w:szCs w:val="24"/>
                <w:lang w:eastAsia="cs-CZ"/>
              </w:rPr>
              <w:t>Percentil 90</w:t>
            </w:r>
          </w:p>
        </w:tc>
      </w:tr>
      <w:tr w:rsidR="00A4083A" w:rsidRPr="004E5E4E"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4E5E4E" w:rsidRDefault="00A4083A" w:rsidP="00A41CAB">
            <w:pPr>
              <w:spacing w:line="240" w:lineRule="auto"/>
              <w:jc w:val="left"/>
              <w:rPr>
                <w:rFonts w:eastAsia="Times New Roman"/>
                <w:color w:val="000000"/>
                <w:szCs w:val="24"/>
                <w:lang w:eastAsia="cs-CZ"/>
              </w:rPr>
            </w:pPr>
            <w:r w:rsidRPr="004E5E4E">
              <w:rPr>
                <w:rFonts w:eastAsia="Times New Roman"/>
                <w:color w:val="000000"/>
                <w:szCs w:val="24"/>
                <w:lang w:eastAsia="cs-CZ"/>
              </w:rPr>
              <w:t>MS Praha</w:t>
            </w:r>
          </w:p>
        </w:tc>
        <w:tc>
          <w:tcPr>
            <w:tcW w:w="820" w:type="dxa"/>
            <w:tcBorders>
              <w:top w:val="single" w:sz="4" w:space="0" w:color="auto"/>
              <w:left w:val="nil"/>
              <w:bottom w:val="single" w:sz="4" w:space="0" w:color="auto"/>
              <w:right w:val="nil"/>
            </w:tcBorders>
            <w:shd w:val="clear" w:color="auto" w:fill="auto"/>
            <w:noWrap/>
            <w:vAlign w:val="bottom"/>
            <w:hideMark/>
          </w:tcPr>
          <w:p w:rsidR="00A4083A" w:rsidRPr="004E5E4E" w:rsidRDefault="00A4083A" w:rsidP="00A41CAB">
            <w:pPr>
              <w:spacing w:line="240" w:lineRule="auto"/>
              <w:jc w:val="center"/>
              <w:rPr>
                <w:rFonts w:eastAsia="Times New Roman"/>
                <w:color w:val="000000"/>
                <w:szCs w:val="24"/>
                <w:lang w:eastAsia="cs-CZ"/>
              </w:rPr>
            </w:pPr>
            <w:r w:rsidRPr="004E5E4E">
              <w:rPr>
                <w:rFonts w:eastAsia="Times New Roman"/>
                <w:color w:val="000000"/>
                <w:szCs w:val="24"/>
                <w:lang w:eastAsia="cs-CZ"/>
              </w:rPr>
              <w:t>1 368</w:t>
            </w:r>
          </w:p>
        </w:tc>
        <w:tc>
          <w:tcPr>
            <w:tcW w:w="860" w:type="dxa"/>
            <w:tcBorders>
              <w:top w:val="single" w:sz="4" w:space="0" w:color="auto"/>
              <w:left w:val="nil"/>
              <w:bottom w:val="single" w:sz="4" w:space="0" w:color="auto"/>
              <w:right w:val="nil"/>
            </w:tcBorders>
            <w:shd w:val="clear" w:color="auto" w:fill="auto"/>
            <w:noWrap/>
            <w:vAlign w:val="center"/>
            <w:hideMark/>
          </w:tcPr>
          <w:p w:rsidR="00A4083A" w:rsidRPr="004E5E4E" w:rsidRDefault="00A4083A" w:rsidP="00A41CAB">
            <w:pPr>
              <w:spacing w:line="240" w:lineRule="auto"/>
              <w:jc w:val="right"/>
              <w:rPr>
                <w:rFonts w:eastAsia="Times New Roman"/>
                <w:color w:val="000000"/>
                <w:sz w:val="20"/>
                <w:szCs w:val="20"/>
                <w:lang w:eastAsia="cs-CZ"/>
              </w:rPr>
            </w:pPr>
            <w:r w:rsidRPr="004E5E4E">
              <w:rPr>
                <w:rFonts w:eastAsia="Times New Roman"/>
                <w:color w:val="000000"/>
                <w:sz w:val="20"/>
                <w:szCs w:val="20"/>
                <w:lang w:eastAsia="cs-CZ"/>
              </w:rPr>
              <w:t>+20</w:t>
            </w:r>
            <w:r>
              <w:rPr>
                <w:rFonts w:eastAsia="Times New Roman"/>
                <w:color w:val="000000"/>
                <w:sz w:val="20"/>
                <w:szCs w:val="20"/>
                <w:lang w:eastAsia="cs-CZ"/>
              </w:rPr>
              <w:t> %</w:t>
            </w:r>
          </w:p>
        </w:tc>
        <w:tc>
          <w:tcPr>
            <w:tcW w:w="820" w:type="dxa"/>
            <w:tcBorders>
              <w:top w:val="nil"/>
              <w:left w:val="single" w:sz="4" w:space="0" w:color="auto"/>
              <w:bottom w:val="single" w:sz="4" w:space="0" w:color="auto"/>
              <w:right w:val="nil"/>
            </w:tcBorders>
            <w:shd w:val="clear" w:color="auto" w:fill="auto"/>
            <w:noWrap/>
            <w:vAlign w:val="bottom"/>
            <w:hideMark/>
          </w:tcPr>
          <w:p w:rsidR="00A4083A" w:rsidRPr="004E5E4E" w:rsidRDefault="00A4083A" w:rsidP="00A41CAB">
            <w:pPr>
              <w:spacing w:line="240" w:lineRule="auto"/>
              <w:jc w:val="center"/>
              <w:rPr>
                <w:rFonts w:eastAsia="Times New Roman"/>
                <w:color w:val="000000"/>
                <w:szCs w:val="24"/>
                <w:lang w:eastAsia="cs-CZ"/>
              </w:rPr>
            </w:pPr>
            <w:r w:rsidRPr="004E5E4E">
              <w:rPr>
                <w:rFonts w:eastAsia="Times New Roman"/>
                <w:color w:val="000000"/>
                <w:szCs w:val="24"/>
                <w:lang w:eastAsia="cs-CZ"/>
              </w:rPr>
              <w:t>1 204</w:t>
            </w:r>
          </w:p>
        </w:tc>
        <w:tc>
          <w:tcPr>
            <w:tcW w:w="860" w:type="dxa"/>
            <w:tcBorders>
              <w:top w:val="nil"/>
              <w:left w:val="nil"/>
              <w:bottom w:val="single" w:sz="4" w:space="0" w:color="auto"/>
              <w:right w:val="single" w:sz="4" w:space="0" w:color="auto"/>
            </w:tcBorders>
            <w:shd w:val="clear" w:color="auto" w:fill="auto"/>
            <w:noWrap/>
            <w:vAlign w:val="center"/>
            <w:hideMark/>
          </w:tcPr>
          <w:p w:rsidR="00A4083A" w:rsidRPr="004E5E4E" w:rsidRDefault="00A4083A" w:rsidP="00A41CAB">
            <w:pPr>
              <w:spacing w:line="240" w:lineRule="auto"/>
              <w:jc w:val="right"/>
              <w:rPr>
                <w:rFonts w:eastAsia="Times New Roman"/>
                <w:color w:val="000000"/>
                <w:sz w:val="20"/>
                <w:szCs w:val="20"/>
                <w:lang w:eastAsia="cs-CZ"/>
              </w:rPr>
            </w:pPr>
            <w:r w:rsidRPr="004E5E4E">
              <w:rPr>
                <w:rFonts w:eastAsia="Times New Roman"/>
                <w:color w:val="000000"/>
                <w:sz w:val="20"/>
                <w:szCs w:val="20"/>
                <w:lang w:eastAsia="cs-CZ"/>
              </w:rPr>
              <w:t>+17</w:t>
            </w:r>
            <w:r>
              <w:rPr>
                <w:rFonts w:eastAsia="Times New Roman"/>
                <w:color w:val="000000"/>
                <w:sz w:val="20"/>
                <w:szCs w:val="20"/>
                <w:lang w:eastAsia="cs-CZ"/>
              </w:rPr>
              <w:t> %</w:t>
            </w:r>
          </w:p>
        </w:tc>
        <w:tc>
          <w:tcPr>
            <w:tcW w:w="820" w:type="dxa"/>
            <w:tcBorders>
              <w:top w:val="single" w:sz="4" w:space="0" w:color="auto"/>
              <w:left w:val="nil"/>
              <w:bottom w:val="single" w:sz="4" w:space="0" w:color="auto"/>
              <w:right w:val="nil"/>
            </w:tcBorders>
            <w:shd w:val="clear" w:color="auto" w:fill="auto"/>
            <w:noWrap/>
            <w:vAlign w:val="bottom"/>
            <w:hideMark/>
          </w:tcPr>
          <w:p w:rsidR="00A4083A" w:rsidRPr="004E5E4E" w:rsidRDefault="00A4083A" w:rsidP="00A41CAB">
            <w:pPr>
              <w:spacing w:line="240" w:lineRule="auto"/>
              <w:jc w:val="center"/>
              <w:rPr>
                <w:rFonts w:eastAsia="Times New Roman"/>
                <w:color w:val="000000"/>
                <w:szCs w:val="24"/>
                <w:lang w:eastAsia="cs-CZ"/>
              </w:rPr>
            </w:pPr>
            <w:r w:rsidRPr="004E5E4E">
              <w:rPr>
                <w:rFonts w:eastAsia="Times New Roman"/>
                <w:color w:val="000000"/>
                <w:szCs w:val="24"/>
                <w:lang w:eastAsia="cs-CZ"/>
              </w:rPr>
              <w:t>2 264</w:t>
            </w:r>
          </w:p>
        </w:tc>
        <w:tc>
          <w:tcPr>
            <w:tcW w:w="860" w:type="dxa"/>
            <w:tcBorders>
              <w:top w:val="single" w:sz="4" w:space="0" w:color="auto"/>
              <w:left w:val="nil"/>
              <w:bottom w:val="single" w:sz="4" w:space="0" w:color="auto"/>
              <w:right w:val="nil"/>
            </w:tcBorders>
            <w:shd w:val="clear" w:color="auto" w:fill="auto"/>
            <w:noWrap/>
            <w:vAlign w:val="center"/>
            <w:hideMark/>
          </w:tcPr>
          <w:p w:rsidR="00A4083A" w:rsidRPr="004E5E4E" w:rsidRDefault="00A4083A" w:rsidP="00A41CAB">
            <w:pPr>
              <w:spacing w:line="240" w:lineRule="auto"/>
              <w:jc w:val="right"/>
              <w:rPr>
                <w:rFonts w:eastAsia="Times New Roman"/>
                <w:color w:val="000000"/>
                <w:sz w:val="20"/>
                <w:szCs w:val="20"/>
                <w:lang w:eastAsia="cs-CZ"/>
              </w:rPr>
            </w:pPr>
            <w:r w:rsidRPr="004E5E4E">
              <w:rPr>
                <w:rFonts w:eastAsia="Times New Roman"/>
                <w:color w:val="000000"/>
                <w:sz w:val="20"/>
                <w:szCs w:val="20"/>
                <w:lang w:eastAsia="cs-CZ"/>
              </w:rPr>
              <w:t>+20</w:t>
            </w:r>
            <w:r>
              <w:rPr>
                <w:rFonts w:eastAsia="Times New Roman"/>
                <w:color w:val="000000"/>
                <w:sz w:val="20"/>
                <w:szCs w:val="20"/>
                <w:lang w:eastAsia="cs-CZ"/>
              </w:rPr>
              <w:t> %</w:t>
            </w:r>
          </w:p>
        </w:tc>
      </w:tr>
      <w:tr w:rsidR="00A4083A" w:rsidRPr="004E5E4E"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4E5E4E" w:rsidRDefault="00A4083A" w:rsidP="00A41CAB">
            <w:pPr>
              <w:spacing w:line="240" w:lineRule="auto"/>
              <w:jc w:val="left"/>
              <w:rPr>
                <w:rFonts w:eastAsia="Times New Roman"/>
                <w:color w:val="000000"/>
                <w:szCs w:val="24"/>
                <w:lang w:eastAsia="cs-CZ"/>
              </w:rPr>
            </w:pPr>
            <w:r w:rsidRPr="004E5E4E">
              <w:rPr>
                <w:rFonts w:eastAsia="Times New Roman"/>
                <w:color w:val="000000"/>
                <w:szCs w:val="24"/>
                <w:lang w:eastAsia="cs-CZ"/>
              </w:rPr>
              <w:t>KS Praha</w:t>
            </w:r>
          </w:p>
        </w:tc>
        <w:tc>
          <w:tcPr>
            <w:tcW w:w="820" w:type="dxa"/>
            <w:tcBorders>
              <w:top w:val="nil"/>
              <w:left w:val="nil"/>
              <w:bottom w:val="single" w:sz="4" w:space="0" w:color="auto"/>
              <w:right w:val="nil"/>
            </w:tcBorders>
            <w:shd w:val="clear" w:color="auto" w:fill="auto"/>
            <w:noWrap/>
            <w:vAlign w:val="bottom"/>
            <w:hideMark/>
          </w:tcPr>
          <w:p w:rsidR="00A4083A" w:rsidRPr="004E5E4E" w:rsidRDefault="00A4083A" w:rsidP="00A41CAB">
            <w:pPr>
              <w:spacing w:line="240" w:lineRule="auto"/>
              <w:jc w:val="center"/>
              <w:rPr>
                <w:rFonts w:eastAsia="Times New Roman"/>
                <w:color w:val="000000"/>
                <w:szCs w:val="24"/>
                <w:lang w:eastAsia="cs-CZ"/>
              </w:rPr>
            </w:pPr>
            <w:r w:rsidRPr="004E5E4E">
              <w:rPr>
                <w:rFonts w:eastAsia="Times New Roman"/>
                <w:color w:val="000000"/>
                <w:szCs w:val="24"/>
                <w:lang w:eastAsia="cs-CZ"/>
              </w:rPr>
              <w:t>1 309</w:t>
            </w:r>
          </w:p>
        </w:tc>
        <w:tc>
          <w:tcPr>
            <w:tcW w:w="860" w:type="dxa"/>
            <w:tcBorders>
              <w:top w:val="nil"/>
              <w:left w:val="nil"/>
              <w:bottom w:val="single" w:sz="4" w:space="0" w:color="auto"/>
              <w:right w:val="nil"/>
            </w:tcBorders>
            <w:shd w:val="clear" w:color="auto" w:fill="auto"/>
            <w:noWrap/>
            <w:vAlign w:val="center"/>
            <w:hideMark/>
          </w:tcPr>
          <w:p w:rsidR="00A4083A" w:rsidRPr="004E5E4E" w:rsidRDefault="00A4083A" w:rsidP="00A41CAB">
            <w:pPr>
              <w:spacing w:line="240" w:lineRule="auto"/>
              <w:jc w:val="right"/>
              <w:rPr>
                <w:rFonts w:eastAsia="Times New Roman"/>
                <w:color w:val="000000"/>
                <w:sz w:val="20"/>
                <w:szCs w:val="20"/>
                <w:lang w:eastAsia="cs-CZ"/>
              </w:rPr>
            </w:pPr>
            <w:r w:rsidRPr="004E5E4E">
              <w:rPr>
                <w:rFonts w:eastAsia="Times New Roman"/>
                <w:color w:val="000000"/>
                <w:sz w:val="20"/>
                <w:szCs w:val="20"/>
                <w:lang w:eastAsia="cs-CZ"/>
              </w:rPr>
              <w:t>+3</w:t>
            </w:r>
            <w:r>
              <w:rPr>
                <w:rFonts w:eastAsia="Times New Roman"/>
                <w:color w:val="000000"/>
                <w:sz w:val="20"/>
                <w:szCs w:val="20"/>
                <w:lang w:eastAsia="cs-CZ"/>
              </w:rPr>
              <w:t> %</w:t>
            </w:r>
          </w:p>
        </w:tc>
        <w:tc>
          <w:tcPr>
            <w:tcW w:w="820" w:type="dxa"/>
            <w:tcBorders>
              <w:top w:val="nil"/>
              <w:left w:val="single" w:sz="4" w:space="0" w:color="auto"/>
              <w:bottom w:val="single" w:sz="4" w:space="0" w:color="auto"/>
              <w:right w:val="nil"/>
            </w:tcBorders>
            <w:shd w:val="clear" w:color="auto" w:fill="auto"/>
            <w:noWrap/>
            <w:vAlign w:val="bottom"/>
            <w:hideMark/>
          </w:tcPr>
          <w:p w:rsidR="00A4083A" w:rsidRPr="004E5E4E" w:rsidRDefault="00A4083A" w:rsidP="00A41CAB">
            <w:pPr>
              <w:spacing w:line="240" w:lineRule="auto"/>
              <w:jc w:val="center"/>
              <w:rPr>
                <w:rFonts w:eastAsia="Times New Roman"/>
                <w:color w:val="000000"/>
                <w:szCs w:val="24"/>
                <w:lang w:eastAsia="cs-CZ"/>
              </w:rPr>
            </w:pPr>
            <w:r w:rsidRPr="004E5E4E">
              <w:rPr>
                <w:rFonts w:eastAsia="Times New Roman"/>
                <w:color w:val="000000"/>
                <w:szCs w:val="24"/>
                <w:lang w:eastAsia="cs-CZ"/>
              </w:rPr>
              <w:t>1 217</w:t>
            </w:r>
          </w:p>
        </w:tc>
        <w:tc>
          <w:tcPr>
            <w:tcW w:w="860" w:type="dxa"/>
            <w:tcBorders>
              <w:top w:val="nil"/>
              <w:left w:val="nil"/>
              <w:bottom w:val="single" w:sz="4" w:space="0" w:color="auto"/>
              <w:right w:val="single" w:sz="4" w:space="0" w:color="auto"/>
            </w:tcBorders>
            <w:shd w:val="clear" w:color="auto" w:fill="auto"/>
            <w:noWrap/>
            <w:vAlign w:val="center"/>
            <w:hideMark/>
          </w:tcPr>
          <w:p w:rsidR="00A4083A" w:rsidRPr="004E5E4E" w:rsidRDefault="00A4083A" w:rsidP="00A41CAB">
            <w:pPr>
              <w:spacing w:line="240" w:lineRule="auto"/>
              <w:jc w:val="right"/>
              <w:rPr>
                <w:rFonts w:eastAsia="Times New Roman"/>
                <w:color w:val="000000"/>
                <w:sz w:val="20"/>
                <w:szCs w:val="20"/>
                <w:lang w:eastAsia="cs-CZ"/>
              </w:rPr>
            </w:pPr>
            <w:r w:rsidRPr="004E5E4E">
              <w:rPr>
                <w:rFonts w:eastAsia="Times New Roman"/>
                <w:color w:val="000000"/>
                <w:sz w:val="20"/>
                <w:szCs w:val="20"/>
                <w:lang w:eastAsia="cs-CZ"/>
              </w:rPr>
              <w:t>-0</w:t>
            </w:r>
            <w:r>
              <w:rPr>
                <w:rFonts w:eastAsia="Times New Roman"/>
                <w:color w:val="000000"/>
                <w:sz w:val="20"/>
                <w:szCs w:val="20"/>
                <w:lang w:eastAsia="cs-CZ"/>
              </w:rPr>
              <w:t> %</w:t>
            </w:r>
          </w:p>
        </w:tc>
        <w:tc>
          <w:tcPr>
            <w:tcW w:w="820" w:type="dxa"/>
            <w:tcBorders>
              <w:top w:val="nil"/>
              <w:left w:val="nil"/>
              <w:bottom w:val="single" w:sz="4" w:space="0" w:color="auto"/>
              <w:right w:val="nil"/>
            </w:tcBorders>
            <w:shd w:val="clear" w:color="auto" w:fill="auto"/>
            <w:noWrap/>
            <w:vAlign w:val="bottom"/>
            <w:hideMark/>
          </w:tcPr>
          <w:p w:rsidR="00A4083A" w:rsidRPr="004E5E4E" w:rsidRDefault="00A4083A" w:rsidP="00A41CAB">
            <w:pPr>
              <w:spacing w:line="240" w:lineRule="auto"/>
              <w:jc w:val="center"/>
              <w:rPr>
                <w:rFonts w:eastAsia="Times New Roman"/>
                <w:color w:val="000000"/>
                <w:szCs w:val="24"/>
                <w:lang w:eastAsia="cs-CZ"/>
              </w:rPr>
            </w:pPr>
            <w:r w:rsidRPr="004E5E4E">
              <w:rPr>
                <w:rFonts w:eastAsia="Times New Roman"/>
                <w:color w:val="000000"/>
                <w:szCs w:val="24"/>
                <w:lang w:eastAsia="cs-CZ"/>
              </w:rPr>
              <w:t>2 040</w:t>
            </w:r>
          </w:p>
        </w:tc>
        <w:tc>
          <w:tcPr>
            <w:tcW w:w="860" w:type="dxa"/>
            <w:tcBorders>
              <w:top w:val="nil"/>
              <w:left w:val="nil"/>
              <w:bottom w:val="single" w:sz="4" w:space="0" w:color="auto"/>
              <w:right w:val="nil"/>
            </w:tcBorders>
            <w:shd w:val="clear" w:color="auto" w:fill="auto"/>
            <w:noWrap/>
            <w:vAlign w:val="center"/>
            <w:hideMark/>
          </w:tcPr>
          <w:p w:rsidR="00A4083A" w:rsidRPr="004E5E4E" w:rsidRDefault="00A4083A" w:rsidP="00A41CAB">
            <w:pPr>
              <w:spacing w:line="240" w:lineRule="auto"/>
              <w:jc w:val="right"/>
              <w:rPr>
                <w:rFonts w:eastAsia="Times New Roman"/>
                <w:color w:val="000000"/>
                <w:sz w:val="20"/>
                <w:szCs w:val="20"/>
                <w:lang w:eastAsia="cs-CZ"/>
              </w:rPr>
            </w:pPr>
            <w:r w:rsidRPr="004E5E4E">
              <w:rPr>
                <w:rFonts w:eastAsia="Times New Roman"/>
                <w:color w:val="000000"/>
                <w:sz w:val="20"/>
                <w:szCs w:val="20"/>
                <w:lang w:eastAsia="cs-CZ"/>
              </w:rPr>
              <w:t>+3</w:t>
            </w:r>
            <w:r>
              <w:rPr>
                <w:rFonts w:eastAsia="Times New Roman"/>
                <w:color w:val="000000"/>
                <w:sz w:val="20"/>
                <w:szCs w:val="20"/>
                <w:lang w:eastAsia="cs-CZ"/>
              </w:rPr>
              <w:t> %</w:t>
            </w:r>
          </w:p>
        </w:tc>
      </w:tr>
      <w:tr w:rsidR="00A4083A" w:rsidRPr="004E5E4E"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4E5E4E" w:rsidRDefault="00A4083A" w:rsidP="00A41CAB">
            <w:pPr>
              <w:spacing w:line="240" w:lineRule="auto"/>
              <w:jc w:val="left"/>
              <w:rPr>
                <w:rFonts w:eastAsia="Times New Roman"/>
                <w:color w:val="000000"/>
                <w:szCs w:val="24"/>
                <w:lang w:eastAsia="cs-CZ"/>
              </w:rPr>
            </w:pPr>
            <w:r w:rsidRPr="004E5E4E">
              <w:rPr>
                <w:rFonts w:eastAsia="Times New Roman"/>
                <w:color w:val="000000"/>
                <w:szCs w:val="24"/>
                <w:lang w:eastAsia="cs-CZ"/>
              </w:rPr>
              <w:t>KS Č. Budějovice</w:t>
            </w:r>
          </w:p>
        </w:tc>
        <w:tc>
          <w:tcPr>
            <w:tcW w:w="820" w:type="dxa"/>
            <w:tcBorders>
              <w:top w:val="nil"/>
              <w:left w:val="nil"/>
              <w:bottom w:val="single" w:sz="4" w:space="0" w:color="auto"/>
              <w:right w:val="nil"/>
            </w:tcBorders>
            <w:shd w:val="clear" w:color="auto" w:fill="auto"/>
            <w:noWrap/>
            <w:vAlign w:val="bottom"/>
            <w:hideMark/>
          </w:tcPr>
          <w:p w:rsidR="00A4083A" w:rsidRPr="004E5E4E" w:rsidRDefault="00A4083A" w:rsidP="00A41CAB">
            <w:pPr>
              <w:spacing w:line="240" w:lineRule="auto"/>
              <w:jc w:val="center"/>
              <w:rPr>
                <w:rFonts w:eastAsia="Times New Roman"/>
                <w:color w:val="000000"/>
                <w:szCs w:val="24"/>
                <w:lang w:eastAsia="cs-CZ"/>
              </w:rPr>
            </w:pPr>
            <w:r w:rsidRPr="004E5E4E">
              <w:rPr>
                <w:rFonts w:eastAsia="Times New Roman"/>
                <w:color w:val="000000"/>
                <w:szCs w:val="24"/>
                <w:lang w:eastAsia="cs-CZ"/>
              </w:rPr>
              <w:t>1 400</w:t>
            </w:r>
          </w:p>
        </w:tc>
        <w:tc>
          <w:tcPr>
            <w:tcW w:w="860" w:type="dxa"/>
            <w:tcBorders>
              <w:top w:val="nil"/>
              <w:left w:val="nil"/>
              <w:bottom w:val="single" w:sz="4" w:space="0" w:color="auto"/>
              <w:right w:val="nil"/>
            </w:tcBorders>
            <w:shd w:val="clear" w:color="auto" w:fill="auto"/>
            <w:noWrap/>
            <w:vAlign w:val="center"/>
            <w:hideMark/>
          </w:tcPr>
          <w:p w:rsidR="00A4083A" w:rsidRPr="004E5E4E" w:rsidRDefault="00A4083A" w:rsidP="00A41CAB">
            <w:pPr>
              <w:spacing w:line="240" w:lineRule="auto"/>
              <w:jc w:val="right"/>
              <w:rPr>
                <w:rFonts w:eastAsia="Times New Roman"/>
                <w:color w:val="000000"/>
                <w:sz w:val="20"/>
                <w:szCs w:val="20"/>
                <w:lang w:eastAsia="cs-CZ"/>
              </w:rPr>
            </w:pPr>
            <w:r w:rsidRPr="004E5E4E">
              <w:rPr>
                <w:rFonts w:eastAsia="Times New Roman"/>
                <w:color w:val="000000"/>
                <w:sz w:val="20"/>
                <w:szCs w:val="20"/>
                <w:lang w:eastAsia="cs-CZ"/>
              </w:rPr>
              <w:t>+24</w:t>
            </w:r>
            <w:r>
              <w:rPr>
                <w:rFonts w:eastAsia="Times New Roman"/>
                <w:color w:val="000000"/>
                <w:sz w:val="20"/>
                <w:szCs w:val="20"/>
                <w:lang w:eastAsia="cs-CZ"/>
              </w:rPr>
              <w:t> %</w:t>
            </w:r>
          </w:p>
        </w:tc>
        <w:tc>
          <w:tcPr>
            <w:tcW w:w="820" w:type="dxa"/>
            <w:tcBorders>
              <w:top w:val="nil"/>
              <w:left w:val="single" w:sz="4" w:space="0" w:color="auto"/>
              <w:bottom w:val="single" w:sz="4" w:space="0" w:color="auto"/>
              <w:right w:val="nil"/>
            </w:tcBorders>
            <w:shd w:val="clear" w:color="auto" w:fill="auto"/>
            <w:noWrap/>
            <w:vAlign w:val="bottom"/>
            <w:hideMark/>
          </w:tcPr>
          <w:p w:rsidR="00A4083A" w:rsidRPr="004E5E4E" w:rsidRDefault="00A4083A" w:rsidP="00A41CAB">
            <w:pPr>
              <w:spacing w:line="240" w:lineRule="auto"/>
              <w:jc w:val="center"/>
              <w:rPr>
                <w:rFonts w:eastAsia="Times New Roman"/>
                <w:color w:val="000000"/>
                <w:szCs w:val="24"/>
                <w:lang w:eastAsia="cs-CZ"/>
              </w:rPr>
            </w:pPr>
            <w:r w:rsidRPr="004E5E4E">
              <w:rPr>
                <w:rFonts w:eastAsia="Times New Roman"/>
                <w:color w:val="000000"/>
                <w:szCs w:val="24"/>
                <w:lang w:eastAsia="cs-CZ"/>
              </w:rPr>
              <w:t>1 261</w:t>
            </w:r>
          </w:p>
        </w:tc>
        <w:tc>
          <w:tcPr>
            <w:tcW w:w="860" w:type="dxa"/>
            <w:tcBorders>
              <w:top w:val="nil"/>
              <w:left w:val="nil"/>
              <w:bottom w:val="single" w:sz="4" w:space="0" w:color="auto"/>
              <w:right w:val="single" w:sz="4" w:space="0" w:color="auto"/>
            </w:tcBorders>
            <w:shd w:val="clear" w:color="auto" w:fill="auto"/>
            <w:noWrap/>
            <w:vAlign w:val="center"/>
            <w:hideMark/>
          </w:tcPr>
          <w:p w:rsidR="00A4083A" w:rsidRPr="004E5E4E" w:rsidRDefault="00A4083A" w:rsidP="00A41CAB">
            <w:pPr>
              <w:spacing w:line="240" w:lineRule="auto"/>
              <w:jc w:val="right"/>
              <w:rPr>
                <w:rFonts w:eastAsia="Times New Roman"/>
                <w:color w:val="000000"/>
                <w:sz w:val="20"/>
                <w:szCs w:val="20"/>
                <w:lang w:eastAsia="cs-CZ"/>
              </w:rPr>
            </w:pPr>
            <w:r w:rsidRPr="004E5E4E">
              <w:rPr>
                <w:rFonts w:eastAsia="Times New Roman"/>
                <w:color w:val="000000"/>
                <w:sz w:val="20"/>
                <w:szCs w:val="20"/>
                <w:lang w:eastAsia="cs-CZ"/>
              </w:rPr>
              <w:t>+16</w:t>
            </w:r>
            <w:r>
              <w:rPr>
                <w:rFonts w:eastAsia="Times New Roman"/>
                <w:color w:val="000000"/>
                <w:sz w:val="20"/>
                <w:szCs w:val="20"/>
                <w:lang w:eastAsia="cs-CZ"/>
              </w:rPr>
              <w:t> %</w:t>
            </w:r>
          </w:p>
        </w:tc>
        <w:tc>
          <w:tcPr>
            <w:tcW w:w="820" w:type="dxa"/>
            <w:tcBorders>
              <w:top w:val="nil"/>
              <w:left w:val="nil"/>
              <w:bottom w:val="single" w:sz="4" w:space="0" w:color="auto"/>
              <w:right w:val="nil"/>
            </w:tcBorders>
            <w:shd w:val="clear" w:color="auto" w:fill="auto"/>
            <w:noWrap/>
            <w:vAlign w:val="bottom"/>
            <w:hideMark/>
          </w:tcPr>
          <w:p w:rsidR="00A4083A" w:rsidRPr="004E5E4E" w:rsidRDefault="00A4083A" w:rsidP="00A41CAB">
            <w:pPr>
              <w:spacing w:line="240" w:lineRule="auto"/>
              <w:jc w:val="center"/>
              <w:rPr>
                <w:rFonts w:eastAsia="Times New Roman"/>
                <w:color w:val="000000"/>
                <w:szCs w:val="24"/>
                <w:lang w:eastAsia="cs-CZ"/>
              </w:rPr>
            </w:pPr>
            <w:r w:rsidRPr="004E5E4E">
              <w:rPr>
                <w:rFonts w:eastAsia="Times New Roman"/>
                <w:color w:val="000000"/>
                <w:szCs w:val="24"/>
                <w:lang w:eastAsia="cs-CZ"/>
              </w:rPr>
              <w:t>2 479</w:t>
            </w:r>
          </w:p>
        </w:tc>
        <w:tc>
          <w:tcPr>
            <w:tcW w:w="860" w:type="dxa"/>
            <w:tcBorders>
              <w:top w:val="nil"/>
              <w:left w:val="nil"/>
              <w:bottom w:val="single" w:sz="4" w:space="0" w:color="auto"/>
              <w:right w:val="nil"/>
            </w:tcBorders>
            <w:shd w:val="clear" w:color="auto" w:fill="auto"/>
            <w:noWrap/>
            <w:vAlign w:val="center"/>
            <w:hideMark/>
          </w:tcPr>
          <w:p w:rsidR="00A4083A" w:rsidRPr="004E5E4E" w:rsidRDefault="00A4083A" w:rsidP="00A41CAB">
            <w:pPr>
              <w:spacing w:line="240" w:lineRule="auto"/>
              <w:jc w:val="right"/>
              <w:rPr>
                <w:rFonts w:eastAsia="Times New Roman"/>
                <w:color w:val="000000"/>
                <w:sz w:val="20"/>
                <w:szCs w:val="20"/>
                <w:lang w:eastAsia="cs-CZ"/>
              </w:rPr>
            </w:pPr>
            <w:r w:rsidRPr="004E5E4E">
              <w:rPr>
                <w:rFonts w:eastAsia="Times New Roman"/>
                <w:color w:val="000000"/>
                <w:sz w:val="20"/>
                <w:szCs w:val="20"/>
                <w:lang w:eastAsia="cs-CZ"/>
              </w:rPr>
              <w:t>+37</w:t>
            </w:r>
            <w:r>
              <w:rPr>
                <w:rFonts w:eastAsia="Times New Roman"/>
                <w:color w:val="000000"/>
                <w:sz w:val="20"/>
                <w:szCs w:val="20"/>
                <w:lang w:eastAsia="cs-CZ"/>
              </w:rPr>
              <w:t> %</w:t>
            </w:r>
          </w:p>
        </w:tc>
      </w:tr>
      <w:tr w:rsidR="00A4083A" w:rsidRPr="004E5E4E"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4E5E4E" w:rsidRDefault="00A4083A" w:rsidP="00A41CAB">
            <w:pPr>
              <w:spacing w:line="240" w:lineRule="auto"/>
              <w:jc w:val="left"/>
              <w:rPr>
                <w:rFonts w:eastAsia="Times New Roman"/>
                <w:color w:val="000000"/>
                <w:szCs w:val="24"/>
                <w:lang w:eastAsia="cs-CZ"/>
              </w:rPr>
            </w:pPr>
            <w:r w:rsidRPr="004E5E4E">
              <w:rPr>
                <w:rFonts w:eastAsia="Times New Roman"/>
                <w:color w:val="000000"/>
                <w:szCs w:val="24"/>
                <w:lang w:eastAsia="cs-CZ"/>
              </w:rPr>
              <w:t>KS Plzeň</w:t>
            </w:r>
          </w:p>
        </w:tc>
        <w:tc>
          <w:tcPr>
            <w:tcW w:w="820" w:type="dxa"/>
            <w:tcBorders>
              <w:top w:val="nil"/>
              <w:left w:val="nil"/>
              <w:bottom w:val="single" w:sz="4" w:space="0" w:color="auto"/>
              <w:right w:val="nil"/>
            </w:tcBorders>
            <w:shd w:val="clear" w:color="auto" w:fill="auto"/>
            <w:noWrap/>
            <w:vAlign w:val="bottom"/>
            <w:hideMark/>
          </w:tcPr>
          <w:p w:rsidR="00A4083A" w:rsidRPr="004E5E4E" w:rsidRDefault="00A4083A" w:rsidP="00A41CAB">
            <w:pPr>
              <w:spacing w:line="240" w:lineRule="auto"/>
              <w:jc w:val="center"/>
              <w:rPr>
                <w:rFonts w:eastAsia="Times New Roman"/>
                <w:color w:val="000000"/>
                <w:szCs w:val="24"/>
                <w:lang w:eastAsia="cs-CZ"/>
              </w:rPr>
            </w:pPr>
            <w:r w:rsidRPr="004E5E4E">
              <w:rPr>
                <w:rFonts w:eastAsia="Times New Roman"/>
                <w:color w:val="000000"/>
                <w:szCs w:val="24"/>
                <w:lang w:eastAsia="cs-CZ"/>
              </w:rPr>
              <w:t>1 650</w:t>
            </w:r>
          </w:p>
        </w:tc>
        <w:tc>
          <w:tcPr>
            <w:tcW w:w="860" w:type="dxa"/>
            <w:tcBorders>
              <w:top w:val="nil"/>
              <w:left w:val="nil"/>
              <w:bottom w:val="single" w:sz="4" w:space="0" w:color="auto"/>
              <w:right w:val="nil"/>
            </w:tcBorders>
            <w:shd w:val="clear" w:color="auto" w:fill="auto"/>
            <w:noWrap/>
            <w:vAlign w:val="center"/>
            <w:hideMark/>
          </w:tcPr>
          <w:p w:rsidR="00A4083A" w:rsidRPr="004E5E4E" w:rsidRDefault="00A4083A" w:rsidP="00A41CAB">
            <w:pPr>
              <w:spacing w:line="240" w:lineRule="auto"/>
              <w:jc w:val="right"/>
              <w:rPr>
                <w:rFonts w:eastAsia="Times New Roman"/>
                <w:color w:val="000000"/>
                <w:sz w:val="20"/>
                <w:szCs w:val="20"/>
                <w:lang w:eastAsia="cs-CZ"/>
              </w:rPr>
            </w:pPr>
            <w:r w:rsidRPr="004E5E4E">
              <w:rPr>
                <w:rFonts w:eastAsia="Times New Roman"/>
                <w:color w:val="000000"/>
                <w:sz w:val="20"/>
                <w:szCs w:val="20"/>
                <w:lang w:eastAsia="cs-CZ"/>
              </w:rPr>
              <w:t>+20</w:t>
            </w:r>
            <w:r>
              <w:rPr>
                <w:rFonts w:eastAsia="Times New Roman"/>
                <w:color w:val="000000"/>
                <w:sz w:val="20"/>
                <w:szCs w:val="20"/>
                <w:lang w:eastAsia="cs-CZ"/>
              </w:rPr>
              <w:t> %</w:t>
            </w:r>
          </w:p>
        </w:tc>
        <w:tc>
          <w:tcPr>
            <w:tcW w:w="820" w:type="dxa"/>
            <w:tcBorders>
              <w:top w:val="nil"/>
              <w:left w:val="single" w:sz="4" w:space="0" w:color="auto"/>
              <w:bottom w:val="single" w:sz="4" w:space="0" w:color="auto"/>
              <w:right w:val="nil"/>
            </w:tcBorders>
            <w:shd w:val="clear" w:color="auto" w:fill="auto"/>
            <w:noWrap/>
            <w:vAlign w:val="bottom"/>
            <w:hideMark/>
          </w:tcPr>
          <w:p w:rsidR="00A4083A" w:rsidRPr="004E5E4E" w:rsidRDefault="00A4083A" w:rsidP="00A41CAB">
            <w:pPr>
              <w:spacing w:line="240" w:lineRule="auto"/>
              <w:jc w:val="center"/>
              <w:rPr>
                <w:rFonts w:eastAsia="Times New Roman"/>
                <w:color w:val="000000"/>
                <w:szCs w:val="24"/>
                <w:lang w:eastAsia="cs-CZ"/>
              </w:rPr>
            </w:pPr>
            <w:r w:rsidRPr="004E5E4E">
              <w:rPr>
                <w:rFonts w:eastAsia="Times New Roman"/>
                <w:color w:val="000000"/>
                <w:szCs w:val="24"/>
                <w:lang w:eastAsia="cs-CZ"/>
              </w:rPr>
              <w:t>1 534</w:t>
            </w:r>
          </w:p>
        </w:tc>
        <w:tc>
          <w:tcPr>
            <w:tcW w:w="860" w:type="dxa"/>
            <w:tcBorders>
              <w:top w:val="nil"/>
              <w:left w:val="nil"/>
              <w:bottom w:val="single" w:sz="4" w:space="0" w:color="auto"/>
              <w:right w:val="single" w:sz="4" w:space="0" w:color="auto"/>
            </w:tcBorders>
            <w:shd w:val="clear" w:color="auto" w:fill="auto"/>
            <w:noWrap/>
            <w:vAlign w:val="center"/>
            <w:hideMark/>
          </w:tcPr>
          <w:p w:rsidR="00A4083A" w:rsidRPr="004E5E4E" w:rsidRDefault="00A4083A" w:rsidP="00A41CAB">
            <w:pPr>
              <w:spacing w:line="240" w:lineRule="auto"/>
              <w:jc w:val="right"/>
              <w:rPr>
                <w:rFonts w:eastAsia="Times New Roman"/>
                <w:color w:val="000000"/>
                <w:sz w:val="20"/>
                <w:szCs w:val="20"/>
                <w:lang w:eastAsia="cs-CZ"/>
              </w:rPr>
            </w:pPr>
            <w:r w:rsidRPr="004E5E4E">
              <w:rPr>
                <w:rFonts w:eastAsia="Times New Roman"/>
                <w:color w:val="000000"/>
                <w:sz w:val="20"/>
                <w:szCs w:val="20"/>
                <w:lang w:eastAsia="cs-CZ"/>
              </w:rPr>
              <w:t>+13</w:t>
            </w:r>
            <w:r>
              <w:rPr>
                <w:rFonts w:eastAsia="Times New Roman"/>
                <w:color w:val="000000"/>
                <w:sz w:val="20"/>
                <w:szCs w:val="20"/>
                <w:lang w:eastAsia="cs-CZ"/>
              </w:rPr>
              <w:t> %</w:t>
            </w:r>
          </w:p>
        </w:tc>
        <w:tc>
          <w:tcPr>
            <w:tcW w:w="820" w:type="dxa"/>
            <w:tcBorders>
              <w:top w:val="nil"/>
              <w:left w:val="nil"/>
              <w:bottom w:val="single" w:sz="4" w:space="0" w:color="auto"/>
              <w:right w:val="nil"/>
            </w:tcBorders>
            <w:shd w:val="clear" w:color="auto" w:fill="auto"/>
            <w:noWrap/>
            <w:vAlign w:val="bottom"/>
            <w:hideMark/>
          </w:tcPr>
          <w:p w:rsidR="00A4083A" w:rsidRPr="004E5E4E" w:rsidRDefault="00A4083A" w:rsidP="00A41CAB">
            <w:pPr>
              <w:spacing w:line="240" w:lineRule="auto"/>
              <w:jc w:val="center"/>
              <w:rPr>
                <w:rFonts w:eastAsia="Times New Roman"/>
                <w:color w:val="000000"/>
                <w:szCs w:val="24"/>
                <w:lang w:eastAsia="cs-CZ"/>
              </w:rPr>
            </w:pPr>
            <w:r w:rsidRPr="004E5E4E">
              <w:rPr>
                <w:rFonts w:eastAsia="Times New Roman"/>
                <w:color w:val="000000"/>
                <w:szCs w:val="24"/>
                <w:lang w:eastAsia="cs-CZ"/>
              </w:rPr>
              <w:t>2 723</w:t>
            </w:r>
          </w:p>
        </w:tc>
        <w:tc>
          <w:tcPr>
            <w:tcW w:w="860" w:type="dxa"/>
            <w:tcBorders>
              <w:top w:val="nil"/>
              <w:left w:val="nil"/>
              <w:bottom w:val="single" w:sz="4" w:space="0" w:color="auto"/>
              <w:right w:val="nil"/>
            </w:tcBorders>
            <w:shd w:val="clear" w:color="auto" w:fill="auto"/>
            <w:noWrap/>
            <w:vAlign w:val="center"/>
            <w:hideMark/>
          </w:tcPr>
          <w:p w:rsidR="00A4083A" w:rsidRPr="004E5E4E" w:rsidRDefault="00A4083A" w:rsidP="00A41CAB">
            <w:pPr>
              <w:spacing w:line="240" w:lineRule="auto"/>
              <w:jc w:val="right"/>
              <w:rPr>
                <w:rFonts w:eastAsia="Times New Roman"/>
                <w:color w:val="000000"/>
                <w:sz w:val="20"/>
                <w:szCs w:val="20"/>
                <w:lang w:eastAsia="cs-CZ"/>
              </w:rPr>
            </w:pPr>
            <w:r w:rsidRPr="004E5E4E">
              <w:rPr>
                <w:rFonts w:eastAsia="Times New Roman"/>
                <w:color w:val="000000"/>
                <w:sz w:val="20"/>
                <w:szCs w:val="20"/>
                <w:lang w:eastAsia="cs-CZ"/>
              </w:rPr>
              <w:t>+30</w:t>
            </w:r>
            <w:r>
              <w:rPr>
                <w:rFonts w:eastAsia="Times New Roman"/>
                <w:color w:val="000000"/>
                <w:sz w:val="20"/>
                <w:szCs w:val="20"/>
                <w:lang w:eastAsia="cs-CZ"/>
              </w:rPr>
              <w:t> %</w:t>
            </w:r>
          </w:p>
        </w:tc>
      </w:tr>
      <w:tr w:rsidR="00A4083A" w:rsidRPr="004E5E4E"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4E5E4E" w:rsidRDefault="00A4083A" w:rsidP="00A41CAB">
            <w:pPr>
              <w:spacing w:line="240" w:lineRule="auto"/>
              <w:jc w:val="left"/>
              <w:rPr>
                <w:rFonts w:eastAsia="Times New Roman"/>
                <w:color w:val="000000"/>
                <w:szCs w:val="24"/>
                <w:lang w:eastAsia="cs-CZ"/>
              </w:rPr>
            </w:pPr>
            <w:r w:rsidRPr="004E5E4E">
              <w:rPr>
                <w:rFonts w:eastAsia="Times New Roman"/>
                <w:color w:val="000000"/>
                <w:szCs w:val="24"/>
                <w:lang w:eastAsia="cs-CZ"/>
              </w:rPr>
              <w:t>KS Ústí n. Labem</w:t>
            </w:r>
          </w:p>
        </w:tc>
        <w:tc>
          <w:tcPr>
            <w:tcW w:w="820" w:type="dxa"/>
            <w:tcBorders>
              <w:top w:val="nil"/>
              <w:left w:val="nil"/>
              <w:bottom w:val="single" w:sz="4" w:space="0" w:color="auto"/>
              <w:right w:val="nil"/>
            </w:tcBorders>
            <w:shd w:val="clear" w:color="auto" w:fill="auto"/>
            <w:noWrap/>
            <w:vAlign w:val="bottom"/>
            <w:hideMark/>
          </w:tcPr>
          <w:p w:rsidR="00A4083A" w:rsidRPr="004E5E4E" w:rsidRDefault="00A4083A" w:rsidP="00A41CAB">
            <w:pPr>
              <w:spacing w:line="240" w:lineRule="auto"/>
              <w:jc w:val="center"/>
              <w:rPr>
                <w:rFonts w:eastAsia="Times New Roman"/>
                <w:color w:val="000000"/>
                <w:szCs w:val="24"/>
                <w:lang w:eastAsia="cs-CZ"/>
              </w:rPr>
            </w:pPr>
            <w:r w:rsidRPr="004E5E4E">
              <w:rPr>
                <w:rFonts w:eastAsia="Times New Roman"/>
                <w:color w:val="000000"/>
                <w:szCs w:val="24"/>
                <w:lang w:eastAsia="cs-CZ"/>
              </w:rPr>
              <w:t>1 549</w:t>
            </w:r>
          </w:p>
        </w:tc>
        <w:tc>
          <w:tcPr>
            <w:tcW w:w="860" w:type="dxa"/>
            <w:tcBorders>
              <w:top w:val="nil"/>
              <w:left w:val="nil"/>
              <w:bottom w:val="single" w:sz="4" w:space="0" w:color="auto"/>
              <w:right w:val="nil"/>
            </w:tcBorders>
            <w:shd w:val="clear" w:color="auto" w:fill="auto"/>
            <w:noWrap/>
            <w:vAlign w:val="center"/>
            <w:hideMark/>
          </w:tcPr>
          <w:p w:rsidR="00A4083A" w:rsidRPr="004E5E4E" w:rsidRDefault="00A4083A" w:rsidP="00A41CAB">
            <w:pPr>
              <w:spacing w:line="240" w:lineRule="auto"/>
              <w:jc w:val="right"/>
              <w:rPr>
                <w:rFonts w:eastAsia="Times New Roman"/>
                <w:color w:val="000000"/>
                <w:sz w:val="20"/>
                <w:szCs w:val="20"/>
                <w:lang w:eastAsia="cs-CZ"/>
              </w:rPr>
            </w:pPr>
            <w:r w:rsidRPr="004E5E4E">
              <w:rPr>
                <w:rFonts w:eastAsia="Times New Roman"/>
                <w:color w:val="000000"/>
                <w:sz w:val="20"/>
                <w:szCs w:val="20"/>
                <w:lang w:eastAsia="cs-CZ"/>
              </w:rPr>
              <w:t>+21</w:t>
            </w:r>
            <w:r>
              <w:rPr>
                <w:rFonts w:eastAsia="Times New Roman"/>
                <w:color w:val="000000"/>
                <w:sz w:val="20"/>
                <w:szCs w:val="20"/>
                <w:lang w:eastAsia="cs-CZ"/>
              </w:rPr>
              <w:t> %</w:t>
            </w:r>
          </w:p>
        </w:tc>
        <w:tc>
          <w:tcPr>
            <w:tcW w:w="820" w:type="dxa"/>
            <w:tcBorders>
              <w:top w:val="nil"/>
              <w:left w:val="single" w:sz="4" w:space="0" w:color="auto"/>
              <w:bottom w:val="single" w:sz="4" w:space="0" w:color="auto"/>
              <w:right w:val="nil"/>
            </w:tcBorders>
            <w:shd w:val="clear" w:color="auto" w:fill="auto"/>
            <w:noWrap/>
            <w:vAlign w:val="bottom"/>
            <w:hideMark/>
          </w:tcPr>
          <w:p w:rsidR="00A4083A" w:rsidRPr="004E5E4E" w:rsidRDefault="00A4083A" w:rsidP="00A41CAB">
            <w:pPr>
              <w:spacing w:line="240" w:lineRule="auto"/>
              <w:jc w:val="center"/>
              <w:rPr>
                <w:rFonts w:eastAsia="Times New Roman"/>
                <w:color w:val="000000"/>
                <w:szCs w:val="24"/>
                <w:lang w:eastAsia="cs-CZ"/>
              </w:rPr>
            </w:pPr>
            <w:r w:rsidRPr="004E5E4E">
              <w:rPr>
                <w:rFonts w:eastAsia="Times New Roman"/>
                <w:color w:val="000000"/>
                <w:szCs w:val="24"/>
                <w:lang w:eastAsia="cs-CZ"/>
              </w:rPr>
              <w:t>1 491</w:t>
            </w:r>
          </w:p>
        </w:tc>
        <w:tc>
          <w:tcPr>
            <w:tcW w:w="860" w:type="dxa"/>
            <w:tcBorders>
              <w:top w:val="nil"/>
              <w:left w:val="nil"/>
              <w:bottom w:val="single" w:sz="4" w:space="0" w:color="auto"/>
              <w:right w:val="single" w:sz="4" w:space="0" w:color="auto"/>
            </w:tcBorders>
            <w:shd w:val="clear" w:color="auto" w:fill="auto"/>
            <w:noWrap/>
            <w:vAlign w:val="center"/>
            <w:hideMark/>
          </w:tcPr>
          <w:p w:rsidR="00A4083A" w:rsidRPr="004E5E4E" w:rsidRDefault="00A4083A" w:rsidP="00A41CAB">
            <w:pPr>
              <w:spacing w:line="240" w:lineRule="auto"/>
              <w:jc w:val="right"/>
              <w:rPr>
                <w:rFonts w:eastAsia="Times New Roman"/>
                <w:color w:val="000000"/>
                <w:sz w:val="20"/>
                <w:szCs w:val="20"/>
                <w:lang w:eastAsia="cs-CZ"/>
              </w:rPr>
            </w:pPr>
            <w:r w:rsidRPr="004E5E4E">
              <w:rPr>
                <w:rFonts w:eastAsia="Times New Roman"/>
                <w:color w:val="000000"/>
                <w:sz w:val="20"/>
                <w:szCs w:val="20"/>
                <w:lang w:eastAsia="cs-CZ"/>
              </w:rPr>
              <w:t>+25</w:t>
            </w:r>
            <w:r>
              <w:rPr>
                <w:rFonts w:eastAsia="Times New Roman"/>
                <w:color w:val="000000"/>
                <w:sz w:val="20"/>
                <w:szCs w:val="20"/>
                <w:lang w:eastAsia="cs-CZ"/>
              </w:rPr>
              <w:t> %</w:t>
            </w:r>
          </w:p>
        </w:tc>
        <w:tc>
          <w:tcPr>
            <w:tcW w:w="820" w:type="dxa"/>
            <w:tcBorders>
              <w:top w:val="nil"/>
              <w:left w:val="nil"/>
              <w:bottom w:val="single" w:sz="4" w:space="0" w:color="auto"/>
              <w:right w:val="nil"/>
            </w:tcBorders>
            <w:shd w:val="clear" w:color="auto" w:fill="auto"/>
            <w:noWrap/>
            <w:vAlign w:val="bottom"/>
            <w:hideMark/>
          </w:tcPr>
          <w:p w:rsidR="00A4083A" w:rsidRPr="004E5E4E" w:rsidRDefault="00A4083A" w:rsidP="00A41CAB">
            <w:pPr>
              <w:spacing w:line="240" w:lineRule="auto"/>
              <w:jc w:val="center"/>
              <w:rPr>
                <w:rFonts w:eastAsia="Times New Roman"/>
                <w:color w:val="000000"/>
                <w:szCs w:val="24"/>
                <w:lang w:eastAsia="cs-CZ"/>
              </w:rPr>
            </w:pPr>
            <w:r w:rsidRPr="004E5E4E">
              <w:rPr>
                <w:rFonts w:eastAsia="Times New Roman"/>
                <w:color w:val="000000"/>
                <w:szCs w:val="24"/>
                <w:lang w:eastAsia="cs-CZ"/>
              </w:rPr>
              <w:t>2 400</w:t>
            </w:r>
          </w:p>
        </w:tc>
        <w:tc>
          <w:tcPr>
            <w:tcW w:w="860" w:type="dxa"/>
            <w:tcBorders>
              <w:top w:val="nil"/>
              <w:left w:val="nil"/>
              <w:bottom w:val="single" w:sz="4" w:space="0" w:color="auto"/>
              <w:right w:val="nil"/>
            </w:tcBorders>
            <w:shd w:val="clear" w:color="auto" w:fill="auto"/>
            <w:noWrap/>
            <w:vAlign w:val="center"/>
            <w:hideMark/>
          </w:tcPr>
          <w:p w:rsidR="00A4083A" w:rsidRPr="004E5E4E" w:rsidRDefault="00A4083A" w:rsidP="00A41CAB">
            <w:pPr>
              <w:spacing w:line="240" w:lineRule="auto"/>
              <w:jc w:val="right"/>
              <w:rPr>
                <w:rFonts w:eastAsia="Times New Roman"/>
                <w:color w:val="000000"/>
                <w:sz w:val="20"/>
                <w:szCs w:val="20"/>
                <w:lang w:eastAsia="cs-CZ"/>
              </w:rPr>
            </w:pPr>
            <w:r w:rsidRPr="004E5E4E">
              <w:rPr>
                <w:rFonts w:eastAsia="Times New Roman"/>
                <w:color w:val="000000"/>
                <w:sz w:val="20"/>
                <w:szCs w:val="20"/>
                <w:lang w:eastAsia="cs-CZ"/>
              </w:rPr>
              <w:t>+13</w:t>
            </w:r>
            <w:r>
              <w:rPr>
                <w:rFonts w:eastAsia="Times New Roman"/>
                <w:color w:val="000000"/>
                <w:sz w:val="20"/>
                <w:szCs w:val="20"/>
                <w:lang w:eastAsia="cs-CZ"/>
              </w:rPr>
              <w:t> %</w:t>
            </w:r>
          </w:p>
        </w:tc>
      </w:tr>
      <w:tr w:rsidR="00A4083A" w:rsidRPr="004E5E4E"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4E5E4E" w:rsidRDefault="00A4083A" w:rsidP="00A41CAB">
            <w:pPr>
              <w:spacing w:line="240" w:lineRule="auto"/>
              <w:jc w:val="left"/>
              <w:rPr>
                <w:rFonts w:eastAsia="Times New Roman"/>
                <w:color w:val="000000"/>
                <w:szCs w:val="24"/>
                <w:lang w:eastAsia="cs-CZ"/>
              </w:rPr>
            </w:pPr>
            <w:r w:rsidRPr="004E5E4E">
              <w:rPr>
                <w:rFonts w:eastAsia="Times New Roman"/>
                <w:color w:val="000000"/>
                <w:szCs w:val="24"/>
                <w:lang w:eastAsia="cs-CZ"/>
              </w:rPr>
              <w:t>KS Hr. Králové</w:t>
            </w:r>
          </w:p>
        </w:tc>
        <w:tc>
          <w:tcPr>
            <w:tcW w:w="820" w:type="dxa"/>
            <w:tcBorders>
              <w:top w:val="nil"/>
              <w:left w:val="nil"/>
              <w:bottom w:val="single" w:sz="4" w:space="0" w:color="auto"/>
              <w:right w:val="nil"/>
            </w:tcBorders>
            <w:shd w:val="clear" w:color="auto" w:fill="auto"/>
            <w:noWrap/>
            <w:vAlign w:val="bottom"/>
            <w:hideMark/>
          </w:tcPr>
          <w:p w:rsidR="00A4083A" w:rsidRPr="004E5E4E" w:rsidRDefault="00A4083A" w:rsidP="00A41CAB">
            <w:pPr>
              <w:spacing w:line="240" w:lineRule="auto"/>
              <w:jc w:val="center"/>
              <w:rPr>
                <w:rFonts w:eastAsia="Times New Roman"/>
                <w:color w:val="000000"/>
                <w:szCs w:val="24"/>
                <w:lang w:eastAsia="cs-CZ"/>
              </w:rPr>
            </w:pPr>
            <w:r w:rsidRPr="004E5E4E">
              <w:rPr>
                <w:rFonts w:eastAsia="Times New Roman"/>
                <w:color w:val="000000"/>
                <w:szCs w:val="24"/>
                <w:lang w:eastAsia="cs-CZ"/>
              </w:rPr>
              <w:t>1 551</w:t>
            </w:r>
          </w:p>
        </w:tc>
        <w:tc>
          <w:tcPr>
            <w:tcW w:w="860" w:type="dxa"/>
            <w:tcBorders>
              <w:top w:val="nil"/>
              <w:left w:val="nil"/>
              <w:bottom w:val="single" w:sz="4" w:space="0" w:color="auto"/>
              <w:right w:val="nil"/>
            </w:tcBorders>
            <w:shd w:val="clear" w:color="auto" w:fill="auto"/>
            <w:noWrap/>
            <w:vAlign w:val="center"/>
            <w:hideMark/>
          </w:tcPr>
          <w:p w:rsidR="00A4083A" w:rsidRPr="004E5E4E" w:rsidRDefault="00A4083A" w:rsidP="00A41CAB">
            <w:pPr>
              <w:spacing w:line="240" w:lineRule="auto"/>
              <w:jc w:val="right"/>
              <w:rPr>
                <w:rFonts w:eastAsia="Times New Roman"/>
                <w:color w:val="000000"/>
                <w:sz w:val="20"/>
                <w:szCs w:val="20"/>
                <w:lang w:eastAsia="cs-CZ"/>
              </w:rPr>
            </w:pPr>
            <w:r w:rsidRPr="004E5E4E">
              <w:rPr>
                <w:rFonts w:eastAsia="Times New Roman"/>
                <w:color w:val="000000"/>
                <w:sz w:val="20"/>
                <w:szCs w:val="20"/>
                <w:lang w:eastAsia="cs-CZ"/>
              </w:rPr>
              <w:t>+10</w:t>
            </w:r>
            <w:r>
              <w:rPr>
                <w:rFonts w:eastAsia="Times New Roman"/>
                <w:color w:val="000000"/>
                <w:sz w:val="20"/>
                <w:szCs w:val="20"/>
                <w:lang w:eastAsia="cs-CZ"/>
              </w:rPr>
              <w:t> %</w:t>
            </w:r>
          </w:p>
        </w:tc>
        <w:tc>
          <w:tcPr>
            <w:tcW w:w="820" w:type="dxa"/>
            <w:tcBorders>
              <w:top w:val="nil"/>
              <w:left w:val="single" w:sz="4" w:space="0" w:color="auto"/>
              <w:bottom w:val="single" w:sz="4" w:space="0" w:color="auto"/>
              <w:right w:val="nil"/>
            </w:tcBorders>
            <w:shd w:val="clear" w:color="auto" w:fill="auto"/>
            <w:noWrap/>
            <w:vAlign w:val="bottom"/>
            <w:hideMark/>
          </w:tcPr>
          <w:p w:rsidR="00A4083A" w:rsidRPr="004E5E4E" w:rsidRDefault="00A4083A" w:rsidP="00A41CAB">
            <w:pPr>
              <w:spacing w:line="240" w:lineRule="auto"/>
              <w:jc w:val="center"/>
              <w:rPr>
                <w:rFonts w:eastAsia="Times New Roman"/>
                <w:color w:val="000000"/>
                <w:szCs w:val="24"/>
                <w:lang w:eastAsia="cs-CZ"/>
              </w:rPr>
            </w:pPr>
            <w:r w:rsidRPr="004E5E4E">
              <w:rPr>
                <w:rFonts w:eastAsia="Times New Roman"/>
                <w:color w:val="000000"/>
                <w:szCs w:val="24"/>
                <w:lang w:eastAsia="cs-CZ"/>
              </w:rPr>
              <w:t>1 540</w:t>
            </w:r>
          </w:p>
        </w:tc>
        <w:tc>
          <w:tcPr>
            <w:tcW w:w="860" w:type="dxa"/>
            <w:tcBorders>
              <w:top w:val="nil"/>
              <w:left w:val="nil"/>
              <w:bottom w:val="single" w:sz="4" w:space="0" w:color="auto"/>
              <w:right w:val="single" w:sz="4" w:space="0" w:color="auto"/>
            </w:tcBorders>
            <w:shd w:val="clear" w:color="auto" w:fill="auto"/>
            <w:noWrap/>
            <w:vAlign w:val="center"/>
            <w:hideMark/>
          </w:tcPr>
          <w:p w:rsidR="00A4083A" w:rsidRPr="004E5E4E" w:rsidRDefault="00A4083A" w:rsidP="00A41CAB">
            <w:pPr>
              <w:spacing w:line="240" w:lineRule="auto"/>
              <w:jc w:val="right"/>
              <w:rPr>
                <w:rFonts w:eastAsia="Times New Roman"/>
                <w:color w:val="000000"/>
                <w:sz w:val="20"/>
                <w:szCs w:val="20"/>
                <w:lang w:eastAsia="cs-CZ"/>
              </w:rPr>
            </w:pPr>
            <w:r w:rsidRPr="004E5E4E">
              <w:rPr>
                <w:rFonts w:eastAsia="Times New Roman"/>
                <w:color w:val="000000"/>
                <w:sz w:val="20"/>
                <w:szCs w:val="20"/>
                <w:lang w:eastAsia="cs-CZ"/>
              </w:rPr>
              <w:t>+19</w:t>
            </w:r>
            <w:r>
              <w:rPr>
                <w:rFonts w:eastAsia="Times New Roman"/>
                <w:color w:val="000000"/>
                <w:sz w:val="20"/>
                <w:szCs w:val="20"/>
                <w:lang w:eastAsia="cs-CZ"/>
              </w:rPr>
              <w:t> %</w:t>
            </w:r>
          </w:p>
        </w:tc>
        <w:tc>
          <w:tcPr>
            <w:tcW w:w="820" w:type="dxa"/>
            <w:tcBorders>
              <w:top w:val="nil"/>
              <w:left w:val="nil"/>
              <w:bottom w:val="single" w:sz="4" w:space="0" w:color="auto"/>
              <w:right w:val="nil"/>
            </w:tcBorders>
            <w:shd w:val="clear" w:color="auto" w:fill="auto"/>
            <w:noWrap/>
            <w:vAlign w:val="bottom"/>
            <w:hideMark/>
          </w:tcPr>
          <w:p w:rsidR="00A4083A" w:rsidRPr="004E5E4E" w:rsidRDefault="00A4083A" w:rsidP="00A41CAB">
            <w:pPr>
              <w:spacing w:line="240" w:lineRule="auto"/>
              <w:jc w:val="center"/>
              <w:rPr>
                <w:rFonts w:eastAsia="Times New Roman"/>
                <w:color w:val="000000"/>
                <w:szCs w:val="24"/>
                <w:lang w:eastAsia="cs-CZ"/>
              </w:rPr>
            </w:pPr>
            <w:r w:rsidRPr="004E5E4E">
              <w:rPr>
                <w:rFonts w:eastAsia="Times New Roman"/>
                <w:color w:val="000000"/>
                <w:szCs w:val="24"/>
                <w:lang w:eastAsia="cs-CZ"/>
              </w:rPr>
              <w:t>2 418</w:t>
            </w:r>
          </w:p>
        </w:tc>
        <w:tc>
          <w:tcPr>
            <w:tcW w:w="860" w:type="dxa"/>
            <w:tcBorders>
              <w:top w:val="nil"/>
              <w:left w:val="nil"/>
              <w:bottom w:val="single" w:sz="4" w:space="0" w:color="auto"/>
              <w:right w:val="nil"/>
            </w:tcBorders>
            <w:shd w:val="clear" w:color="auto" w:fill="auto"/>
            <w:noWrap/>
            <w:vAlign w:val="center"/>
            <w:hideMark/>
          </w:tcPr>
          <w:p w:rsidR="00A4083A" w:rsidRPr="004E5E4E" w:rsidRDefault="00A4083A" w:rsidP="00A41CAB">
            <w:pPr>
              <w:spacing w:line="240" w:lineRule="auto"/>
              <w:jc w:val="right"/>
              <w:rPr>
                <w:rFonts w:eastAsia="Times New Roman"/>
                <w:color w:val="000000"/>
                <w:sz w:val="20"/>
                <w:szCs w:val="20"/>
                <w:lang w:eastAsia="cs-CZ"/>
              </w:rPr>
            </w:pPr>
            <w:r w:rsidRPr="004E5E4E">
              <w:rPr>
                <w:rFonts w:eastAsia="Times New Roman"/>
                <w:color w:val="000000"/>
                <w:sz w:val="20"/>
                <w:szCs w:val="20"/>
                <w:lang w:eastAsia="cs-CZ"/>
              </w:rPr>
              <w:t>-1</w:t>
            </w:r>
            <w:r>
              <w:rPr>
                <w:rFonts w:eastAsia="Times New Roman"/>
                <w:color w:val="000000"/>
                <w:sz w:val="20"/>
                <w:szCs w:val="20"/>
                <w:lang w:eastAsia="cs-CZ"/>
              </w:rPr>
              <w:t> %</w:t>
            </w:r>
          </w:p>
        </w:tc>
      </w:tr>
      <w:tr w:rsidR="00A4083A" w:rsidRPr="004E5E4E"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4E5E4E" w:rsidRDefault="00A4083A" w:rsidP="00A41CAB">
            <w:pPr>
              <w:spacing w:line="240" w:lineRule="auto"/>
              <w:jc w:val="left"/>
              <w:rPr>
                <w:rFonts w:eastAsia="Times New Roman"/>
                <w:color w:val="000000"/>
                <w:szCs w:val="24"/>
                <w:lang w:eastAsia="cs-CZ"/>
              </w:rPr>
            </w:pPr>
            <w:r w:rsidRPr="004E5E4E">
              <w:rPr>
                <w:rFonts w:eastAsia="Times New Roman"/>
                <w:color w:val="000000"/>
                <w:szCs w:val="24"/>
                <w:lang w:eastAsia="cs-CZ"/>
              </w:rPr>
              <w:t>KS Brno</w:t>
            </w:r>
          </w:p>
        </w:tc>
        <w:tc>
          <w:tcPr>
            <w:tcW w:w="820" w:type="dxa"/>
            <w:tcBorders>
              <w:top w:val="nil"/>
              <w:left w:val="nil"/>
              <w:bottom w:val="single" w:sz="4" w:space="0" w:color="auto"/>
              <w:right w:val="nil"/>
            </w:tcBorders>
            <w:shd w:val="clear" w:color="auto" w:fill="auto"/>
            <w:noWrap/>
            <w:vAlign w:val="bottom"/>
            <w:hideMark/>
          </w:tcPr>
          <w:p w:rsidR="00A4083A" w:rsidRPr="004E5E4E" w:rsidRDefault="00A4083A" w:rsidP="00A41CAB">
            <w:pPr>
              <w:spacing w:line="240" w:lineRule="auto"/>
              <w:jc w:val="center"/>
              <w:rPr>
                <w:rFonts w:eastAsia="Times New Roman"/>
                <w:color w:val="000000"/>
                <w:szCs w:val="24"/>
                <w:lang w:eastAsia="cs-CZ"/>
              </w:rPr>
            </w:pPr>
            <w:r w:rsidRPr="004E5E4E">
              <w:rPr>
                <w:rFonts w:eastAsia="Times New Roman"/>
                <w:color w:val="000000"/>
                <w:szCs w:val="24"/>
                <w:lang w:eastAsia="cs-CZ"/>
              </w:rPr>
              <w:t>1 386</w:t>
            </w:r>
          </w:p>
        </w:tc>
        <w:tc>
          <w:tcPr>
            <w:tcW w:w="860" w:type="dxa"/>
            <w:tcBorders>
              <w:top w:val="nil"/>
              <w:left w:val="nil"/>
              <w:bottom w:val="single" w:sz="4" w:space="0" w:color="auto"/>
              <w:right w:val="nil"/>
            </w:tcBorders>
            <w:shd w:val="clear" w:color="auto" w:fill="auto"/>
            <w:noWrap/>
            <w:vAlign w:val="center"/>
            <w:hideMark/>
          </w:tcPr>
          <w:p w:rsidR="00A4083A" w:rsidRPr="004E5E4E" w:rsidRDefault="00A4083A" w:rsidP="00A41CAB">
            <w:pPr>
              <w:spacing w:line="240" w:lineRule="auto"/>
              <w:jc w:val="right"/>
              <w:rPr>
                <w:rFonts w:eastAsia="Times New Roman"/>
                <w:color w:val="000000"/>
                <w:sz w:val="20"/>
                <w:szCs w:val="20"/>
                <w:lang w:eastAsia="cs-CZ"/>
              </w:rPr>
            </w:pPr>
            <w:r w:rsidRPr="004E5E4E">
              <w:rPr>
                <w:rFonts w:eastAsia="Times New Roman"/>
                <w:color w:val="000000"/>
                <w:sz w:val="20"/>
                <w:szCs w:val="20"/>
                <w:lang w:eastAsia="cs-CZ"/>
              </w:rPr>
              <w:t>+23</w:t>
            </w:r>
            <w:r>
              <w:rPr>
                <w:rFonts w:eastAsia="Times New Roman"/>
                <w:color w:val="000000"/>
                <w:sz w:val="20"/>
                <w:szCs w:val="20"/>
                <w:lang w:eastAsia="cs-CZ"/>
              </w:rPr>
              <w:t> %</w:t>
            </w:r>
          </w:p>
        </w:tc>
        <w:tc>
          <w:tcPr>
            <w:tcW w:w="820" w:type="dxa"/>
            <w:tcBorders>
              <w:top w:val="nil"/>
              <w:left w:val="single" w:sz="4" w:space="0" w:color="auto"/>
              <w:bottom w:val="single" w:sz="4" w:space="0" w:color="auto"/>
              <w:right w:val="nil"/>
            </w:tcBorders>
            <w:shd w:val="clear" w:color="auto" w:fill="auto"/>
            <w:noWrap/>
            <w:vAlign w:val="bottom"/>
            <w:hideMark/>
          </w:tcPr>
          <w:p w:rsidR="00A4083A" w:rsidRPr="004E5E4E" w:rsidRDefault="00A4083A" w:rsidP="00A41CAB">
            <w:pPr>
              <w:spacing w:line="240" w:lineRule="auto"/>
              <w:jc w:val="center"/>
              <w:rPr>
                <w:rFonts w:eastAsia="Times New Roman"/>
                <w:color w:val="000000"/>
                <w:szCs w:val="24"/>
                <w:lang w:eastAsia="cs-CZ"/>
              </w:rPr>
            </w:pPr>
            <w:r w:rsidRPr="004E5E4E">
              <w:rPr>
                <w:rFonts w:eastAsia="Times New Roman"/>
                <w:color w:val="000000"/>
                <w:szCs w:val="24"/>
                <w:lang w:eastAsia="cs-CZ"/>
              </w:rPr>
              <w:t>1 319</w:t>
            </w:r>
          </w:p>
        </w:tc>
        <w:tc>
          <w:tcPr>
            <w:tcW w:w="860" w:type="dxa"/>
            <w:tcBorders>
              <w:top w:val="nil"/>
              <w:left w:val="nil"/>
              <w:bottom w:val="single" w:sz="4" w:space="0" w:color="auto"/>
              <w:right w:val="single" w:sz="4" w:space="0" w:color="auto"/>
            </w:tcBorders>
            <w:shd w:val="clear" w:color="auto" w:fill="auto"/>
            <w:noWrap/>
            <w:vAlign w:val="center"/>
            <w:hideMark/>
          </w:tcPr>
          <w:p w:rsidR="00A4083A" w:rsidRPr="004E5E4E" w:rsidRDefault="00A4083A" w:rsidP="00A41CAB">
            <w:pPr>
              <w:spacing w:line="240" w:lineRule="auto"/>
              <w:jc w:val="right"/>
              <w:rPr>
                <w:rFonts w:eastAsia="Times New Roman"/>
                <w:color w:val="000000"/>
                <w:sz w:val="20"/>
                <w:szCs w:val="20"/>
                <w:lang w:eastAsia="cs-CZ"/>
              </w:rPr>
            </w:pPr>
            <w:r w:rsidRPr="004E5E4E">
              <w:rPr>
                <w:rFonts w:eastAsia="Times New Roman"/>
                <w:color w:val="000000"/>
                <w:sz w:val="20"/>
                <w:szCs w:val="20"/>
                <w:lang w:eastAsia="cs-CZ"/>
              </w:rPr>
              <w:t>+26</w:t>
            </w:r>
            <w:r>
              <w:rPr>
                <w:rFonts w:eastAsia="Times New Roman"/>
                <w:color w:val="000000"/>
                <w:sz w:val="20"/>
                <w:szCs w:val="20"/>
                <w:lang w:eastAsia="cs-CZ"/>
              </w:rPr>
              <w:t> %</w:t>
            </w:r>
          </w:p>
        </w:tc>
        <w:tc>
          <w:tcPr>
            <w:tcW w:w="820" w:type="dxa"/>
            <w:tcBorders>
              <w:top w:val="nil"/>
              <w:left w:val="nil"/>
              <w:bottom w:val="single" w:sz="4" w:space="0" w:color="auto"/>
              <w:right w:val="nil"/>
            </w:tcBorders>
            <w:shd w:val="clear" w:color="auto" w:fill="auto"/>
            <w:noWrap/>
            <w:vAlign w:val="bottom"/>
            <w:hideMark/>
          </w:tcPr>
          <w:p w:rsidR="00A4083A" w:rsidRPr="004E5E4E" w:rsidRDefault="00A4083A" w:rsidP="00A41CAB">
            <w:pPr>
              <w:spacing w:line="240" w:lineRule="auto"/>
              <w:jc w:val="center"/>
              <w:rPr>
                <w:rFonts w:eastAsia="Times New Roman"/>
                <w:color w:val="000000"/>
                <w:szCs w:val="24"/>
                <w:lang w:eastAsia="cs-CZ"/>
              </w:rPr>
            </w:pPr>
            <w:r w:rsidRPr="004E5E4E">
              <w:rPr>
                <w:rFonts w:eastAsia="Times New Roman"/>
                <w:color w:val="000000"/>
                <w:szCs w:val="24"/>
                <w:lang w:eastAsia="cs-CZ"/>
              </w:rPr>
              <w:t>2 405</w:t>
            </w:r>
          </w:p>
        </w:tc>
        <w:tc>
          <w:tcPr>
            <w:tcW w:w="860" w:type="dxa"/>
            <w:tcBorders>
              <w:top w:val="nil"/>
              <w:left w:val="nil"/>
              <w:bottom w:val="single" w:sz="4" w:space="0" w:color="auto"/>
              <w:right w:val="nil"/>
            </w:tcBorders>
            <w:shd w:val="clear" w:color="auto" w:fill="auto"/>
            <w:noWrap/>
            <w:vAlign w:val="center"/>
            <w:hideMark/>
          </w:tcPr>
          <w:p w:rsidR="00A4083A" w:rsidRPr="004E5E4E" w:rsidRDefault="00A4083A" w:rsidP="00A41CAB">
            <w:pPr>
              <w:spacing w:line="240" w:lineRule="auto"/>
              <w:jc w:val="right"/>
              <w:rPr>
                <w:rFonts w:eastAsia="Times New Roman"/>
                <w:color w:val="000000"/>
                <w:sz w:val="20"/>
                <w:szCs w:val="20"/>
                <w:lang w:eastAsia="cs-CZ"/>
              </w:rPr>
            </w:pPr>
            <w:r w:rsidRPr="004E5E4E">
              <w:rPr>
                <w:rFonts w:eastAsia="Times New Roman"/>
                <w:color w:val="000000"/>
                <w:sz w:val="20"/>
                <w:szCs w:val="20"/>
                <w:lang w:eastAsia="cs-CZ"/>
              </w:rPr>
              <w:t>+23</w:t>
            </w:r>
            <w:r>
              <w:rPr>
                <w:rFonts w:eastAsia="Times New Roman"/>
                <w:color w:val="000000"/>
                <w:sz w:val="20"/>
                <w:szCs w:val="20"/>
                <w:lang w:eastAsia="cs-CZ"/>
              </w:rPr>
              <w:t> %</w:t>
            </w:r>
          </w:p>
        </w:tc>
      </w:tr>
      <w:tr w:rsidR="00A4083A" w:rsidRPr="004E5E4E"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4E5E4E" w:rsidRDefault="00A4083A" w:rsidP="00A41CAB">
            <w:pPr>
              <w:spacing w:line="240" w:lineRule="auto"/>
              <w:jc w:val="left"/>
              <w:rPr>
                <w:rFonts w:eastAsia="Times New Roman"/>
                <w:color w:val="000000"/>
                <w:szCs w:val="24"/>
                <w:lang w:eastAsia="cs-CZ"/>
              </w:rPr>
            </w:pPr>
            <w:r w:rsidRPr="004E5E4E">
              <w:rPr>
                <w:rFonts w:eastAsia="Times New Roman"/>
                <w:color w:val="000000"/>
                <w:szCs w:val="24"/>
                <w:lang w:eastAsia="cs-CZ"/>
              </w:rPr>
              <w:t>KS Ostrava</w:t>
            </w:r>
          </w:p>
        </w:tc>
        <w:tc>
          <w:tcPr>
            <w:tcW w:w="820" w:type="dxa"/>
            <w:tcBorders>
              <w:top w:val="nil"/>
              <w:left w:val="nil"/>
              <w:bottom w:val="double" w:sz="6" w:space="0" w:color="auto"/>
              <w:right w:val="nil"/>
            </w:tcBorders>
            <w:shd w:val="clear" w:color="auto" w:fill="auto"/>
            <w:noWrap/>
            <w:vAlign w:val="bottom"/>
            <w:hideMark/>
          </w:tcPr>
          <w:p w:rsidR="00A4083A" w:rsidRPr="004E5E4E" w:rsidRDefault="00A4083A" w:rsidP="00A41CAB">
            <w:pPr>
              <w:spacing w:line="240" w:lineRule="auto"/>
              <w:jc w:val="center"/>
              <w:rPr>
                <w:rFonts w:eastAsia="Times New Roman"/>
                <w:color w:val="000000"/>
                <w:szCs w:val="24"/>
                <w:lang w:eastAsia="cs-CZ"/>
              </w:rPr>
            </w:pPr>
            <w:r w:rsidRPr="004E5E4E">
              <w:rPr>
                <w:rFonts w:eastAsia="Times New Roman"/>
                <w:color w:val="000000"/>
                <w:szCs w:val="24"/>
                <w:lang w:eastAsia="cs-CZ"/>
              </w:rPr>
              <w:t>1 423</w:t>
            </w:r>
          </w:p>
        </w:tc>
        <w:tc>
          <w:tcPr>
            <w:tcW w:w="860" w:type="dxa"/>
            <w:tcBorders>
              <w:top w:val="nil"/>
              <w:left w:val="nil"/>
              <w:bottom w:val="double" w:sz="6" w:space="0" w:color="auto"/>
              <w:right w:val="nil"/>
            </w:tcBorders>
            <w:shd w:val="clear" w:color="auto" w:fill="auto"/>
            <w:noWrap/>
            <w:vAlign w:val="center"/>
            <w:hideMark/>
          </w:tcPr>
          <w:p w:rsidR="00A4083A" w:rsidRPr="004E5E4E" w:rsidRDefault="00A4083A" w:rsidP="00A41CAB">
            <w:pPr>
              <w:spacing w:line="240" w:lineRule="auto"/>
              <w:jc w:val="right"/>
              <w:rPr>
                <w:rFonts w:eastAsia="Times New Roman"/>
                <w:color w:val="000000"/>
                <w:sz w:val="20"/>
                <w:szCs w:val="20"/>
                <w:lang w:eastAsia="cs-CZ"/>
              </w:rPr>
            </w:pPr>
            <w:r w:rsidRPr="004E5E4E">
              <w:rPr>
                <w:rFonts w:eastAsia="Times New Roman"/>
                <w:color w:val="000000"/>
                <w:sz w:val="20"/>
                <w:szCs w:val="20"/>
                <w:lang w:eastAsia="cs-CZ"/>
              </w:rPr>
              <w:t>+10</w:t>
            </w:r>
            <w:r>
              <w:rPr>
                <w:rFonts w:eastAsia="Times New Roman"/>
                <w:color w:val="000000"/>
                <w:sz w:val="20"/>
                <w:szCs w:val="20"/>
                <w:lang w:eastAsia="cs-CZ"/>
              </w:rPr>
              <w:t> %</w:t>
            </w:r>
          </w:p>
        </w:tc>
        <w:tc>
          <w:tcPr>
            <w:tcW w:w="820" w:type="dxa"/>
            <w:tcBorders>
              <w:top w:val="nil"/>
              <w:left w:val="single" w:sz="4" w:space="0" w:color="auto"/>
              <w:bottom w:val="double" w:sz="6" w:space="0" w:color="auto"/>
              <w:right w:val="nil"/>
            </w:tcBorders>
            <w:shd w:val="clear" w:color="auto" w:fill="auto"/>
            <w:noWrap/>
            <w:vAlign w:val="bottom"/>
            <w:hideMark/>
          </w:tcPr>
          <w:p w:rsidR="00A4083A" w:rsidRPr="004E5E4E" w:rsidRDefault="00A4083A" w:rsidP="00A41CAB">
            <w:pPr>
              <w:spacing w:line="240" w:lineRule="auto"/>
              <w:jc w:val="center"/>
              <w:rPr>
                <w:rFonts w:eastAsia="Times New Roman"/>
                <w:color w:val="000000"/>
                <w:szCs w:val="24"/>
                <w:lang w:eastAsia="cs-CZ"/>
              </w:rPr>
            </w:pPr>
            <w:r w:rsidRPr="004E5E4E">
              <w:rPr>
                <w:rFonts w:eastAsia="Times New Roman"/>
                <w:color w:val="000000"/>
                <w:szCs w:val="24"/>
                <w:lang w:eastAsia="cs-CZ"/>
              </w:rPr>
              <w:t>1 274</w:t>
            </w:r>
          </w:p>
        </w:tc>
        <w:tc>
          <w:tcPr>
            <w:tcW w:w="860" w:type="dxa"/>
            <w:tcBorders>
              <w:top w:val="nil"/>
              <w:left w:val="nil"/>
              <w:bottom w:val="double" w:sz="6" w:space="0" w:color="auto"/>
              <w:right w:val="single" w:sz="4" w:space="0" w:color="auto"/>
            </w:tcBorders>
            <w:shd w:val="clear" w:color="auto" w:fill="auto"/>
            <w:noWrap/>
            <w:vAlign w:val="center"/>
            <w:hideMark/>
          </w:tcPr>
          <w:p w:rsidR="00A4083A" w:rsidRPr="004E5E4E" w:rsidRDefault="00A4083A" w:rsidP="00A41CAB">
            <w:pPr>
              <w:spacing w:line="240" w:lineRule="auto"/>
              <w:jc w:val="right"/>
              <w:rPr>
                <w:rFonts w:eastAsia="Times New Roman"/>
                <w:color w:val="000000"/>
                <w:sz w:val="20"/>
                <w:szCs w:val="20"/>
                <w:lang w:eastAsia="cs-CZ"/>
              </w:rPr>
            </w:pPr>
            <w:r w:rsidRPr="004E5E4E">
              <w:rPr>
                <w:rFonts w:eastAsia="Times New Roman"/>
                <w:color w:val="000000"/>
                <w:sz w:val="20"/>
                <w:szCs w:val="20"/>
                <w:lang w:eastAsia="cs-CZ"/>
              </w:rPr>
              <w:t>+3</w:t>
            </w:r>
            <w:r>
              <w:rPr>
                <w:rFonts w:eastAsia="Times New Roman"/>
                <w:color w:val="000000"/>
                <w:sz w:val="20"/>
                <w:szCs w:val="20"/>
                <w:lang w:eastAsia="cs-CZ"/>
              </w:rPr>
              <w:t> %</w:t>
            </w:r>
          </w:p>
        </w:tc>
        <w:tc>
          <w:tcPr>
            <w:tcW w:w="820" w:type="dxa"/>
            <w:tcBorders>
              <w:top w:val="nil"/>
              <w:left w:val="nil"/>
              <w:bottom w:val="double" w:sz="6" w:space="0" w:color="auto"/>
              <w:right w:val="nil"/>
            </w:tcBorders>
            <w:shd w:val="clear" w:color="auto" w:fill="auto"/>
            <w:noWrap/>
            <w:vAlign w:val="bottom"/>
            <w:hideMark/>
          </w:tcPr>
          <w:p w:rsidR="00A4083A" w:rsidRPr="004E5E4E" w:rsidRDefault="00A4083A" w:rsidP="00A41CAB">
            <w:pPr>
              <w:spacing w:line="240" w:lineRule="auto"/>
              <w:jc w:val="center"/>
              <w:rPr>
                <w:rFonts w:eastAsia="Times New Roman"/>
                <w:color w:val="000000"/>
                <w:szCs w:val="24"/>
                <w:lang w:eastAsia="cs-CZ"/>
              </w:rPr>
            </w:pPr>
            <w:r w:rsidRPr="004E5E4E">
              <w:rPr>
                <w:rFonts w:eastAsia="Times New Roman"/>
                <w:color w:val="000000"/>
                <w:szCs w:val="24"/>
                <w:lang w:eastAsia="cs-CZ"/>
              </w:rPr>
              <w:t>2 395</w:t>
            </w:r>
          </w:p>
        </w:tc>
        <w:tc>
          <w:tcPr>
            <w:tcW w:w="860" w:type="dxa"/>
            <w:tcBorders>
              <w:top w:val="nil"/>
              <w:left w:val="nil"/>
              <w:bottom w:val="double" w:sz="6" w:space="0" w:color="auto"/>
              <w:right w:val="nil"/>
            </w:tcBorders>
            <w:shd w:val="clear" w:color="auto" w:fill="auto"/>
            <w:noWrap/>
            <w:vAlign w:val="center"/>
            <w:hideMark/>
          </w:tcPr>
          <w:p w:rsidR="00A4083A" w:rsidRPr="004E5E4E" w:rsidRDefault="00A4083A" w:rsidP="00A41CAB">
            <w:pPr>
              <w:spacing w:line="240" w:lineRule="auto"/>
              <w:jc w:val="right"/>
              <w:rPr>
                <w:rFonts w:eastAsia="Times New Roman"/>
                <w:color w:val="000000"/>
                <w:sz w:val="20"/>
                <w:szCs w:val="20"/>
                <w:lang w:eastAsia="cs-CZ"/>
              </w:rPr>
            </w:pPr>
            <w:r w:rsidRPr="004E5E4E">
              <w:rPr>
                <w:rFonts w:eastAsia="Times New Roman"/>
                <w:color w:val="000000"/>
                <w:sz w:val="20"/>
                <w:szCs w:val="20"/>
                <w:lang w:eastAsia="cs-CZ"/>
              </w:rPr>
              <w:t>+11</w:t>
            </w:r>
            <w:r>
              <w:rPr>
                <w:rFonts w:eastAsia="Times New Roman"/>
                <w:color w:val="000000"/>
                <w:sz w:val="20"/>
                <w:szCs w:val="20"/>
                <w:lang w:eastAsia="cs-CZ"/>
              </w:rPr>
              <w:t> %</w:t>
            </w:r>
          </w:p>
        </w:tc>
      </w:tr>
      <w:tr w:rsidR="00A4083A" w:rsidRPr="004E5E4E"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4E5E4E" w:rsidRDefault="00A4083A" w:rsidP="00A41CAB">
            <w:pPr>
              <w:spacing w:line="240" w:lineRule="auto"/>
              <w:jc w:val="left"/>
              <w:rPr>
                <w:rFonts w:eastAsia="Times New Roman"/>
                <w:b/>
                <w:bCs/>
                <w:color w:val="000000"/>
                <w:szCs w:val="24"/>
                <w:lang w:eastAsia="cs-CZ"/>
              </w:rPr>
            </w:pPr>
            <w:r w:rsidRPr="004E5E4E">
              <w:rPr>
                <w:rFonts w:eastAsia="Times New Roman"/>
                <w:b/>
                <w:bCs/>
                <w:color w:val="000000"/>
                <w:szCs w:val="24"/>
                <w:lang w:eastAsia="cs-CZ"/>
              </w:rPr>
              <w:t>Celkem ČR</w:t>
            </w:r>
          </w:p>
        </w:tc>
        <w:tc>
          <w:tcPr>
            <w:tcW w:w="820" w:type="dxa"/>
            <w:tcBorders>
              <w:top w:val="nil"/>
              <w:left w:val="nil"/>
              <w:bottom w:val="double" w:sz="6" w:space="0" w:color="auto"/>
              <w:right w:val="nil"/>
            </w:tcBorders>
            <w:shd w:val="clear" w:color="auto" w:fill="auto"/>
            <w:noWrap/>
            <w:vAlign w:val="center"/>
            <w:hideMark/>
          </w:tcPr>
          <w:p w:rsidR="00A4083A" w:rsidRPr="004E5E4E" w:rsidRDefault="00A4083A" w:rsidP="00A41CAB">
            <w:pPr>
              <w:spacing w:line="240" w:lineRule="auto"/>
              <w:jc w:val="center"/>
              <w:rPr>
                <w:rFonts w:eastAsia="Times New Roman"/>
                <w:b/>
                <w:bCs/>
                <w:color w:val="000000"/>
                <w:szCs w:val="24"/>
                <w:lang w:eastAsia="cs-CZ"/>
              </w:rPr>
            </w:pPr>
            <w:r w:rsidRPr="004E5E4E">
              <w:rPr>
                <w:rFonts w:eastAsia="Times New Roman"/>
                <w:b/>
                <w:bCs/>
                <w:color w:val="000000"/>
                <w:szCs w:val="24"/>
                <w:lang w:eastAsia="cs-CZ"/>
              </w:rPr>
              <w:t>1 455</w:t>
            </w:r>
          </w:p>
        </w:tc>
        <w:tc>
          <w:tcPr>
            <w:tcW w:w="860" w:type="dxa"/>
            <w:tcBorders>
              <w:top w:val="nil"/>
              <w:left w:val="nil"/>
              <w:bottom w:val="double" w:sz="6" w:space="0" w:color="auto"/>
              <w:right w:val="nil"/>
            </w:tcBorders>
            <w:shd w:val="clear" w:color="auto" w:fill="auto"/>
            <w:noWrap/>
            <w:vAlign w:val="center"/>
            <w:hideMark/>
          </w:tcPr>
          <w:p w:rsidR="00A4083A" w:rsidRPr="004E5E4E" w:rsidRDefault="00A4083A" w:rsidP="00A41CAB">
            <w:pPr>
              <w:spacing w:line="240" w:lineRule="auto"/>
              <w:jc w:val="right"/>
              <w:rPr>
                <w:rFonts w:eastAsia="Times New Roman"/>
                <w:b/>
                <w:bCs/>
                <w:color w:val="000000"/>
                <w:sz w:val="20"/>
                <w:szCs w:val="20"/>
                <w:lang w:eastAsia="cs-CZ"/>
              </w:rPr>
            </w:pPr>
            <w:r w:rsidRPr="004E5E4E">
              <w:rPr>
                <w:rFonts w:eastAsia="Times New Roman"/>
                <w:b/>
                <w:bCs/>
                <w:color w:val="000000"/>
                <w:sz w:val="20"/>
                <w:szCs w:val="20"/>
                <w:lang w:eastAsia="cs-CZ"/>
              </w:rPr>
              <w:t>+15</w:t>
            </w:r>
            <w:r>
              <w:rPr>
                <w:rFonts w:eastAsia="Times New Roman"/>
                <w:b/>
                <w:bCs/>
                <w:color w:val="000000"/>
                <w:sz w:val="20"/>
                <w:szCs w:val="20"/>
                <w:lang w:eastAsia="cs-CZ"/>
              </w:rPr>
              <w:t> %</w:t>
            </w:r>
          </w:p>
        </w:tc>
        <w:tc>
          <w:tcPr>
            <w:tcW w:w="820" w:type="dxa"/>
            <w:tcBorders>
              <w:top w:val="nil"/>
              <w:left w:val="single" w:sz="4" w:space="0" w:color="auto"/>
              <w:bottom w:val="double" w:sz="6" w:space="0" w:color="auto"/>
              <w:right w:val="nil"/>
            </w:tcBorders>
            <w:shd w:val="clear" w:color="auto" w:fill="auto"/>
            <w:noWrap/>
            <w:vAlign w:val="center"/>
            <w:hideMark/>
          </w:tcPr>
          <w:p w:rsidR="00A4083A" w:rsidRPr="004E5E4E" w:rsidRDefault="00A4083A" w:rsidP="00A41CAB">
            <w:pPr>
              <w:spacing w:line="240" w:lineRule="auto"/>
              <w:jc w:val="center"/>
              <w:rPr>
                <w:rFonts w:eastAsia="Times New Roman"/>
                <w:b/>
                <w:bCs/>
                <w:color w:val="000000"/>
                <w:szCs w:val="24"/>
                <w:lang w:eastAsia="cs-CZ"/>
              </w:rPr>
            </w:pPr>
            <w:r w:rsidRPr="004E5E4E">
              <w:rPr>
                <w:rFonts w:eastAsia="Times New Roman"/>
                <w:b/>
                <w:bCs/>
                <w:color w:val="000000"/>
                <w:szCs w:val="24"/>
                <w:lang w:eastAsia="cs-CZ"/>
              </w:rPr>
              <w:t>1 354</w:t>
            </w:r>
          </w:p>
        </w:tc>
        <w:tc>
          <w:tcPr>
            <w:tcW w:w="860" w:type="dxa"/>
            <w:tcBorders>
              <w:top w:val="nil"/>
              <w:left w:val="nil"/>
              <w:bottom w:val="double" w:sz="6" w:space="0" w:color="auto"/>
              <w:right w:val="single" w:sz="4" w:space="0" w:color="auto"/>
            </w:tcBorders>
            <w:shd w:val="clear" w:color="auto" w:fill="auto"/>
            <w:noWrap/>
            <w:vAlign w:val="center"/>
            <w:hideMark/>
          </w:tcPr>
          <w:p w:rsidR="00A4083A" w:rsidRPr="004E5E4E" w:rsidRDefault="00A4083A" w:rsidP="00A41CAB">
            <w:pPr>
              <w:spacing w:line="240" w:lineRule="auto"/>
              <w:jc w:val="right"/>
              <w:rPr>
                <w:rFonts w:eastAsia="Times New Roman"/>
                <w:b/>
                <w:bCs/>
                <w:color w:val="000000"/>
                <w:sz w:val="20"/>
                <w:szCs w:val="20"/>
                <w:lang w:eastAsia="cs-CZ"/>
              </w:rPr>
            </w:pPr>
            <w:r w:rsidRPr="004E5E4E">
              <w:rPr>
                <w:rFonts w:eastAsia="Times New Roman"/>
                <w:b/>
                <w:bCs/>
                <w:color w:val="000000"/>
                <w:sz w:val="20"/>
                <w:szCs w:val="20"/>
                <w:lang w:eastAsia="cs-CZ"/>
              </w:rPr>
              <w:t>+12</w:t>
            </w:r>
            <w:r>
              <w:rPr>
                <w:rFonts w:eastAsia="Times New Roman"/>
                <w:b/>
                <w:bCs/>
                <w:color w:val="000000"/>
                <w:sz w:val="20"/>
                <w:szCs w:val="20"/>
                <w:lang w:eastAsia="cs-CZ"/>
              </w:rPr>
              <w:t> %</w:t>
            </w:r>
          </w:p>
        </w:tc>
        <w:tc>
          <w:tcPr>
            <w:tcW w:w="820" w:type="dxa"/>
            <w:tcBorders>
              <w:top w:val="nil"/>
              <w:left w:val="nil"/>
              <w:bottom w:val="double" w:sz="6" w:space="0" w:color="auto"/>
              <w:right w:val="nil"/>
            </w:tcBorders>
            <w:shd w:val="clear" w:color="auto" w:fill="auto"/>
            <w:noWrap/>
            <w:vAlign w:val="center"/>
            <w:hideMark/>
          </w:tcPr>
          <w:p w:rsidR="00A4083A" w:rsidRPr="004E5E4E" w:rsidRDefault="00A4083A" w:rsidP="00A41CAB">
            <w:pPr>
              <w:spacing w:line="240" w:lineRule="auto"/>
              <w:jc w:val="center"/>
              <w:rPr>
                <w:rFonts w:eastAsia="Times New Roman"/>
                <w:b/>
                <w:bCs/>
                <w:color w:val="000000"/>
                <w:szCs w:val="24"/>
                <w:lang w:eastAsia="cs-CZ"/>
              </w:rPr>
            </w:pPr>
            <w:r w:rsidRPr="004E5E4E">
              <w:rPr>
                <w:rFonts w:eastAsia="Times New Roman"/>
                <w:b/>
                <w:bCs/>
                <w:color w:val="000000"/>
                <w:szCs w:val="24"/>
                <w:lang w:eastAsia="cs-CZ"/>
              </w:rPr>
              <w:t>2 384</w:t>
            </w:r>
          </w:p>
        </w:tc>
        <w:tc>
          <w:tcPr>
            <w:tcW w:w="860" w:type="dxa"/>
            <w:tcBorders>
              <w:top w:val="nil"/>
              <w:left w:val="nil"/>
              <w:bottom w:val="double" w:sz="6" w:space="0" w:color="auto"/>
              <w:right w:val="nil"/>
            </w:tcBorders>
            <w:shd w:val="clear" w:color="auto" w:fill="auto"/>
            <w:noWrap/>
            <w:vAlign w:val="center"/>
            <w:hideMark/>
          </w:tcPr>
          <w:p w:rsidR="00A4083A" w:rsidRPr="004E5E4E" w:rsidRDefault="00A4083A" w:rsidP="00A41CAB">
            <w:pPr>
              <w:spacing w:line="240" w:lineRule="auto"/>
              <w:jc w:val="right"/>
              <w:rPr>
                <w:rFonts w:eastAsia="Times New Roman"/>
                <w:b/>
                <w:bCs/>
                <w:color w:val="000000"/>
                <w:sz w:val="20"/>
                <w:szCs w:val="20"/>
                <w:lang w:eastAsia="cs-CZ"/>
              </w:rPr>
            </w:pPr>
            <w:r w:rsidRPr="004E5E4E">
              <w:rPr>
                <w:rFonts w:eastAsia="Times New Roman"/>
                <w:b/>
                <w:bCs/>
                <w:color w:val="000000"/>
                <w:sz w:val="20"/>
                <w:szCs w:val="20"/>
                <w:lang w:eastAsia="cs-CZ"/>
              </w:rPr>
              <w:t>+14</w:t>
            </w:r>
            <w:r>
              <w:rPr>
                <w:rFonts w:eastAsia="Times New Roman"/>
                <w:b/>
                <w:bCs/>
                <w:color w:val="000000"/>
                <w:sz w:val="20"/>
                <w:szCs w:val="20"/>
                <w:lang w:eastAsia="cs-CZ"/>
              </w:rPr>
              <w:t> %</w:t>
            </w:r>
          </w:p>
        </w:tc>
      </w:tr>
    </w:tbl>
    <w:p w:rsidR="00A4083A" w:rsidRDefault="00A4083A" w:rsidP="00A4083A">
      <w:pPr>
        <w:pStyle w:val="OdstavecASR"/>
      </w:pPr>
    </w:p>
    <w:p w:rsidR="00A4083A" w:rsidRPr="00D17312" w:rsidRDefault="00A4083A" w:rsidP="00A4083A">
      <w:pPr>
        <w:pStyle w:val="OdstavecASR"/>
      </w:pPr>
      <w:r w:rsidRPr="00D17312">
        <w:t xml:space="preserve">Trend i absolutní délky řízení jsou velmi podobné těm u právnických osob, jedná se </w:t>
      </w:r>
      <w:r>
        <w:t xml:space="preserve">koneckonců </w:t>
      </w:r>
      <w:r w:rsidRPr="00D17312">
        <w:t>o stejnou formu řešení úpadku. Platí zde tedy obdobné závěry jako u právnických osob.</w:t>
      </w:r>
    </w:p>
    <w:p w:rsidR="00A4083A" w:rsidRPr="00D17312" w:rsidRDefault="00A4083A" w:rsidP="00A4083A">
      <w:pPr>
        <w:pStyle w:val="Nadpis3"/>
        <w:rPr>
          <w:color w:val="auto"/>
        </w:rPr>
      </w:pPr>
      <w:bookmarkStart w:id="560" w:name="_Toc515871274"/>
      <w:bookmarkStart w:id="561" w:name="_Toc43903082"/>
      <w:r w:rsidRPr="00D17312">
        <w:rPr>
          <w:color w:val="auto"/>
        </w:rPr>
        <w:t>Vyřizování věcí</w:t>
      </w:r>
      <w:bookmarkEnd w:id="560"/>
      <w:bookmarkEnd w:id="561"/>
    </w:p>
    <w:p w:rsidR="00A4083A" w:rsidRPr="00D17312" w:rsidRDefault="00A4083A" w:rsidP="00A4083A">
      <w:pPr>
        <w:pStyle w:val="Podnadpis"/>
        <w:rPr>
          <w:color w:val="auto"/>
        </w:rPr>
      </w:pPr>
      <w:bookmarkStart w:id="562" w:name="_Toc515871405"/>
      <w:bookmarkStart w:id="563" w:name="_Toc11135136"/>
      <w:bookmarkStart w:id="564" w:name="_Toc43841455"/>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75</w:t>
      </w:r>
      <w:r w:rsidRPr="00D17312">
        <w:rPr>
          <w:noProof/>
          <w:color w:val="auto"/>
        </w:rPr>
        <w:fldChar w:fldCharType="end"/>
      </w:r>
      <w:r w:rsidRPr="00D17312">
        <w:rPr>
          <w:color w:val="auto"/>
        </w:rPr>
        <w:t>: KS – vyřizování insolvenčních věcí v letech 2008–201</w:t>
      </w:r>
      <w:bookmarkEnd w:id="562"/>
      <w:bookmarkEnd w:id="563"/>
      <w:r w:rsidRPr="00D17312">
        <w:rPr>
          <w:color w:val="auto"/>
        </w:rPr>
        <w:t>9</w:t>
      </w:r>
      <w:bookmarkEnd w:id="564"/>
    </w:p>
    <w:p w:rsidR="00A4083A" w:rsidRPr="00D17312" w:rsidRDefault="00A4083A" w:rsidP="00A4083A">
      <w:pPr>
        <w:pStyle w:val="OdstavecASR"/>
        <w:rPr>
          <w:highlight w:val="yellow"/>
        </w:rPr>
      </w:pPr>
      <w:r w:rsidRPr="00D17312">
        <w:rPr>
          <w:noProof/>
          <w:lang w:eastAsia="cs-CZ"/>
        </w:rPr>
        <w:drawing>
          <wp:inline distT="0" distB="0" distL="0" distR="0" wp14:anchorId="62872BEF" wp14:editId="76AD4ADC">
            <wp:extent cx="5114925" cy="3743325"/>
            <wp:effectExtent l="0" t="0" r="0" b="9525"/>
            <wp:docPr id="135" name="Obráze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pPr>
      <w:bookmarkStart w:id="565" w:name="_Toc515871499"/>
      <w:r w:rsidRPr="00D17312">
        <w:t xml:space="preserve">Sledovat vyřizování věcí je složitější, než je tomu u ostatních agend. Nápad je u této agendy principiálně stejný. Jedná se o jeden podaný insolvenční návrh nebo návrh na moratorium (viz seznam pojmů v příloze) před zahájením insolvenčního řízení (viz ust. § 115 a násl. insolvenčního zákona). „Vyřízené věci“ v této podkapitole se nicméně vztahují k již zcela vyřízeným věcem. Jedná se tedy o věci, kde již skončilo celé insolvenční řízení, včetně případů, kde bylo o insolvenčním </w:t>
      </w:r>
      <w:r w:rsidRPr="00D17312">
        <w:lastRenderedPageBreak/>
        <w:t>návrhu rozhodnuto jinak než rozhodnutím o úpadku. Nevyřízené věci po rozhodnutí o úpadku jsou věci, kde již bylo rozhodnuto o úpadku, případně o způsobu jeho řešení, a úpadek dlužníka je realizován určeným způsobem.</w:t>
      </w:r>
    </w:p>
    <w:p w:rsidR="00A4083A" w:rsidRPr="00D17312" w:rsidRDefault="00A4083A" w:rsidP="00A4083A">
      <w:pPr>
        <w:pStyle w:val="Podnadpis"/>
        <w:rPr>
          <w:color w:val="auto"/>
        </w:rPr>
      </w:pPr>
      <w:bookmarkStart w:id="566" w:name="_Toc11133265"/>
      <w:bookmarkStart w:id="567" w:name="_Toc43931244"/>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71</w:t>
      </w:r>
      <w:r w:rsidRPr="00D17312">
        <w:rPr>
          <w:noProof/>
          <w:color w:val="auto"/>
        </w:rPr>
        <w:fldChar w:fldCharType="end"/>
      </w:r>
      <w:r w:rsidRPr="00D17312">
        <w:rPr>
          <w:color w:val="auto"/>
        </w:rPr>
        <w:t>: KS – vyřizování insolvenčních věcí dle soudů</w:t>
      </w:r>
      <w:bookmarkEnd w:id="565"/>
      <w:bookmarkEnd w:id="566"/>
      <w:bookmarkEnd w:id="567"/>
    </w:p>
    <w:tbl>
      <w:tblPr>
        <w:tblW w:w="8728" w:type="dxa"/>
        <w:tblCellMar>
          <w:left w:w="70" w:type="dxa"/>
          <w:right w:w="70" w:type="dxa"/>
        </w:tblCellMar>
        <w:tblLook w:val="04A0" w:firstRow="1" w:lastRow="0" w:firstColumn="1" w:lastColumn="0" w:noHBand="0" w:noVBand="1"/>
      </w:tblPr>
      <w:tblGrid>
        <w:gridCol w:w="1980"/>
        <w:gridCol w:w="997"/>
        <w:gridCol w:w="746"/>
        <w:gridCol w:w="955"/>
        <w:gridCol w:w="744"/>
        <w:gridCol w:w="957"/>
        <w:gridCol w:w="746"/>
        <w:gridCol w:w="983"/>
        <w:gridCol w:w="620"/>
      </w:tblGrid>
      <w:tr w:rsidR="00A4083A" w:rsidRPr="00D17312" w:rsidTr="00A41CAB">
        <w:trPr>
          <w:trHeight w:val="330"/>
        </w:trPr>
        <w:tc>
          <w:tcPr>
            <w:tcW w:w="198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6748" w:type="dxa"/>
            <w:gridSpan w:val="8"/>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věcí</w:t>
            </w:r>
          </w:p>
        </w:tc>
      </w:tr>
      <w:tr w:rsidR="00A4083A" w:rsidRPr="00D17312" w:rsidTr="00A41CAB">
        <w:trPr>
          <w:trHeight w:val="960"/>
        </w:trPr>
        <w:tc>
          <w:tcPr>
            <w:tcW w:w="19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743" w:type="dxa"/>
            <w:gridSpan w:val="2"/>
            <w:tcBorders>
              <w:top w:val="nil"/>
              <w:left w:val="nil"/>
              <w:bottom w:val="double" w:sz="6" w:space="0" w:color="auto"/>
              <w:right w:val="nil"/>
            </w:tcBorders>
            <w:shd w:val="clear" w:color="auto" w:fill="auto"/>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Nápad + obživa</w:t>
            </w:r>
          </w:p>
        </w:tc>
        <w:tc>
          <w:tcPr>
            <w:tcW w:w="1699" w:type="dxa"/>
            <w:gridSpan w:val="2"/>
            <w:tcBorders>
              <w:top w:val="nil"/>
              <w:left w:val="single" w:sz="4" w:space="0" w:color="auto"/>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Vyřízeno</w:t>
            </w:r>
          </w:p>
        </w:tc>
        <w:tc>
          <w:tcPr>
            <w:tcW w:w="1703" w:type="dxa"/>
            <w:gridSpan w:val="2"/>
            <w:tcBorders>
              <w:top w:val="nil"/>
              <w:left w:val="nil"/>
              <w:bottom w:val="double" w:sz="6" w:space="0" w:color="auto"/>
              <w:right w:val="single" w:sz="4" w:space="0" w:color="000000"/>
            </w:tcBorders>
            <w:shd w:val="clear" w:color="auto" w:fill="auto"/>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Nevyřízeno před rozh. o úpadku</w:t>
            </w:r>
          </w:p>
        </w:tc>
        <w:tc>
          <w:tcPr>
            <w:tcW w:w="1603" w:type="dxa"/>
            <w:gridSpan w:val="2"/>
            <w:tcBorders>
              <w:top w:val="nil"/>
              <w:left w:val="nil"/>
              <w:bottom w:val="double" w:sz="6" w:space="0" w:color="auto"/>
              <w:right w:val="nil"/>
            </w:tcBorders>
            <w:shd w:val="clear" w:color="auto" w:fill="auto"/>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Nevyřízeno po rozh. o úpadku</w:t>
            </w:r>
          </w:p>
        </w:tc>
      </w:tr>
      <w:tr w:rsidR="00A4083A" w:rsidRPr="00D17312" w:rsidTr="00A41CAB">
        <w:trPr>
          <w:trHeight w:val="330"/>
        </w:trPr>
        <w:tc>
          <w:tcPr>
            <w:tcW w:w="19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997"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2 993</w:t>
            </w:r>
          </w:p>
        </w:tc>
        <w:tc>
          <w:tcPr>
            <w:tcW w:w="746"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+47</w:t>
            </w:r>
            <w:r>
              <w:rPr>
                <w:rFonts w:eastAsia="Times New Roman"/>
                <w:sz w:val="20"/>
                <w:szCs w:val="20"/>
                <w:lang w:eastAsia="cs-CZ"/>
              </w:rPr>
              <w:t> %</w:t>
            </w:r>
          </w:p>
        </w:tc>
        <w:tc>
          <w:tcPr>
            <w:tcW w:w="955" w:type="dxa"/>
            <w:tcBorders>
              <w:top w:val="single" w:sz="4" w:space="0" w:color="auto"/>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2 287</w:t>
            </w:r>
          </w:p>
        </w:tc>
        <w:tc>
          <w:tcPr>
            <w:tcW w:w="744" w:type="dxa"/>
            <w:tcBorders>
              <w:top w:val="single" w:sz="4" w:space="0" w:color="auto"/>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+17</w:t>
            </w:r>
            <w:r>
              <w:rPr>
                <w:rFonts w:eastAsia="Times New Roman"/>
                <w:sz w:val="20"/>
                <w:szCs w:val="20"/>
                <w:lang w:eastAsia="cs-CZ"/>
              </w:rPr>
              <w:t> %</w:t>
            </w:r>
          </w:p>
        </w:tc>
        <w:tc>
          <w:tcPr>
            <w:tcW w:w="957"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490</w:t>
            </w:r>
          </w:p>
        </w:tc>
        <w:tc>
          <w:tcPr>
            <w:tcW w:w="746" w:type="dxa"/>
            <w:tcBorders>
              <w:top w:val="single" w:sz="4" w:space="0" w:color="auto"/>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+28</w:t>
            </w:r>
            <w:r>
              <w:rPr>
                <w:rFonts w:eastAsia="Times New Roman"/>
                <w:sz w:val="20"/>
                <w:szCs w:val="20"/>
                <w:lang w:eastAsia="cs-CZ"/>
              </w:rPr>
              <w:t> %</w:t>
            </w:r>
          </w:p>
        </w:tc>
        <w:tc>
          <w:tcPr>
            <w:tcW w:w="983"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8 150</w:t>
            </w:r>
          </w:p>
        </w:tc>
        <w:tc>
          <w:tcPr>
            <w:tcW w:w="620"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r>
      <w:tr w:rsidR="00A4083A" w:rsidRPr="00D17312" w:rsidTr="00A41CAB">
        <w:trPr>
          <w:trHeight w:val="315"/>
        </w:trPr>
        <w:tc>
          <w:tcPr>
            <w:tcW w:w="19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99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3 342</w:t>
            </w:r>
          </w:p>
        </w:tc>
        <w:tc>
          <w:tcPr>
            <w:tcW w:w="746"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+37</w:t>
            </w:r>
            <w:r>
              <w:rPr>
                <w:rFonts w:eastAsia="Times New Roman"/>
                <w:sz w:val="20"/>
                <w:szCs w:val="20"/>
                <w:lang w:eastAsia="cs-CZ"/>
              </w:rPr>
              <w:t> %</w:t>
            </w:r>
          </w:p>
        </w:tc>
        <w:tc>
          <w:tcPr>
            <w:tcW w:w="95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3 390</w:t>
            </w:r>
          </w:p>
        </w:tc>
        <w:tc>
          <w:tcPr>
            <w:tcW w:w="74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+10</w:t>
            </w:r>
            <w:r>
              <w:rPr>
                <w:rFonts w:eastAsia="Times New Roman"/>
                <w:sz w:val="20"/>
                <w:szCs w:val="20"/>
                <w:lang w:eastAsia="cs-CZ"/>
              </w:rPr>
              <w:t> %</w:t>
            </w:r>
          </w:p>
        </w:tc>
        <w:tc>
          <w:tcPr>
            <w:tcW w:w="95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402</w:t>
            </w:r>
          </w:p>
        </w:tc>
        <w:tc>
          <w:tcPr>
            <w:tcW w:w="746"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+32</w:t>
            </w:r>
            <w:r>
              <w:rPr>
                <w:rFonts w:eastAsia="Times New Roman"/>
                <w:sz w:val="20"/>
                <w:szCs w:val="20"/>
                <w:lang w:eastAsia="cs-CZ"/>
              </w:rPr>
              <w:t> %</w:t>
            </w:r>
          </w:p>
        </w:tc>
        <w:tc>
          <w:tcPr>
            <w:tcW w:w="98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12 068</w:t>
            </w:r>
          </w:p>
        </w:tc>
        <w:tc>
          <w:tcPr>
            <w:tcW w:w="62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r>
      <w:tr w:rsidR="00A4083A" w:rsidRPr="00D17312" w:rsidTr="00A41CAB">
        <w:trPr>
          <w:trHeight w:val="315"/>
        </w:trPr>
        <w:tc>
          <w:tcPr>
            <w:tcW w:w="19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99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1 997</w:t>
            </w:r>
          </w:p>
        </w:tc>
        <w:tc>
          <w:tcPr>
            <w:tcW w:w="746"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+39</w:t>
            </w:r>
            <w:r>
              <w:rPr>
                <w:rFonts w:eastAsia="Times New Roman"/>
                <w:sz w:val="20"/>
                <w:szCs w:val="20"/>
                <w:lang w:eastAsia="cs-CZ"/>
              </w:rPr>
              <w:t> %</w:t>
            </w:r>
          </w:p>
        </w:tc>
        <w:tc>
          <w:tcPr>
            <w:tcW w:w="95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2 295</w:t>
            </w:r>
          </w:p>
        </w:tc>
        <w:tc>
          <w:tcPr>
            <w:tcW w:w="74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+12</w:t>
            </w:r>
            <w:r>
              <w:rPr>
                <w:rFonts w:eastAsia="Times New Roman"/>
                <w:sz w:val="20"/>
                <w:szCs w:val="20"/>
                <w:lang w:eastAsia="cs-CZ"/>
              </w:rPr>
              <w:t> %</w:t>
            </w:r>
          </w:p>
        </w:tc>
        <w:tc>
          <w:tcPr>
            <w:tcW w:w="95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38</w:t>
            </w:r>
          </w:p>
        </w:tc>
        <w:tc>
          <w:tcPr>
            <w:tcW w:w="746"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98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7 519</w:t>
            </w:r>
          </w:p>
        </w:tc>
        <w:tc>
          <w:tcPr>
            <w:tcW w:w="62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r>
      <w:tr w:rsidR="00A4083A" w:rsidRPr="00D17312" w:rsidTr="00A41CAB">
        <w:trPr>
          <w:trHeight w:val="315"/>
        </w:trPr>
        <w:tc>
          <w:tcPr>
            <w:tcW w:w="19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99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2 812</w:t>
            </w:r>
          </w:p>
        </w:tc>
        <w:tc>
          <w:tcPr>
            <w:tcW w:w="746"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+43</w:t>
            </w:r>
            <w:r>
              <w:rPr>
                <w:rFonts w:eastAsia="Times New Roman"/>
                <w:sz w:val="20"/>
                <w:szCs w:val="20"/>
                <w:lang w:eastAsia="cs-CZ"/>
              </w:rPr>
              <w:t> %</w:t>
            </w:r>
          </w:p>
        </w:tc>
        <w:tc>
          <w:tcPr>
            <w:tcW w:w="95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3 064</w:t>
            </w:r>
          </w:p>
        </w:tc>
        <w:tc>
          <w:tcPr>
            <w:tcW w:w="74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c>
          <w:tcPr>
            <w:tcW w:w="95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413</w:t>
            </w:r>
          </w:p>
        </w:tc>
        <w:tc>
          <w:tcPr>
            <w:tcW w:w="746"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+42</w:t>
            </w:r>
            <w:r>
              <w:rPr>
                <w:rFonts w:eastAsia="Times New Roman"/>
                <w:sz w:val="20"/>
                <w:szCs w:val="20"/>
                <w:lang w:eastAsia="cs-CZ"/>
              </w:rPr>
              <w:t> %</w:t>
            </w:r>
          </w:p>
        </w:tc>
        <w:tc>
          <w:tcPr>
            <w:tcW w:w="98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10 476</w:t>
            </w:r>
          </w:p>
        </w:tc>
        <w:tc>
          <w:tcPr>
            <w:tcW w:w="62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r>
      <w:tr w:rsidR="00A4083A" w:rsidRPr="00D17312" w:rsidTr="00A41CAB">
        <w:trPr>
          <w:trHeight w:val="315"/>
        </w:trPr>
        <w:tc>
          <w:tcPr>
            <w:tcW w:w="19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99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5 190</w:t>
            </w:r>
          </w:p>
        </w:tc>
        <w:tc>
          <w:tcPr>
            <w:tcW w:w="746"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+52</w:t>
            </w:r>
            <w:r>
              <w:rPr>
                <w:rFonts w:eastAsia="Times New Roman"/>
                <w:sz w:val="20"/>
                <w:szCs w:val="20"/>
                <w:lang w:eastAsia="cs-CZ"/>
              </w:rPr>
              <w:t> %</w:t>
            </w:r>
          </w:p>
        </w:tc>
        <w:tc>
          <w:tcPr>
            <w:tcW w:w="95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5 053</w:t>
            </w:r>
          </w:p>
        </w:tc>
        <w:tc>
          <w:tcPr>
            <w:tcW w:w="74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95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401</w:t>
            </w:r>
          </w:p>
        </w:tc>
        <w:tc>
          <w:tcPr>
            <w:tcW w:w="746"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+20</w:t>
            </w:r>
            <w:r>
              <w:rPr>
                <w:rFonts w:eastAsia="Times New Roman"/>
                <w:sz w:val="20"/>
                <w:szCs w:val="20"/>
                <w:lang w:eastAsia="cs-CZ"/>
              </w:rPr>
              <w:t> %</w:t>
            </w:r>
          </w:p>
        </w:tc>
        <w:tc>
          <w:tcPr>
            <w:tcW w:w="98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18 669</w:t>
            </w:r>
          </w:p>
        </w:tc>
        <w:tc>
          <w:tcPr>
            <w:tcW w:w="62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w:t>
            </w:r>
            <w:r>
              <w:rPr>
                <w:rFonts w:eastAsia="Times New Roman"/>
                <w:sz w:val="20"/>
                <w:szCs w:val="20"/>
                <w:lang w:eastAsia="cs-CZ"/>
              </w:rPr>
              <w:t> %</w:t>
            </w:r>
          </w:p>
        </w:tc>
      </w:tr>
      <w:tr w:rsidR="00A4083A" w:rsidRPr="00D17312" w:rsidTr="00A41CAB">
        <w:trPr>
          <w:trHeight w:val="315"/>
        </w:trPr>
        <w:tc>
          <w:tcPr>
            <w:tcW w:w="19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99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3 346</w:t>
            </w:r>
          </w:p>
        </w:tc>
        <w:tc>
          <w:tcPr>
            <w:tcW w:w="746"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+41</w:t>
            </w:r>
            <w:r>
              <w:rPr>
                <w:rFonts w:eastAsia="Times New Roman"/>
                <w:sz w:val="20"/>
                <w:szCs w:val="20"/>
                <w:lang w:eastAsia="cs-CZ"/>
              </w:rPr>
              <w:t> %</w:t>
            </w:r>
          </w:p>
        </w:tc>
        <w:tc>
          <w:tcPr>
            <w:tcW w:w="95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3 837</w:t>
            </w:r>
          </w:p>
        </w:tc>
        <w:tc>
          <w:tcPr>
            <w:tcW w:w="74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c>
          <w:tcPr>
            <w:tcW w:w="95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156</w:t>
            </w:r>
          </w:p>
        </w:tc>
        <w:tc>
          <w:tcPr>
            <w:tcW w:w="746"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98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13 461</w:t>
            </w:r>
          </w:p>
        </w:tc>
        <w:tc>
          <w:tcPr>
            <w:tcW w:w="62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r>
      <w:tr w:rsidR="00A4083A" w:rsidRPr="00D17312" w:rsidTr="00A41CAB">
        <w:trPr>
          <w:trHeight w:val="315"/>
        </w:trPr>
        <w:tc>
          <w:tcPr>
            <w:tcW w:w="19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99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5 042</w:t>
            </w:r>
          </w:p>
        </w:tc>
        <w:tc>
          <w:tcPr>
            <w:tcW w:w="746"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+43</w:t>
            </w:r>
            <w:r>
              <w:rPr>
                <w:rFonts w:eastAsia="Times New Roman"/>
                <w:sz w:val="20"/>
                <w:szCs w:val="20"/>
                <w:lang w:eastAsia="cs-CZ"/>
              </w:rPr>
              <w:t> %</w:t>
            </w:r>
          </w:p>
        </w:tc>
        <w:tc>
          <w:tcPr>
            <w:tcW w:w="955"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4 907</w:t>
            </w:r>
          </w:p>
        </w:tc>
        <w:tc>
          <w:tcPr>
            <w:tcW w:w="744"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+17</w:t>
            </w:r>
            <w:r>
              <w:rPr>
                <w:rFonts w:eastAsia="Times New Roman"/>
                <w:sz w:val="20"/>
                <w:szCs w:val="20"/>
                <w:lang w:eastAsia="cs-CZ"/>
              </w:rPr>
              <w:t> %</w:t>
            </w:r>
          </w:p>
        </w:tc>
        <w:tc>
          <w:tcPr>
            <w:tcW w:w="957"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540</w:t>
            </w:r>
          </w:p>
        </w:tc>
        <w:tc>
          <w:tcPr>
            <w:tcW w:w="746"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+30</w:t>
            </w:r>
            <w:r>
              <w:rPr>
                <w:rFonts w:eastAsia="Times New Roman"/>
                <w:sz w:val="20"/>
                <w:szCs w:val="20"/>
                <w:lang w:eastAsia="cs-CZ"/>
              </w:rPr>
              <w:t> %</w:t>
            </w:r>
          </w:p>
        </w:tc>
        <w:tc>
          <w:tcPr>
            <w:tcW w:w="98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16 198</w:t>
            </w:r>
          </w:p>
        </w:tc>
        <w:tc>
          <w:tcPr>
            <w:tcW w:w="620"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w:t>
            </w:r>
            <w:r>
              <w:rPr>
                <w:rFonts w:eastAsia="Times New Roman"/>
                <w:sz w:val="20"/>
                <w:szCs w:val="20"/>
                <w:lang w:eastAsia="cs-CZ"/>
              </w:rPr>
              <w:t> %</w:t>
            </w:r>
          </w:p>
        </w:tc>
      </w:tr>
      <w:tr w:rsidR="00A4083A" w:rsidRPr="00D17312" w:rsidTr="00A41CAB">
        <w:trPr>
          <w:trHeight w:val="330"/>
        </w:trPr>
        <w:tc>
          <w:tcPr>
            <w:tcW w:w="19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997"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6 028</w:t>
            </w:r>
          </w:p>
        </w:tc>
        <w:tc>
          <w:tcPr>
            <w:tcW w:w="746"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+50</w:t>
            </w:r>
            <w:r>
              <w:rPr>
                <w:rFonts w:eastAsia="Times New Roman"/>
                <w:sz w:val="20"/>
                <w:szCs w:val="20"/>
                <w:lang w:eastAsia="cs-CZ"/>
              </w:rPr>
              <w:t> %</w:t>
            </w:r>
          </w:p>
        </w:tc>
        <w:tc>
          <w:tcPr>
            <w:tcW w:w="955"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5 415</w:t>
            </w:r>
          </w:p>
        </w:tc>
        <w:tc>
          <w:tcPr>
            <w:tcW w:w="744"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+16</w:t>
            </w:r>
            <w:r>
              <w:rPr>
                <w:rFonts w:eastAsia="Times New Roman"/>
                <w:sz w:val="20"/>
                <w:szCs w:val="20"/>
                <w:lang w:eastAsia="cs-CZ"/>
              </w:rPr>
              <w:t> %</w:t>
            </w:r>
          </w:p>
        </w:tc>
        <w:tc>
          <w:tcPr>
            <w:tcW w:w="957"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661</w:t>
            </w:r>
          </w:p>
        </w:tc>
        <w:tc>
          <w:tcPr>
            <w:tcW w:w="746"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+43</w:t>
            </w:r>
            <w:r>
              <w:rPr>
                <w:rFonts w:eastAsia="Times New Roman"/>
                <w:sz w:val="20"/>
                <w:szCs w:val="20"/>
                <w:lang w:eastAsia="cs-CZ"/>
              </w:rPr>
              <w:t> %</w:t>
            </w:r>
          </w:p>
        </w:tc>
        <w:tc>
          <w:tcPr>
            <w:tcW w:w="98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21 461</w:t>
            </w:r>
          </w:p>
        </w:tc>
        <w:tc>
          <w:tcPr>
            <w:tcW w:w="62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r>
      <w:tr w:rsidR="00A4083A" w:rsidRPr="00D17312" w:rsidTr="00A41CAB">
        <w:trPr>
          <w:trHeight w:val="345"/>
        </w:trPr>
        <w:tc>
          <w:tcPr>
            <w:tcW w:w="19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997"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30 750</w:t>
            </w:r>
          </w:p>
        </w:tc>
        <w:tc>
          <w:tcPr>
            <w:tcW w:w="746"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+45</w:t>
            </w:r>
            <w:r>
              <w:rPr>
                <w:rFonts w:eastAsia="Times New Roman"/>
                <w:b/>
                <w:bCs/>
                <w:sz w:val="20"/>
                <w:szCs w:val="20"/>
                <w:lang w:eastAsia="cs-CZ"/>
              </w:rPr>
              <w:t> %</w:t>
            </w:r>
          </w:p>
        </w:tc>
        <w:tc>
          <w:tcPr>
            <w:tcW w:w="955"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30 248</w:t>
            </w:r>
          </w:p>
        </w:tc>
        <w:tc>
          <w:tcPr>
            <w:tcW w:w="744"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+6</w:t>
            </w:r>
            <w:r>
              <w:rPr>
                <w:rFonts w:eastAsia="Times New Roman"/>
                <w:b/>
                <w:bCs/>
                <w:sz w:val="20"/>
                <w:szCs w:val="20"/>
                <w:lang w:eastAsia="cs-CZ"/>
              </w:rPr>
              <w:t> %</w:t>
            </w:r>
          </w:p>
        </w:tc>
        <w:tc>
          <w:tcPr>
            <w:tcW w:w="957"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3 101</w:t>
            </w:r>
          </w:p>
        </w:tc>
        <w:tc>
          <w:tcPr>
            <w:tcW w:w="746"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+30</w:t>
            </w:r>
            <w:r>
              <w:rPr>
                <w:rFonts w:eastAsia="Times New Roman"/>
                <w:b/>
                <w:bCs/>
                <w:sz w:val="20"/>
                <w:szCs w:val="20"/>
                <w:lang w:eastAsia="cs-CZ"/>
              </w:rPr>
              <w:t> %</w:t>
            </w:r>
          </w:p>
        </w:tc>
        <w:tc>
          <w:tcPr>
            <w:tcW w:w="98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108 002</w:t>
            </w:r>
          </w:p>
        </w:tc>
        <w:tc>
          <w:tcPr>
            <w:tcW w:w="620"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-0</w:t>
            </w:r>
            <w:r>
              <w:rPr>
                <w:rFonts w:eastAsia="Times New Roman"/>
                <w:b/>
                <w:bCs/>
                <w:sz w:val="20"/>
                <w:szCs w:val="20"/>
                <w:lang w:eastAsia="cs-CZ"/>
              </w:rPr>
              <w:t> %</w:t>
            </w:r>
          </w:p>
        </w:tc>
      </w:tr>
    </w:tbl>
    <w:p w:rsidR="00A4083A" w:rsidRPr="00D17312" w:rsidRDefault="00A4083A" w:rsidP="00A4083A">
      <w:pPr>
        <w:pStyle w:val="OdstavecASR"/>
        <w:rPr>
          <w:highlight w:val="yellow"/>
        </w:rPr>
      </w:pPr>
    </w:p>
    <w:p w:rsidR="00A4083A" w:rsidRDefault="00A4083A" w:rsidP="00A4083A">
      <w:pPr>
        <w:pStyle w:val="OdstavecASR"/>
      </w:pPr>
      <w:r w:rsidRPr="00D17312">
        <w:t xml:space="preserve">Počet napadlých věcí v prvních letech logicky stoupal, protože se jednalo o novou agendu. Změnu trendu v roce 2013 můžeme připsat změnám v ekonomické situaci v ČR, zejména ale tomu, že </w:t>
      </w:r>
      <w:r>
        <w:t>„</w:t>
      </w:r>
      <w:r w:rsidRPr="00D17312">
        <w:t>zásoba</w:t>
      </w:r>
      <w:r>
        <w:t>“</w:t>
      </w:r>
      <w:r w:rsidRPr="00D17312">
        <w:t xml:space="preserve"> osob, které se před rokem 2008 dostaly do úpadkové situace a mohou ji řešit oddlužením, se vyčerpala a nově tedy již jde jen o navrhovatele, kteří skutečně dospěli do úpadku v daném roce. Časová řada počtu nevyřízených věcí před rozhodnutím o úpadku má podobný průběh se zpožděním, což je vzhledem k rychlosti vyřizování insolvenčních návrhů logické. Počet vyřízených věcí roste, protože celé insolvenční řízení trvá několik let. V současnosti se tedy ve vyřízených věcech odráží rostoucí nápad z let 2010 až 2013. Počet nevyřízených věcí po rozhodnutí o úpadku z podobných důvodů rostl až do roku 2016. Druhá fáze insolvenčního řízení totiž trvá relativně dlouho a nevyřízené věci po rozhodnutí o úpadku se tak postupně kumulovaly, což je efekt, který trval asi pět let. V roce 2017 se proto počet nevyřízených věcí po úpadku stabilizoval. Již zde „vyprchal“ efekt rostoucího nápadu do roku 2013. </w:t>
      </w:r>
      <w:r>
        <w:t>V</w:t>
      </w:r>
      <w:r w:rsidRPr="00D17312">
        <w:t xml:space="preserve"> roce 2018 </w:t>
      </w:r>
      <w:r>
        <w:t xml:space="preserve">pak </w:t>
      </w:r>
      <w:r w:rsidRPr="00D17312">
        <w:t>počet nevyřízených věcí</w:t>
      </w:r>
      <w:r>
        <w:t xml:space="preserve"> </w:t>
      </w:r>
      <w:r w:rsidRPr="00D17312">
        <w:t xml:space="preserve">začal klesat, a to u všech soudů s výjimkou MS Praha. Vzhledem k novelám insolvenčního zákona je složitější odhadnout vývoj této proměnné v dalších letech. Novela účinná od 1. 7. 2017 mimo jiné zpřísnila podmínky pro podání insolvenčního návrhu u fyzických osob. Měsíční data za rok 2017 a 2018 ukázala, že to vedlo k velkému růstu nápadu před účinností novely, tedy v červnu 2017. Poté došlo k prudkému poklesu v nápadu. V součtu se tento efekt později projevil dalším snížením v počtu nevyřízených věcí po rozhodnutí o úpadku. V následujících měsících nápad opět postupně rostl a přibližoval se tak hodnotám před červnem 2017. Měsíční nápad ale stále byl v průměru nižší, než byl před novelou. Další novela insolvenční zákona je účinná od 1. 6. 2019, jak bylo uvedeno výše. </w:t>
      </w:r>
      <w:r>
        <w:t>P</w:t>
      </w:r>
      <w:r w:rsidRPr="00D17312">
        <w:t xml:space="preserve">o účinnosti </w:t>
      </w:r>
      <w:r>
        <w:t>této</w:t>
      </w:r>
      <w:r w:rsidRPr="00D17312">
        <w:t xml:space="preserve"> novely došlo k velmi prudkému nárůstu v počtu napadlých věcí, a to především v prvních měsících. To se pak samozřejmě projevilo i v počtu nevyřízených věcí.</w:t>
      </w:r>
    </w:p>
    <w:p w:rsidR="00A4083A" w:rsidRPr="00D17312" w:rsidRDefault="00A4083A" w:rsidP="00A4083A">
      <w:pPr>
        <w:pStyle w:val="OdstavecASR"/>
      </w:pPr>
      <w:r w:rsidRPr="00D17312">
        <w:t xml:space="preserve">V tabulce vidíme, že počty nevyřízených věcí před rozhodnutím o úpadku jsou nízké, obzvlášť u KS České Budějovice a KS Hradec Králové. Počet nevyřízených věcí po rozhodnutí o úpadku </w:t>
      </w:r>
      <w:r w:rsidRPr="00D17312">
        <w:lastRenderedPageBreak/>
        <w:t>vyplývá ze socioekonomické situace v krajích. Nejvíce jich je tedy v Severočeském a Severomoravském kraji, což plyne z větší</w:t>
      </w:r>
      <w:r>
        <w:t>ho</w:t>
      </w:r>
      <w:r w:rsidRPr="00D17312">
        <w:t xml:space="preserve"> počtu insolvencí řešených oddlužením.</w:t>
      </w:r>
    </w:p>
    <w:p w:rsidR="00A4083A" w:rsidRPr="00D17312" w:rsidRDefault="00A4083A" w:rsidP="00A4083A">
      <w:pPr>
        <w:pStyle w:val="Nadpis3"/>
        <w:rPr>
          <w:color w:val="auto"/>
        </w:rPr>
      </w:pPr>
      <w:bookmarkStart w:id="568" w:name="_Toc515871275"/>
      <w:bookmarkStart w:id="569" w:name="_Toc43903083"/>
      <w:r w:rsidRPr="00D17312">
        <w:rPr>
          <w:color w:val="auto"/>
        </w:rPr>
        <w:t>Vyřizování věcí v přepočtu na soudce</w:t>
      </w:r>
      <w:bookmarkEnd w:id="568"/>
      <w:bookmarkEnd w:id="569"/>
    </w:p>
    <w:p w:rsidR="00A4083A" w:rsidRDefault="00A4083A" w:rsidP="00A4083A">
      <w:pPr>
        <w:pStyle w:val="OdstavecASR"/>
      </w:pPr>
      <w:r w:rsidRPr="00D17312">
        <w:t>Stejně jako u ostatních agend, má Ministerstvo spravedlnosti od roku 2019 k dispozici detailnější statistická data o počtu soudců na insolvenčních úsecích soudů.</w:t>
      </w:r>
    </w:p>
    <w:p w:rsidR="00A4083A" w:rsidRPr="00D17312" w:rsidRDefault="00A4083A" w:rsidP="00A4083A">
      <w:pPr>
        <w:pStyle w:val="Podnadpis"/>
        <w:rPr>
          <w:color w:val="auto"/>
        </w:rPr>
      </w:pPr>
      <w:bookmarkStart w:id="570" w:name="_Toc11133266"/>
      <w:bookmarkStart w:id="571" w:name="_Toc43931245"/>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72</w:t>
      </w:r>
      <w:r w:rsidRPr="00D17312">
        <w:rPr>
          <w:noProof/>
          <w:color w:val="auto"/>
        </w:rPr>
        <w:fldChar w:fldCharType="end"/>
      </w:r>
      <w:r w:rsidRPr="00D17312">
        <w:rPr>
          <w:color w:val="auto"/>
        </w:rPr>
        <w:t>: KS – vyřizování insolvenčních věcí na soudce dle soudů</w:t>
      </w:r>
      <w:bookmarkEnd w:id="570"/>
      <w:bookmarkEnd w:id="571"/>
    </w:p>
    <w:tbl>
      <w:tblPr>
        <w:tblW w:w="9168" w:type="dxa"/>
        <w:tblCellMar>
          <w:left w:w="70" w:type="dxa"/>
          <w:right w:w="70" w:type="dxa"/>
        </w:tblCellMar>
        <w:tblLook w:val="04A0" w:firstRow="1" w:lastRow="0" w:firstColumn="1" w:lastColumn="0" w:noHBand="0" w:noVBand="1"/>
      </w:tblPr>
      <w:tblGrid>
        <w:gridCol w:w="2268"/>
        <w:gridCol w:w="1300"/>
        <w:gridCol w:w="1400"/>
        <w:gridCol w:w="1400"/>
        <w:gridCol w:w="1400"/>
        <w:gridCol w:w="1400"/>
      </w:tblGrid>
      <w:tr w:rsidR="00A4083A" w:rsidRPr="000846A0" w:rsidTr="00A41CAB">
        <w:trPr>
          <w:trHeight w:val="330"/>
        </w:trPr>
        <w:tc>
          <w:tcPr>
            <w:tcW w:w="2268" w:type="dxa"/>
            <w:vMerge w:val="restart"/>
            <w:tcBorders>
              <w:top w:val="double" w:sz="6" w:space="0" w:color="auto"/>
              <w:left w:val="nil"/>
              <w:bottom w:val="double" w:sz="6" w:space="0" w:color="000000"/>
              <w:right w:val="nil"/>
            </w:tcBorders>
            <w:shd w:val="clear" w:color="auto" w:fill="auto"/>
            <w:noWrap/>
            <w:vAlign w:val="center"/>
            <w:hideMark/>
          </w:tcPr>
          <w:p w:rsidR="00A4083A" w:rsidRPr="000846A0" w:rsidRDefault="00A4083A" w:rsidP="00A41CAB">
            <w:pPr>
              <w:spacing w:line="240" w:lineRule="auto"/>
              <w:jc w:val="center"/>
              <w:rPr>
                <w:rFonts w:eastAsia="Times New Roman"/>
                <w:b/>
                <w:bCs/>
                <w:color w:val="000000"/>
                <w:szCs w:val="24"/>
                <w:lang w:eastAsia="cs-CZ"/>
              </w:rPr>
            </w:pPr>
            <w:r w:rsidRPr="000846A0">
              <w:rPr>
                <w:rFonts w:eastAsia="Times New Roman"/>
                <w:b/>
                <w:bCs/>
                <w:color w:val="000000"/>
                <w:szCs w:val="24"/>
                <w:lang w:eastAsia="cs-CZ"/>
              </w:rPr>
              <w:t>Soud</w:t>
            </w:r>
          </w:p>
        </w:tc>
        <w:tc>
          <w:tcPr>
            <w:tcW w:w="1300" w:type="dxa"/>
            <w:vMerge w:val="restart"/>
            <w:tcBorders>
              <w:top w:val="double" w:sz="6" w:space="0" w:color="auto"/>
              <w:left w:val="nil"/>
              <w:bottom w:val="double" w:sz="6" w:space="0" w:color="000000"/>
              <w:right w:val="nil"/>
            </w:tcBorders>
            <w:shd w:val="clear" w:color="auto" w:fill="auto"/>
            <w:vAlign w:val="center"/>
            <w:hideMark/>
          </w:tcPr>
          <w:p w:rsidR="00A4083A" w:rsidRPr="000846A0" w:rsidRDefault="00A4083A" w:rsidP="00A41CAB">
            <w:pPr>
              <w:spacing w:line="240" w:lineRule="auto"/>
              <w:jc w:val="center"/>
              <w:rPr>
                <w:rFonts w:eastAsia="Times New Roman"/>
                <w:b/>
                <w:bCs/>
                <w:color w:val="000000"/>
                <w:szCs w:val="24"/>
                <w:lang w:eastAsia="cs-CZ"/>
              </w:rPr>
            </w:pPr>
            <w:r w:rsidRPr="000846A0">
              <w:rPr>
                <w:rFonts w:eastAsia="Times New Roman"/>
                <w:b/>
                <w:bCs/>
                <w:color w:val="000000"/>
                <w:szCs w:val="24"/>
                <w:lang w:eastAsia="cs-CZ"/>
              </w:rPr>
              <w:t>Počet úvazků</w:t>
            </w:r>
          </w:p>
        </w:tc>
        <w:tc>
          <w:tcPr>
            <w:tcW w:w="5600" w:type="dxa"/>
            <w:gridSpan w:val="4"/>
            <w:tcBorders>
              <w:top w:val="double" w:sz="6" w:space="0" w:color="auto"/>
              <w:left w:val="nil"/>
              <w:bottom w:val="nil"/>
              <w:right w:val="nil"/>
            </w:tcBorders>
            <w:shd w:val="clear" w:color="auto" w:fill="auto"/>
            <w:vAlign w:val="center"/>
            <w:hideMark/>
          </w:tcPr>
          <w:p w:rsidR="00A4083A" w:rsidRPr="000846A0" w:rsidRDefault="00A4083A" w:rsidP="00A41CAB">
            <w:pPr>
              <w:spacing w:line="240" w:lineRule="auto"/>
              <w:jc w:val="center"/>
              <w:rPr>
                <w:rFonts w:eastAsia="Times New Roman"/>
                <w:b/>
                <w:bCs/>
                <w:color w:val="000000"/>
                <w:szCs w:val="24"/>
                <w:lang w:eastAsia="cs-CZ"/>
              </w:rPr>
            </w:pPr>
            <w:r w:rsidRPr="000846A0">
              <w:rPr>
                <w:rFonts w:eastAsia="Times New Roman"/>
                <w:b/>
                <w:bCs/>
                <w:color w:val="000000"/>
                <w:szCs w:val="24"/>
                <w:lang w:eastAsia="cs-CZ"/>
              </w:rPr>
              <w:t>Počet věcí na soudce</w:t>
            </w:r>
          </w:p>
        </w:tc>
      </w:tr>
      <w:tr w:rsidR="00A4083A" w:rsidRPr="000846A0" w:rsidTr="00A41CAB">
        <w:trPr>
          <w:trHeight w:val="960"/>
        </w:trPr>
        <w:tc>
          <w:tcPr>
            <w:tcW w:w="2268" w:type="dxa"/>
            <w:vMerge/>
            <w:tcBorders>
              <w:top w:val="double" w:sz="6" w:space="0" w:color="auto"/>
              <w:left w:val="nil"/>
              <w:bottom w:val="double" w:sz="6" w:space="0" w:color="000000"/>
              <w:right w:val="nil"/>
            </w:tcBorders>
            <w:vAlign w:val="center"/>
            <w:hideMark/>
          </w:tcPr>
          <w:p w:rsidR="00A4083A" w:rsidRPr="000846A0" w:rsidRDefault="00A4083A" w:rsidP="00A41CAB">
            <w:pPr>
              <w:spacing w:line="240" w:lineRule="auto"/>
              <w:jc w:val="left"/>
              <w:rPr>
                <w:rFonts w:eastAsia="Times New Roman"/>
                <w:b/>
                <w:bCs/>
                <w:color w:val="000000"/>
                <w:szCs w:val="24"/>
                <w:lang w:eastAsia="cs-CZ"/>
              </w:rPr>
            </w:pPr>
          </w:p>
        </w:tc>
        <w:tc>
          <w:tcPr>
            <w:tcW w:w="1300" w:type="dxa"/>
            <w:vMerge/>
            <w:tcBorders>
              <w:top w:val="double" w:sz="6" w:space="0" w:color="auto"/>
              <w:left w:val="nil"/>
              <w:bottom w:val="double" w:sz="6" w:space="0" w:color="000000"/>
              <w:right w:val="nil"/>
            </w:tcBorders>
            <w:vAlign w:val="center"/>
            <w:hideMark/>
          </w:tcPr>
          <w:p w:rsidR="00A4083A" w:rsidRPr="000846A0" w:rsidRDefault="00A4083A" w:rsidP="00A41CAB">
            <w:pPr>
              <w:spacing w:line="240" w:lineRule="auto"/>
              <w:jc w:val="left"/>
              <w:rPr>
                <w:rFonts w:eastAsia="Times New Roman"/>
                <w:b/>
                <w:bCs/>
                <w:color w:val="000000"/>
                <w:szCs w:val="24"/>
                <w:lang w:eastAsia="cs-CZ"/>
              </w:rPr>
            </w:pPr>
          </w:p>
        </w:tc>
        <w:tc>
          <w:tcPr>
            <w:tcW w:w="1400" w:type="dxa"/>
            <w:tcBorders>
              <w:top w:val="nil"/>
              <w:left w:val="nil"/>
              <w:bottom w:val="double" w:sz="6" w:space="0" w:color="auto"/>
              <w:right w:val="nil"/>
            </w:tcBorders>
            <w:shd w:val="clear" w:color="auto" w:fill="auto"/>
            <w:vAlign w:val="center"/>
            <w:hideMark/>
          </w:tcPr>
          <w:p w:rsidR="00A4083A" w:rsidRPr="000846A0" w:rsidRDefault="00A4083A" w:rsidP="00A41CAB">
            <w:pPr>
              <w:spacing w:line="240" w:lineRule="auto"/>
              <w:jc w:val="center"/>
              <w:rPr>
                <w:rFonts w:eastAsia="Times New Roman"/>
                <w:b/>
                <w:bCs/>
                <w:color w:val="000000"/>
                <w:szCs w:val="24"/>
                <w:lang w:eastAsia="cs-CZ"/>
              </w:rPr>
            </w:pPr>
            <w:r w:rsidRPr="000846A0">
              <w:rPr>
                <w:rFonts w:eastAsia="Times New Roman"/>
                <w:b/>
                <w:bCs/>
                <w:color w:val="000000"/>
                <w:szCs w:val="24"/>
                <w:lang w:eastAsia="cs-CZ"/>
              </w:rPr>
              <w:t>Nápad + obživa</w:t>
            </w:r>
          </w:p>
        </w:tc>
        <w:tc>
          <w:tcPr>
            <w:tcW w:w="1400" w:type="dxa"/>
            <w:tcBorders>
              <w:top w:val="nil"/>
              <w:left w:val="nil"/>
              <w:bottom w:val="double" w:sz="6" w:space="0" w:color="auto"/>
              <w:right w:val="nil"/>
            </w:tcBorders>
            <w:shd w:val="clear" w:color="auto" w:fill="auto"/>
            <w:vAlign w:val="center"/>
            <w:hideMark/>
          </w:tcPr>
          <w:p w:rsidR="00A4083A" w:rsidRPr="000846A0" w:rsidRDefault="00A4083A" w:rsidP="00A41CAB">
            <w:pPr>
              <w:spacing w:line="240" w:lineRule="auto"/>
              <w:jc w:val="center"/>
              <w:rPr>
                <w:rFonts w:eastAsia="Times New Roman"/>
                <w:b/>
                <w:bCs/>
                <w:color w:val="000000"/>
                <w:szCs w:val="24"/>
                <w:lang w:eastAsia="cs-CZ"/>
              </w:rPr>
            </w:pPr>
            <w:r w:rsidRPr="000846A0">
              <w:rPr>
                <w:rFonts w:eastAsia="Times New Roman"/>
                <w:b/>
                <w:bCs/>
                <w:color w:val="000000"/>
                <w:szCs w:val="24"/>
                <w:lang w:eastAsia="cs-CZ"/>
              </w:rPr>
              <w:t>Vyřízeno</w:t>
            </w:r>
          </w:p>
        </w:tc>
        <w:tc>
          <w:tcPr>
            <w:tcW w:w="1400" w:type="dxa"/>
            <w:tcBorders>
              <w:top w:val="nil"/>
              <w:left w:val="nil"/>
              <w:bottom w:val="double" w:sz="6" w:space="0" w:color="auto"/>
              <w:right w:val="nil"/>
            </w:tcBorders>
            <w:shd w:val="clear" w:color="auto" w:fill="auto"/>
            <w:vAlign w:val="center"/>
            <w:hideMark/>
          </w:tcPr>
          <w:p w:rsidR="00A4083A" w:rsidRPr="000846A0" w:rsidRDefault="00A4083A" w:rsidP="00A41CAB">
            <w:pPr>
              <w:spacing w:line="240" w:lineRule="auto"/>
              <w:jc w:val="center"/>
              <w:rPr>
                <w:rFonts w:eastAsia="Times New Roman"/>
                <w:b/>
                <w:bCs/>
                <w:color w:val="000000"/>
                <w:szCs w:val="24"/>
                <w:lang w:eastAsia="cs-CZ"/>
              </w:rPr>
            </w:pPr>
            <w:r w:rsidRPr="000846A0">
              <w:rPr>
                <w:rFonts w:eastAsia="Times New Roman"/>
                <w:b/>
                <w:bCs/>
                <w:color w:val="000000"/>
                <w:szCs w:val="24"/>
                <w:lang w:eastAsia="cs-CZ"/>
              </w:rPr>
              <w:t>Nevyřízeno před rozh. o úpadku</w:t>
            </w:r>
          </w:p>
        </w:tc>
        <w:tc>
          <w:tcPr>
            <w:tcW w:w="1400" w:type="dxa"/>
            <w:tcBorders>
              <w:top w:val="nil"/>
              <w:left w:val="nil"/>
              <w:bottom w:val="double" w:sz="6" w:space="0" w:color="auto"/>
              <w:right w:val="nil"/>
            </w:tcBorders>
            <w:shd w:val="clear" w:color="auto" w:fill="auto"/>
            <w:vAlign w:val="center"/>
            <w:hideMark/>
          </w:tcPr>
          <w:p w:rsidR="00A4083A" w:rsidRPr="000846A0" w:rsidRDefault="00A4083A" w:rsidP="00A41CAB">
            <w:pPr>
              <w:spacing w:line="240" w:lineRule="auto"/>
              <w:jc w:val="center"/>
              <w:rPr>
                <w:rFonts w:eastAsia="Times New Roman"/>
                <w:b/>
                <w:bCs/>
                <w:color w:val="000000"/>
                <w:szCs w:val="24"/>
                <w:lang w:eastAsia="cs-CZ"/>
              </w:rPr>
            </w:pPr>
            <w:r w:rsidRPr="000846A0">
              <w:rPr>
                <w:rFonts w:eastAsia="Times New Roman"/>
                <w:b/>
                <w:bCs/>
                <w:color w:val="000000"/>
                <w:szCs w:val="24"/>
                <w:lang w:eastAsia="cs-CZ"/>
              </w:rPr>
              <w:t>Nevyřízeno po rozh. o úpadku</w:t>
            </w:r>
          </w:p>
        </w:tc>
      </w:tr>
      <w:tr w:rsidR="00A4083A" w:rsidRPr="000846A0" w:rsidTr="00A41CAB">
        <w:trPr>
          <w:trHeight w:val="330"/>
        </w:trPr>
        <w:tc>
          <w:tcPr>
            <w:tcW w:w="2268" w:type="dxa"/>
            <w:tcBorders>
              <w:top w:val="single" w:sz="4" w:space="0" w:color="auto"/>
              <w:left w:val="nil"/>
              <w:bottom w:val="single" w:sz="4" w:space="0" w:color="auto"/>
              <w:right w:val="nil"/>
            </w:tcBorders>
            <w:shd w:val="clear" w:color="auto" w:fill="auto"/>
            <w:noWrap/>
            <w:vAlign w:val="bottom"/>
            <w:hideMark/>
          </w:tcPr>
          <w:p w:rsidR="00A4083A" w:rsidRPr="000846A0" w:rsidRDefault="00A4083A" w:rsidP="00A41CAB">
            <w:pPr>
              <w:spacing w:line="240" w:lineRule="auto"/>
              <w:jc w:val="left"/>
              <w:rPr>
                <w:rFonts w:eastAsia="Times New Roman"/>
                <w:color w:val="000000"/>
                <w:szCs w:val="24"/>
                <w:lang w:eastAsia="cs-CZ"/>
              </w:rPr>
            </w:pPr>
            <w:r w:rsidRPr="000846A0">
              <w:rPr>
                <w:rFonts w:eastAsia="Times New Roman"/>
                <w:color w:val="000000"/>
                <w:szCs w:val="24"/>
                <w:lang w:eastAsia="cs-CZ"/>
              </w:rPr>
              <w:t>MS Praha</w:t>
            </w:r>
          </w:p>
        </w:tc>
        <w:tc>
          <w:tcPr>
            <w:tcW w:w="1300" w:type="dxa"/>
            <w:tcBorders>
              <w:top w:val="single" w:sz="4" w:space="0" w:color="auto"/>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17</w:t>
            </w:r>
          </w:p>
        </w:tc>
        <w:tc>
          <w:tcPr>
            <w:tcW w:w="1400" w:type="dxa"/>
            <w:tcBorders>
              <w:top w:val="single" w:sz="4" w:space="0" w:color="auto"/>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176</w:t>
            </w:r>
            <w:r>
              <w:rPr>
                <w:rFonts w:eastAsia="Times New Roman"/>
                <w:color w:val="000000"/>
                <w:szCs w:val="24"/>
                <w:lang w:eastAsia="cs-CZ"/>
              </w:rPr>
              <w:t>,</w:t>
            </w:r>
            <w:r w:rsidRPr="000846A0">
              <w:rPr>
                <w:rFonts w:eastAsia="Times New Roman"/>
                <w:color w:val="000000"/>
                <w:szCs w:val="24"/>
                <w:lang w:eastAsia="cs-CZ"/>
              </w:rPr>
              <w:t>06</w:t>
            </w:r>
          </w:p>
        </w:tc>
        <w:tc>
          <w:tcPr>
            <w:tcW w:w="1400" w:type="dxa"/>
            <w:tcBorders>
              <w:top w:val="single" w:sz="4" w:space="0" w:color="auto"/>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134</w:t>
            </w:r>
            <w:r>
              <w:rPr>
                <w:rFonts w:eastAsia="Times New Roman"/>
                <w:color w:val="000000"/>
                <w:szCs w:val="24"/>
                <w:lang w:eastAsia="cs-CZ"/>
              </w:rPr>
              <w:t>,</w:t>
            </w:r>
            <w:r w:rsidRPr="000846A0">
              <w:rPr>
                <w:rFonts w:eastAsia="Times New Roman"/>
                <w:color w:val="000000"/>
                <w:szCs w:val="24"/>
                <w:lang w:eastAsia="cs-CZ"/>
              </w:rPr>
              <w:t>53</w:t>
            </w:r>
          </w:p>
        </w:tc>
        <w:tc>
          <w:tcPr>
            <w:tcW w:w="1400" w:type="dxa"/>
            <w:tcBorders>
              <w:top w:val="single" w:sz="4" w:space="0" w:color="auto"/>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28</w:t>
            </w:r>
            <w:r>
              <w:rPr>
                <w:rFonts w:eastAsia="Times New Roman"/>
                <w:color w:val="000000"/>
                <w:szCs w:val="24"/>
                <w:lang w:eastAsia="cs-CZ"/>
              </w:rPr>
              <w:t>,</w:t>
            </w:r>
            <w:r w:rsidRPr="000846A0">
              <w:rPr>
                <w:rFonts w:eastAsia="Times New Roman"/>
                <w:color w:val="000000"/>
                <w:szCs w:val="24"/>
                <w:lang w:eastAsia="cs-CZ"/>
              </w:rPr>
              <w:t>82</w:t>
            </w:r>
          </w:p>
        </w:tc>
        <w:tc>
          <w:tcPr>
            <w:tcW w:w="1400" w:type="dxa"/>
            <w:tcBorders>
              <w:top w:val="single" w:sz="4" w:space="0" w:color="auto"/>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479</w:t>
            </w:r>
            <w:r>
              <w:rPr>
                <w:rFonts w:eastAsia="Times New Roman"/>
                <w:color w:val="000000"/>
                <w:szCs w:val="24"/>
                <w:lang w:eastAsia="cs-CZ"/>
              </w:rPr>
              <w:t>,</w:t>
            </w:r>
            <w:r w:rsidRPr="000846A0">
              <w:rPr>
                <w:rFonts w:eastAsia="Times New Roman"/>
                <w:color w:val="000000"/>
                <w:szCs w:val="24"/>
                <w:lang w:eastAsia="cs-CZ"/>
              </w:rPr>
              <w:t>41</w:t>
            </w:r>
          </w:p>
        </w:tc>
      </w:tr>
      <w:tr w:rsidR="00A4083A" w:rsidRPr="000846A0" w:rsidTr="00A41CAB">
        <w:trPr>
          <w:trHeight w:val="330"/>
        </w:trPr>
        <w:tc>
          <w:tcPr>
            <w:tcW w:w="2268" w:type="dxa"/>
            <w:tcBorders>
              <w:top w:val="nil"/>
              <w:left w:val="nil"/>
              <w:bottom w:val="single" w:sz="4" w:space="0" w:color="auto"/>
              <w:right w:val="nil"/>
            </w:tcBorders>
            <w:shd w:val="clear" w:color="auto" w:fill="auto"/>
            <w:noWrap/>
            <w:vAlign w:val="bottom"/>
            <w:hideMark/>
          </w:tcPr>
          <w:p w:rsidR="00A4083A" w:rsidRPr="000846A0" w:rsidRDefault="00A4083A" w:rsidP="00A41CAB">
            <w:pPr>
              <w:spacing w:line="240" w:lineRule="auto"/>
              <w:jc w:val="left"/>
              <w:rPr>
                <w:rFonts w:eastAsia="Times New Roman"/>
                <w:color w:val="000000"/>
                <w:szCs w:val="24"/>
                <w:lang w:eastAsia="cs-CZ"/>
              </w:rPr>
            </w:pPr>
            <w:r w:rsidRPr="000846A0">
              <w:rPr>
                <w:rFonts w:eastAsia="Times New Roman"/>
                <w:color w:val="000000"/>
                <w:szCs w:val="24"/>
                <w:lang w:eastAsia="cs-CZ"/>
              </w:rPr>
              <w:t>KS Praha</w:t>
            </w:r>
          </w:p>
        </w:tc>
        <w:tc>
          <w:tcPr>
            <w:tcW w:w="13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15</w:t>
            </w:r>
          </w:p>
        </w:tc>
        <w:tc>
          <w:tcPr>
            <w:tcW w:w="14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222</w:t>
            </w:r>
            <w:r>
              <w:rPr>
                <w:rFonts w:eastAsia="Times New Roman"/>
                <w:color w:val="000000"/>
                <w:szCs w:val="24"/>
                <w:lang w:eastAsia="cs-CZ"/>
              </w:rPr>
              <w:t>,</w:t>
            </w:r>
            <w:r w:rsidRPr="000846A0">
              <w:rPr>
                <w:rFonts w:eastAsia="Times New Roman"/>
                <w:color w:val="000000"/>
                <w:szCs w:val="24"/>
                <w:lang w:eastAsia="cs-CZ"/>
              </w:rPr>
              <w:t>80</w:t>
            </w:r>
          </w:p>
        </w:tc>
        <w:tc>
          <w:tcPr>
            <w:tcW w:w="14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226</w:t>
            </w:r>
            <w:r>
              <w:rPr>
                <w:rFonts w:eastAsia="Times New Roman"/>
                <w:color w:val="000000"/>
                <w:szCs w:val="24"/>
                <w:lang w:eastAsia="cs-CZ"/>
              </w:rPr>
              <w:t>,</w:t>
            </w:r>
            <w:r w:rsidRPr="000846A0">
              <w:rPr>
                <w:rFonts w:eastAsia="Times New Roman"/>
                <w:color w:val="000000"/>
                <w:szCs w:val="24"/>
                <w:lang w:eastAsia="cs-CZ"/>
              </w:rPr>
              <w:t>00</w:t>
            </w:r>
          </w:p>
        </w:tc>
        <w:tc>
          <w:tcPr>
            <w:tcW w:w="14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26</w:t>
            </w:r>
            <w:r>
              <w:rPr>
                <w:rFonts w:eastAsia="Times New Roman"/>
                <w:color w:val="000000"/>
                <w:szCs w:val="24"/>
                <w:lang w:eastAsia="cs-CZ"/>
              </w:rPr>
              <w:t>,</w:t>
            </w:r>
            <w:r w:rsidRPr="000846A0">
              <w:rPr>
                <w:rFonts w:eastAsia="Times New Roman"/>
                <w:color w:val="000000"/>
                <w:szCs w:val="24"/>
                <w:lang w:eastAsia="cs-CZ"/>
              </w:rPr>
              <w:t>80</w:t>
            </w:r>
          </w:p>
        </w:tc>
        <w:tc>
          <w:tcPr>
            <w:tcW w:w="14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804</w:t>
            </w:r>
            <w:r>
              <w:rPr>
                <w:rFonts w:eastAsia="Times New Roman"/>
                <w:color w:val="000000"/>
                <w:szCs w:val="24"/>
                <w:lang w:eastAsia="cs-CZ"/>
              </w:rPr>
              <w:t>,</w:t>
            </w:r>
            <w:r w:rsidRPr="000846A0">
              <w:rPr>
                <w:rFonts w:eastAsia="Times New Roman"/>
                <w:color w:val="000000"/>
                <w:szCs w:val="24"/>
                <w:lang w:eastAsia="cs-CZ"/>
              </w:rPr>
              <w:t>53</w:t>
            </w:r>
          </w:p>
        </w:tc>
      </w:tr>
      <w:tr w:rsidR="00A4083A" w:rsidRPr="000846A0" w:rsidTr="00A41CAB">
        <w:trPr>
          <w:trHeight w:val="345"/>
        </w:trPr>
        <w:tc>
          <w:tcPr>
            <w:tcW w:w="2268" w:type="dxa"/>
            <w:tcBorders>
              <w:top w:val="nil"/>
              <w:left w:val="nil"/>
              <w:bottom w:val="single" w:sz="4" w:space="0" w:color="auto"/>
              <w:right w:val="nil"/>
            </w:tcBorders>
            <w:shd w:val="clear" w:color="auto" w:fill="auto"/>
            <w:noWrap/>
            <w:vAlign w:val="bottom"/>
            <w:hideMark/>
          </w:tcPr>
          <w:p w:rsidR="00A4083A" w:rsidRPr="000846A0" w:rsidRDefault="00A4083A" w:rsidP="00A41CAB">
            <w:pPr>
              <w:spacing w:line="240" w:lineRule="auto"/>
              <w:jc w:val="left"/>
              <w:rPr>
                <w:rFonts w:eastAsia="Times New Roman"/>
                <w:color w:val="000000"/>
                <w:szCs w:val="24"/>
                <w:lang w:eastAsia="cs-CZ"/>
              </w:rPr>
            </w:pPr>
            <w:r w:rsidRPr="000846A0">
              <w:rPr>
                <w:rFonts w:eastAsia="Times New Roman"/>
                <w:color w:val="000000"/>
                <w:szCs w:val="24"/>
                <w:lang w:eastAsia="cs-CZ"/>
              </w:rPr>
              <w:t>KS Č. Budějovice</w:t>
            </w:r>
          </w:p>
        </w:tc>
        <w:tc>
          <w:tcPr>
            <w:tcW w:w="13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5</w:t>
            </w:r>
          </w:p>
        </w:tc>
        <w:tc>
          <w:tcPr>
            <w:tcW w:w="14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399</w:t>
            </w:r>
            <w:r>
              <w:rPr>
                <w:rFonts w:eastAsia="Times New Roman"/>
                <w:color w:val="000000"/>
                <w:szCs w:val="24"/>
                <w:lang w:eastAsia="cs-CZ"/>
              </w:rPr>
              <w:t>,</w:t>
            </w:r>
            <w:r w:rsidRPr="000846A0">
              <w:rPr>
                <w:rFonts w:eastAsia="Times New Roman"/>
                <w:color w:val="000000"/>
                <w:szCs w:val="24"/>
                <w:lang w:eastAsia="cs-CZ"/>
              </w:rPr>
              <w:t>40</w:t>
            </w:r>
          </w:p>
        </w:tc>
        <w:tc>
          <w:tcPr>
            <w:tcW w:w="14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459</w:t>
            </w:r>
            <w:r>
              <w:rPr>
                <w:rFonts w:eastAsia="Times New Roman"/>
                <w:color w:val="000000"/>
                <w:szCs w:val="24"/>
                <w:lang w:eastAsia="cs-CZ"/>
              </w:rPr>
              <w:t>,</w:t>
            </w:r>
            <w:r w:rsidRPr="000846A0">
              <w:rPr>
                <w:rFonts w:eastAsia="Times New Roman"/>
                <w:color w:val="000000"/>
                <w:szCs w:val="24"/>
                <w:lang w:eastAsia="cs-CZ"/>
              </w:rPr>
              <w:t>00</w:t>
            </w:r>
          </w:p>
        </w:tc>
        <w:tc>
          <w:tcPr>
            <w:tcW w:w="14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7</w:t>
            </w:r>
            <w:r>
              <w:rPr>
                <w:rFonts w:eastAsia="Times New Roman"/>
                <w:color w:val="000000"/>
                <w:szCs w:val="24"/>
                <w:lang w:eastAsia="cs-CZ"/>
              </w:rPr>
              <w:t>,</w:t>
            </w:r>
            <w:r w:rsidRPr="000846A0">
              <w:rPr>
                <w:rFonts w:eastAsia="Times New Roman"/>
                <w:color w:val="000000"/>
                <w:szCs w:val="24"/>
                <w:lang w:eastAsia="cs-CZ"/>
              </w:rPr>
              <w:t>60</w:t>
            </w:r>
          </w:p>
        </w:tc>
        <w:tc>
          <w:tcPr>
            <w:tcW w:w="14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1</w:t>
            </w:r>
            <w:r w:rsidR="006C7321">
              <w:rPr>
                <w:rFonts w:eastAsia="Times New Roman"/>
                <w:color w:val="000000"/>
                <w:szCs w:val="24"/>
                <w:lang w:eastAsia="cs-CZ"/>
              </w:rPr>
              <w:t xml:space="preserve"> </w:t>
            </w:r>
            <w:r w:rsidRPr="000846A0">
              <w:rPr>
                <w:rFonts w:eastAsia="Times New Roman"/>
                <w:color w:val="000000"/>
                <w:szCs w:val="24"/>
                <w:lang w:eastAsia="cs-CZ"/>
              </w:rPr>
              <w:t>503</w:t>
            </w:r>
            <w:r>
              <w:rPr>
                <w:rFonts w:eastAsia="Times New Roman"/>
                <w:color w:val="000000"/>
                <w:szCs w:val="24"/>
                <w:lang w:eastAsia="cs-CZ"/>
              </w:rPr>
              <w:t>,</w:t>
            </w:r>
            <w:r w:rsidRPr="000846A0">
              <w:rPr>
                <w:rFonts w:eastAsia="Times New Roman"/>
                <w:color w:val="000000"/>
                <w:szCs w:val="24"/>
                <w:lang w:eastAsia="cs-CZ"/>
              </w:rPr>
              <w:t>80</w:t>
            </w:r>
          </w:p>
        </w:tc>
      </w:tr>
      <w:tr w:rsidR="00A4083A" w:rsidRPr="000846A0" w:rsidTr="00A41CAB">
        <w:trPr>
          <w:trHeight w:val="330"/>
        </w:trPr>
        <w:tc>
          <w:tcPr>
            <w:tcW w:w="2268" w:type="dxa"/>
            <w:tcBorders>
              <w:top w:val="nil"/>
              <w:left w:val="nil"/>
              <w:bottom w:val="single" w:sz="4" w:space="0" w:color="auto"/>
              <w:right w:val="nil"/>
            </w:tcBorders>
            <w:shd w:val="clear" w:color="auto" w:fill="auto"/>
            <w:noWrap/>
            <w:vAlign w:val="bottom"/>
            <w:hideMark/>
          </w:tcPr>
          <w:p w:rsidR="00A4083A" w:rsidRPr="000846A0" w:rsidRDefault="00A4083A" w:rsidP="00A41CAB">
            <w:pPr>
              <w:spacing w:line="240" w:lineRule="auto"/>
              <w:jc w:val="left"/>
              <w:rPr>
                <w:rFonts w:eastAsia="Times New Roman"/>
                <w:color w:val="000000"/>
                <w:szCs w:val="24"/>
                <w:lang w:eastAsia="cs-CZ"/>
              </w:rPr>
            </w:pPr>
            <w:r w:rsidRPr="000846A0">
              <w:rPr>
                <w:rFonts w:eastAsia="Times New Roman"/>
                <w:color w:val="000000"/>
                <w:szCs w:val="24"/>
                <w:lang w:eastAsia="cs-CZ"/>
              </w:rPr>
              <w:t>KS Plzeň</w:t>
            </w:r>
          </w:p>
        </w:tc>
        <w:tc>
          <w:tcPr>
            <w:tcW w:w="13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11</w:t>
            </w:r>
          </w:p>
        </w:tc>
        <w:tc>
          <w:tcPr>
            <w:tcW w:w="14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255</w:t>
            </w:r>
            <w:r>
              <w:rPr>
                <w:rFonts w:eastAsia="Times New Roman"/>
                <w:color w:val="000000"/>
                <w:szCs w:val="24"/>
                <w:lang w:eastAsia="cs-CZ"/>
              </w:rPr>
              <w:t>,</w:t>
            </w:r>
            <w:r w:rsidRPr="000846A0">
              <w:rPr>
                <w:rFonts w:eastAsia="Times New Roman"/>
                <w:color w:val="000000"/>
                <w:szCs w:val="24"/>
                <w:lang w:eastAsia="cs-CZ"/>
              </w:rPr>
              <w:t>64</w:t>
            </w:r>
          </w:p>
        </w:tc>
        <w:tc>
          <w:tcPr>
            <w:tcW w:w="14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278</w:t>
            </w:r>
            <w:r>
              <w:rPr>
                <w:rFonts w:eastAsia="Times New Roman"/>
                <w:color w:val="000000"/>
                <w:szCs w:val="24"/>
                <w:lang w:eastAsia="cs-CZ"/>
              </w:rPr>
              <w:t>,</w:t>
            </w:r>
            <w:r w:rsidRPr="000846A0">
              <w:rPr>
                <w:rFonts w:eastAsia="Times New Roman"/>
                <w:color w:val="000000"/>
                <w:szCs w:val="24"/>
                <w:lang w:eastAsia="cs-CZ"/>
              </w:rPr>
              <w:t>55</w:t>
            </w:r>
          </w:p>
        </w:tc>
        <w:tc>
          <w:tcPr>
            <w:tcW w:w="14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37</w:t>
            </w:r>
            <w:r>
              <w:rPr>
                <w:rFonts w:eastAsia="Times New Roman"/>
                <w:color w:val="000000"/>
                <w:szCs w:val="24"/>
                <w:lang w:eastAsia="cs-CZ"/>
              </w:rPr>
              <w:t>,</w:t>
            </w:r>
            <w:r w:rsidRPr="000846A0">
              <w:rPr>
                <w:rFonts w:eastAsia="Times New Roman"/>
                <w:color w:val="000000"/>
                <w:szCs w:val="24"/>
                <w:lang w:eastAsia="cs-CZ"/>
              </w:rPr>
              <w:t>55</w:t>
            </w:r>
          </w:p>
        </w:tc>
        <w:tc>
          <w:tcPr>
            <w:tcW w:w="14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952</w:t>
            </w:r>
            <w:r>
              <w:rPr>
                <w:rFonts w:eastAsia="Times New Roman"/>
                <w:color w:val="000000"/>
                <w:szCs w:val="24"/>
                <w:lang w:eastAsia="cs-CZ"/>
              </w:rPr>
              <w:t>,</w:t>
            </w:r>
            <w:r w:rsidRPr="000846A0">
              <w:rPr>
                <w:rFonts w:eastAsia="Times New Roman"/>
                <w:color w:val="000000"/>
                <w:szCs w:val="24"/>
                <w:lang w:eastAsia="cs-CZ"/>
              </w:rPr>
              <w:t>36</w:t>
            </w:r>
          </w:p>
        </w:tc>
      </w:tr>
      <w:tr w:rsidR="00A4083A" w:rsidRPr="000846A0" w:rsidTr="00A41CAB">
        <w:trPr>
          <w:trHeight w:val="330"/>
        </w:trPr>
        <w:tc>
          <w:tcPr>
            <w:tcW w:w="2268" w:type="dxa"/>
            <w:tcBorders>
              <w:top w:val="nil"/>
              <w:left w:val="nil"/>
              <w:bottom w:val="single" w:sz="4" w:space="0" w:color="auto"/>
              <w:right w:val="nil"/>
            </w:tcBorders>
            <w:shd w:val="clear" w:color="auto" w:fill="auto"/>
            <w:noWrap/>
            <w:vAlign w:val="bottom"/>
            <w:hideMark/>
          </w:tcPr>
          <w:p w:rsidR="00A4083A" w:rsidRPr="000846A0" w:rsidRDefault="00A4083A" w:rsidP="00A41CAB">
            <w:pPr>
              <w:spacing w:line="240" w:lineRule="auto"/>
              <w:jc w:val="left"/>
              <w:rPr>
                <w:rFonts w:eastAsia="Times New Roman"/>
                <w:color w:val="000000"/>
                <w:szCs w:val="24"/>
                <w:lang w:eastAsia="cs-CZ"/>
              </w:rPr>
            </w:pPr>
            <w:r w:rsidRPr="000846A0">
              <w:rPr>
                <w:rFonts w:eastAsia="Times New Roman"/>
                <w:color w:val="000000"/>
                <w:szCs w:val="24"/>
                <w:lang w:eastAsia="cs-CZ"/>
              </w:rPr>
              <w:t>KS Ústí n. Labem</w:t>
            </w:r>
          </w:p>
        </w:tc>
        <w:tc>
          <w:tcPr>
            <w:tcW w:w="13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19</w:t>
            </w:r>
            <w:r>
              <w:rPr>
                <w:rFonts w:eastAsia="Times New Roman"/>
                <w:color w:val="000000"/>
                <w:szCs w:val="24"/>
                <w:lang w:eastAsia="cs-CZ"/>
              </w:rPr>
              <w:t>,</w:t>
            </w:r>
            <w:r w:rsidRPr="000846A0">
              <w:rPr>
                <w:rFonts w:eastAsia="Times New Roman"/>
                <w:color w:val="000000"/>
                <w:szCs w:val="24"/>
                <w:lang w:eastAsia="cs-CZ"/>
              </w:rPr>
              <w:t>21</w:t>
            </w:r>
          </w:p>
        </w:tc>
        <w:tc>
          <w:tcPr>
            <w:tcW w:w="14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270</w:t>
            </w:r>
            <w:r>
              <w:rPr>
                <w:rFonts w:eastAsia="Times New Roman"/>
                <w:color w:val="000000"/>
                <w:szCs w:val="24"/>
                <w:lang w:eastAsia="cs-CZ"/>
              </w:rPr>
              <w:t>,</w:t>
            </w:r>
            <w:r w:rsidRPr="000846A0">
              <w:rPr>
                <w:rFonts w:eastAsia="Times New Roman"/>
                <w:color w:val="000000"/>
                <w:szCs w:val="24"/>
                <w:lang w:eastAsia="cs-CZ"/>
              </w:rPr>
              <w:t>17</w:t>
            </w:r>
          </w:p>
        </w:tc>
        <w:tc>
          <w:tcPr>
            <w:tcW w:w="14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263</w:t>
            </w:r>
            <w:r>
              <w:rPr>
                <w:rFonts w:eastAsia="Times New Roman"/>
                <w:color w:val="000000"/>
                <w:szCs w:val="24"/>
                <w:lang w:eastAsia="cs-CZ"/>
              </w:rPr>
              <w:t>,</w:t>
            </w:r>
            <w:r w:rsidRPr="000846A0">
              <w:rPr>
                <w:rFonts w:eastAsia="Times New Roman"/>
                <w:color w:val="000000"/>
                <w:szCs w:val="24"/>
                <w:lang w:eastAsia="cs-CZ"/>
              </w:rPr>
              <w:t>04</w:t>
            </w:r>
          </w:p>
        </w:tc>
        <w:tc>
          <w:tcPr>
            <w:tcW w:w="14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20</w:t>
            </w:r>
            <w:r>
              <w:rPr>
                <w:rFonts w:eastAsia="Times New Roman"/>
                <w:color w:val="000000"/>
                <w:szCs w:val="24"/>
                <w:lang w:eastAsia="cs-CZ"/>
              </w:rPr>
              <w:t>,</w:t>
            </w:r>
            <w:r w:rsidRPr="000846A0">
              <w:rPr>
                <w:rFonts w:eastAsia="Times New Roman"/>
                <w:color w:val="000000"/>
                <w:szCs w:val="24"/>
                <w:lang w:eastAsia="cs-CZ"/>
              </w:rPr>
              <w:t>87</w:t>
            </w:r>
          </w:p>
        </w:tc>
        <w:tc>
          <w:tcPr>
            <w:tcW w:w="14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971</w:t>
            </w:r>
            <w:r>
              <w:rPr>
                <w:rFonts w:eastAsia="Times New Roman"/>
                <w:color w:val="000000"/>
                <w:szCs w:val="24"/>
                <w:lang w:eastAsia="cs-CZ"/>
              </w:rPr>
              <w:t>,</w:t>
            </w:r>
            <w:r w:rsidRPr="000846A0">
              <w:rPr>
                <w:rFonts w:eastAsia="Times New Roman"/>
                <w:color w:val="000000"/>
                <w:szCs w:val="24"/>
                <w:lang w:eastAsia="cs-CZ"/>
              </w:rPr>
              <w:t>84</w:t>
            </w:r>
          </w:p>
        </w:tc>
      </w:tr>
      <w:tr w:rsidR="00A4083A" w:rsidRPr="000846A0" w:rsidTr="00A41CAB">
        <w:trPr>
          <w:trHeight w:val="330"/>
        </w:trPr>
        <w:tc>
          <w:tcPr>
            <w:tcW w:w="2268" w:type="dxa"/>
            <w:tcBorders>
              <w:top w:val="nil"/>
              <w:left w:val="nil"/>
              <w:bottom w:val="single" w:sz="4" w:space="0" w:color="auto"/>
              <w:right w:val="nil"/>
            </w:tcBorders>
            <w:shd w:val="clear" w:color="auto" w:fill="auto"/>
            <w:noWrap/>
            <w:vAlign w:val="bottom"/>
            <w:hideMark/>
          </w:tcPr>
          <w:p w:rsidR="00A4083A" w:rsidRPr="000846A0" w:rsidRDefault="00A4083A" w:rsidP="00A41CAB">
            <w:pPr>
              <w:spacing w:line="240" w:lineRule="auto"/>
              <w:jc w:val="left"/>
              <w:rPr>
                <w:rFonts w:eastAsia="Times New Roman"/>
                <w:color w:val="000000"/>
                <w:szCs w:val="24"/>
                <w:lang w:eastAsia="cs-CZ"/>
              </w:rPr>
            </w:pPr>
            <w:r w:rsidRPr="000846A0">
              <w:rPr>
                <w:rFonts w:eastAsia="Times New Roman"/>
                <w:color w:val="000000"/>
                <w:szCs w:val="24"/>
                <w:lang w:eastAsia="cs-CZ"/>
              </w:rPr>
              <w:t>KS Hr. Králové</w:t>
            </w:r>
          </w:p>
        </w:tc>
        <w:tc>
          <w:tcPr>
            <w:tcW w:w="13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12</w:t>
            </w:r>
          </w:p>
        </w:tc>
        <w:tc>
          <w:tcPr>
            <w:tcW w:w="14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278</w:t>
            </w:r>
            <w:r>
              <w:rPr>
                <w:rFonts w:eastAsia="Times New Roman"/>
                <w:color w:val="000000"/>
                <w:szCs w:val="24"/>
                <w:lang w:eastAsia="cs-CZ"/>
              </w:rPr>
              <w:t>,</w:t>
            </w:r>
            <w:r w:rsidRPr="000846A0">
              <w:rPr>
                <w:rFonts w:eastAsia="Times New Roman"/>
                <w:color w:val="000000"/>
                <w:szCs w:val="24"/>
                <w:lang w:eastAsia="cs-CZ"/>
              </w:rPr>
              <w:t>83</w:t>
            </w:r>
          </w:p>
        </w:tc>
        <w:tc>
          <w:tcPr>
            <w:tcW w:w="14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319</w:t>
            </w:r>
            <w:r>
              <w:rPr>
                <w:rFonts w:eastAsia="Times New Roman"/>
                <w:color w:val="000000"/>
                <w:szCs w:val="24"/>
                <w:lang w:eastAsia="cs-CZ"/>
              </w:rPr>
              <w:t>,</w:t>
            </w:r>
            <w:r w:rsidRPr="000846A0">
              <w:rPr>
                <w:rFonts w:eastAsia="Times New Roman"/>
                <w:color w:val="000000"/>
                <w:szCs w:val="24"/>
                <w:lang w:eastAsia="cs-CZ"/>
              </w:rPr>
              <w:t>75</w:t>
            </w:r>
          </w:p>
        </w:tc>
        <w:tc>
          <w:tcPr>
            <w:tcW w:w="14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13</w:t>
            </w:r>
            <w:r>
              <w:rPr>
                <w:rFonts w:eastAsia="Times New Roman"/>
                <w:color w:val="000000"/>
                <w:szCs w:val="24"/>
                <w:lang w:eastAsia="cs-CZ"/>
              </w:rPr>
              <w:t>,</w:t>
            </w:r>
            <w:r w:rsidRPr="000846A0">
              <w:rPr>
                <w:rFonts w:eastAsia="Times New Roman"/>
                <w:color w:val="000000"/>
                <w:szCs w:val="24"/>
                <w:lang w:eastAsia="cs-CZ"/>
              </w:rPr>
              <w:t>00</w:t>
            </w:r>
          </w:p>
        </w:tc>
        <w:tc>
          <w:tcPr>
            <w:tcW w:w="14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1</w:t>
            </w:r>
            <w:r w:rsidR="006C7321">
              <w:rPr>
                <w:rFonts w:eastAsia="Times New Roman"/>
                <w:color w:val="000000"/>
                <w:szCs w:val="24"/>
                <w:lang w:eastAsia="cs-CZ"/>
              </w:rPr>
              <w:t xml:space="preserve"> </w:t>
            </w:r>
            <w:r w:rsidRPr="000846A0">
              <w:rPr>
                <w:rFonts w:eastAsia="Times New Roman"/>
                <w:color w:val="000000"/>
                <w:szCs w:val="24"/>
                <w:lang w:eastAsia="cs-CZ"/>
              </w:rPr>
              <w:t>121</w:t>
            </w:r>
            <w:r>
              <w:rPr>
                <w:rFonts w:eastAsia="Times New Roman"/>
                <w:color w:val="000000"/>
                <w:szCs w:val="24"/>
                <w:lang w:eastAsia="cs-CZ"/>
              </w:rPr>
              <w:t>,</w:t>
            </w:r>
            <w:r w:rsidRPr="000846A0">
              <w:rPr>
                <w:rFonts w:eastAsia="Times New Roman"/>
                <w:color w:val="000000"/>
                <w:szCs w:val="24"/>
                <w:lang w:eastAsia="cs-CZ"/>
              </w:rPr>
              <w:t>75</w:t>
            </w:r>
          </w:p>
        </w:tc>
      </w:tr>
      <w:tr w:rsidR="00A4083A" w:rsidRPr="000846A0" w:rsidTr="00A41CAB">
        <w:trPr>
          <w:trHeight w:val="330"/>
        </w:trPr>
        <w:tc>
          <w:tcPr>
            <w:tcW w:w="2268" w:type="dxa"/>
            <w:tcBorders>
              <w:top w:val="nil"/>
              <w:left w:val="nil"/>
              <w:bottom w:val="single" w:sz="4" w:space="0" w:color="auto"/>
              <w:right w:val="nil"/>
            </w:tcBorders>
            <w:shd w:val="clear" w:color="auto" w:fill="auto"/>
            <w:noWrap/>
            <w:vAlign w:val="bottom"/>
            <w:hideMark/>
          </w:tcPr>
          <w:p w:rsidR="00A4083A" w:rsidRPr="000846A0" w:rsidRDefault="00A4083A" w:rsidP="00A41CAB">
            <w:pPr>
              <w:spacing w:line="240" w:lineRule="auto"/>
              <w:jc w:val="left"/>
              <w:rPr>
                <w:rFonts w:eastAsia="Times New Roman"/>
                <w:color w:val="000000"/>
                <w:szCs w:val="24"/>
                <w:lang w:eastAsia="cs-CZ"/>
              </w:rPr>
            </w:pPr>
            <w:r w:rsidRPr="000846A0">
              <w:rPr>
                <w:rFonts w:eastAsia="Times New Roman"/>
                <w:color w:val="000000"/>
                <w:szCs w:val="24"/>
                <w:lang w:eastAsia="cs-CZ"/>
              </w:rPr>
              <w:t>KS Brno</w:t>
            </w:r>
          </w:p>
        </w:tc>
        <w:tc>
          <w:tcPr>
            <w:tcW w:w="13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16</w:t>
            </w:r>
          </w:p>
        </w:tc>
        <w:tc>
          <w:tcPr>
            <w:tcW w:w="14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315</w:t>
            </w:r>
            <w:r>
              <w:rPr>
                <w:rFonts w:eastAsia="Times New Roman"/>
                <w:color w:val="000000"/>
                <w:szCs w:val="24"/>
                <w:lang w:eastAsia="cs-CZ"/>
              </w:rPr>
              <w:t>,</w:t>
            </w:r>
            <w:r w:rsidRPr="000846A0">
              <w:rPr>
                <w:rFonts w:eastAsia="Times New Roman"/>
                <w:color w:val="000000"/>
                <w:szCs w:val="24"/>
                <w:lang w:eastAsia="cs-CZ"/>
              </w:rPr>
              <w:t>13</w:t>
            </w:r>
          </w:p>
        </w:tc>
        <w:tc>
          <w:tcPr>
            <w:tcW w:w="14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306</w:t>
            </w:r>
            <w:r>
              <w:rPr>
                <w:rFonts w:eastAsia="Times New Roman"/>
                <w:color w:val="000000"/>
                <w:szCs w:val="24"/>
                <w:lang w:eastAsia="cs-CZ"/>
              </w:rPr>
              <w:t>,</w:t>
            </w:r>
            <w:r w:rsidRPr="000846A0">
              <w:rPr>
                <w:rFonts w:eastAsia="Times New Roman"/>
                <w:color w:val="000000"/>
                <w:szCs w:val="24"/>
                <w:lang w:eastAsia="cs-CZ"/>
              </w:rPr>
              <w:t>69</w:t>
            </w:r>
          </w:p>
        </w:tc>
        <w:tc>
          <w:tcPr>
            <w:tcW w:w="14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33</w:t>
            </w:r>
            <w:r>
              <w:rPr>
                <w:rFonts w:eastAsia="Times New Roman"/>
                <w:color w:val="000000"/>
                <w:szCs w:val="24"/>
                <w:lang w:eastAsia="cs-CZ"/>
              </w:rPr>
              <w:t>,</w:t>
            </w:r>
            <w:r w:rsidRPr="000846A0">
              <w:rPr>
                <w:rFonts w:eastAsia="Times New Roman"/>
                <w:color w:val="000000"/>
                <w:szCs w:val="24"/>
                <w:lang w:eastAsia="cs-CZ"/>
              </w:rPr>
              <w:t>75</w:t>
            </w:r>
          </w:p>
        </w:tc>
        <w:tc>
          <w:tcPr>
            <w:tcW w:w="1400" w:type="dxa"/>
            <w:tcBorders>
              <w:top w:val="nil"/>
              <w:left w:val="nil"/>
              <w:bottom w:val="single" w:sz="4"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1</w:t>
            </w:r>
            <w:r w:rsidR="006C7321">
              <w:rPr>
                <w:rFonts w:eastAsia="Times New Roman"/>
                <w:color w:val="000000"/>
                <w:szCs w:val="24"/>
                <w:lang w:eastAsia="cs-CZ"/>
              </w:rPr>
              <w:t xml:space="preserve"> </w:t>
            </w:r>
            <w:r w:rsidRPr="000846A0">
              <w:rPr>
                <w:rFonts w:eastAsia="Times New Roman"/>
                <w:color w:val="000000"/>
                <w:szCs w:val="24"/>
                <w:lang w:eastAsia="cs-CZ"/>
              </w:rPr>
              <w:t>012</w:t>
            </w:r>
            <w:r>
              <w:rPr>
                <w:rFonts w:eastAsia="Times New Roman"/>
                <w:color w:val="000000"/>
                <w:szCs w:val="24"/>
                <w:lang w:eastAsia="cs-CZ"/>
              </w:rPr>
              <w:t>,</w:t>
            </w:r>
            <w:r w:rsidRPr="000846A0">
              <w:rPr>
                <w:rFonts w:eastAsia="Times New Roman"/>
                <w:color w:val="000000"/>
                <w:szCs w:val="24"/>
                <w:lang w:eastAsia="cs-CZ"/>
              </w:rPr>
              <w:t>38</w:t>
            </w:r>
          </w:p>
        </w:tc>
      </w:tr>
      <w:tr w:rsidR="00A4083A" w:rsidRPr="000846A0" w:rsidTr="00A41CAB">
        <w:trPr>
          <w:trHeight w:val="330"/>
        </w:trPr>
        <w:tc>
          <w:tcPr>
            <w:tcW w:w="2268" w:type="dxa"/>
            <w:tcBorders>
              <w:top w:val="nil"/>
              <w:left w:val="nil"/>
              <w:bottom w:val="double" w:sz="6" w:space="0" w:color="auto"/>
              <w:right w:val="nil"/>
            </w:tcBorders>
            <w:shd w:val="clear" w:color="auto" w:fill="auto"/>
            <w:noWrap/>
            <w:vAlign w:val="bottom"/>
            <w:hideMark/>
          </w:tcPr>
          <w:p w:rsidR="00A4083A" w:rsidRPr="000846A0" w:rsidRDefault="00A4083A" w:rsidP="00A41CAB">
            <w:pPr>
              <w:spacing w:line="240" w:lineRule="auto"/>
              <w:jc w:val="left"/>
              <w:rPr>
                <w:rFonts w:eastAsia="Times New Roman"/>
                <w:color w:val="000000"/>
                <w:szCs w:val="24"/>
                <w:lang w:eastAsia="cs-CZ"/>
              </w:rPr>
            </w:pPr>
            <w:r w:rsidRPr="000846A0">
              <w:rPr>
                <w:rFonts w:eastAsia="Times New Roman"/>
                <w:color w:val="000000"/>
                <w:szCs w:val="24"/>
                <w:lang w:eastAsia="cs-CZ"/>
              </w:rPr>
              <w:t>KS Ostrava</w:t>
            </w:r>
          </w:p>
        </w:tc>
        <w:tc>
          <w:tcPr>
            <w:tcW w:w="1300" w:type="dxa"/>
            <w:tcBorders>
              <w:top w:val="nil"/>
              <w:left w:val="nil"/>
              <w:bottom w:val="double" w:sz="6"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22</w:t>
            </w:r>
            <w:r>
              <w:rPr>
                <w:rFonts w:eastAsia="Times New Roman"/>
                <w:color w:val="000000"/>
                <w:szCs w:val="24"/>
                <w:lang w:eastAsia="cs-CZ"/>
              </w:rPr>
              <w:t>,</w:t>
            </w:r>
            <w:r w:rsidRPr="000846A0">
              <w:rPr>
                <w:rFonts w:eastAsia="Times New Roman"/>
                <w:color w:val="000000"/>
                <w:szCs w:val="24"/>
                <w:lang w:eastAsia="cs-CZ"/>
              </w:rPr>
              <w:t>3</w:t>
            </w:r>
          </w:p>
        </w:tc>
        <w:tc>
          <w:tcPr>
            <w:tcW w:w="1400" w:type="dxa"/>
            <w:tcBorders>
              <w:top w:val="nil"/>
              <w:left w:val="nil"/>
              <w:bottom w:val="double" w:sz="6"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270</w:t>
            </w:r>
            <w:r>
              <w:rPr>
                <w:rFonts w:eastAsia="Times New Roman"/>
                <w:color w:val="000000"/>
                <w:szCs w:val="24"/>
                <w:lang w:eastAsia="cs-CZ"/>
              </w:rPr>
              <w:t>,</w:t>
            </w:r>
            <w:r w:rsidRPr="000846A0">
              <w:rPr>
                <w:rFonts w:eastAsia="Times New Roman"/>
                <w:color w:val="000000"/>
                <w:szCs w:val="24"/>
                <w:lang w:eastAsia="cs-CZ"/>
              </w:rPr>
              <w:t>31</w:t>
            </w:r>
          </w:p>
        </w:tc>
        <w:tc>
          <w:tcPr>
            <w:tcW w:w="1400" w:type="dxa"/>
            <w:tcBorders>
              <w:top w:val="nil"/>
              <w:left w:val="nil"/>
              <w:bottom w:val="double" w:sz="6"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242</w:t>
            </w:r>
            <w:r>
              <w:rPr>
                <w:rFonts w:eastAsia="Times New Roman"/>
                <w:color w:val="000000"/>
                <w:szCs w:val="24"/>
                <w:lang w:eastAsia="cs-CZ"/>
              </w:rPr>
              <w:t>,</w:t>
            </w:r>
            <w:r w:rsidRPr="000846A0">
              <w:rPr>
                <w:rFonts w:eastAsia="Times New Roman"/>
                <w:color w:val="000000"/>
                <w:szCs w:val="24"/>
                <w:lang w:eastAsia="cs-CZ"/>
              </w:rPr>
              <w:t>83</w:t>
            </w:r>
          </w:p>
        </w:tc>
        <w:tc>
          <w:tcPr>
            <w:tcW w:w="1400" w:type="dxa"/>
            <w:tcBorders>
              <w:top w:val="nil"/>
              <w:left w:val="nil"/>
              <w:bottom w:val="double" w:sz="6"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29</w:t>
            </w:r>
            <w:r>
              <w:rPr>
                <w:rFonts w:eastAsia="Times New Roman"/>
                <w:color w:val="000000"/>
                <w:szCs w:val="24"/>
                <w:lang w:eastAsia="cs-CZ"/>
              </w:rPr>
              <w:t>,</w:t>
            </w:r>
            <w:r w:rsidRPr="000846A0">
              <w:rPr>
                <w:rFonts w:eastAsia="Times New Roman"/>
                <w:color w:val="000000"/>
                <w:szCs w:val="24"/>
                <w:lang w:eastAsia="cs-CZ"/>
              </w:rPr>
              <w:t>64</w:t>
            </w:r>
          </w:p>
        </w:tc>
        <w:tc>
          <w:tcPr>
            <w:tcW w:w="1400" w:type="dxa"/>
            <w:tcBorders>
              <w:top w:val="nil"/>
              <w:left w:val="nil"/>
              <w:bottom w:val="double" w:sz="6"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color w:val="000000"/>
                <w:szCs w:val="24"/>
                <w:lang w:eastAsia="cs-CZ"/>
              </w:rPr>
            </w:pPr>
            <w:r w:rsidRPr="000846A0">
              <w:rPr>
                <w:rFonts w:eastAsia="Times New Roman"/>
                <w:color w:val="000000"/>
                <w:szCs w:val="24"/>
                <w:lang w:eastAsia="cs-CZ"/>
              </w:rPr>
              <w:t>962</w:t>
            </w:r>
            <w:r>
              <w:rPr>
                <w:rFonts w:eastAsia="Times New Roman"/>
                <w:color w:val="000000"/>
                <w:szCs w:val="24"/>
                <w:lang w:eastAsia="cs-CZ"/>
              </w:rPr>
              <w:t>,</w:t>
            </w:r>
            <w:r w:rsidRPr="000846A0">
              <w:rPr>
                <w:rFonts w:eastAsia="Times New Roman"/>
                <w:color w:val="000000"/>
                <w:szCs w:val="24"/>
                <w:lang w:eastAsia="cs-CZ"/>
              </w:rPr>
              <w:t>38</w:t>
            </w:r>
          </w:p>
        </w:tc>
      </w:tr>
      <w:tr w:rsidR="00A4083A" w:rsidRPr="000846A0" w:rsidTr="00A41CAB">
        <w:trPr>
          <w:trHeight w:val="345"/>
        </w:trPr>
        <w:tc>
          <w:tcPr>
            <w:tcW w:w="2268" w:type="dxa"/>
            <w:tcBorders>
              <w:top w:val="nil"/>
              <w:left w:val="nil"/>
              <w:bottom w:val="double" w:sz="6" w:space="0" w:color="auto"/>
              <w:right w:val="nil"/>
            </w:tcBorders>
            <w:shd w:val="clear" w:color="auto" w:fill="auto"/>
            <w:noWrap/>
            <w:vAlign w:val="bottom"/>
            <w:hideMark/>
          </w:tcPr>
          <w:p w:rsidR="00A4083A" w:rsidRPr="000846A0" w:rsidRDefault="00A4083A" w:rsidP="00A41CAB">
            <w:pPr>
              <w:spacing w:line="240" w:lineRule="auto"/>
              <w:jc w:val="left"/>
              <w:rPr>
                <w:rFonts w:eastAsia="Times New Roman"/>
                <w:b/>
                <w:bCs/>
                <w:color w:val="000000"/>
                <w:szCs w:val="24"/>
                <w:lang w:eastAsia="cs-CZ"/>
              </w:rPr>
            </w:pPr>
            <w:r w:rsidRPr="000846A0">
              <w:rPr>
                <w:rFonts w:eastAsia="Times New Roman"/>
                <w:b/>
                <w:bCs/>
                <w:color w:val="000000"/>
                <w:szCs w:val="24"/>
                <w:lang w:eastAsia="cs-CZ"/>
              </w:rPr>
              <w:t>Celkem ČR</w:t>
            </w:r>
          </w:p>
        </w:tc>
        <w:tc>
          <w:tcPr>
            <w:tcW w:w="1300" w:type="dxa"/>
            <w:tcBorders>
              <w:top w:val="nil"/>
              <w:left w:val="nil"/>
              <w:bottom w:val="double" w:sz="6"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b/>
                <w:bCs/>
                <w:color w:val="000000"/>
                <w:szCs w:val="24"/>
                <w:lang w:eastAsia="cs-CZ"/>
              </w:rPr>
            </w:pPr>
            <w:r w:rsidRPr="000846A0">
              <w:rPr>
                <w:rFonts w:eastAsia="Times New Roman"/>
                <w:b/>
                <w:bCs/>
                <w:color w:val="000000"/>
                <w:szCs w:val="24"/>
                <w:lang w:eastAsia="cs-CZ"/>
              </w:rPr>
              <w:t>117</w:t>
            </w:r>
            <w:r>
              <w:rPr>
                <w:rFonts w:eastAsia="Times New Roman"/>
                <w:b/>
                <w:bCs/>
                <w:color w:val="000000"/>
                <w:szCs w:val="24"/>
                <w:lang w:eastAsia="cs-CZ"/>
              </w:rPr>
              <w:t>,</w:t>
            </w:r>
            <w:r w:rsidRPr="000846A0">
              <w:rPr>
                <w:rFonts w:eastAsia="Times New Roman"/>
                <w:b/>
                <w:bCs/>
                <w:color w:val="000000"/>
                <w:szCs w:val="24"/>
                <w:lang w:eastAsia="cs-CZ"/>
              </w:rPr>
              <w:t>51</w:t>
            </w:r>
          </w:p>
        </w:tc>
        <w:tc>
          <w:tcPr>
            <w:tcW w:w="1400" w:type="dxa"/>
            <w:tcBorders>
              <w:top w:val="nil"/>
              <w:left w:val="nil"/>
              <w:bottom w:val="double" w:sz="6"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b/>
                <w:bCs/>
                <w:color w:val="000000"/>
                <w:szCs w:val="24"/>
                <w:lang w:eastAsia="cs-CZ"/>
              </w:rPr>
            </w:pPr>
            <w:r w:rsidRPr="000846A0">
              <w:rPr>
                <w:rFonts w:eastAsia="Times New Roman"/>
                <w:b/>
                <w:bCs/>
                <w:color w:val="000000"/>
                <w:szCs w:val="24"/>
                <w:lang w:eastAsia="cs-CZ"/>
              </w:rPr>
              <w:t>261</w:t>
            </w:r>
            <w:r>
              <w:rPr>
                <w:rFonts w:eastAsia="Times New Roman"/>
                <w:b/>
                <w:bCs/>
                <w:color w:val="000000"/>
                <w:szCs w:val="24"/>
                <w:lang w:eastAsia="cs-CZ"/>
              </w:rPr>
              <w:t>,</w:t>
            </w:r>
            <w:r w:rsidRPr="000846A0">
              <w:rPr>
                <w:rFonts w:eastAsia="Times New Roman"/>
                <w:b/>
                <w:bCs/>
                <w:color w:val="000000"/>
                <w:szCs w:val="24"/>
                <w:lang w:eastAsia="cs-CZ"/>
              </w:rPr>
              <w:t>68</w:t>
            </w:r>
          </w:p>
        </w:tc>
        <w:tc>
          <w:tcPr>
            <w:tcW w:w="1400" w:type="dxa"/>
            <w:tcBorders>
              <w:top w:val="nil"/>
              <w:left w:val="nil"/>
              <w:bottom w:val="double" w:sz="6"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b/>
                <w:bCs/>
                <w:color w:val="000000"/>
                <w:szCs w:val="24"/>
                <w:lang w:eastAsia="cs-CZ"/>
              </w:rPr>
            </w:pPr>
            <w:r w:rsidRPr="000846A0">
              <w:rPr>
                <w:rFonts w:eastAsia="Times New Roman"/>
                <w:b/>
                <w:bCs/>
                <w:color w:val="000000"/>
                <w:szCs w:val="24"/>
                <w:lang w:eastAsia="cs-CZ"/>
              </w:rPr>
              <w:t>257</w:t>
            </w:r>
            <w:r>
              <w:rPr>
                <w:rFonts w:eastAsia="Times New Roman"/>
                <w:b/>
                <w:bCs/>
                <w:color w:val="000000"/>
                <w:szCs w:val="24"/>
                <w:lang w:eastAsia="cs-CZ"/>
              </w:rPr>
              <w:t>,</w:t>
            </w:r>
            <w:r w:rsidRPr="000846A0">
              <w:rPr>
                <w:rFonts w:eastAsia="Times New Roman"/>
                <w:b/>
                <w:bCs/>
                <w:color w:val="000000"/>
                <w:szCs w:val="24"/>
                <w:lang w:eastAsia="cs-CZ"/>
              </w:rPr>
              <w:t>41</w:t>
            </w:r>
          </w:p>
        </w:tc>
        <w:tc>
          <w:tcPr>
            <w:tcW w:w="1400" w:type="dxa"/>
            <w:tcBorders>
              <w:top w:val="nil"/>
              <w:left w:val="nil"/>
              <w:bottom w:val="double" w:sz="6"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b/>
                <w:bCs/>
                <w:color w:val="000000"/>
                <w:szCs w:val="24"/>
                <w:lang w:eastAsia="cs-CZ"/>
              </w:rPr>
            </w:pPr>
            <w:r w:rsidRPr="000846A0">
              <w:rPr>
                <w:rFonts w:eastAsia="Times New Roman"/>
                <w:b/>
                <w:bCs/>
                <w:color w:val="000000"/>
                <w:szCs w:val="24"/>
                <w:lang w:eastAsia="cs-CZ"/>
              </w:rPr>
              <w:t>26</w:t>
            </w:r>
            <w:r>
              <w:rPr>
                <w:rFonts w:eastAsia="Times New Roman"/>
                <w:b/>
                <w:bCs/>
                <w:color w:val="000000"/>
                <w:szCs w:val="24"/>
                <w:lang w:eastAsia="cs-CZ"/>
              </w:rPr>
              <w:t>,</w:t>
            </w:r>
            <w:r w:rsidRPr="000846A0">
              <w:rPr>
                <w:rFonts w:eastAsia="Times New Roman"/>
                <w:b/>
                <w:bCs/>
                <w:color w:val="000000"/>
                <w:szCs w:val="24"/>
                <w:lang w:eastAsia="cs-CZ"/>
              </w:rPr>
              <w:t>39</w:t>
            </w:r>
          </w:p>
        </w:tc>
        <w:tc>
          <w:tcPr>
            <w:tcW w:w="1400" w:type="dxa"/>
            <w:tcBorders>
              <w:top w:val="nil"/>
              <w:left w:val="nil"/>
              <w:bottom w:val="double" w:sz="6" w:space="0" w:color="auto"/>
              <w:right w:val="nil"/>
            </w:tcBorders>
            <w:shd w:val="clear" w:color="auto" w:fill="auto"/>
            <w:vAlign w:val="bottom"/>
            <w:hideMark/>
          </w:tcPr>
          <w:p w:rsidR="00A4083A" w:rsidRPr="000846A0" w:rsidRDefault="00A4083A" w:rsidP="00A41CAB">
            <w:pPr>
              <w:spacing w:line="240" w:lineRule="auto"/>
              <w:jc w:val="center"/>
              <w:rPr>
                <w:rFonts w:eastAsia="Times New Roman"/>
                <w:b/>
                <w:bCs/>
                <w:color w:val="000000"/>
                <w:szCs w:val="24"/>
                <w:lang w:eastAsia="cs-CZ"/>
              </w:rPr>
            </w:pPr>
            <w:r w:rsidRPr="000846A0">
              <w:rPr>
                <w:rFonts w:eastAsia="Times New Roman"/>
                <w:b/>
                <w:bCs/>
                <w:color w:val="000000"/>
                <w:szCs w:val="24"/>
                <w:lang w:eastAsia="cs-CZ"/>
              </w:rPr>
              <w:t>919</w:t>
            </w:r>
            <w:r>
              <w:rPr>
                <w:rFonts w:eastAsia="Times New Roman"/>
                <w:b/>
                <w:bCs/>
                <w:color w:val="000000"/>
                <w:szCs w:val="24"/>
                <w:lang w:eastAsia="cs-CZ"/>
              </w:rPr>
              <w:t>,</w:t>
            </w:r>
            <w:r w:rsidRPr="000846A0">
              <w:rPr>
                <w:rFonts w:eastAsia="Times New Roman"/>
                <w:b/>
                <w:bCs/>
                <w:color w:val="000000"/>
                <w:szCs w:val="24"/>
                <w:lang w:eastAsia="cs-CZ"/>
              </w:rPr>
              <w:t>09</w:t>
            </w:r>
          </w:p>
        </w:tc>
      </w:tr>
    </w:tbl>
    <w:p w:rsidR="00A4083A" w:rsidRPr="00D17312" w:rsidRDefault="00A4083A" w:rsidP="00A4083A">
      <w:pPr>
        <w:pStyle w:val="OdstavecASR"/>
        <w:rPr>
          <w:highlight w:val="yellow"/>
        </w:rPr>
      </w:pPr>
    </w:p>
    <w:p w:rsidR="00A4083A" w:rsidRDefault="00A4083A" w:rsidP="00A4083A">
      <w:pPr>
        <w:pStyle w:val="OdstavecASR"/>
      </w:pPr>
      <w:r w:rsidRPr="00D17312">
        <w:t xml:space="preserve">Přepočteme-li na soudce počet příchozích věcí a počet vyřízených věcí, výrazně nižší hodnoty než ostatní soudy vykazuje MS Praha. </w:t>
      </w:r>
      <w:r>
        <w:t>J</w:t>
      </w:r>
      <w:r w:rsidRPr="00D17312">
        <w:t xml:space="preserve">e </w:t>
      </w:r>
      <w:r>
        <w:t xml:space="preserve">to </w:t>
      </w:r>
      <w:r w:rsidRPr="00D17312">
        <w:t>dáno tím, že tento soud má na insolvenčním úseku relativně více soudců</w:t>
      </w:r>
      <w:r>
        <w:t xml:space="preserve">, protože </w:t>
      </w:r>
      <w:r w:rsidRPr="00D17312">
        <w:t>jeho insolvenční agenda je výrazně složitější než u ostatních soudů. Je za to zodpovědný především větší podíl úpadků řešených konkur</w:t>
      </w:r>
      <w:r>
        <w:t>s</w:t>
      </w:r>
      <w:r w:rsidRPr="00D17312">
        <w:t>em.</w:t>
      </w:r>
    </w:p>
    <w:p w:rsidR="00A4083A" w:rsidRPr="00D17312" w:rsidRDefault="00A4083A" w:rsidP="00A4083A">
      <w:pPr>
        <w:pStyle w:val="OdstavecASR"/>
      </w:pPr>
      <w:r w:rsidRPr="00D17312">
        <w:t>Obdobně nižší údaje byly v roce 2018 i u KS v Ostravě. To bylo dáno především složitostí několika konkrétních věcí</w:t>
      </w:r>
      <w:r>
        <w:t xml:space="preserve"> </w:t>
      </w:r>
      <w:r w:rsidRPr="00D17312">
        <w:t>dobře znám</w:t>
      </w:r>
      <w:r>
        <w:t>ých i</w:t>
      </w:r>
      <w:r w:rsidRPr="00D17312">
        <w:t xml:space="preserve"> ze sdělovacích prostředků. V roce 2019 již KS Ostrava vykazuje obdobn</w:t>
      </w:r>
      <w:r>
        <w:t>á</w:t>
      </w:r>
      <w:r w:rsidRPr="00D17312">
        <w:t xml:space="preserve"> čísla jako zbytek ČR.</w:t>
      </w:r>
    </w:p>
    <w:p w:rsidR="00A4083A" w:rsidRDefault="00A4083A" w:rsidP="00A4083A">
      <w:pPr>
        <w:pStyle w:val="OdstavecASR"/>
      </w:pPr>
      <w:r w:rsidRPr="00D17312">
        <w:t>Oproti loňskému roku došlo k velkému nárůst</w:t>
      </w:r>
      <w:r>
        <w:t>u</w:t>
      </w:r>
      <w:r w:rsidRPr="00D17312">
        <w:t xml:space="preserve"> v počtu věcí na soudce, což plyne z nárůstů v počtu věcí. Počet soudců sice </w:t>
      </w:r>
      <w:r>
        <w:t xml:space="preserve">pochází </w:t>
      </w:r>
      <w:r w:rsidRPr="00D17312">
        <w:t>z jiného datového zdroje, příliš se však nezměnil.</w:t>
      </w:r>
    </w:p>
    <w:p w:rsidR="00A4083A" w:rsidRDefault="00A4083A" w:rsidP="00A4083A">
      <w:pPr>
        <w:pStyle w:val="OdstavecASR"/>
      </w:pPr>
      <w:r w:rsidRPr="00D17312">
        <w:t>Počty nevyřízených věcí na soudce před rozhodnutím o úpadku jsou nízké a opět ukazují, že v ČR není soud, který by měl výraznější problémy s vyřizováním insolvenčních návrhů. Po výše diskutované novele nicméně došlo ke značnému nárůstu, je tedy třeba počkat na další data, která ukáží, zda a jak se soudy s tímto nárůstem vyrovnají.</w:t>
      </w:r>
    </w:p>
    <w:p w:rsidR="00A4083A" w:rsidRPr="00D17312" w:rsidRDefault="00A4083A" w:rsidP="00A4083A">
      <w:pPr>
        <w:pStyle w:val="OdstavecASR"/>
      </w:pPr>
      <w:r w:rsidRPr="00D17312">
        <w:t>Uvádíme také přepočet na soudce u věcí nevyřízených po rozhodnutí o úpadku. Tento ukazatel vypovídá jak o socioekonomické situaci v krajích, tak i o zatíženosti soudů.</w:t>
      </w:r>
    </w:p>
    <w:p w:rsidR="00A4083A" w:rsidRPr="00D17312" w:rsidRDefault="00A4083A" w:rsidP="00A4083A">
      <w:pPr>
        <w:pStyle w:val="OdstavecASR"/>
      </w:pPr>
      <w:r w:rsidRPr="00D17312">
        <w:t>DT není u této agendy uveden, jeho použití u této agendy se jeví jako nevhodné, neboť se jedná o vícefázové řízení.</w:t>
      </w:r>
    </w:p>
    <w:p w:rsidR="00A4083A" w:rsidRPr="00D17312" w:rsidRDefault="00A4083A" w:rsidP="00A4083A">
      <w:pPr>
        <w:pStyle w:val="Nadpis3"/>
        <w:pageBreakBefore/>
        <w:rPr>
          <w:color w:val="auto"/>
        </w:rPr>
      </w:pPr>
      <w:bookmarkStart w:id="572" w:name="_Toc515871276"/>
      <w:bookmarkStart w:id="573" w:name="_Toc43903084"/>
      <w:r w:rsidRPr="00D17312">
        <w:rPr>
          <w:color w:val="auto"/>
        </w:rPr>
        <w:lastRenderedPageBreak/>
        <w:t>Další statistiky</w:t>
      </w:r>
      <w:bookmarkEnd w:id="572"/>
      <w:bookmarkEnd w:id="573"/>
    </w:p>
    <w:p w:rsidR="00A4083A" w:rsidRPr="00D17312" w:rsidRDefault="00A4083A" w:rsidP="00A4083A">
      <w:pPr>
        <w:pStyle w:val="OdstavecASR"/>
      </w:pPr>
      <w:bookmarkStart w:id="574" w:name="_Toc515871501"/>
      <w:bookmarkStart w:id="575" w:name="_Toc11133267"/>
      <w:r>
        <w:t xml:space="preserve">Zajímavým </w:t>
      </w:r>
      <w:r w:rsidRPr="00D17312">
        <w:t>a velmi důležitým statistickým údajem je složení agendy z hlediska způsobu řešení úpadku. V následující tabulce uvádíme podíl počtu věcí dosud v řízení podle jednotlivých způsobů řešení úpadku a podle krajských soudů ke konci roku 2019.</w:t>
      </w:r>
    </w:p>
    <w:p w:rsidR="00A4083A" w:rsidRPr="00D17312" w:rsidRDefault="00A4083A" w:rsidP="00A4083A">
      <w:pPr>
        <w:pStyle w:val="Podnadpis"/>
        <w:rPr>
          <w:color w:val="auto"/>
        </w:rPr>
      </w:pPr>
      <w:bookmarkStart w:id="576" w:name="_Toc43931246"/>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73</w:t>
      </w:r>
      <w:r w:rsidRPr="00D17312">
        <w:rPr>
          <w:noProof/>
          <w:color w:val="auto"/>
        </w:rPr>
        <w:fldChar w:fldCharType="end"/>
      </w:r>
      <w:r w:rsidRPr="00D17312">
        <w:rPr>
          <w:color w:val="auto"/>
        </w:rPr>
        <w:t>: KS – podíl jednotlivých způsobů řešení úpadku</w:t>
      </w:r>
      <w:bookmarkEnd w:id="574"/>
      <w:bookmarkEnd w:id="575"/>
      <w:bookmarkEnd w:id="576"/>
    </w:p>
    <w:tbl>
      <w:tblPr>
        <w:tblW w:w="7520" w:type="dxa"/>
        <w:tblCellMar>
          <w:left w:w="70" w:type="dxa"/>
          <w:right w:w="70" w:type="dxa"/>
        </w:tblCellMar>
        <w:tblLook w:val="04A0" w:firstRow="1" w:lastRow="0" w:firstColumn="1" w:lastColumn="0" w:noHBand="0" w:noVBand="1"/>
      </w:tblPr>
      <w:tblGrid>
        <w:gridCol w:w="2480"/>
        <w:gridCol w:w="1578"/>
        <w:gridCol w:w="1771"/>
        <w:gridCol w:w="1691"/>
      </w:tblGrid>
      <w:tr w:rsidR="00A4083A" w:rsidRPr="00D17312" w:rsidTr="00A41C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5040" w:type="dxa"/>
            <w:gridSpan w:val="3"/>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Způsob řešení úpadku</w:t>
            </w:r>
          </w:p>
        </w:tc>
      </w:tr>
      <w:tr w:rsidR="00A4083A" w:rsidRPr="00D17312" w:rsidTr="00A41CAB">
        <w:trPr>
          <w:trHeight w:val="330"/>
        </w:trPr>
        <w:tc>
          <w:tcPr>
            <w:tcW w:w="24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578"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Konkur</w:t>
            </w:r>
            <w:r>
              <w:rPr>
                <w:rFonts w:eastAsia="Times New Roman"/>
                <w:b/>
                <w:bCs/>
                <w:szCs w:val="24"/>
                <w:lang w:eastAsia="cs-CZ"/>
              </w:rPr>
              <w:t>s</w:t>
            </w:r>
            <w:r w:rsidRPr="00D17312">
              <w:rPr>
                <w:rFonts w:eastAsia="Times New Roman"/>
                <w:b/>
                <w:bCs/>
                <w:szCs w:val="24"/>
                <w:lang w:eastAsia="cs-CZ"/>
              </w:rPr>
              <w:t>em</w:t>
            </w:r>
          </w:p>
        </w:tc>
        <w:tc>
          <w:tcPr>
            <w:tcW w:w="1771"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Reorganizací</w:t>
            </w:r>
          </w:p>
        </w:tc>
        <w:tc>
          <w:tcPr>
            <w:tcW w:w="1691"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Oddlužením</w:t>
            </w:r>
          </w:p>
        </w:tc>
      </w:tr>
      <w:tr w:rsidR="00A4083A" w:rsidRPr="00D17312"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578"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16,90</w:t>
            </w:r>
          </w:p>
        </w:tc>
        <w:tc>
          <w:tcPr>
            <w:tcW w:w="1771"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0,16</w:t>
            </w:r>
          </w:p>
        </w:tc>
        <w:tc>
          <w:tcPr>
            <w:tcW w:w="1691"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82,94</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57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5,46</w:t>
            </w:r>
          </w:p>
        </w:tc>
        <w:tc>
          <w:tcPr>
            <w:tcW w:w="177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0,03</w:t>
            </w:r>
          </w:p>
        </w:tc>
        <w:tc>
          <w:tcPr>
            <w:tcW w:w="169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94,51</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57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4,61</w:t>
            </w:r>
          </w:p>
        </w:tc>
        <w:tc>
          <w:tcPr>
            <w:tcW w:w="177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0,03</w:t>
            </w:r>
          </w:p>
        </w:tc>
        <w:tc>
          <w:tcPr>
            <w:tcW w:w="169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95,36</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57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4,82</w:t>
            </w:r>
          </w:p>
        </w:tc>
        <w:tc>
          <w:tcPr>
            <w:tcW w:w="177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0,02</w:t>
            </w:r>
          </w:p>
        </w:tc>
        <w:tc>
          <w:tcPr>
            <w:tcW w:w="169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95,16</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57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3,45</w:t>
            </w:r>
          </w:p>
        </w:tc>
        <w:tc>
          <w:tcPr>
            <w:tcW w:w="177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0,01</w:t>
            </w:r>
          </w:p>
        </w:tc>
        <w:tc>
          <w:tcPr>
            <w:tcW w:w="169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96,54</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57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4,58</w:t>
            </w:r>
          </w:p>
        </w:tc>
        <w:tc>
          <w:tcPr>
            <w:tcW w:w="177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0,03</w:t>
            </w:r>
          </w:p>
        </w:tc>
        <w:tc>
          <w:tcPr>
            <w:tcW w:w="169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95,39</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578"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7,91</w:t>
            </w:r>
          </w:p>
        </w:tc>
        <w:tc>
          <w:tcPr>
            <w:tcW w:w="177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0,03</w:t>
            </w:r>
          </w:p>
        </w:tc>
        <w:tc>
          <w:tcPr>
            <w:tcW w:w="1691"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92,06</w:t>
            </w:r>
          </w:p>
        </w:tc>
      </w:tr>
      <w:tr w:rsidR="00A4083A" w:rsidRPr="00D17312"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578"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3,81</w:t>
            </w:r>
          </w:p>
        </w:tc>
        <w:tc>
          <w:tcPr>
            <w:tcW w:w="177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0,05</w:t>
            </w:r>
          </w:p>
        </w:tc>
        <w:tc>
          <w:tcPr>
            <w:tcW w:w="169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96,14</w:t>
            </w:r>
          </w:p>
        </w:tc>
      </w:tr>
      <w:tr w:rsidR="00A4083A" w:rsidRPr="00D17312"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578"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5,78</w:t>
            </w:r>
          </w:p>
        </w:tc>
        <w:tc>
          <w:tcPr>
            <w:tcW w:w="177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0,04</w:t>
            </w:r>
          </w:p>
        </w:tc>
        <w:tc>
          <w:tcPr>
            <w:tcW w:w="169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94,18</w:t>
            </w:r>
          </w:p>
        </w:tc>
      </w:tr>
    </w:tbl>
    <w:p w:rsidR="00A4083A" w:rsidRPr="00D17312" w:rsidRDefault="00A4083A" w:rsidP="00A4083A">
      <w:pPr>
        <w:pStyle w:val="OdstavecASR"/>
        <w:rPr>
          <w:highlight w:val="yellow"/>
        </w:rPr>
      </w:pPr>
    </w:p>
    <w:p w:rsidR="00A4083A" w:rsidRPr="00D17312" w:rsidRDefault="00A4083A" w:rsidP="00A4083A">
      <w:pPr>
        <w:pStyle w:val="OdstavecASR"/>
      </w:pPr>
      <w:r w:rsidRPr="00D17312">
        <w:t>Naprosté minimum věcí se řeší reorganizací</w:t>
      </w:r>
      <w:r>
        <w:t xml:space="preserve"> a</w:t>
      </w:r>
      <w:r w:rsidRPr="00D17312">
        <w:t xml:space="preserve"> pouze necelých 6</w:t>
      </w:r>
      <w:r>
        <w:t> %</w:t>
      </w:r>
      <w:r w:rsidRPr="00D17312">
        <w:t xml:space="preserve"> věcí se řeší konkur</w:t>
      </w:r>
      <w:r>
        <w:t>s</w:t>
      </w:r>
      <w:r w:rsidRPr="00D17312">
        <w:t>em (ve většině případů se jedná o řešení úpadku právnických osob). Oproti loňskému roku podíl věcí řešených konkur</w:t>
      </w:r>
      <w:r>
        <w:t>s</w:t>
      </w:r>
      <w:r w:rsidRPr="00D17312">
        <w:t>em opět klesl, a to asi o 1,4 procentního bodu. O rok dříve to bylo 1,6</w:t>
      </w:r>
      <w:r>
        <w:t> </w:t>
      </w:r>
      <w:r w:rsidRPr="00D17312">
        <w:t>procentního bodu a rozdíl mezi rokem 2016 a 2017 byl 1,5 procentního bodu. Velmi zajímavé jsou rozdíly mezi jednotlivými soudy. Největší podíl úpadků řešených konkur</w:t>
      </w:r>
      <w:r>
        <w:t>s</w:t>
      </w:r>
      <w:r w:rsidRPr="00D17312">
        <w:t>em má suverénně Praha (asi třikrát více než je celorepublikový průměr), nejmenší naopak KS Ústí nad Labem a KS Ostrava. To je dáno zejména tím, že v Praze sídlí velké množství společností a koncentrují se zde tedy podnikatelské úpadky a zároveň je zde naopak oproti ekonomicky slab</w:t>
      </w:r>
      <w:r>
        <w:t>ší</w:t>
      </w:r>
      <w:r w:rsidRPr="00D17312">
        <w:t>m regionům relativně menší množství spotřebitelů ohrožených insolvencí.</w:t>
      </w:r>
    </w:p>
    <w:p w:rsidR="00A4083A" w:rsidRPr="00D17312" w:rsidRDefault="00A4083A" w:rsidP="00A4083A">
      <w:pPr>
        <w:spacing w:line="240" w:lineRule="auto"/>
        <w:jc w:val="left"/>
        <w:rPr>
          <w:highlight w:val="yellow"/>
        </w:rPr>
      </w:pPr>
      <w:r w:rsidRPr="00D17312">
        <w:rPr>
          <w:highlight w:val="yellow"/>
        </w:rPr>
        <w:br w:type="page"/>
      </w:r>
    </w:p>
    <w:p w:rsidR="00A4083A" w:rsidRPr="00D17312" w:rsidRDefault="00A4083A" w:rsidP="00A4083A">
      <w:pPr>
        <w:pStyle w:val="Nadpis2"/>
      </w:pPr>
      <w:bookmarkStart w:id="577" w:name="_Toc43903085"/>
      <w:r w:rsidRPr="00D17312">
        <w:lastRenderedPageBreak/>
        <w:t>Incidenční spory</w:t>
      </w:r>
      <w:bookmarkEnd w:id="577"/>
    </w:p>
    <w:p w:rsidR="00A4083A" w:rsidRPr="00D17312" w:rsidRDefault="00A4083A" w:rsidP="00A4083A">
      <w:r w:rsidRPr="00D17312">
        <w:t>Poprvé v tomto roce budou ve výroční statistické zprávě rovněž diskutovány tzv. incidenční spory. Jedná se o spory vyvolané insolvenčním řízením a projednávané v</w:t>
      </w:r>
      <w:r>
        <w:t xml:space="preserve"> jeho </w:t>
      </w:r>
      <w:r w:rsidRPr="00D17312">
        <w:t xml:space="preserve">rámci. </w:t>
      </w:r>
      <w:r>
        <w:t>Incidenční spory j</w:t>
      </w:r>
      <w:r w:rsidRPr="00D17312">
        <w:t>sou definovány v insolvenčním zákon</w:t>
      </w:r>
      <w:r>
        <w:t>ě</w:t>
      </w:r>
      <w:r w:rsidRPr="00D17312">
        <w:t xml:space="preserve"> (zákon č. 182/2006 Sb.)</w:t>
      </w:r>
      <w:r>
        <w:t xml:space="preserve"> a jsou jimi </w:t>
      </w:r>
      <w:r w:rsidRPr="00D17312">
        <w:t>například:</w:t>
      </w:r>
    </w:p>
    <w:p w:rsidR="00A4083A" w:rsidRPr="00D17312" w:rsidRDefault="00A4083A" w:rsidP="00A4083A">
      <w:pPr>
        <w:pStyle w:val="Odstavecseseznamem"/>
        <w:numPr>
          <w:ilvl w:val="0"/>
          <w:numId w:val="25"/>
        </w:numPr>
      </w:pPr>
      <w:r w:rsidRPr="00D17312">
        <w:t>spory o pravost, výši nebo pořadí přihlášených pohledávek,</w:t>
      </w:r>
    </w:p>
    <w:p w:rsidR="00A4083A" w:rsidRPr="00D17312" w:rsidRDefault="00A4083A" w:rsidP="00A4083A">
      <w:pPr>
        <w:pStyle w:val="Odstavecseseznamem"/>
        <w:numPr>
          <w:ilvl w:val="0"/>
          <w:numId w:val="25"/>
        </w:numPr>
      </w:pPr>
      <w:r w:rsidRPr="00D17312">
        <w:t>spory o vypořádání společného jmění dlužníka a jeho manžela,</w:t>
      </w:r>
    </w:p>
    <w:p w:rsidR="00A4083A" w:rsidRPr="00D17312" w:rsidRDefault="00A4083A" w:rsidP="00A4083A">
      <w:pPr>
        <w:pStyle w:val="Odstavecseseznamem"/>
        <w:numPr>
          <w:ilvl w:val="0"/>
          <w:numId w:val="25"/>
        </w:numPr>
      </w:pPr>
      <w:r w:rsidRPr="00D17312">
        <w:t>spory o platnost smluv, kterými došlo ke zpeněžení majetkové podstaty prodejem mimo dražbu</w:t>
      </w:r>
      <w:r>
        <w:t>.</w:t>
      </w:r>
    </w:p>
    <w:p w:rsidR="00A4083A" w:rsidRPr="00D17312" w:rsidRDefault="00A4083A" w:rsidP="00A4083A">
      <w:r w:rsidRPr="00D17312">
        <w:t xml:space="preserve">Laicky lze říct, že </w:t>
      </w:r>
      <w:r>
        <w:t xml:space="preserve">se </w:t>
      </w:r>
      <w:r w:rsidRPr="00D17312">
        <w:t xml:space="preserve">tyto spory </w:t>
      </w:r>
      <w:r>
        <w:t xml:space="preserve">nacházejí </w:t>
      </w:r>
      <w:r w:rsidRPr="00D17312">
        <w:t>na pomezí insolvenčních a obchodních sporů</w:t>
      </w:r>
      <w:r>
        <w:t xml:space="preserve"> a</w:t>
      </w:r>
      <w:r w:rsidRPr="00D17312">
        <w:t xml:space="preserve"> </w:t>
      </w:r>
      <w:r>
        <w:t xml:space="preserve">jsou </w:t>
      </w:r>
      <w:r w:rsidRPr="00D17312">
        <w:t>rozhodov</w:t>
      </w:r>
      <w:r>
        <w:t>ány</w:t>
      </w:r>
      <w:r w:rsidRPr="00D17312">
        <w:t xml:space="preserve"> insolvenční</w:t>
      </w:r>
      <w:r>
        <w:t>mi</w:t>
      </w:r>
      <w:r w:rsidRPr="00D17312">
        <w:t xml:space="preserve"> oddělení</w:t>
      </w:r>
      <w:r>
        <w:t>mi</w:t>
      </w:r>
      <w:r w:rsidRPr="00D17312">
        <w:t xml:space="preserve"> na obchodních úsecích soudů. Vedeny jsou od roku 2010 v rejstříku ICm</w:t>
      </w:r>
      <w:r>
        <w:t>;</w:t>
      </w:r>
      <w:r w:rsidRPr="00D17312">
        <w:t xml:space="preserve"> v dalším průběhu let nedošlo k žádným výrazným změnám ve vedení statistik. </w:t>
      </w:r>
      <w:r>
        <w:t xml:space="preserve">Dříve byly zapisovány </w:t>
      </w:r>
      <w:r w:rsidRPr="00D17312">
        <w:t>do rejstříku Cm.</w:t>
      </w:r>
    </w:p>
    <w:p w:rsidR="00A4083A" w:rsidRPr="00D17312" w:rsidRDefault="00A4083A" w:rsidP="00A4083A">
      <w:pPr>
        <w:pStyle w:val="Nadpis3"/>
        <w:rPr>
          <w:color w:val="auto"/>
        </w:rPr>
      </w:pPr>
      <w:bookmarkStart w:id="578" w:name="_Toc43903086"/>
      <w:r w:rsidRPr="00D17312">
        <w:rPr>
          <w:color w:val="auto"/>
        </w:rPr>
        <w:t>Délka řízení</w:t>
      </w:r>
      <w:bookmarkEnd w:id="578"/>
    </w:p>
    <w:p w:rsidR="00A4083A" w:rsidRDefault="00A4083A" w:rsidP="00A4083A">
      <w:r w:rsidRPr="00D17312">
        <w:t>Uvádíme délky řízení v kalendářních dnech ode dne nápadu do dne konečného vyřízení soudem I. stupně zjištěné ze statistických listů. Délky řízení sledujeme až od roku 2011, protože, jak už jsme uvedli v úvodu této kapitoly, první rok teprve nové věci do rejstříku ICm na soudy přicházely a pravomocně vyřízené věci buď nejsou žádné, nebo jich je velmi málo.</w:t>
      </w:r>
    </w:p>
    <w:p w:rsidR="00A4083A" w:rsidRPr="00D17312" w:rsidRDefault="00A4083A" w:rsidP="00A4083A">
      <w:pPr>
        <w:pStyle w:val="Podnadpis"/>
        <w:rPr>
          <w:color w:val="auto"/>
          <w:highlight w:val="yellow"/>
        </w:rPr>
      </w:pPr>
      <w:r w:rsidRPr="00D17312">
        <w:rPr>
          <w:color w:val="auto"/>
        </w:rPr>
        <w:t>KS – délka incidenčních sporů řízení v letech 2011–2019</w:t>
      </w:r>
    </w:p>
    <w:p w:rsidR="00A4083A" w:rsidRPr="00D17312" w:rsidRDefault="00A4083A" w:rsidP="00A4083A">
      <w:r w:rsidRPr="00D17312">
        <w:rPr>
          <w:noProof/>
          <w:lang w:eastAsia="cs-CZ"/>
        </w:rPr>
        <w:drawing>
          <wp:inline distT="0" distB="0" distL="0" distR="0" wp14:anchorId="711DCE5C" wp14:editId="1F8283C1">
            <wp:extent cx="5112385" cy="3745230"/>
            <wp:effectExtent l="0" t="0" r="0" b="7620"/>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A4083A" w:rsidRPr="00D17312" w:rsidRDefault="00A4083A" w:rsidP="00A4083A">
      <w:pPr>
        <w:pStyle w:val="OdstavecASR"/>
      </w:pPr>
      <w:r>
        <w:t>Graf ukazuje</w:t>
      </w:r>
      <w:r w:rsidRPr="00D17312">
        <w:t>, že délka řízení velmi prudce rostla v letech 2011 až 2015. To je logické, neboť šlo o</w:t>
      </w:r>
      <w:r>
        <w:t> </w:t>
      </w:r>
      <w:r w:rsidRPr="00D17312">
        <w:t xml:space="preserve">nový rejstřík pro zápis incidenčních sporů a do statistik se nejdříve dostaly především věci vyřízené rychleji, než je v dané agendě běžné. V letech 2015 až 2017 se délka řízení stabilizovala, nicméně v roce 2018 došlo k nárůstu a v roce 2019 opět k poklesu. Je třeba se podívat na data z dalších části (vyřizování věcí, disposition time), aby bylo možné udělat závěry o trendech </w:t>
      </w:r>
      <w:r w:rsidRPr="00D17312">
        <w:lastRenderedPageBreak/>
        <w:t>vyřizování v této agendě. Již z absolutních hodnot délek řízení je ale vidět, že se jedná o nelehkou a dlouho trvající agendu.</w:t>
      </w:r>
    </w:p>
    <w:p w:rsidR="00A4083A" w:rsidRPr="00D17312" w:rsidRDefault="00A4083A" w:rsidP="00A4083A">
      <w:pPr>
        <w:pStyle w:val="Podnadpis"/>
        <w:rPr>
          <w:color w:val="auto"/>
        </w:rPr>
      </w:pPr>
      <w:bookmarkStart w:id="579" w:name="_Toc43931247"/>
      <w:r w:rsidRPr="00D17312">
        <w:rPr>
          <w:color w:val="auto"/>
        </w:rPr>
        <w:t xml:space="preserve">Tabulka </w:t>
      </w:r>
      <w:r w:rsidRPr="00D17312">
        <w:rPr>
          <w:noProof/>
          <w:color w:val="auto"/>
        </w:rPr>
        <w:fldChar w:fldCharType="begin"/>
      </w:r>
      <w:r w:rsidRPr="00D17312">
        <w:rPr>
          <w:noProof/>
          <w:color w:val="auto"/>
        </w:rPr>
        <w:instrText xml:space="preserve"> SEQ Tabulka \* ARABIC </w:instrText>
      </w:r>
      <w:r w:rsidRPr="00D17312">
        <w:rPr>
          <w:noProof/>
          <w:color w:val="auto"/>
        </w:rPr>
        <w:fldChar w:fldCharType="separate"/>
      </w:r>
      <w:r w:rsidR="006E7F27">
        <w:rPr>
          <w:noProof/>
          <w:color w:val="auto"/>
        </w:rPr>
        <w:t>74</w:t>
      </w:r>
      <w:r w:rsidRPr="00D17312">
        <w:rPr>
          <w:noProof/>
          <w:color w:val="auto"/>
        </w:rPr>
        <w:fldChar w:fldCharType="end"/>
      </w:r>
      <w:r w:rsidRPr="00D17312">
        <w:rPr>
          <w:color w:val="auto"/>
        </w:rPr>
        <w:t>: KS – délky incidenčních sporů dle soudů</w:t>
      </w:r>
      <w:bookmarkEnd w:id="579"/>
    </w:p>
    <w:tbl>
      <w:tblPr>
        <w:tblW w:w="8961" w:type="dxa"/>
        <w:tblCellMar>
          <w:left w:w="70" w:type="dxa"/>
          <w:right w:w="70" w:type="dxa"/>
        </w:tblCellMar>
        <w:tblLook w:val="04A0" w:firstRow="1" w:lastRow="0" w:firstColumn="1" w:lastColumn="0" w:noHBand="0" w:noVBand="1"/>
      </w:tblPr>
      <w:tblGrid>
        <w:gridCol w:w="2480"/>
        <w:gridCol w:w="769"/>
        <w:gridCol w:w="1379"/>
        <w:gridCol w:w="769"/>
        <w:gridCol w:w="1182"/>
        <w:gridCol w:w="1003"/>
        <w:gridCol w:w="1379"/>
      </w:tblGrid>
      <w:tr w:rsidR="00A4083A" w:rsidRPr="00D17312" w:rsidTr="00A41C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6481" w:type="dxa"/>
            <w:gridSpan w:val="6"/>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Délka řízení</w:t>
            </w:r>
          </w:p>
        </w:tc>
      </w:tr>
      <w:tr w:rsidR="00A4083A" w:rsidRPr="00D17312" w:rsidTr="00A41CAB">
        <w:trPr>
          <w:trHeight w:val="330"/>
        </w:trPr>
        <w:tc>
          <w:tcPr>
            <w:tcW w:w="24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2148"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Průměr</w:t>
            </w:r>
          </w:p>
        </w:tc>
        <w:tc>
          <w:tcPr>
            <w:tcW w:w="1951" w:type="dxa"/>
            <w:gridSpan w:val="2"/>
            <w:tcBorders>
              <w:top w:val="nil"/>
              <w:left w:val="single" w:sz="4" w:space="0" w:color="auto"/>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Medián</w:t>
            </w:r>
          </w:p>
        </w:tc>
        <w:tc>
          <w:tcPr>
            <w:tcW w:w="2382"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Percentil 90</w:t>
            </w:r>
          </w:p>
        </w:tc>
      </w:tr>
      <w:tr w:rsidR="00A4083A" w:rsidRPr="00D17312" w:rsidTr="00A41C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769"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563</w:t>
            </w:r>
          </w:p>
        </w:tc>
        <w:tc>
          <w:tcPr>
            <w:tcW w:w="1379"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-14</w:t>
            </w:r>
            <w:r>
              <w:rPr>
                <w:rFonts w:eastAsia="Times New Roman"/>
                <w:sz w:val="20"/>
                <w:szCs w:val="20"/>
                <w:lang w:eastAsia="cs-CZ"/>
              </w:rPr>
              <w:t> %</w:t>
            </w:r>
          </w:p>
        </w:tc>
        <w:tc>
          <w:tcPr>
            <w:tcW w:w="769"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491</w:t>
            </w:r>
          </w:p>
        </w:tc>
        <w:tc>
          <w:tcPr>
            <w:tcW w:w="1182"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-14</w:t>
            </w:r>
            <w:r>
              <w:rPr>
                <w:rFonts w:eastAsia="Times New Roman"/>
                <w:sz w:val="20"/>
                <w:szCs w:val="20"/>
                <w:lang w:eastAsia="cs-CZ"/>
              </w:rPr>
              <w:t> %</w:t>
            </w:r>
          </w:p>
        </w:tc>
        <w:tc>
          <w:tcPr>
            <w:tcW w:w="1003"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1 246</w:t>
            </w:r>
          </w:p>
        </w:tc>
        <w:tc>
          <w:tcPr>
            <w:tcW w:w="1379"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76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478</w:t>
            </w:r>
          </w:p>
        </w:tc>
        <w:tc>
          <w:tcPr>
            <w:tcW w:w="137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+21</w:t>
            </w:r>
            <w:r>
              <w:rPr>
                <w:rFonts w:eastAsia="Times New Roman"/>
                <w:sz w:val="20"/>
                <w:szCs w:val="20"/>
                <w:lang w:eastAsia="cs-CZ"/>
              </w:rPr>
              <w:t> %</w:t>
            </w:r>
          </w:p>
        </w:tc>
        <w:tc>
          <w:tcPr>
            <w:tcW w:w="769"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229</w:t>
            </w:r>
          </w:p>
        </w:tc>
        <w:tc>
          <w:tcPr>
            <w:tcW w:w="1182"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100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1 314</w:t>
            </w:r>
          </w:p>
        </w:tc>
        <w:tc>
          <w:tcPr>
            <w:tcW w:w="137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+31</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76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374</w:t>
            </w:r>
          </w:p>
        </w:tc>
        <w:tc>
          <w:tcPr>
            <w:tcW w:w="137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+131</w:t>
            </w:r>
            <w:r>
              <w:rPr>
                <w:rFonts w:eastAsia="Times New Roman"/>
                <w:sz w:val="20"/>
                <w:szCs w:val="20"/>
                <w:lang w:eastAsia="cs-CZ"/>
              </w:rPr>
              <w:t> %</w:t>
            </w:r>
          </w:p>
        </w:tc>
        <w:tc>
          <w:tcPr>
            <w:tcW w:w="769"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159</w:t>
            </w:r>
          </w:p>
        </w:tc>
        <w:tc>
          <w:tcPr>
            <w:tcW w:w="1182"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+42</w:t>
            </w:r>
            <w:r>
              <w:rPr>
                <w:rFonts w:eastAsia="Times New Roman"/>
                <w:sz w:val="20"/>
                <w:szCs w:val="20"/>
                <w:lang w:eastAsia="cs-CZ"/>
              </w:rPr>
              <w:t> %</w:t>
            </w:r>
          </w:p>
        </w:tc>
        <w:tc>
          <w:tcPr>
            <w:tcW w:w="100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676</w:t>
            </w:r>
          </w:p>
        </w:tc>
        <w:tc>
          <w:tcPr>
            <w:tcW w:w="137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+119</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76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231</w:t>
            </w:r>
          </w:p>
        </w:tc>
        <w:tc>
          <w:tcPr>
            <w:tcW w:w="137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-31</w:t>
            </w:r>
            <w:r>
              <w:rPr>
                <w:rFonts w:eastAsia="Times New Roman"/>
                <w:sz w:val="20"/>
                <w:szCs w:val="20"/>
                <w:lang w:eastAsia="cs-CZ"/>
              </w:rPr>
              <w:t> %</w:t>
            </w:r>
          </w:p>
        </w:tc>
        <w:tc>
          <w:tcPr>
            <w:tcW w:w="769"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125</w:t>
            </w:r>
          </w:p>
        </w:tc>
        <w:tc>
          <w:tcPr>
            <w:tcW w:w="1182"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-31</w:t>
            </w:r>
            <w:r>
              <w:rPr>
                <w:rFonts w:eastAsia="Times New Roman"/>
                <w:sz w:val="20"/>
                <w:szCs w:val="20"/>
                <w:lang w:eastAsia="cs-CZ"/>
              </w:rPr>
              <w:t> %</w:t>
            </w:r>
          </w:p>
        </w:tc>
        <w:tc>
          <w:tcPr>
            <w:tcW w:w="100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506</w:t>
            </w:r>
          </w:p>
        </w:tc>
        <w:tc>
          <w:tcPr>
            <w:tcW w:w="137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-42</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76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453</w:t>
            </w:r>
          </w:p>
        </w:tc>
        <w:tc>
          <w:tcPr>
            <w:tcW w:w="137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-20</w:t>
            </w:r>
            <w:r>
              <w:rPr>
                <w:rFonts w:eastAsia="Times New Roman"/>
                <w:sz w:val="20"/>
                <w:szCs w:val="20"/>
                <w:lang w:eastAsia="cs-CZ"/>
              </w:rPr>
              <w:t> %</w:t>
            </w:r>
          </w:p>
        </w:tc>
        <w:tc>
          <w:tcPr>
            <w:tcW w:w="769"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272</w:t>
            </w:r>
          </w:p>
        </w:tc>
        <w:tc>
          <w:tcPr>
            <w:tcW w:w="1182"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-26</w:t>
            </w:r>
            <w:r>
              <w:rPr>
                <w:rFonts w:eastAsia="Times New Roman"/>
                <w:sz w:val="20"/>
                <w:szCs w:val="20"/>
                <w:lang w:eastAsia="cs-CZ"/>
              </w:rPr>
              <w:t> %</w:t>
            </w:r>
          </w:p>
        </w:tc>
        <w:tc>
          <w:tcPr>
            <w:tcW w:w="100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1 026</w:t>
            </w:r>
          </w:p>
        </w:tc>
        <w:tc>
          <w:tcPr>
            <w:tcW w:w="137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-19</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76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467</w:t>
            </w:r>
          </w:p>
        </w:tc>
        <w:tc>
          <w:tcPr>
            <w:tcW w:w="137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769"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269</w:t>
            </w:r>
          </w:p>
        </w:tc>
        <w:tc>
          <w:tcPr>
            <w:tcW w:w="1182"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-15</w:t>
            </w:r>
            <w:r>
              <w:rPr>
                <w:rFonts w:eastAsia="Times New Roman"/>
                <w:sz w:val="20"/>
                <w:szCs w:val="20"/>
                <w:lang w:eastAsia="cs-CZ"/>
              </w:rPr>
              <w:t> %</w:t>
            </w:r>
          </w:p>
        </w:tc>
        <w:tc>
          <w:tcPr>
            <w:tcW w:w="100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1 356</w:t>
            </w:r>
          </w:p>
        </w:tc>
        <w:tc>
          <w:tcPr>
            <w:tcW w:w="137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+30</w:t>
            </w:r>
            <w:r>
              <w:rPr>
                <w:rFonts w:eastAsia="Times New Roman"/>
                <w:sz w:val="20"/>
                <w:szCs w:val="20"/>
                <w:lang w:eastAsia="cs-CZ"/>
              </w:rPr>
              <w:t> %</w:t>
            </w:r>
          </w:p>
        </w:tc>
      </w:tr>
      <w:tr w:rsidR="00A4083A" w:rsidRPr="00D17312" w:rsidTr="00A41CAB">
        <w:trPr>
          <w:trHeight w:val="315"/>
        </w:trPr>
        <w:tc>
          <w:tcPr>
            <w:tcW w:w="24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769"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688</w:t>
            </w:r>
          </w:p>
        </w:tc>
        <w:tc>
          <w:tcPr>
            <w:tcW w:w="137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769"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644</w:t>
            </w:r>
          </w:p>
        </w:tc>
        <w:tc>
          <w:tcPr>
            <w:tcW w:w="1182"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+8</w:t>
            </w:r>
            <w:r>
              <w:rPr>
                <w:rFonts w:eastAsia="Times New Roman"/>
                <w:sz w:val="20"/>
                <w:szCs w:val="20"/>
                <w:lang w:eastAsia="cs-CZ"/>
              </w:rPr>
              <w:t> %</w:t>
            </w:r>
          </w:p>
        </w:tc>
        <w:tc>
          <w:tcPr>
            <w:tcW w:w="100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1 379</w:t>
            </w:r>
          </w:p>
        </w:tc>
        <w:tc>
          <w:tcPr>
            <w:tcW w:w="137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r>
      <w:tr w:rsidR="00A4083A" w:rsidRPr="00D17312" w:rsidTr="00A41CAB">
        <w:trPr>
          <w:trHeight w:val="330"/>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769"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493</w:t>
            </w:r>
          </w:p>
        </w:tc>
        <w:tc>
          <w:tcPr>
            <w:tcW w:w="137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769"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297</w:t>
            </w:r>
          </w:p>
        </w:tc>
        <w:tc>
          <w:tcPr>
            <w:tcW w:w="1182"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-20</w:t>
            </w:r>
            <w:r>
              <w:rPr>
                <w:rFonts w:eastAsia="Times New Roman"/>
                <w:sz w:val="20"/>
                <w:szCs w:val="20"/>
                <w:lang w:eastAsia="cs-CZ"/>
              </w:rPr>
              <w:t> %</w:t>
            </w:r>
          </w:p>
        </w:tc>
        <w:tc>
          <w:tcPr>
            <w:tcW w:w="100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1 156</w:t>
            </w:r>
          </w:p>
        </w:tc>
        <w:tc>
          <w:tcPr>
            <w:tcW w:w="137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r>
      <w:tr w:rsidR="00A4083A" w:rsidRPr="00D17312" w:rsidTr="00A41CAB">
        <w:trPr>
          <w:trHeight w:val="345"/>
        </w:trPr>
        <w:tc>
          <w:tcPr>
            <w:tcW w:w="2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769"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506</w:t>
            </w:r>
          </w:p>
        </w:tc>
        <w:tc>
          <w:tcPr>
            <w:tcW w:w="137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-5</w:t>
            </w:r>
            <w:r>
              <w:rPr>
                <w:rFonts w:eastAsia="Times New Roman"/>
                <w:b/>
                <w:bCs/>
                <w:sz w:val="20"/>
                <w:szCs w:val="20"/>
                <w:lang w:eastAsia="cs-CZ"/>
              </w:rPr>
              <w:t> %</w:t>
            </w:r>
          </w:p>
        </w:tc>
        <w:tc>
          <w:tcPr>
            <w:tcW w:w="769"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333</w:t>
            </w:r>
          </w:p>
        </w:tc>
        <w:tc>
          <w:tcPr>
            <w:tcW w:w="1182"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-12</w:t>
            </w:r>
            <w:r>
              <w:rPr>
                <w:rFonts w:eastAsia="Times New Roman"/>
                <w:b/>
                <w:bCs/>
                <w:sz w:val="20"/>
                <w:szCs w:val="20"/>
                <w:lang w:eastAsia="cs-CZ"/>
              </w:rPr>
              <w:t> %</w:t>
            </w:r>
          </w:p>
        </w:tc>
        <w:tc>
          <w:tcPr>
            <w:tcW w:w="100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1 200</w:t>
            </w:r>
          </w:p>
        </w:tc>
        <w:tc>
          <w:tcPr>
            <w:tcW w:w="137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+1</w:t>
            </w:r>
            <w:r>
              <w:rPr>
                <w:rFonts w:eastAsia="Times New Roman"/>
                <w:b/>
                <w:bCs/>
                <w:sz w:val="20"/>
                <w:szCs w:val="20"/>
                <w:lang w:eastAsia="cs-CZ"/>
              </w:rPr>
              <w:t> %</w:t>
            </w:r>
          </w:p>
        </w:tc>
      </w:tr>
    </w:tbl>
    <w:p w:rsidR="00A4083A" w:rsidRPr="00D17312" w:rsidRDefault="00A4083A" w:rsidP="00A4083A">
      <w:pPr>
        <w:pStyle w:val="OdstavecASR"/>
      </w:pPr>
    </w:p>
    <w:p w:rsidR="00A4083A" w:rsidRPr="00D17312" w:rsidRDefault="00A4083A" w:rsidP="00A4083A">
      <w:pPr>
        <w:pStyle w:val="OdstavecASR"/>
      </w:pPr>
      <w:r w:rsidRPr="00D17312">
        <w:t>Vidíme, že nejdelší délky řízení vykazuje KS Brno a MS Praha. Nejkratší naopak KS Plzeň a KS České Budějovice.</w:t>
      </w:r>
    </w:p>
    <w:p w:rsidR="00A4083A" w:rsidRPr="00D17312" w:rsidRDefault="00A4083A" w:rsidP="00A4083A">
      <w:pPr>
        <w:pStyle w:val="OdstavecASR"/>
      </w:pPr>
      <w:r w:rsidRPr="00D17312">
        <w:t>Nakonec délky řízení zobrazíme pomocí histogramu. Šířka jednoho sloupce je 50 dnů a poslední sloupec reprezentuje všechny hodnoty nad 1</w:t>
      </w:r>
      <w:r>
        <w:t> </w:t>
      </w:r>
      <w:r w:rsidRPr="00D17312">
        <w:t>500</w:t>
      </w:r>
      <w:r>
        <w:t xml:space="preserve"> dnů</w:t>
      </w:r>
      <w:r w:rsidRPr="00D17312">
        <w:t>.</w:t>
      </w:r>
    </w:p>
    <w:p w:rsidR="00A4083A" w:rsidRPr="00D17312" w:rsidRDefault="00A4083A" w:rsidP="00A4083A">
      <w:pPr>
        <w:pStyle w:val="Podnadpis"/>
        <w:rPr>
          <w:color w:val="auto"/>
        </w:rPr>
      </w:pPr>
      <w:bookmarkStart w:id="580" w:name="_Toc43841456"/>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76</w:t>
      </w:r>
      <w:r w:rsidRPr="00D17312">
        <w:rPr>
          <w:color w:val="auto"/>
        </w:rPr>
        <w:fldChar w:fldCharType="end"/>
      </w:r>
      <w:r w:rsidRPr="00D17312">
        <w:rPr>
          <w:color w:val="auto"/>
        </w:rPr>
        <w:t>: KS – distribuce délek incidenčních sporů</w:t>
      </w:r>
      <w:bookmarkEnd w:id="580"/>
    </w:p>
    <w:p w:rsidR="00A4083A" w:rsidRPr="00D17312" w:rsidRDefault="00A4083A" w:rsidP="00A4083A">
      <w:r w:rsidRPr="00D17312">
        <w:rPr>
          <w:noProof/>
          <w:lang w:eastAsia="cs-CZ"/>
        </w:rPr>
        <w:drawing>
          <wp:inline distT="0" distB="0" distL="0" distR="0" wp14:anchorId="6D053EFB" wp14:editId="7D4E020A">
            <wp:extent cx="5114925" cy="3743325"/>
            <wp:effectExtent l="0" t="0" r="0" b="9525"/>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Nadpis3"/>
        <w:rPr>
          <w:color w:val="auto"/>
        </w:rPr>
      </w:pPr>
      <w:bookmarkStart w:id="581" w:name="_Toc41059000"/>
      <w:bookmarkStart w:id="582" w:name="_Toc41060948"/>
      <w:bookmarkStart w:id="583" w:name="_Toc43903087"/>
      <w:bookmarkEnd w:id="581"/>
      <w:bookmarkEnd w:id="582"/>
      <w:r w:rsidRPr="00D17312">
        <w:rPr>
          <w:color w:val="auto"/>
        </w:rPr>
        <w:lastRenderedPageBreak/>
        <w:t>Vyřizování věcí</w:t>
      </w:r>
      <w:bookmarkEnd w:id="583"/>
    </w:p>
    <w:p w:rsidR="00A4083A" w:rsidRPr="00D17312" w:rsidRDefault="00A4083A" w:rsidP="00A4083A">
      <w:r w:rsidRPr="00D17312">
        <w:t>Na grafu níže vidíme jev, který byl zmiňován již výše. Celá insolvenční agenda je poměrně nová a incidenční spory na ni „navazují“. Proto byl v prvních letech malý nápad, který postupně narůstal až do roku 2017. Do určité míry nápad celkem logicky kopíruje růst nápadu v insolvenční agendě, nicméně s určitým zpožděním. V roce 2018 pak došlo k značnému poklesu v počtu příchozích věcí. Nejvyšší pokles byl zaznamenán u obou moravských krajských soudů, konkrétně u KS v Brně o 662 věcí (snížení o 56,7</w:t>
      </w:r>
      <w:r>
        <w:t> %</w:t>
      </w:r>
      <w:r w:rsidRPr="00D17312">
        <w:t>) a v Ostravě o 329 věcí (pokles o 67,3</w:t>
      </w:r>
      <w:r>
        <w:t> %</w:t>
      </w:r>
      <w:r w:rsidRPr="00D17312">
        <w:t>). U krajských soudů v Čechách se snížení příchozích věcí pohybovalo mezi 30 až 40</w:t>
      </w:r>
      <w:r>
        <w:t> %</w:t>
      </w:r>
      <w:r w:rsidRPr="00D17312">
        <w:t>. V roce 2019 byl počet příchozích věcí téměř stejný jako v roce 2018.</w:t>
      </w:r>
    </w:p>
    <w:p w:rsidR="00A4083A" w:rsidRPr="00D17312" w:rsidRDefault="00A4083A" w:rsidP="00A4083A">
      <w:r w:rsidRPr="00D17312">
        <w:t>Jelikož se incidenční spory rekrutují převážně z insolvenčních řízení právnických osob, tak lze tento náhlý pokles připisovat ze snížení nových úpadků obchodních společností, a to zřejmě díky příznivé ekonomické situaci toho období.</w:t>
      </w:r>
    </w:p>
    <w:p w:rsidR="00A4083A" w:rsidRPr="00D17312" w:rsidRDefault="00A4083A" w:rsidP="00A4083A">
      <w:pPr>
        <w:pStyle w:val="Podnadpis"/>
        <w:rPr>
          <w:color w:val="auto"/>
          <w:highlight w:val="yellow"/>
        </w:rPr>
      </w:pPr>
      <w:bookmarkStart w:id="584" w:name="_Toc43841457"/>
      <w:r w:rsidRPr="00D17312">
        <w:rPr>
          <w:color w:val="auto"/>
        </w:rPr>
        <w:t xml:space="preserve">Graf </w:t>
      </w:r>
      <w:r w:rsidRPr="00D17312">
        <w:rPr>
          <w:noProof/>
          <w:color w:val="auto"/>
        </w:rPr>
        <w:fldChar w:fldCharType="begin"/>
      </w:r>
      <w:r w:rsidRPr="00D17312">
        <w:rPr>
          <w:noProof/>
          <w:color w:val="auto"/>
        </w:rPr>
        <w:instrText xml:space="preserve"> SEQ Graf \* ARABIC </w:instrText>
      </w:r>
      <w:r w:rsidRPr="00D17312">
        <w:rPr>
          <w:noProof/>
          <w:color w:val="auto"/>
        </w:rPr>
        <w:fldChar w:fldCharType="separate"/>
      </w:r>
      <w:r w:rsidR="006E7F27">
        <w:rPr>
          <w:noProof/>
          <w:color w:val="auto"/>
        </w:rPr>
        <w:t>77</w:t>
      </w:r>
      <w:r w:rsidRPr="00D17312">
        <w:rPr>
          <w:noProof/>
          <w:color w:val="auto"/>
        </w:rPr>
        <w:fldChar w:fldCharType="end"/>
      </w:r>
      <w:r w:rsidRPr="00D17312">
        <w:rPr>
          <w:color w:val="auto"/>
        </w:rPr>
        <w:t>: KS – vyřizování incidenčních sporů v letech 2011–2019</w:t>
      </w:r>
      <w:bookmarkEnd w:id="584"/>
    </w:p>
    <w:p w:rsidR="00A4083A" w:rsidRPr="00D17312" w:rsidRDefault="00A4083A" w:rsidP="00A4083A">
      <w:pPr>
        <w:rPr>
          <w:highlight w:val="yellow"/>
        </w:rPr>
      </w:pPr>
      <w:r w:rsidRPr="00D17312">
        <w:rPr>
          <w:noProof/>
          <w:lang w:eastAsia="cs-CZ"/>
        </w:rPr>
        <w:drawing>
          <wp:inline distT="0" distB="0" distL="0" distR="0" wp14:anchorId="34B13856" wp14:editId="0DCB1B14">
            <wp:extent cx="5112385" cy="3745230"/>
            <wp:effectExtent l="0" t="0" r="0" b="7620"/>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A4083A" w:rsidRPr="00D17312" w:rsidRDefault="00A4083A" w:rsidP="00A4083A">
      <w:pPr>
        <w:pStyle w:val="OdstavecASR"/>
      </w:pPr>
      <w:r w:rsidRPr="00D17312">
        <w:t>V letech 2011 až 2017 převyšoval počet příchozích věcí počet věcí vyřízených</w:t>
      </w:r>
      <w:r>
        <w:t>, a to z</w:t>
      </w:r>
      <w:r w:rsidRPr="00D17312">
        <w:t>e začátku poměrně výrazně</w:t>
      </w:r>
      <w:r>
        <w:t>;</w:t>
      </w:r>
      <w:r w:rsidRPr="00D17312">
        <w:t xml:space="preserve"> počet vyřízených věcí se ale velmi rychle zvyšoval. </w:t>
      </w:r>
      <w:r>
        <w:t>To</w:t>
      </w:r>
      <w:r w:rsidRPr="00D17312">
        <w:t xml:space="preserve"> samozřejmě vedlo k tomu, že se nahromadilo poměrně velké množství nevyřízených věcí. Výše zmíněný pokles v počtu příchozích věcí pak vedl k</w:t>
      </w:r>
      <w:r>
        <w:t xml:space="preserve"> velmi výraznému </w:t>
      </w:r>
      <w:r w:rsidRPr="00D17312">
        <w:t>poklesu počtu věcí nevyřízených.</w:t>
      </w:r>
    </w:p>
    <w:p w:rsidR="00A4083A" w:rsidRPr="00D17312" w:rsidRDefault="00A4083A" w:rsidP="00A4083A">
      <w:r w:rsidRPr="00D17312">
        <w:t>V roce 2019 se počet příchozích věcí oproti roku 2018 téměř nezměnil. Celorepublikově se změny v počtu příchozích věcí vykompenzovaly. Tabulka níže ukazuje, že situace se ale velmi liší soud od soudu. Například u KS v Plzni narostl počet příchozích věcí o 50</w:t>
      </w:r>
      <w:r>
        <w:t> %</w:t>
      </w:r>
      <w:r w:rsidRPr="00D17312">
        <w:t xml:space="preserve"> a počet nevyřízených věcí o 41</w:t>
      </w:r>
      <w:r>
        <w:t> %</w:t>
      </w:r>
      <w:r w:rsidRPr="00D17312">
        <w:t xml:space="preserve"> (míra vyřizování byla pouze 78</w:t>
      </w:r>
      <w:r>
        <w:t> %</w:t>
      </w:r>
      <w:r w:rsidRPr="00D17312">
        <w:t>). Na druhou stranu u KS Brno klesl počet příchozích věcí o 19</w:t>
      </w:r>
      <w:r>
        <w:t> %</w:t>
      </w:r>
      <w:r w:rsidRPr="00D17312">
        <w:t>, počet vyřízených vzrostl o 22</w:t>
      </w:r>
      <w:r>
        <w:t> %</w:t>
      </w:r>
      <w:r w:rsidRPr="00D17312">
        <w:t xml:space="preserve"> a počet nevyřízených věcí klesl o 37</w:t>
      </w:r>
      <w:r>
        <w:t> %</w:t>
      </w:r>
      <w:r w:rsidRPr="00D17312">
        <w:t>. Míra vyřizování byla neuvěřitelných 211</w:t>
      </w:r>
      <w:r>
        <w:t> %</w:t>
      </w:r>
      <w:r w:rsidRPr="00D17312">
        <w:t>. Na druhou stranu</w:t>
      </w:r>
      <w:r>
        <w:t xml:space="preserve"> má</w:t>
      </w:r>
      <w:r w:rsidRPr="00D17312">
        <w:t xml:space="preserve"> KS Brno velmi dlouhé délky řízení a KS Plzeň délky řízení</w:t>
      </w:r>
      <w:r w:rsidRPr="00731002">
        <w:t xml:space="preserve"> </w:t>
      </w:r>
      <w:r w:rsidRPr="00D17312">
        <w:t>krátké.</w:t>
      </w:r>
    </w:p>
    <w:p w:rsidR="00A4083A" w:rsidRPr="00D17312" w:rsidRDefault="00A4083A" w:rsidP="00A4083A">
      <w:pPr>
        <w:spacing w:line="240" w:lineRule="auto"/>
        <w:jc w:val="left"/>
      </w:pPr>
      <w:r w:rsidRPr="00D17312">
        <w:br w:type="page"/>
      </w:r>
    </w:p>
    <w:p w:rsidR="00A4083A" w:rsidRPr="00D17312" w:rsidRDefault="00A4083A" w:rsidP="00A4083A">
      <w:pPr>
        <w:pStyle w:val="Podnadpis"/>
        <w:rPr>
          <w:color w:val="auto"/>
        </w:rPr>
      </w:pPr>
      <w:bookmarkStart w:id="585" w:name="_Toc43931248"/>
      <w:r w:rsidRPr="00D17312">
        <w:rPr>
          <w:color w:val="auto"/>
        </w:rPr>
        <w:lastRenderedPageBreak/>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75</w:t>
      </w:r>
      <w:r w:rsidRPr="00D17312">
        <w:rPr>
          <w:noProof/>
          <w:color w:val="auto"/>
        </w:rPr>
        <w:fldChar w:fldCharType="end"/>
      </w:r>
      <w:r w:rsidRPr="00D17312">
        <w:rPr>
          <w:color w:val="auto"/>
        </w:rPr>
        <w:t>: KS – vyřizování incidenčních sporů dle soudů</w:t>
      </w:r>
      <w:bookmarkEnd w:id="585"/>
    </w:p>
    <w:tbl>
      <w:tblPr>
        <w:tblW w:w="9214" w:type="dxa"/>
        <w:tblCellMar>
          <w:left w:w="70" w:type="dxa"/>
          <w:right w:w="70" w:type="dxa"/>
        </w:tblCellMar>
        <w:tblLook w:val="04A0" w:firstRow="1" w:lastRow="0" w:firstColumn="1" w:lastColumn="0" w:noHBand="0" w:noVBand="1"/>
      </w:tblPr>
      <w:tblGrid>
        <w:gridCol w:w="1980"/>
        <w:gridCol w:w="856"/>
        <w:gridCol w:w="1009"/>
        <w:gridCol w:w="856"/>
        <w:gridCol w:w="1009"/>
        <w:gridCol w:w="962"/>
        <w:gridCol w:w="1009"/>
        <w:gridCol w:w="1533"/>
      </w:tblGrid>
      <w:tr w:rsidR="00A4083A" w:rsidRPr="00D17312" w:rsidTr="00A41CAB">
        <w:trPr>
          <w:trHeight w:val="330"/>
        </w:trPr>
        <w:tc>
          <w:tcPr>
            <w:tcW w:w="198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5701" w:type="dxa"/>
            <w:gridSpan w:val="6"/>
            <w:tcBorders>
              <w:top w:val="double" w:sz="6" w:space="0" w:color="auto"/>
              <w:left w:val="nil"/>
              <w:bottom w:val="nil"/>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věcí</w:t>
            </w:r>
          </w:p>
        </w:tc>
        <w:tc>
          <w:tcPr>
            <w:tcW w:w="1533" w:type="dxa"/>
            <w:vMerge w:val="restart"/>
            <w:tcBorders>
              <w:top w:val="double" w:sz="6" w:space="0" w:color="auto"/>
              <w:left w:val="single" w:sz="4" w:space="0" w:color="auto"/>
              <w:bottom w:val="double" w:sz="6" w:space="0" w:color="000000"/>
              <w:right w:val="nil"/>
            </w:tcBorders>
            <w:shd w:val="clear" w:color="auto" w:fill="auto"/>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 xml:space="preserve">Míra vyřizování </w:t>
            </w:r>
          </w:p>
        </w:tc>
      </w:tr>
      <w:tr w:rsidR="00A4083A" w:rsidRPr="00D17312" w:rsidTr="00A41CAB">
        <w:trPr>
          <w:trHeight w:val="330"/>
        </w:trPr>
        <w:tc>
          <w:tcPr>
            <w:tcW w:w="19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865" w:type="dxa"/>
            <w:gridSpan w:val="2"/>
            <w:tcBorders>
              <w:top w:val="nil"/>
              <w:left w:val="nil"/>
              <w:bottom w:val="double" w:sz="6" w:space="0" w:color="auto"/>
              <w:right w:val="single" w:sz="4" w:space="0" w:color="000000"/>
            </w:tcBorders>
            <w:shd w:val="clear" w:color="auto" w:fill="auto"/>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Nápad + obživa</w:t>
            </w:r>
          </w:p>
        </w:tc>
        <w:tc>
          <w:tcPr>
            <w:tcW w:w="1865" w:type="dxa"/>
            <w:gridSpan w:val="2"/>
            <w:tcBorders>
              <w:top w:val="nil"/>
              <w:left w:val="nil"/>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Vyřízeno</w:t>
            </w:r>
          </w:p>
        </w:tc>
        <w:tc>
          <w:tcPr>
            <w:tcW w:w="1971" w:type="dxa"/>
            <w:gridSpan w:val="2"/>
            <w:tcBorders>
              <w:top w:val="nil"/>
              <w:left w:val="nil"/>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Nevyřízeno</w:t>
            </w:r>
          </w:p>
        </w:tc>
        <w:tc>
          <w:tcPr>
            <w:tcW w:w="1533" w:type="dxa"/>
            <w:vMerge/>
            <w:tcBorders>
              <w:top w:val="double" w:sz="6" w:space="0" w:color="auto"/>
              <w:left w:val="single" w:sz="4" w:space="0" w:color="auto"/>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r>
      <w:tr w:rsidR="00A4083A" w:rsidRPr="00D17312" w:rsidTr="00A41CAB">
        <w:trPr>
          <w:trHeight w:val="330"/>
        </w:trPr>
        <w:tc>
          <w:tcPr>
            <w:tcW w:w="19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856"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661</w:t>
            </w:r>
          </w:p>
        </w:tc>
        <w:tc>
          <w:tcPr>
            <w:tcW w:w="1009"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856" w:type="dxa"/>
            <w:tcBorders>
              <w:top w:val="single" w:sz="4" w:space="0" w:color="auto"/>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560</w:t>
            </w:r>
          </w:p>
        </w:tc>
        <w:tc>
          <w:tcPr>
            <w:tcW w:w="1009" w:type="dxa"/>
            <w:tcBorders>
              <w:top w:val="single" w:sz="4" w:space="0" w:color="auto"/>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-30</w:t>
            </w:r>
            <w:r>
              <w:rPr>
                <w:rFonts w:eastAsia="Times New Roman"/>
                <w:sz w:val="20"/>
                <w:szCs w:val="20"/>
                <w:lang w:eastAsia="cs-CZ"/>
              </w:rPr>
              <w:t> %</w:t>
            </w:r>
          </w:p>
        </w:tc>
        <w:tc>
          <w:tcPr>
            <w:tcW w:w="962"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1 212</w:t>
            </w:r>
          </w:p>
        </w:tc>
        <w:tc>
          <w:tcPr>
            <w:tcW w:w="1009" w:type="dxa"/>
            <w:tcBorders>
              <w:top w:val="single" w:sz="4" w:space="0" w:color="auto"/>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c>
          <w:tcPr>
            <w:tcW w:w="1533"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84,7</w:t>
            </w:r>
            <w:r>
              <w:rPr>
                <w:rFonts w:eastAsia="Times New Roman"/>
                <w:szCs w:val="24"/>
                <w:lang w:eastAsia="cs-CZ"/>
              </w:rPr>
              <w:t> %</w:t>
            </w:r>
          </w:p>
        </w:tc>
      </w:tr>
      <w:tr w:rsidR="00A4083A" w:rsidRPr="00D17312" w:rsidTr="00A41CAB">
        <w:trPr>
          <w:trHeight w:val="315"/>
        </w:trPr>
        <w:tc>
          <w:tcPr>
            <w:tcW w:w="19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85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499</w:t>
            </w:r>
          </w:p>
        </w:tc>
        <w:tc>
          <w:tcPr>
            <w:tcW w:w="100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+18</w:t>
            </w:r>
            <w:r>
              <w:rPr>
                <w:rFonts w:eastAsia="Times New Roman"/>
                <w:sz w:val="20"/>
                <w:szCs w:val="20"/>
                <w:lang w:eastAsia="cs-CZ"/>
              </w:rPr>
              <w:t> %</w:t>
            </w:r>
          </w:p>
        </w:tc>
        <w:tc>
          <w:tcPr>
            <w:tcW w:w="85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518</w:t>
            </w:r>
          </w:p>
        </w:tc>
        <w:tc>
          <w:tcPr>
            <w:tcW w:w="100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-22</w:t>
            </w:r>
            <w:r>
              <w:rPr>
                <w:rFonts w:eastAsia="Times New Roman"/>
                <w:sz w:val="20"/>
                <w:szCs w:val="20"/>
                <w:lang w:eastAsia="cs-CZ"/>
              </w:rPr>
              <w:t> %</w:t>
            </w:r>
          </w:p>
        </w:tc>
        <w:tc>
          <w:tcPr>
            <w:tcW w:w="96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445</w:t>
            </w:r>
          </w:p>
        </w:tc>
        <w:tc>
          <w:tcPr>
            <w:tcW w:w="100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w:t>
            </w:r>
            <w:r>
              <w:rPr>
                <w:rFonts w:eastAsia="Times New Roman"/>
                <w:sz w:val="20"/>
                <w:szCs w:val="20"/>
                <w:lang w:eastAsia="cs-CZ"/>
              </w:rPr>
              <w:t> %</w:t>
            </w:r>
          </w:p>
        </w:tc>
        <w:tc>
          <w:tcPr>
            <w:tcW w:w="153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103,8</w:t>
            </w:r>
            <w:r>
              <w:rPr>
                <w:rFonts w:eastAsia="Times New Roman"/>
                <w:szCs w:val="24"/>
                <w:lang w:eastAsia="cs-CZ"/>
              </w:rPr>
              <w:t> %</w:t>
            </w:r>
          </w:p>
        </w:tc>
      </w:tr>
      <w:tr w:rsidR="00A4083A" w:rsidRPr="00D17312" w:rsidTr="00A41CAB">
        <w:trPr>
          <w:trHeight w:val="315"/>
        </w:trPr>
        <w:tc>
          <w:tcPr>
            <w:tcW w:w="19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85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232</w:t>
            </w:r>
          </w:p>
        </w:tc>
        <w:tc>
          <w:tcPr>
            <w:tcW w:w="100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-22</w:t>
            </w:r>
            <w:r>
              <w:rPr>
                <w:rFonts w:eastAsia="Times New Roman"/>
                <w:sz w:val="20"/>
                <w:szCs w:val="20"/>
                <w:lang w:eastAsia="cs-CZ"/>
              </w:rPr>
              <w:t> %</w:t>
            </w:r>
          </w:p>
        </w:tc>
        <w:tc>
          <w:tcPr>
            <w:tcW w:w="85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288</w:t>
            </w:r>
          </w:p>
        </w:tc>
        <w:tc>
          <w:tcPr>
            <w:tcW w:w="100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-12</w:t>
            </w:r>
            <w:r>
              <w:rPr>
                <w:rFonts w:eastAsia="Times New Roman"/>
                <w:sz w:val="20"/>
                <w:szCs w:val="20"/>
                <w:lang w:eastAsia="cs-CZ"/>
              </w:rPr>
              <w:t> %</w:t>
            </w:r>
          </w:p>
        </w:tc>
        <w:tc>
          <w:tcPr>
            <w:tcW w:w="96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138</w:t>
            </w:r>
          </w:p>
        </w:tc>
        <w:tc>
          <w:tcPr>
            <w:tcW w:w="100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-29</w:t>
            </w:r>
            <w:r>
              <w:rPr>
                <w:rFonts w:eastAsia="Times New Roman"/>
                <w:sz w:val="20"/>
                <w:szCs w:val="20"/>
                <w:lang w:eastAsia="cs-CZ"/>
              </w:rPr>
              <w:t> %</w:t>
            </w:r>
          </w:p>
        </w:tc>
        <w:tc>
          <w:tcPr>
            <w:tcW w:w="153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124,1</w:t>
            </w:r>
            <w:r>
              <w:rPr>
                <w:rFonts w:eastAsia="Times New Roman"/>
                <w:szCs w:val="24"/>
                <w:lang w:eastAsia="cs-CZ"/>
              </w:rPr>
              <w:t> %</w:t>
            </w:r>
          </w:p>
        </w:tc>
      </w:tr>
      <w:tr w:rsidR="00A4083A" w:rsidRPr="00D17312" w:rsidTr="00A41CAB">
        <w:trPr>
          <w:trHeight w:val="315"/>
        </w:trPr>
        <w:tc>
          <w:tcPr>
            <w:tcW w:w="19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85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367</w:t>
            </w:r>
          </w:p>
        </w:tc>
        <w:tc>
          <w:tcPr>
            <w:tcW w:w="100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+50</w:t>
            </w:r>
            <w:r>
              <w:rPr>
                <w:rFonts w:eastAsia="Times New Roman"/>
                <w:sz w:val="20"/>
                <w:szCs w:val="20"/>
                <w:lang w:eastAsia="cs-CZ"/>
              </w:rPr>
              <w:t> %</w:t>
            </w:r>
          </w:p>
        </w:tc>
        <w:tc>
          <w:tcPr>
            <w:tcW w:w="85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286</w:t>
            </w:r>
          </w:p>
        </w:tc>
        <w:tc>
          <w:tcPr>
            <w:tcW w:w="100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-12</w:t>
            </w:r>
            <w:r>
              <w:rPr>
                <w:rFonts w:eastAsia="Times New Roman"/>
                <w:sz w:val="20"/>
                <w:szCs w:val="20"/>
                <w:lang w:eastAsia="cs-CZ"/>
              </w:rPr>
              <w:t> %</w:t>
            </w:r>
          </w:p>
        </w:tc>
        <w:tc>
          <w:tcPr>
            <w:tcW w:w="96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284</w:t>
            </w:r>
          </w:p>
        </w:tc>
        <w:tc>
          <w:tcPr>
            <w:tcW w:w="100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+41</w:t>
            </w:r>
            <w:r>
              <w:rPr>
                <w:rFonts w:eastAsia="Times New Roman"/>
                <w:sz w:val="20"/>
                <w:szCs w:val="20"/>
                <w:lang w:eastAsia="cs-CZ"/>
              </w:rPr>
              <w:t> %</w:t>
            </w:r>
          </w:p>
        </w:tc>
        <w:tc>
          <w:tcPr>
            <w:tcW w:w="153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78,0</w:t>
            </w:r>
            <w:r>
              <w:rPr>
                <w:rFonts w:eastAsia="Times New Roman"/>
                <w:szCs w:val="24"/>
                <w:lang w:eastAsia="cs-CZ"/>
              </w:rPr>
              <w:t> %</w:t>
            </w:r>
          </w:p>
        </w:tc>
      </w:tr>
      <w:tr w:rsidR="00A4083A" w:rsidRPr="00D17312" w:rsidTr="00A41CAB">
        <w:trPr>
          <w:trHeight w:val="315"/>
        </w:trPr>
        <w:tc>
          <w:tcPr>
            <w:tcW w:w="19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85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542</w:t>
            </w:r>
          </w:p>
        </w:tc>
        <w:tc>
          <w:tcPr>
            <w:tcW w:w="100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+34</w:t>
            </w:r>
            <w:r>
              <w:rPr>
                <w:rFonts w:eastAsia="Times New Roman"/>
                <w:sz w:val="20"/>
                <w:szCs w:val="20"/>
                <w:lang w:eastAsia="cs-CZ"/>
              </w:rPr>
              <w:t> %</w:t>
            </w:r>
          </w:p>
        </w:tc>
        <w:tc>
          <w:tcPr>
            <w:tcW w:w="85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484</w:t>
            </w:r>
          </w:p>
        </w:tc>
        <w:tc>
          <w:tcPr>
            <w:tcW w:w="100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-10</w:t>
            </w:r>
            <w:r>
              <w:rPr>
                <w:rFonts w:eastAsia="Times New Roman"/>
                <w:sz w:val="20"/>
                <w:szCs w:val="20"/>
                <w:lang w:eastAsia="cs-CZ"/>
              </w:rPr>
              <w:t> %</w:t>
            </w:r>
          </w:p>
        </w:tc>
        <w:tc>
          <w:tcPr>
            <w:tcW w:w="96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547</w:t>
            </w:r>
          </w:p>
        </w:tc>
        <w:tc>
          <w:tcPr>
            <w:tcW w:w="100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+12</w:t>
            </w:r>
            <w:r>
              <w:rPr>
                <w:rFonts w:eastAsia="Times New Roman"/>
                <w:sz w:val="20"/>
                <w:szCs w:val="20"/>
                <w:lang w:eastAsia="cs-CZ"/>
              </w:rPr>
              <w:t> %</w:t>
            </w:r>
          </w:p>
        </w:tc>
        <w:tc>
          <w:tcPr>
            <w:tcW w:w="153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89,3</w:t>
            </w:r>
            <w:r>
              <w:rPr>
                <w:rFonts w:eastAsia="Times New Roman"/>
                <w:szCs w:val="24"/>
                <w:lang w:eastAsia="cs-CZ"/>
              </w:rPr>
              <w:t> %</w:t>
            </w:r>
          </w:p>
        </w:tc>
      </w:tr>
      <w:tr w:rsidR="00A4083A" w:rsidRPr="00D17312" w:rsidTr="00A41CAB">
        <w:trPr>
          <w:trHeight w:val="315"/>
        </w:trPr>
        <w:tc>
          <w:tcPr>
            <w:tcW w:w="19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85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389</w:t>
            </w:r>
          </w:p>
        </w:tc>
        <w:tc>
          <w:tcPr>
            <w:tcW w:w="100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-6</w:t>
            </w:r>
            <w:r>
              <w:rPr>
                <w:rFonts w:eastAsia="Times New Roman"/>
                <w:sz w:val="20"/>
                <w:szCs w:val="20"/>
                <w:lang w:eastAsia="cs-CZ"/>
              </w:rPr>
              <w:t> %</w:t>
            </w:r>
          </w:p>
        </w:tc>
        <w:tc>
          <w:tcPr>
            <w:tcW w:w="85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452</w:t>
            </w:r>
          </w:p>
        </w:tc>
        <w:tc>
          <w:tcPr>
            <w:tcW w:w="100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-16</w:t>
            </w:r>
            <w:r>
              <w:rPr>
                <w:rFonts w:eastAsia="Times New Roman"/>
                <w:sz w:val="20"/>
                <w:szCs w:val="20"/>
                <w:lang w:eastAsia="cs-CZ"/>
              </w:rPr>
              <w:t> %</w:t>
            </w:r>
          </w:p>
        </w:tc>
        <w:tc>
          <w:tcPr>
            <w:tcW w:w="96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334</w:t>
            </w:r>
          </w:p>
        </w:tc>
        <w:tc>
          <w:tcPr>
            <w:tcW w:w="100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-16</w:t>
            </w:r>
            <w:r>
              <w:rPr>
                <w:rFonts w:eastAsia="Times New Roman"/>
                <w:sz w:val="20"/>
                <w:szCs w:val="20"/>
                <w:lang w:eastAsia="cs-CZ"/>
              </w:rPr>
              <w:t> %</w:t>
            </w:r>
          </w:p>
        </w:tc>
        <w:tc>
          <w:tcPr>
            <w:tcW w:w="153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116,2</w:t>
            </w:r>
            <w:r>
              <w:rPr>
                <w:rFonts w:eastAsia="Times New Roman"/>
                <w:szCs w:val="24"/>
                <w:lang w:eastAsia="cs-CZ"/>
              </w:rPr>
              <w:t> %</w:t>
            </w:r>
          </w:p>
        </w:tc>
      </w:tr>
      <w:tr w:rsidR="00A4083A" w:rsidRPr="00D17312" w:rsidTr="00A41CAB">
        <w:trPr>
          <w:trHeight w:val="315"/>
        </w:trPr>
        <w:tc>
          <w:tcPr>
            <w:tcW w:w="19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856"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703</w:t>
            </w:r>
          </w:p>
        </w:tc>
        <w:tc>
          <w:tcPr>
            <w:tcW w:w="1009"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-19</w:t>
            </w:r>
            <w:r>
              <w:rPr>
                <w:rFonts w:eastAsia="Times New Roman"/>
                <w:sz w:val="20"/>
                <w:szCs w:val="20"/>
                <w:lang w:eastAsia="cs-CZ"/>
              </w:rPr>
              <w:t> %</w:t>
            </w:r>
          </w:p>
        </w:tc>
        <w:tc>
          <w:tcPr>
            <w:tcW w:w="856" w:type="dxa"/>
            <w:tcBorders>
              <w:top w:val="nil"/>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1 486</w:t>
            </w:r>
          </w:p>
        </w:tc>
        <w:tc>
          <w:tcPr>
            <w:tcW w:w="100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+22</w:t>
            </w:r>
            <w:r>
              <w:rPr>
                <w:rFonts w:eastAsia="Times New Roman"/>
                <w:sz w:val="20"/>
                <w:szCs w:val="20"/>
                <w:lang w:eastAsia="cs-CZ"/>
              </w:rPr>
              <w:t> %</w:t>
            </w:r>
          </w:p>
        </w:tc>
        <w:tc>
          <w:tcPr>
            <w:tcW w:w="962"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1 313</w:t>
            </w:r>
          </w:p>
        </w:tc>
        <w:tc>
          <w:tcPr>
            <w:tcW w:w="1009" w:type="dxa"/>
            <w:tcBorders>
              <w:top w:val="nil"/>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-37</w:t>
            </w:r>
            <w:r>
              <w:rPr>
                <w:rFonts w:eastAsia="Times New Roman"/>
                <w:sz w:val="20"/>
                <w:szCs w:val="20"/>
                <w:lang w:eastAsia="cs-CZ"/>
              </w:rPr>
              <w:t> %</w:t>
            </w:r>
          </w:p>
        </w:tc>
        <w:tc>
          <w:tcPr>
            <w:tcW w:w="153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211,4</w:t>
            </w:r>
            <w:r>
              <w:rPr>
                <w:rFonts w:eastAsia="Times New Roman"/>
                <w:szCs w:val="24"/>
                <w:lang w:eastAsia="cs-CZ"/>
              </w:rPr>
              <w:t> %</w:t>
            </w:r>
          </w:p>
        </w:tc>
      </w:tr>
      <w:tr w:rsidR="00A4083A" w:rsidRPr="00D17312" w:rsidTr="00A41CAB">
        <w:trPr>
          <w:trHeight w:val="330"/>
        </w:trPr>
        <w:tc>
          <w:tcPr>
            <w:tcW w:w="19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85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657</w:t>
            </w:r>
          </w:p>
        </w:tc>
        <w:tc>
          <w:tcPr>
            <w:tcW w:w="100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-3</w:t>
            </w:r>
            <w:r>
              <w:rPr>
                <w:rFonts w:eastAsia="Times New Roman"/>
                <w:sz w:val="20"/>
                <w:szCs w:val="20"/>
                <w:lang w:eastAsia="cs-CZ"/>
              </w:rPr>
              <w:t> %</w:t>
            </w:r>
          </w:p>
        </w:tc>
        <w:tc>
          <w:tcPr>
            <w:tcW w:w="856"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788</w:t>
            </w:r>
          </w:p>
        </w:tc>
        <w:tc>
          <w:tcPr>
            <w:tcW w:w="1009"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-25</w:t>
            </w:r>
            <w:r>
              <w:rPr>
                <w:rFonts w:eastAsia="Times New Roman"/>
                <w:sz w:val="20"/>
                <w:szCs w:val="20"/>
                <w:lang w:eastAsia="cs-CZ"/>
              </w:rPr>
              <w:t> %</w:t>
            </w:r>
          </w:p>
        </w:tc>
        <w:tc>
          <w:tcPr>
            <w:tcW w:w="962"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655</w:t>
            </w:r>
          </w:p>
        </w:tc>
        <w:tc>
          <w:tcPr>
            <w:tcW w:w="1009"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-17</w:t>
            </w:r>
            <w:r>
              <w:rPr>
                <w:rFonts w:eastAsia="Times New Roman"/>
                <w:sz w:val="20"/>
                <w:szCs w:val="20"/>
                <w:lang w:eastAsia="cs-CZ"/>
              </w:rPr>
              <w:t> %</w:t>
            </w:r>
          </w:p>
        </w:tc>
        <w:tc>
          <w:tcPr>
            <w:tcW w:w="153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119,9</w:t>
            </w:r>
            <w:r>
              <w:rPr>
                <w:rFonts w:eastAsia="Times New Roman"/>
                <w:szCs w:val="24"/>
                <w:lang w:eastAsia="cs-CZ"/>
              </w:rPr>
              <w:t> %</w:t>
            </w:r>
          </w:p>
        </w:tc>
      </w:tr>
      <w:tr w:rsidR="00A4083A" w:rsidRPr="00D17312" w:rsidTr="00A41CAB">
        <w:trPr>
          <w:trHeight w:val="345"/>
        </w:trPr>
        <w:tc>
          <w:tcPr>
            <w:tcW w:w="19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85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4 050</w:t>
            </w:r>
          </w:p>
        </w:tc>
        <w:tc>
          <w:tcPr>
            <w:tcW w:w="1009"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+0</w:t>
            </w:r>
            <w:r>
              <w:rPr>
                <w:rFonts w:eastAsia="Times New Roman"/>
                <w:b/>
                <w:bCs/>
                <w:sz w:val="20"/>
                <w:szCs w:val="20"/>
                <w:lang w:eastAsia="cs-CZ"/>
              </w:rPr>
              <w:t> %</w:t>
            </w:r>
          </w:p>
        </w:tc>
        <w:tc>
          <w:tcPr>
            <w:tcW w:w="856" w:type="dxa"/>
            <w:tcBorders>
              <w:top w:val="nil"/>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4 862</w:t>
            </w:r>
          </w:p>
        </w:tc>
        <w:tc>
          <w:tcPr>
            <w:tcW w:w="1009"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-11</w:t>
            </w:r>
            <w:r>
              <w:rPr>
                <w:rFonts w:eastAsia="Times New Roman"/>
                <w:b/>
                <w:bCs/>
                <w:sz w:val="20"/>
                <w:szCs w:val="20"/>
                <w:lang w:eastAsia="cs-CZ"/>
              </w:rPr>
              <w:t> %</w:t>
            </w:r>
          </w:p>
        </w:tc>
        <w:tc>
          <w:tcPr>
            <w:tcW w:w="962"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4 928</w:t>
            </w:r>
          </w:p>
        </w:tc>
        <w:tc>
          <w:tcPr>
            <w:tcW w:w="1009" w:type="dxa"/>
            <w:tcBorders>
              <w:top w:val="nil"/>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-14</w:t>
            </w:r>
            <w:r>
              <w:rPr>
                <w:rFonts w:eastAsia="Times New Roman"/>
                <w:b/>
                <w:bCs/>
                <w:sz w:val="20"/>
                <w:szCs w:val="20"/>
                <w:lang w:eastAsia="cs-CZ"/>
              </w:rPr>
              <w:t> %</w:t>
            </w:r>
          </w:p>
        </w:tc>
        <w:tc>
          <w:tcPr>
            <w:tcW w:w="153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120,1</w:t>
            </w:r>
            <w:r>
              <w:rPr>
                <w:rFonts w:eastAsia="Times New Roman"/>
                <w:b/>
                <w:bCs/>
                <w:szCs w:val="24"/>
                <w:lang w:eastAsia="cs-CZ"/>
              </w:rPr>
              <w:t> %</w:t>
            </w:r>
          </w:p>
        </w:tc>
      </w:tr>
    </w:tbl>
    <w:p w:rsidR="00A4083A" w:rsidRPr="00D17312" w:rsidRDefault="00A4083A" w:rsidP="00A4083A">
      <w:pPr>
        <w:spacing w:line="240" w:lineRule="auto"/>
        <w:jc w:val="left"/>
        <w:rPr>
          <w:highlight w:val="yellow"/>
        </w:rPr>
      </w:pPr>
    </w:p>
    <w:p w:rsidR="00A4083A" w:rsidRPr="00D17312" w:rsidRDefault="00A4083A" w:rsidP="00A4083A">
      <w:pPr>
        <w:pStyle w:val="OdstavecASR"/>
        <w:rPr>
          <w:rFonts w:eastAsia="Times New Roman"/>
          <w:b/>
          <w:bCs/>
        </w:rPr>
      </w:pPr>
      <w:r w:rsidRPr="00D17312">
        <w:t>K dispozici jsou pouze data o počtech soudců na celém insolvenčním úseku a ta jsou využita v přechozí kapitole. Zde tedy přepočet na soudce není k dispozici.</w:t>
      </w:r>
    </w:p>
    <w:p w:rsidR="00A4083A" w:rsidRPr="00D17312" w:rsidRDefault="00A4083A" w:rsidP="00A4083A">
      <w:pPr>
        <w:pStyle w:val="Nadpis3"/>
        <w:rPr>
          <w:color w:val="auto"/>
        </w:rPr>
      </w:pPr>
      <w:bookmarkStart w:id="586" w:name="_Toc43903088"/>
      <w:r w:rsidRPr="00D17312">
        <w:rPr>
          <w:color w:val="auto"/>
        </w:rPr>
        <w:t>Disposition time</w:t>
      </w:r>
      <w:bookmarkEnd w:id="586"/>
    </w:p>
    <w:p w:rsidR="00A4083A" w:rsidRDefault="00A4083A" w:rsidP="00A4083A">
      <w:pPr>
        <w:pStyle w:val="OdstavecASR"/>
      </w:pPr>
      <w:r w:rsidRPr="00D17312">
        <w:t>Disposition time a jeho výše vyplývá z údajů v podkapitole 3.8.2. Díky rostoucímu počtu vyřízených věcí a v posledních 2 letech také díky úbytku nevyřízených věcí DT postupně klesal</w:t>
      </w:r>
      <w:r>
        <w:t xml:space="preserve">, a to </w:t>
      </w:r>
      <w:r w:rsidRPr="00D17312">
        <w:t>především mezi roky 2017 a 2018. Mezi jednotlivými soudy jsou pak velké rozdíly, což opět plyne z</w:t>
      </w:r>
      <w:r>
        <w:t xml:space="preserve"> počtu </w:t>
      </w:r>
      <w:r w:rsidRPr="00D17312">
        <w:t>vyřízených a nevyřízených věcí. Absolutně největší DT má MS Praha, kter</w:t>
      </w:r>
      <w:r>
        <w:t>ý</w:t>
      </w:r>
      <w:r w:rsidRPr="00D17312">
        <w:t xml:space="preserve"> zaznamenal obrovský přírůstek, nejmenší naopak KS České Budějovice. Velký přírůstek zaznamenal také KS v Plzni</w:t>
      </w:r>
      <w:r>
        <w:t>;</w:t>
      </w:r>
      <w:r w:rsidRPr="00D17312">
        <w:t xml:space="preserve"> </w:t>
      </w:r>
      <w:r>
        <w:t>n</w:t>
      </w:r>
      <w:r w:rsidRPr="00D17312">
        <w:t>aopak velký pokles je vidět u KS v Brně.</w:t>
      </w:r>
    </w:p>
    <w:p w:rsidR="00A4083A" w:rsidRDefault="00A4083A" w:rsidP="00A4083A">
      <w:pPr>
        <w:pStyle w:val="OdstavecASR"/>
      </w:pPr>
      <w:r w:rsidRPr="00D17312">
        <w:t xml:space="preserve">Celkově je těžké </w:t>
      </w:r>
      <w:r>
        <w:t>učinit</w:t>
      </w:r>
      <w:r w:rsidRPr="00D17312">
        <w:t xml:space="preserve"> definitivní závěr o rejstříku ICm a o tom, jak tuto agendu jednotlivé soudy vyřizují, protože meziročně dochází k velkým změnám a rovněž náročnost jednotlivých případů se silně liší. To by vyžadovalo podrobnější analýzu, která ale přesahuje účel této zprávy. V krátkosti lze říct, že insolvenční spory jsou složitá agenda a největší problémy s jejím vyřizováním zřejmě mají MS Praha a KS Brno, i když u </w:t>
      </w:r>
      <w:r>
        <w:t>posledně uvedeného</w:t>
      </w:r>
      <w:r w:rsidRPr="00D17312">
        <w:t xml:space="preserve"> došlo ke zlepšení. Dobře si naopak vede KS České Budějovice.</w:t>
      </w:r>
    </w:p>
    <w:p w:rsidR="00A4083A" w:rsidRPr="00D17312" w:rsidRDefault="00A4083A" w:rsidP="00A4083A">
      <w:pPr>
        <w:pStyle w:val="Podnadpis"/>
        <w:rPr>
          <w:color w:val="auto"/>
        </w:rPr>
      </w:pPr>
      <w:bookmarkStart w:id="587" w:name="_Toc43841458"/>
      <w:r w:rsidRPr="00D17312">
        <w:rPr>
          <w:color w:val="auto"/>
        </w:rPr>
        <w:lastRenderedPageBreak/>
        <w:t xml:space="preserve">Graf </w:t>
      </w:r>
      <w:r w:rsidRPr="00D17312">
        <w:rPr>
          <w:noProof/>
          <w:color w:val="auto"/>
        </w:rPr>
        <w:fldChar w:fldCharType="begin"/>
      </w:r>
      <w:r w:rsidRPr="00D17312">
        <w:rPr>
          <w:noProof/>
          <w:color w:val="auto"/>
        </w:rPr>
        <w:instrText xml:space="preserve"> SEQ Graf \* ARABIC </w:instrText>
      </w:r>
      <w:r w:rsidRPr="00D17312">
        <w:rPr>
          <w:noProof/>
          <w:color w:val="auto"/>
        </w:rPr>
        <w:fldChar w:fldCharType="separate"/>
      </w:r>
      <w:r w:rsidR="006E7F27">
        <w:rPr>
          <w:noProof/>
          <w:color w:val="auto"/>
        </w:rPr>
        <w:t>78</w:t>
      </w:r>
      <w:r w:rsidRPr="00D17312">
        <w:rPr>
          <w:noProof/>
          <w:color w:val="auto"/>
        </w:rPr>
        <w:fldChar w:fldCharType="end"/>
      </w:r>
      <w:r w:rsidRPr="00D17312">
        <w:rPr>
          <w:color w:val="auto"/>
        </w:rPr>
        <w:t>: KS – DT incidenčních sporů v letech 2011–2019</w:t>
      </w:r>
      <w:bookmarkEnd w:id="587"/>
    </w:p>
    <w:p w:rsidR="00A4083A" w:rsidRPr="00D17312" w:rsidRDefault="00A4083A" w:rsidP="00A4083A">
      <w:pPr>
        <w:rPr>
          <w:highlight w:val="yellow"/>
        </w:rPr>
      </w:pPr>
      <w:r w:rsidRPr="00D17312">
        <w:rPr>
          <w:noProof/>
          <w:lang w:eastAsia="cs-CZ"/>
        </w:rPr>
        <w:drawing>
          <wp:inline distT="0" distB="0" distL="0" distR="0" wp14:anchorId="43DA8DF4" wp14:editId="3284B29E">
            <wp:extent cx="5112385" cy="3745230"/>
            <wp:effectExtent l="0" t="0" r="0" b="7620"/>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A4083A" w:rsidRPr="00D17312" w:rsidRDefault="00A4083A" w:rsidP="00A4083A">
      <w:pPr>
        <w:spacing w:line="240" w:lineRule="auto"/>
        <w:jc w:val="left"/>
        <w:rPr>
          <w:rFonts w:eastAsia="Times New Roman"/>
          <w:b/>
          <w:iCs/>
          <w:spacing w:val="15"/>
          <w:szCs w:val="24"/>
        </w:rPr>
      </w:pPr>
    </w:p>
    <w:p w:rsidR="00A4083A" w:rsidRPr="00D17312" w:rsidRDefault="00A4083A" w:rsidP="00A4083A">
      <w:pPr>
        <w:pStyle w:val="Podnadpis"/>
        <w:rPr>
          <w:color w:val="auto"/>
        </w:rPr>
      </w:pPr>
      <w:bookmarkStart w:id="588" w:name="_Toc43931249"/>
      <w:r w:rsidRPr="00D17312">
        <w:rPr>
          <w:color w:val="auto"/>
        </w:rPr>
        <w:t xml:space="preserve">Tabulka </w:t>
      </w:r>
      <w:r w:rsidRPr="00D17312">
        <w:rPr>
          <w:noProof/>
          <w:color w:val="auto"/>
        </w:rPr>
        <w:fldChar w:fldCharType="begin"/>
      </w:r>
      <w:r w:rsidRPr="00D17312">
        <w:rPr>
          <w:noProof/>
          <w:color w:val="auto"/>
        </w:rPr>
        <w:instrText xml:space="preserve"> SEQ Tabulka \* ARABIC </w:instrText>
      </w:r>
      <w:r w:rsidRPr="00D17312">
        <w:rPr>
          <w:noProof/>
          <w:color w:val="auto"/>
        </w:rPr>
        <w:fldChar w:fldCharType="separate"/>
      </w:r>
      <w:r w:rsidR="006E7F27">
        <w:rPr>
          <w:noProof/>
          <w:color w:val="auto"/>
        </w:rPr>
        <w:t>76</w:t>
      </w:r>
      <w:r w:rsidRPr="00D17312">
        <w:rPr>
          <w:noProof/>
          <w:color w:val="auto"/>
        </w:rPr>
        <w:fldChar w:fldCharType="end"/>
      </w:r>
      <w:r w:rsidRPr="00D17312">
        <w:rPr>
          <w:color w:val="auto"/>
        </w:rPr>
        <w:t>: KS – DT incidenčních sporů dle soudů</w:t>
      </w:r>
      <w:bookmarkEnd w:id="588"/>
    </w:p>
    <w:tbl>
      <w:tblPr>
        <w:tblW w:w="4720" w:type="dxa"/>
        <w:tblCellMar>
          <w:left w:w="70" w:type="dxa"/>
          <w:right w:w="70" w:type="dxa"/>
        </w:tblCellMar>
        <w:tblLook w:val="04A0" w:firstRow="1" w:lastRow="0" w:firstColumn="1" w:lastColumn="0" w:noHBand="0" w:noVBand="1"/>
      </w:tblPr>
      <w:tblGrid>
        <w:gridCol w:w="1820"/>
        <w:gridCol w:w="1143"/>
        <w:gridCol w:w="1757"/>
      </w:tblGrid>
      <w:tr w:rsidR="00A4083A" w:rsidRPr="00D17312" w:rsidTr="00A41CAB">
        <w:trPr>
          <w:trHeight w:val="345"/>
        </w:trPr>
        <w:tc>
          <w:tcPr>
            <w:tcW w:w="182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2900" w:type="dxa"/>
            <w:gridSpan w:val="2"/>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Disposition time</w:t>
            </w:r>
          </w:p>
        </w:tc>
      </w:tr>
      <w:tr w:rsidR="00A4083A" w:rsidRPr="00D17312" w:rsidTr="00A41CAB">
        <w:trPr>
          <w:trHeight w:val="330"/>
        </w:trPr>
        <w:tc>
          <w:tcPr>
            <w:tcW w:w="18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MS Praha</w:t>
            </w:r>
          </w:p>
        </w:tc>
        <w:tc>
          <w:tcPr>
            <w:tcW w:w="11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790</w:t>
            </w:r>
          </w:p>
        </w:tc>
        <w:tc>
          <w:tcPr>
            <w:tcW w:w="175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+57</w:t>
            </w:r>
            <w:r>
              <w:rPr>
                <w:rFonts w:eastAsia="Times New Roman"/>
                <w:sz w:val="20"/>
                <w:szCs w:val="20"/>
                <w:lang w:eastAsia="cs-CZ"/>
              </w:rPr>
              <w:t> %</w:t>
            </w:r>
          </w:p>
        </w:tc>
      </w:tr>
      <w:tr w:rsidR="00A4083A" w:rsidRPr="00D17312" w:rsidTr="00A41CAB">
        <w:trPr>
          <w:trHeight w:val="315"/>
        </w:trPr>
        <w:tc>
          <w:tcPr>
            <w:tcW w:w="18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Praha</w:t>
            </w:r>
          </w:p>
        </w:tc>
        <w:tc>
          <w:tcPr>
            <w:tcW w:w="11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314</w:t>
            </w:r>
          </w:p>
        </w:tc>
        <w:tc>
          <w:tcPr>
            <w:tcW w:w="175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+23</w:t>
            </w:r>
            <w:r>
              <w:rPr>
                <w:rFonts w:eastAsia="Times New Roman"/>
                <w:sz w:val="20"/>
                <w:szCs w:val="20"/>
                <w:lang w:eastAsia="cs-CZ"/>
              </w:rPr>
              <w:t> %</w:t>
            </w:r>
          </w:p>
        </w:tc>
      </w:tr>
      <w:tr w:rsidR="00A4083A" w:rsidRPr="00D17312" w:rsidTr="00A41CAB">
        <w:trPr>
          <w:trHeight w:val="315"/>
        </w:trPr>
        <w:tc>
          <w:tcPr>
            <w:tcW w:w="18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Č. Budějovice</w:t>
            </w:r>
          </w:p>
        </w:tc>
        <w:tc>
          <w:tcPr>
            <w:tcW w:w="11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175</w:t>
            </w:r>
          </w:p>
        </w:tc>
        <w:tc>
          <w:tcPr>
            <w:tcW w:w="175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-19</w:t>
            </w:r>
            <w:r>
              <w:rPr>
                <w:rFonts w:eastAsia="Times New Roman"/>
                <w:sz w:val="20"/>
                <w:szCs w:val="20"/>
                <w:lang w:eastAsia="cs-CZ"/>
              </w:rPr>
              <w:t> %</w:t>
            </w:r>
          </w:p>
        </w:tc>
      </w:tr>
      <w:tr w:rsidR="00A4083A" w:rsidRPr="00D17312" w:rsidTr="00A41CAB">
        <w:trPr>
          <w:trHeight w:val="315"/>
        </w:trPr>
        <w:tc>
          <w:tcPr>
            <w:tcW w:w="18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Plzeň</w:t>
            </w:r>
          </w:p>
        </w:tc>
        <w:tc>
          <w:tcPr>
            <w:tcW w:w="11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362</w:t>
            </w:r>
          </w:p>
        </w:tc>
        <w:tc>
          <w:tcPr>
            <w:tcW w:w="175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+59</w:t>
            </w:r>
            <w:r>
              <w:rPr>
                <w:rFonts w:eastAsia="Times New Roman"/>
                <w:sz w:val="20"/>
                <w:szCs w:val="20"/>
                <w:lang w:eastAsia="cs-CZ"/>
              </w:rPr>
              <w:t> %</w:t>
            </w:r>
          </w:p>
        </w:tc>
      </w:tr>
      <w:tr w:rsidR="00A4083A" w:rsidRPr="00D17312" w:rsidTr="00A41CAB">
        <w:trPr>
          <w:trHeight w:val="315"/>
        </w:trPr>
        <w:tc>
          <w:tcPr>
            <w:tcW w:w="18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Ústí n. Labem</w:t>
            </w:r>
          </w:p>
        </w:tc>
        <w:tc>
          <w:tcPr>
            <w:tcW w:w="11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413</w:t>
            </w:r>
          </w:p>
        </w:tc>
        <w:tc>
          <w:tcPr>
            <w:tcW w:w="175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+24</w:t>
            </w:r>
            <w:r>
              <w:rPr>
                <w:rFonts w:eastAsia="Times New Roman"/>
                <w:sz w:val="20"/>
                <w:szCs w:val="20"/>
                <w:lang w:eastAsia="cs-CZ"/>
              </w:rPr>
              <w:t> %</w:t>
            </w:r>
          </w:p>
        </w:tc>
      </w:tr>
      <w:tr w:rsidR="00A4083A" w:rsidRPr="00D17312" w:rsidTr="00A41CAB">
        <w:trPr>
          <w:trHeight w:val="315"/>
        </w:trPr>
        <w:tc>
          <w:tcPr>
            <w:tcW w:w="18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Hr. Králové</w:t>
            </w:r>
          </w:p>
        </w:tc>
        <w:tc>
          <w:tcPr>
            <w:tcW w:w="11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270</w:t>
            </w:r>
          </w:p>
        </w:tc>
        <w:tc>
          <w:tcPr>
            <w:tcW w:w="175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-0</w:t>
            </w:r>
            <w:r>
              <w:rPr>
                <w:rFonts w:eastAsia="Times New Roman"/>
                <w:sz w:val="20"/>
                <w:szCs w:val="20"/>
                <w:lang w:eastAsia="cs-CZ"/>
              </w:rPr>
              <w:t> %</w:t>
            </w:r>
          </w:p>
        </w:tc>
      </w:tr>
      <w:tr w:rsidR="00A4083A" w:rsidRPr="00D17312" w:rsidTr="00A41CAB">
        <w:trPr>
          <w:trHeight w:val="315"/>
        </w:trPr>
        <w:tc>
          <w:tcPr>
            <w:tcW w:w="182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Brno</w:t>
            </w:r>
          </w:p>
        </w:tc>
        <w:tc>
          <w:tcPr>
            <w:tcW w:w="1143"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323</w:t>
            </w:r>
          </w:p>
        </w:tc>
        <w:tc>
          <w:tcPr>
            <w:tcW w:w="1757" w:type="dxa"/>
            <w:tcBorders>
              <w:top w:val="nil"/>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-49</w:t>
            </w:r>
            <w:r>
              <w:rPr>
                <w:rFonts w:eastAsia="Times New Roman"/>
                <w:sz w:val="20"/>
                <w:szCs w:val="20"/>
                <w:lang w:eastAsia="cs-CZ"/>
              </w:rPr>
              <w:t> %</w:t>
            </w:r>
          </w:p>
        </w:tc>
      </w:tr>
      <w:tr w:rsidR="00A4083A" w:rsidRPr="00D17312" w:rsidTr="00A41CAB">
        <w:trPr>
          <w:trHeight w:val="330"/>
        </w:trPr>
        <w:tc>
          <w:tcPr>
            <w:tcW w:w="18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KS Ostrava</w:t>
            </w:r>
          </w:p>
        </w:tc>
        <w:tc>
          <w:tcPr>
            <w:tcW w:w="114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303</w:t>
            </w:r>
          </w:p>
        </w:tc>
        <w:tc>
          <w:tcPr>
            <w:tcW w:w="1757"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+11</w:t>
            </w:r>
            <w:r>
              <w:rPr>
                <w:rFonts w:eastAsia="Times New Roman"/>
                <w:sz w:val="20"/>
                <w:szCs w:val="20"/>
                <w:lang w:eastAsia="cs-CZ"/>
              </w:rPr>
              <w:t> %</w:t>
            </w:r>
          </w:p>
        </w:tc>
      </w:tr>
      <w:tr w:rsidR="00A4083A" w:rsidRPr="00D17312" w:rsidTr="00A41CAB">
        <w:trPr>
          <w:trHeight w:val="345"/>
        </w:trPr>
        <w:tc>
          <w:tcPr>
            <w:tcW w:w="182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143"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370</w:t>
            </w:r>
          </w:p>
        </w:tc>
        <w:tc>
          <w:tcPr>
            <w:tcW w:w="1757" w:type="dxa"/>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-3</w:t>
            </w:r>
            <w:r>
              <w:rPr>
                <w:rFonts w:eastAsia="Times New Roman"/>
                <w:b/>
                <w:bCs/>
                <w:sz w:val="20"/>
                <w:szCs w:val="20"/>
                <w:lang w:eastAsia="cs-CZ"/>
              </w:rPr>
              <w:t> %</w:t>
            </w:r>
          </w:p>
        </w:tc>
      </w:tr>
    </w:tbl>
    <w:p w:rsidR="00A4083A" w:rsidRPr="00D17312" w:rsidRDefault="00A4083A" w:rsidP="00A4083A">
      <w:pPr>
        <w:rPr>
          <w:highlight w:val="yellow"/>
        </w:rPr>
      </w:pPr>
    </w:p>
    <w:p w:rsidR="00A4083A" w:rsidRPr="00D17312" w:rsidRDefault="00A4083A" w:rsidP="00A4083A">
      <w:pPr>
        <w:pStyle w:val="Nadpis1"/>
        <w:rPr>
          <w:noProof/>
          <w:lang w:eastAsia="cs-CZ"/>
        </w:rPr>
      </w:pPr>
      <w:bookmarkStart w:id="589" w:name="_Toc515871277"/>
      <w:bookmarkStart w:id="590" w:name="_Toc43903089"/>
      <w:r w:rsidRPr="00D17312">
        <w:rPr>
          <w:noProof/>
          <w:lang w:eastAsia="cs-CZ"/>
        </w:rPr>
        <w:lastRenderedPageBreak/>
        <w:t>Vrchní soudy</w:t>
      </w:r>
      <w:bookmarkEnd w:id="589"/>
      <w:bookmarkEnd w:id="590"/>
    </w:p>
    <w:p w:rsidR="00A4083A" w:rsidRPr="00D17312" w:rsidRDefault="00A4083A" w:rsidP="00A4083A">
      <w:pPr>
        <w:pStyle w:val="OdstavecASR"/>
      </w:pPr>
      <w:r w:rsidRPr="00D17312">
        <w:t>Tato část výroční zprávy obsahuje data týkající se vrchních soudů (VS) v Praze a Olomouci. Pod VS v Praze spadají soudní kraje Praha, Západočeský, Středočeský, Východočeský, Severočeský a Jihočeský. Pod Vrchní soud v Olomouci spadají Severomoravský kraj a Jihomoravský kraj.</w:t>
      </w:r>
    </w:p>
    <w:p w:rsidR="00A4083A" w:rsidRPr="00D17312" w:rsidRDefault="00A4083A" w:rsidP="00A4083A">
      <w:pPr>
        <w:pStyle w:val="OdstavecASR"/>
      </w:pPr>
      <w:r w:rsidRPr="00D17312">
        <w:t>Vrchní soudy slouží jako odvolací soudy pro soudy krajské. Jejich hlavními agendami jsou tedy odvolací civilní (občanskoprávní) a obchodní agenda a odvolací trestní agenda. Za poměrně důležitou agendu se považuje také druhostupňová insolvenční agenda, která je součástí obchodní agendy.</w:t>
      </w:r>
    </w:p>
    <w:p w:rsidR="00A4083A" w:rsidRPr="00D17312" w:rsidRDefault="00A4083A" w:rsidP="00A4083A">
      <w:pPr>
        <w:pStyle w:val="OdstavecASR"/>
      </w:pPr>
      <w:r w:rsidRPr="00D17312">
        <w:t>Vrchní soudy také řeší několik zvláštních agend, jako jsou návrhy na přikázání věci jinému soudu nebo návrhy na vyloučení soudců, kterými se však tato zpráva nezabývá. Struktura, obsah a zkoumané ukazatele jsou se dvěma výjimkami podobné jako v předchozích částech. Jednak chybí podkapitoly s dalšími statistickými ukazateli. Ty totiž vychází ze statistických listů a váží se především k prvoinstančnímu řízení. Druhým rozdílem je skutečnost, že sledujeme pouze dva soudy. Data proto zpravidla prezentujeme graficky v časových řadách pro oba soudy.</w:t>
      </w:r>
    </w:p>
    <w:p w:rsidR="00A4083A" w:rsidRPr="00D17312" w:rsidRDefault="00A4083A" w:rsidP="00A4083A">
      <w:pPr>
        <w:pStyle w:val="Nadpis2"/>
        <w:rPr>
          <w:lang w:eastAsia="cs-CZ"/>
        </w:rPr>
      </w:pPr>
      <w:bookmarkStart w:id="591" w:name="_Toc515871278"/>
      <w:bookmarkStart w:id="592" w:name="_Toc43903090"/>
      <w:r w:rsidRPr="00D17312">
        <w:rPr>
          <w:lang w:eastAsia="cs-CZ"/>
        </w:rPr>
        <w:t>Personál</w:t>
      </w:r>
      <w:bookmarkEnd w:id="591"/>
      <w:bookmarkEnd w:id="592"/>
    </w:p>
    <w:p w:rsidR="00A4083A" w:rsidRPr="00D17312" w:rsidRDefault="00A4083A" w:rsidP="00A4083A">
      <w:pPr>
        <w:pStyle w:val="OdstavecASR"/>
      </w:pPr>
      <w:r w:rsidRPr="00D17312">
        <w:t>Na začátek musíme zdůraznit, že plánovaný počet soudců a zaměstnanců ve výkonu je u VS, NS a NSS určen jinak než u soudů okresních a krajských. U těchto soudů se plánovaný počet nevypočítává, ale určuje se na základě jednání mezi soudem a Ministerstvem spravedlnosti s přihlédnutím k nápadu, celkovému plánovanému počtu soudců v ČR a dalším faktorům.</w:t>
      </w:r>
    </w:p>
    <w:p w:rsidR="00A4083A" w:rsidRPr="00D17312" w:rsidRDefault="00A4083A" w:rsidP="00A4083A">
      <w:pPr>
        <w:pStyle w:val="Nadpis3"/>
        <w:rPr>
          <w:color w:val="auto"/>
          <w:lang w:eastAsia="cs-CZ"/>
        </w:rPr>
      </w:pPr>
      <w:bookmarkStart w:id="593" w:name="_Toc515871279"/>
      <w:bookmarkStart w:id="594" w:name="_Toc43903091"/>
      <w:r w:rsidRPr="00D17312">
        <w:rPr>
          <w:color w:val="auto"/>
          <w:lang w:eastAsia="cs-CZ"/>
        </w:rPr>
        <w:t>Soudci</w:t>
      </w:r>
      <w:bookmarkEnd w:id="593"/>
      <w:bookmarkEnd w:id="594"/>
    </w:p>
    <w:p w:rsidR="00A4083A" w:rsidRPr="00D17312" w:rsidRDefault="00A4083A" w:rsidP="00A4083A">
      <w:pPr>
        <w:pStyle w:val="Podnadpis"/>
        <w:rPr>
          <w:color w:val="auto"/>
        </w:rPr>
      </w:pPr>
      <w:bookmarkStart w:id="595" w:name="_Toc515871406"/>
      <w:bookmarkStart w:id="596" w:name="_Toc11135137"/>
      <w:bookmarkStart w:id="597" w:name="_Toc43841459"/>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79</w:t>
      </w:r>
      <w:r w:rsidRPr="00D17312">
        <w:rPr>
          <w:noProof/>
          <w:color w:val="auto"/>
        </w:rPr>
        <w:fldChar w:fldCharType="end"/>
      </w:r>
      <w:r w:rsidRPr="00D17312">
        <w:rPr>
          <w:color w:val="auto"/>
        </w:rPr>
        <w:t>: VS – počet soudců v letech 2008–201</w:t>
      </w:r>
      <w:bookmarkEnd w:id="595"/>
      <w:bookmarkEnd w:id="596"/>
      <w:r w:rsidRPr="00D17312">
        <w:rPr>
          <w:color w:val="auto"/>
        </w:rPr>
        <w:t>9</w:t>
      </w:r>
      <w:bookmarkEnd w:id="597"/>
    </w:p>
    <w:p w:rsidR="00A4083A" w:rsidRPr="00D17312" w:rsidRDefault="00A4083A" w:rsidP="00A4083A">
      <w:pPr>
        <w:pStyle w:val="OdstavecASR"/>
        <w:rPr>
          <w:highlight w:val="yellow"/>
        </w:rPr>
      </w:pPr>
      <w:r w:rsidRPr="00D17312">
        <w:rPr>
          <w:noProof/>
          <w:lang w:eastAsia="cs-CZ"/>
        </w:rPr>
        <w:drawing>
          <wp:inline distT="0" distB="0" distL="0" distR="0" wp14:anchorId="27C51D3C" wp14:editId="4FFF455D">
            <wp:extent cx="5114925" cy="3743325"/>
            <wp:effectExtent l="0" t="0" r="0" b="9525"/>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pPr>
      <w:bookmarkStart w:id="598" w:name="_Toc515871407"/>
      <w:bookmarkStart w:id="599" w:name="_Toc11135138"/>
      <w:r w:rsidRPr="00D17312">
        <w:lastRenderedPageBreak/>
        <w:t xml:space="preserve">I u vrchních soudů je počet soudců celkem stabilní, a to jak v Praze, tak v Olomouci. </w:t>
      </w:r>
      <w:r w:rsidRPr="00D17312" w:rsidDel="0002439B">
        <w:t>V</w:t>
      </w:r>
      <w:r w:rsidRPr="00D17312">
        <w:t> časové řadě může zaujmout pouze pokles o pět soudců (soudkyň) u VS Praha mezi 1. 1. 2015 a 1. 1. 2016. Jde o náhodný výkyv způsobený tím, že v roce 2015 dosáhlo pět soudců věku 70 let a z tohoto důvodu skončili ve funkci. U VS, NS nebo NSS jsou takovéto výkyvy pravděpodobnější, protože soudci jsou v průměru starší než soudci krajských a okresních soudů.</w:t>
      </w:r>
    </w:p>
    <w:p w:rsidR="00A4083A" w:rsidRPr="00D17312" w:rsidRDefault="00A4083A" w:rsidP="00A4083A">
      <w:pPr>
        <w:pStyle w:val="OdstavecASR"/>
      </w:pPr>
      <w:r w:rsidRPr="00D17312">
        <w:t>U VS v Olomouci byl v letech 2018 a 2019 nejnižší počet soudců za celé sledované období. To ovšem nepředstavuje problém</w:t>
      </w:r>
      <w:r>
        <w:t xml:space="preserve">, neboť </w:t>
      </w:r>
      <w:r w:rsidRPr="00D17312">
        <w:t>rozdíl oproti ostatním rokům je minimální a soud nemá větší problémy s vyřizováním své agendy. K poklesu v počtu soudců došlo na trestním úseku soudu.</w:t>
      </w:r>
    </w:p>
    <w:p w:rsidR="00A4083A" w:rsidRPr="00D17312" w:rsidRDefault="00A4083A" w:rsidP="00A4083A">
      <w:pPr>
        <w:pStyle w:val="OdstavecASR"/>
      </w:pPr>
      <w:r w:rsidRPr="00D17312">
        <w:t>Dále vidíme, že VS v Praze je asi dvakrát větší než soud v Olomouci. Tento fakt opět vyplývá z nápadu, který je ovlivněn počtem a velikostí krajských soudů, které spadají pod daný vrchní soud.</w:t>
      </w:r>
    </w:p>
    <w:p w:rsidR="00A4083A" w:rsidRPr="00D17312" w:rsidRDefault="00A4083A" w:rsidP="00A4083A">
      <w:pPr>
        <w:pStyle w:val="OdstavecASR"/>
      </w:pPr>
      <w:r w:rsidRPr="00D17312">
        <w:t>V roce 2019 došlo k mírnému poklesu plánovaného počtu soudců u obou soudů, což je vzhledem k rychlému poklesu nápadu v některých agendách (viz níže) logické. V zásadě nulový reálný dopad této změny dokládá dlouhodobě nižší evidenční počet soudců oproti počtu plánovanému.</w:t>
      </w:r>
    </w:p>
    <w:p w:rsidR="00A4083A" w:rsidRPr="00D17312" w:rsidRDefault="00A4083A" w:rsidP="00A4083A">
      <w:pPr>
        <w:pStyle w:val="Podnadpis"/>
        <w:rPr>
          <w:color w:val="auto"/>
        </w:rPr>
      </w:pPr>
      <w:bookmarkStart w:id="600" w:name="_Toc43841460"/>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80</w:t>
      </w:r>
      <w:r w:rsidRPr="00D17312">
        <w:rPr>
          <w:noProof/>
          <w:color w:val="auto"/>
        </w:rPr>
        <w:fldChar w:fldCharType="end"/>
      </w:r>
      <w:r w:rsidRPr="00D17312">
        <w:rPr>
          <w:color w:val="auto"/>
        </w:rPr>
        <w:t>: VS – evidenční počet soudců dle soudních úseků v letech 2008–</w:t>
      </w:r>
      <w:bookmarkEnd w:id="598"/>
      <w:r w:rsidRPr="00D17312">
        <w:rPr>
          <w:color w:val="auto"/>
        </w:rPr>
        <w:t>201</w:t>
      </w:r>
      <w:bookmarkEnd w:id="599"/>
      <w:r w:rsidRPr="00D17312">
        <w:rPr>
          <w:color w:val="auto"/>
        </w:rPr>
        <w:t>9</w:t>
      </w:r>
      <w:bookmarkEnd w:id="600"/>
    </w:p>
    <w:p w:rsidR="00A4083A" w:rsidRPr="00D17312" w:rsidRDefault="00A4083A" w:rsidP="00A4083A">
      <w:pPr>
        <w:pStyle w:val="OdstavecASR"/>
        <w:rPr>
          <w:highlight w:val="yellow"/>
        </w:rPr>
      </w:pPr>
      <w:r w:rsidRPr="00D17312">
        <w:rPr>
          <w:noProof/>
          <w:lang w:eastAsia="cs-CZ"/>
        </w:rPr>
        <w:drawing>
          <wp:inline distT="0" distB="0" distL="0" distR="0" wp14:anchorId="0F14CDF7" wp14:editId="2C2E33A8">
            <wp:extent cx="5114925" cy="3743325"/>
            <wp:effectExtent l="0" t="0" r="0" b="9525"/>
            <wp:docPr id="75" name="Obráze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pPr>
      <w:r>
        <w:t>G</w:t>
      </w:r>
      <w:r w:rsidRPr="00D17312">
        <w:t>raf</w:t>
      </w:r>
      <w:r>
        <w:t xml:space="preserve"> ukazuje</w:t>
      </w:r>
      <w:r w:rsidRPr="00D17312">
        <w:t>, že civilní a obchodní úsek je větší než úsek trestní, stejně tomu je u okresních a krajských soudů. Rozdíl je však tentokrát výrazně menší. Poměr velikostí úseků se v čase mírně měnil. V posledních letech se u obou soudů o několik soudců zmenšil civilní úsek, což může souviset s klesajícím nápadem. Tento úbytek byl signifikantní obzvlášť u VS v Praze v roce 2018, kdy se počet soudců na civilním úseku snížil o pět. Naopak ale narostl počet soudců na trestním úseku.</w:t>
      </w:r>
    </w:p>
    <w:p w:rsidR="00A4083A" w:rsidRPr="00D17312" w:rsidRDefault="00A4083A" w:rsidP="00A4083A">
      <w:pPr>
        <w:pStyle w:val="OdstavecASR"/>
      </w:pPr>
      <w:r w:rsidRPr="00D17312">
        <w:t>Další graf zobrazuje složení soudců dle pohlaví a naznačuje, že výše zmíněný pokles počtu soudců u VS v Praze mezi roky 2015 a 2016 byl způsoben tím, že věku 70 let dovršily soudkyně. Pokles počtu soudkyň je tak velmi zřetelný. Dále vidíme, že k soudu byli následně přiděleni muži.</w:t>
      </w:r>
    </w:p>
    <w:p w:rsidR="00A4083A" w:rsidRPr="00D17312" w:rsidRDefault="00A4083A" w:rsidP="00A4083A">
      <w:pPr>
        <w:pStyle w:val="OdstavecASR"/>
      </w:pPr>
      <w:bookmarkStart w:id="601" w:name="_Toc515871408"/>
      <w:bookmarkStart w:id="602" w:name="_Toc11135139"/>
      <w:r w:rsidRPr="00D17312">
        <w:lastRenderedPageBreak/>
        <w:t>V roce 2015 (tedy před výše popsaným odchodem soudkyň) byl podíl žen u VS v Praze i VS v Olomouci asi 47</w:t>
      </w:r>
      <w:r>
        <w:t> %</w:t>
      </w:r>
      <w:r w:rsidRPr="00D17312">
        <w:t>. V roce 2018 dosáhl tento podíl u VS v Praze přibližně 42</w:t>
      </w:r>
      <w:r>
        <w:t> %</w:t>
      </w:r>
      <w:r w:rsidRPr="00D17312">
        <w:t xml:space="preserve"> a u VS v Olomouci přibližně 49</w:t>
      </w:r>
      <w:r>
        <w:t> %</w:t>
      </w:r>
      <w:r w:rsidRPr="00D17312">
        <w:t>, tedy takřka polovinu. V roce 2019 došlo k obměně soudkyně za soudce, a podíl tedy o něco klesl na 46</w:t>
      </w:r>
      <w:r>
        <w:t> %</w:t>
      </w:r>
      <w:r w:rsidRPr="00D17312">
        <w:t>. Vzhledem k malému počtu osob ovlivní procentuální podíly už i změna o jednoho soudce nebo soudkyni. Na rozdíl od nižších článků soudní soustavy je tedy u vrchních soudů již více soudců než soudkyň.</w:t>
      </w:r>
    </w:p>
    <w:p w:rsidR="00A4083A" w:rsidRPr="00D17312" w:rsidRDefault="00A4083A" w:rsidP="00A4083A">
      <w:pPr>
        <w:pStyle w:val="Podnadpis"/>
        <w:rPr>
          <w:color w:val="auto"/>
          <w:highlight w:val="yellow"/>
        </w:rPr>
      </w:pPr>
      <w:bookmarkStart w:id="603" w:name="_Toc43841461"/>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81</w:t>
      </w:r>
      <w:r w:rsidRPr="00D17312">
        <w:rPr>
          <w:noProof/>
          <w:color w:val="auto"/>
        </w:rPr>
        <w:fldChar w:fldCharType="end"/>
      </w:r>
      <w:r w:rsidRPr="00D17312">
        <w:rPr>
          <w:color w:val="auto"/>
        </w:rPr>
        <w:t>: VS – evidenční počet soudců dle pohlaví v letech 2008–201</w:t>
      </w:r>
      <w:bookmarkEnd w:id="601"/>
      <w:bookmarkEnd w:id="602"/>
      <w:r w:rsidRPr="00D17312">
        <w:rPr>
          <w:color w:val="auto"/>
        </w:rPr>
        <w:t>9</w:t>
      </w:r>
      <w:bookmarkEnd w:id="603"/>
    </w:p>
    <w:p w:rsidR="00A4083A" w:rsidRPr="00D17312" w:rsidRDefault="00A4083A" w:rsidP="00A4083A">
      <w:pPr>
        <w:spacing w:line="240" w:lineRule="auto"/>
        <w:jc w:val="left"/>
        <w:rPr>
          <w:highlight w:val="yellow"/>
        </w:rPr>
      </w:pPr>
      <w:r w:rsidRPr="00D17312">
        <w:rPr>
          <w:noProof/>
          <w:lang w:eastAsia="cs-CZ"/>
        </w:rPr>
        <w:drawing>
          <wp:inline distT="0" distB="0" distL="0" distR="0" wp14:anchorId="03806CFB" wp14:editId="70E18E74">
            <wp:extent cx="5114925" cy="3743325"/>
            <wp:effectExtent l="0" t="0" r="0" b="9525"/>
            <wp:docPr id="77"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spacing w:line="240" w:lineRule="auto"/>
        <w:jc w:val="left"/>
        <w:rPr>
          <w:highlight w:val="yellow"/>
          <w:lang w:eastAsia="cs-CZ"/>
        </w:rPr>
      </w:pPr>
    </w:p>
    <w:p w:rsidR="00A4083A" w:rsidRPr="00D17312" w:rsidRDefault="00A4083A" w:rsidP="00A4083A">
      <w:pPr>
        <w:spacing w:line="240" w:lineRule="auto"/>
        <w:jc w:val="left"/>
      </w:pPr>
      <w:r w:rsidRPr="00D17312">
        <w:rPr>
          <w:lang w:eastAsia="cs-CZ"/>
        </w:rPr>
        <w:t>Další dva grafy zobrazují věkové složení soudců.</w:t>
      </w:r>
    </w:p>
    <w:p w:rsidR="00A4083A" w:rsidRPr="00D17312" w:rsidRDefault="00A4083A" w:rsidP="00A4083A">
      <w:pPr>
        <w:pStyle w:val="Podnadpis"/>
        <w:rPr>
          <w:color w:val="auto"/>
        </w:rPr>
      </w:pPr>
      <w:bookmarkStart w:id="604" w:name="_Toc515871409"/>
      <w:bookmarkStart w:id="605" w:name="_Toc11135140"/>
      <w:bookmarkStart w:id="606" w:name="_Toc43841462"/>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82</w:t>
      </w:r>
      <w:r w:rsidRPr="00D17312">
        <w:rPr>
          <w:noProof/>
          <w:color w:val="auto"/>
        </w:rPr>
        <w:fldChar w:fldCharType="end"/>
      </w:r>
      <w:r w:rsidRPr="00D17312">
        <w:rPr>
          <w:color w:val="auto"/>
        </w:rPr>
        <w:t>: VS Praha – věkové složení soudců v letech 2008–201</w:t>
      </w:r>
      <w:bookmarkEnd w:id="604"/>
      <w:bookmarkEnd w:id="605"/>
      <w:r w:rsidRPr="00D17312">
        <w:rPr>
          <w:color w:val="auto"/>
        </w:rPr>
        <w:t>9</w:t>
      </w:r>
      <w:bookmarkEnd w:id="606"/>
    </w:p>
    <w:p w:rsidR="00A4083A" w:rsidRPr="00D17312" w:rsidRDefault="00A4083A" w:rsidP="00A4083A">
      <w:pPr>
        <w:rPr>
          <w:highlight w:val="yellow"/>
        </w:rPr>
      </w:pPr>
      <w:r w:rsidRPr="00D17312">
        <w:rPr>
          <w:noProof/>
          <w:lang w:eastAsia="cs-CZ"/>
        </w:rPr>
        <w:drawing>
          <wp:inline distT="0" distB="0" distL="0" distR="0" wp14:anchorId="1822FDF7" wp14:editId="1175B018">
            <wp:extent cx="5114925" cy="3743325"/>
            <wp:effectExtent l="0" t="0" r="0" b="9525"/>
            <wp:docPr id="140" name="Obráze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rPr>
          <w:highlight w:val="yellow"/>
        </w:rPr>
      </w:pPr>
    </w:p>
    <w:p w:rsidR="00A4083A" w:rsidRPr="00D17312" w:rsidRDefault="00A4083A" w:rsidP="00A4083A">
      <w:pPr>
        <w:pStyle w:val="Podnadpis"/>
        <w:rPr>
          <w:color w:val="auto"/>
        </w:rPr>
      </w:pPr>
      <w:bookmarkStart w:id="607" w:name="_Toc515871410"/>
      <w:bookmarkStart w:id="608" w:name="_Toc11135141"/>
      <w:bookmarkStart w:id="609" w:name="_Toc43841463"/>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83</w:t>
      </w:r>
      <w:r w:rsidRPr="00D17312">
        <w:rPr>
          <w:noProof/>
          <w:color w:val="auto"/>
        </w:rPr>
        <w:fldChar w:fldCharType="end"/>
      </w:r>
      <w:r w:rsidRPr="00D17312">
        <w:rPr>
          <w:color w:val="auto"/>
        </w:rPr>
        <w:t>: VS Olomouc – věkové složení soudců v letech 2008–201</w:t>
      </w:r>
      <w:bookmarkEnd w:id="607"/>
      <w:bookmarkEnd w:id="608"/>
      <w:r w:rsidRPr="00D17312">
        <w:rPr>
          <w:color w:val="auto"/>
        </w:rPr>
        <w:t>9</w:t>
      </w:r>
      <w:bookmarkEnd w:id="609"/>
    </w:p>
    <w:p w:rsidR="00A4083A" w:rsidRPr="00D17312" w:rsidRDefault="00A4083A" w:rsidP="00A4083A">
      <w:r w:rsidRPr="00D17312">
        <w:rPr>
          <w:noProof/>
          <w:lang w:eastAsia="cs-CZ"/>
        </w:rPr>
        <w:drawing>
          <wp:inline distT="0" distB="0" distL="0" distR="0" wp14:anchorId="6AF14782" wp14:editId="4551284F">
            <wp:extent cx="5114925" cy="3743325"/>
            <wp:effectExtent l="0" t="0" r="0" b="9525"/>
            <wp:docPr id="142" name="Obráze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keepNext/>
        <w:rPr>
          <w:lang w:eastAsia="cs-CZ"/>
        </w:rPr>
      </w:pPr>
      <w:r>
        <w:rPr>
          <w:lang w:eastAsia="cs-CZ"/>
        </w:rPr>
        <w:lastRenderedPageBreak/>
        <w:t xml:space="preserve">Z grafů vyplývají </w:t>
      </w:r>
      <w:r w:rsidRPr="00D17312">
        <w:rPr>
          <w:lang w:eastAsia="cs-CZ"/>
        </w:rPr>
        <w:t>následující</w:t>
      </w:r>
      <w:r>
        <w:rPr>
          <w:lang w:eastAsia="cs-CZ"/>
        </w:rPr>
        <w:t xml:space="preserve"> závěry</w:t>
      </w:r>
      <w:r w:rsidRPr="00D17312">
        <w:rPr>
          <w:lang w:eastAsia="cs-CZ"/>
        </w:rPr>
        <w:t>:</w:t>
      </w:r>
    </w:p>
    <w:p w:rsidR="00A4083A" w:rsidRPr="00D17312" w:rsidRDefault="00A4083A" w:rsidP="00A4083A">
      <w:pPr>
        <w:pStyle w:val="OdstavecASR"/>
        <w:numPr>
          <w:ilvl w:val="0"/>
          <w:numId w:val="16"/>
        </w:numPr>
      </w:pPr>
      <w:r w:rsidRPr="00D17312">
        <w:t>Soudci u vrchních soudů jsou v průměru starší než soudci u soudů krajských, a tedy i okresních. Stejně jako u rozdílu mezi OS a KS je důvodem tohoto rozdílu kariérní postup soudců.</w:t>
      </w:r>
    </w:p>
    <w:p w:rsidR="00A4083A" w:rsidRPr="00D17312" w:rsidRDefault="00A4083A" w:rsidP="00A4083A">
      <w:pPr>
        <w:pStyle w:val="OdstavecASR"/>
        <w:numPr>
          <w:ilvl w:val="0"/>
          <w:numId w:val="16"/>
        </w:numPr>
      </w:pPr>
      <w:r w:rsidRPr="00D17312">
        <w:t xml:space="preserve">Z porovnání obou soudů vidíme, že u VS v Praze jsou větší věkové rozdíly mezi soudci než u VS v Olomouci. U VS v Olomouci je zdaleka nejpočetnější věková skupina mezi 51 a 60 lety. U VS v Praze je tato věková skupina sice také nejpočetnější, </w:t>
      </w:r>
      <w:r>
        <w:t xml:space="preserve">citelné </w:t>
      </w:r>
      <w:r w:rsidRPr="00D17312">
        <w:t xml:space="preserve">zastoupení zde ale mají </w:t>
      </w:r>
      <w:r>
        <w:t>i </w:t>
      </w:r>
      <w:r w:rsidRPr="00D17312">
        <w:t>věkové skupiny 41 až 50 let a 61 až 70 let.</w:t>
      </w:r>
    </w:p>
    <w:p w:rsidR="00A4083A" w:rsidRPr="00D17312" w:rsidRDefault="00A4083A" w:rsidP="00A4083A">
      <w:pPr>
        <w:pStyle w:val="OdstavecASR"/>
        <w:numPr>
          <w:ilvl w:val="0"/>
          <w:numId w:val="16"/>
        </w:numPr>
      </w:pPr>
      <w:r w:rsidRPr="00D17312">
        <w:t>U VS v Praze došlo v letech 2008 až 2012 k nárůstu podílu soudců ve věku 61 až 70 let. Od té doby se věková struktura příliš nemění. Není zde tedy patrný efekt, který jsme viděli u OS a KS.</w:t>
      </w:r>
    </w:p>
    <w:p w:rsidR="00A4083A" w:rsidRPr="00D17312" w:rsidRDefault="00A4083A" w:rsidP="00A4083A">
      <w:pPr>
        <w:pStyle w:val="OdstavecASR"/>
        <w:numPr>
          <w:ilvl w:val="0"/>
          <w:numId w:val="16"/>
        </w:numPr>
      </w:pPr>
      <w:r w:rsidRPr="00D17312">
        <w:t xml:space="preserve">U VS v Olomouci je situace jiná. Na grafu je patrný velmi výrazný nárůst ve věku soudců. Zdůvodnění je prakticky stejné jako u okresních soudů. Ve sledovaném období se již celkový počet soudců příliš nemění. </w:t>
      </w:r>
      <w:r>
        <w:t>P</w:t>
      </w:r>
      <w:r w:rsidRPr="00D17312">
        <w:t>o roce 2000 se počet soudců rychle zvyšoval, počet nově příchozích soudců k VS Olomouc za rok byl tedy výrazně vyšší než v posledních letech</w:t>
      </w:r>
      <w:r>
        <w:t xml:space="preserve"> a </w:t>
      </w:r>
      <w:r w:rsidRPr="00D17312">
        <w:t xml:space="preserve">nově příchozí soudci </w:t>
      </w:r>
      <w:r>
        <w:t xml:space="preserve">byli </w:t>
      </w:r>
      <w:r w:rsidRPr="00D17312">
        <w:t>relativně mladí. Právě tato rozsáhlá generace soudců se ve sledovaném období postupně přesouvá do vyšší věkové skupiny. Průměrný věk příchozích soudců se stále zvyšuje, což opět plyne ze změny věkové struktury u nižších článků soudní soustavy. Teprve v roce 2018 přišli na soud mladší soudci ve věkové skupině 41 až 50 let.</w:t>
      </w:r>
    </w:p>
    <w:p w:rsidR="00A4083A" w:rsidRPr="00D17312" w:rsidRDefault="00A4083A" w:rsidP="00A4083A">
      <w:pPr>
        <w:rPr>
          <w:highlight w:val="yellow"/>
        </w:rPr>
      </w:pPr>
    </w:p>
    <w:p w:rsidR="00A4083A" w:rsidRPr="00D17312" w:rsidRDefault="00A4083A" w:rsidP="00A4083A">
      <w:pPr>
        <w:pStyle w:val="Nadpis3"/>
        <w:rPr>
          <w:color w:val="auto"/>
          <w:lang w:eastAsia="cs-CZ"/>
        </w:rPr>
      </w:pPr>
      <w:bookmarkStart w:id="610" w:name="_Toc515871280"/>
      <w:bookmarkStart w:id="611" w:name="_Toc43903092"/>
      <w:r w:rsidRPr="00D17312">
        <w:rPr>
          <w:color w:val="auto"/>
          <w:lang w:eastAsia="cs-CZ"/>
        </w:rPr>
        <w:t>Zaměstnanci ve výkonu</w:t>
      </w:r>
      <w:bookmarkEnd w:id="610"/>
      <w:bookmarkEnd w:id="611"/>
    </w:p>
    <w:p w:rsidR="00A4083A" w:rsidRPr="00D17312" w:rsidRDefault="00A4083A" w:rsidP="00A4083A">
      <w:pPr>
        <w:pStyle w:val="OdstavecASR"/>
      </w:pPr>
      <w:r w:rsidRPr="00D17312">
        <w:t>Popis pracovní náplně a význam použitých zkratek je součástí podkapitoly </w:t>
      </w:r>
      <w:r w:rsidRPr="00D17312">
        <w:fldChar w:fldCharType="begin"/>
      </w:r>
      <w:r w:rsidRPr="00D17312">
        <w:instrText xml:space="preserve"> REF _Ref10813793 \r \h  \* MERGEFORMAT </w:instrText>
      </w:r>
      <w:r w:rsidRPr="00D17312">
        <w:fldChar w:fldCharType="separate"/>
      </w:r>
      <w:r w:rsidR="006E7F27">
        <w:t>2.1.2</w:t>
      </w:r>
      <w:r w:rsidRPr="00D17312">
        <w:fldChar w:fldCharType="end"/>
      </w:r>
      <w:r w:rsidRPr="00D17312">
        <w:t>.</w:t>
      </w:r>
    </w:p>
    <w:p w:rsidR="00A4083A" w:rsidRPr="00D17312" w:rsidRDefault="00A4083A" w:rsidP="00A4083A">
      <w:pPr>
        <w:pStyle w:val="Podnadpis"/>
        <w:rPr>
          <w:color w:val="auto"/>
        </w:rPr>
      </w:pPr>
      <w:bookmarkStart w:id="612" w:name="_Toc515871502"/>
      <w:bookmarkStart w:id="613" w:name="_Toc11133268"/>
      <w:bookmarkStart w:id="614" w:name="_Toc43931250"/>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77</w:t>
      </w:r>
      <w:r w:rsidRPr="00D17312">
        <w:rPr>
          <w:noProof/>
          <w:color w:val="auto"/>
        </w:rPr>
        <w:fldChar w:fldCharType="end"/>
      </w:r>
      <w:r w:rsidRPr="00D17312">
        <w:rPr>
          <w:color w:val="auto"/>
        </w:rPr>
        <w:t>: VS – počet zaměstnanců ve výkonu dle soudů</w:t>
      </w:r>
      <w:bookmarkEnd w:id="612"/>
      <w:bookmarkEnd w:id="613"/>
      <w:bookmarkEnd w:id="614"/>
    </w:p>
    <w:tbl>
      <w:tblPr>
        <w:tblW w:w="7280" w:type="dxa"/>
        <w:tblCellMar>
          <w:left w:w="70" w:type="dxa"/>
          <w:right w:w="70" w:type="dxa"/>
        </w:tblCellMar>
        <w:tblLook w:val="04A0" w:firstRow="1" w:lastRow="0" w:firstColumn="1" w:lastColumn="0" w:noHBand="0" w:noVBand="1"/>
      </w:tblPr>
      <w:tblGrid>
        <w:gridCol w:w="2080"/>
        <w:gridCol w:w="904"/>
        <w:gridCol w:w="581"/>
        <w:gridCol w:w="466"/>
        <w:gridCol w:w="645"/>
        <w:gridCol w:w="658"/>
        <w:gridCol w:w="466"/>
        <w:gridCol w:w="1480"/>
      </w:tblGrid>
      <w:tr w:rsidR="00A4083A" w:rsidRPr="00D17312" w:rsidTr="00A41CAB">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5200" w:type="dxa"/>
            <w:gridSpan w:val="7"/>
            <w:tcBorders>
              <w:top w:val="double" w:sz="6" w:space="0" w:color="auto"/>
              <w:left w:val="nil"/>
              <w:bottom w:val="nil"/>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osob</w:t>
            </w:r>
          </w:p>
        </w:tc>
      </w:tr>
      <w:tr w:rsidR="00A4083A" w:rsidRPr="00D17312" w:rsidTr="00A41CAB">
        <w:trPr>
          <w:trHeight w:val="330"/>
        </w:trPr>
        <w:tc>
          <w:tcPr>
            <w:tcW w:w="208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904"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VSÚ</w:t>
            </w:r>
          </w:p>
        </w:tc>
        <w:tc>
          <w:tcPr>
            <w:tcW w:w="581"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ST</w:t>
            </w:r>
          </w:p>
        </w:tc>
        <w:tc>
          <w:tcPr>
            <w:tcW w:w="46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A</w:t>
            </w:r>
          </w:p>
        </w:tc>
        <w:tc>
          <w:tcPr>
            <w:tcW w:w="645"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VK</w:t>
            </w:r>
          </w:p>
        </w:tc>
        <w:tc>
          <w:tcPr>
            <w:tcW w:w="658"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PÚ</w:t>
            </w:r>
          </w:p>
        </w:tc>
        <w:tc>
          <w:tcPr>
            <w:tcW w:w="466"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Z</w:t>
            </w:r>
          </w:p>
        </w:tc>
        <w:tc>
          <w:tcPr>
            <w:tcW w:w="14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Celkem</w:t>
            </w:r>
          </w:p>
        </w:tc>
      </w:tr>
      <w:tr w:rsidR="00A4083A" w:rsidRPr="00D17312" w:rsidTr="00A41CAB">
        <w:trPr>
          <w:trHeight w:val="330"/>
        </w:trPr>
        <w:tc>
          <w:tcPr>
            <w:tcW w:w="20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VS Praha</w:t>
            </w:r>
          </w:p>
        </w:tc>
        <w:tc>
          <w:tcPr>
            <w:tcW w:w="904"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w:t>
            </w:r>
          </w:p>
        </w:tc>
        <w:tc>
          <w:tcPr>
            <w:tcW w:w="581"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w:t>
            </w:r>
          </w:p>
        </w:tc>
        <w:tc>
          <w:tcPr>
            <w:tcW w:w="466"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24</w:t>
            </w:r>
          </w:p>
        </w:tc>
        <w:tc>
          <w:tcPr>
            <w:tcW w:w="645"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22</w:t>
            </w:r>
          </w:p>
        </w:tc>
        <w:tc>
          <w:tcPr>
            <w:tcW w:w="658"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w:t>
            </w:r>
          </w:p>
        </w:tc>
        <w:tc>
          <w:tcPr>
            <w:tcW w:w="466"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19</w:t>
            </w:r>
          </w:p>
        </w:tc>
        <w:tc>
          <w:tcPr>
            <w:tcW w:w="148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83</w:t>
            </w:r>
          </w:p>
        </w:tc>
      </w:tr>
      <w:tr w:rsidR="00A4083A" w:rsidRPr="00D17312" w:rsidTr="00A41CAB">
        <w:trPr>
          <w:trHeight w:val="330"/>
        </w:trPr>
        <w:tc>
          <w:tcPr>
            <w:tcW w:w="2080" w:type="dxa"/>
            <w:tcBorders>
              <w:top w:val="nil"/>
              <w:left w:val="nil"/>
              <w:bottom w:val="nil"/>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VS Olomouc</w:t>
            </w:r>
          </w:p>
        </w:tc>
        <w:tc>
          <w:tcPr>
            <w:tcW w:w="904" w:type="dxa"/>
            <w:tcBorders>
              <w:top w:val="nil"/>
              <w:left w:val="nil"/>
              <w:bottom w:val="nil"/>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w:t>
            </w:r>
          </w:p>
        </w:tc>
        <w:tc>
          <w:tcPr>
            <w:tcW w:w="581" w:type="dxa"/>
            <w:tcBorders>
              <w:top w:val="nil"/>
              <w:left w:val="nil"/>
              <w:bottom w:val="nil"/>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0</w:t>
            </w:r>
          </w:p>
        </w:tc>
        <w:tc>
          <w:tcPr>
            <w:tcW w:w="466" w:type="dxa"/>
            <w:tcBorders>
              <w:top w:val="nil"/>
              <w:left w:val="nil"/>
              <w:bottom w:val="nil"/>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12</w:t>
            </w:r>
          </w:p>
        </w:tc>
        <w:tc>
          <w:tcPr>
            <w:tcW w:w="645" w:type="dxa"/>
            <w:tcBorders>
              <w:top w:val="nil"/>
              <w:left w:val="nil"/>
              <w:bottom w:val="nil"/>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w:t>
            </w:r>
          </w:p>
        </w:tc>
        <w:tc>
          <w:tcPr>
            <w:tcW w:w="658" w:type="dxa"/>
            <w:tcBorders>
              <w:top w:val="nil"/>
              <w:left w:val="nil"/>
              <w:bottom w:val="nil"/>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w:t>
            </w:r>
          </w:p>
        </w:tc>
        <w:tc>
          <w:tcPr>
            <w:tcW w:w="466" w:type="dxa"/>
            <w:tcBorders>
              <w:top w:val="nil"/>
              <w:left w:val="nil"/>
              <w:bottom w:val="nil"/>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9</w:t>
            </w:r>
          </w:p>
        </w:tc>
        <w:tc>
          <w:tcPr>
            <w:tcW w:w="1480" w:type="dxa"/>
            <w:tcBorders>
              <w:top w:val="nil"/>
              <w:left w:val="nil"/>
              <w:bottom w:val="nil"/>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36</w:t>
            </w:r>
          </w:p>
        </w:tc>
      </w:tr>
      <w:tr w:rsidR="00A4083A" w:rsidRPr="00D17312" w:rsidTr="00A41CAB">
        <w:trPr>
          <w:trHeight w:val="345"/>
        </w:trPr>
        <w:tc>
          <w:tcPr>
            <w:tcW w:w="2080" w:type="dxa"/>
            <w:tcBorders>
              <w:top w:val="double" w:sz="6" w:space="0" w:color="auto"/>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904" w:type="dxa"/>
            <w:tcBorders>
              <w:top w:val="double" w:sz="6" w:space="0" w:color="auto"/>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6</w:t>
            </w:r>
          </w:p>
        </w:tc>
        <w:tc>
          <w:tcPr>
            <w:tcW w:w="581" w:type="dxa"/>
            <w:tcBorders>
              <w:top w:val="double" w:sz="6" w:space="0" w:color="auto"/>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4</w:t>
            </w:r>
          </w:p>
        </w:tc>
        <w:tc>
          <w:tcPr>
            <w:tcW w:w="466" w:type="dxa"/>
            <w:tcBorders>
              <w:top w:val="double" w:sz="6" w:space="0" w:color="auto"/>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36</w:t>
            </w:r>
          </w:p>
        </w:tc>
        <w:tc>
          <w:tcPr>
            <w:tcW w:w="645" w:type="dxa"/>
            <w:tcBorders>
              <w:top w:val="double" w:sz="6" w:space="0" w:color="auto"/>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29</w:t>
            </w:r>
          </w:p>
        </w:tc>
        <w:tc>
          <w:tcPr>
            <w:tcW w:w="658" w:type="dxa"/>
            <w:tcBorders>
              <w:top w:val="double" w:sz="6" w:space="0" w:color="auto"/>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17</w:t>
            </w:r>
          </w:p>
        </w:tc>
        <w:tc>
          <w:tcPr>
            <w:tcW w:w="466" w:type="dxa"/>
            <w:tcBorders>
              <w:top w:val="double" w:sz="6" w:space="0" w:color="auto"/>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28</w:t>
            </w:r>
          </w:p>
        </w:tc>
        <w:tc>
          <w:tcPr>
            <w:tcW w:w="1480" w:type="dxa"/>
            <w:tcBorders>
              <w:top w:val="double" w:sz="6" w:space="0" w:color="auto"/>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119</w:t>
            </w:r>
          </w:p>
        </w:tc>
      </w:tr>
    </w:tbl>
    <w:p w:rsidR="00A4083A" w:rsidRPr="00D17312" w:rsidRDefault="00A4083A" w:rsidP="00A4083A">
      <w:pPr>
        <w:spacing w:line="240" w:lineRule="auto"/>
        <w:jc w:val="left"/>
        <w:rPr>
          <w:highlight w:val="yellow"/>
        </w:rPr>
      </w:pPr>
    </w:p>
    <w:p w:rsidR="00A4083A" w:rsidRPr="00D17312" w:rsidRDefault="00A4083A" w:rsidP="00A4083A">
      <w:pPr>
        <w:pStyle w:val="OdstavecASR"/>
      </w:pPr>
      <w:r w:rsidRPr="00D17312">
        <w:t>U vrchních soudů je počet zaměstnanců ve výkonu v poměru k počtu soudců nižší než u krajských soudů, a tedy i nižší než u soudů okresních. To souvisí se složitostí vyřizované agendy a s tím, že vrchní soudy rozhodují pouze v tříčlenných senátech. Ve srovnání s předchozím rokem prakticky nedošlo k žádné změně.</w:t>
      </w:r>
    </w:p>
    <w:p w:rsidR="00A4083A" w:rsidRPr="00D17312" w:rsidRDefault="00A4083A" w:rsidP="00A4083A">
      <w:pPr>
        <w:spacing w:line="240" w:lineRule="auto"/>
        <w:jc w:val="left"/>
        <w:rPr>
          <w:highlight w:val="yellow"/>
        </w:rPr>
      </w:pPr>
    </w:p>
    <w:p w:rsidR="00A4083A" w:rsidRPr="00D17312" w:rsidRDefault="00A4083A" w:rsidP="00A4083A">
      <w:pPr>
        <w:spacing w:line="240" w:lineRule="auto"/>
        <w:jc w:val="left"/>
        <w:rPr>
          <w:highlight w:val="yellow"/>
        </w:rPr>
      </w:pPr>
      <w:r w:rsidRPr="00D17312">
        <w:rPr>
          <w:highlight w:val="yellow"/>
        </w:rPr>
        <w:br w:type="page"/>
      </w:r>
    </w:p>
    <w:p w:rsidR="00A4083A" w:rsidRPr="00D17312" w:rsidRDefault="00A4083A" w:rsidP="00A4083A">
      <w:pPr>
        <w:pStyle w:val="Nadpis2"/>
      </w:pPr>
      <w:bookmarkStart w:id="615" w:name="_Toc487791283"/>
      <w:bookmarkStart w:id="616" w:name="_Toc515871281"/>
      <w:bookmarkStart w:id="617" w:name="_Toc43903093"/>
      <w:r w:rsidRPr="00D17312">
        <w:lastRenderedPageBreak/>
        <w:t>Civilní a obchodní odvolací agenda</w:t>
      </w:r>
      <w:bookmarkEnd w:id="615"/>
      <w:bookmarkEnd w:id="616"/>
      <w:bookmarkEnd w:id="617"/>
    </w:p>
    <w:p w:rsidR="00A4083A" w:rsidRPr="00D17312" w:rsidRDefault="00A4083A" w:rsidP="00A4083A">
      <w:pPr>
        <w:pStyle w:val="OdstavecASR"/>
      </w:pPr>
      <w:r w:rsidRPr="00D17312">
        <w:t>Jak již bylo uvedeno, vrchní soudy nevyřizují prvostupňovou civilní a obchodní agendu. Zabývají se agendou odvolací, což jsou rejstříky Co a Cmo. Ve způsobu vedení statistik nedošlo k žádným výrazným změnám.</w:t>
      </w:r>
    </w:p>
    <w:p w:rsidR="00A4083A" w:rsidRPr="00D17312" w:rsidRDefault="00A4083A" w:rsidP="00A4083A">
      <w:pPr>
        <w:pStyle w:val="Nadpis3"/>
        <w:rPr>
          <w:color w:val="auto"/>
          <w:lang w:eastAsia="cs-CZ"/>
        </w:rPr>
      </w:pPr>
      <w:bookmarkStart w:id="618" w:name="_Toc515871282"/>
      <w:bookmarkStart w:id="619" w:name="_Toc43903094"/>
      <w:r w:rsidRPr="00D17312">
        <w:rPr>
          <w:color w:val="auto"/>
          <w:lang w:eastAsia="cs-CZ"/>
        </w:rPr>
        <w:t>Délka řízení</w:t>
      </w:r>
      <w:bookmarkEnd w:id="618"/>
      <w:bookmarkEnd w:id="619"/>
    </w:p>
    <w:p w:rsidR="00A4083A" w:rsidRPr="00D17312" w:rsidRDefault="00A4083A" w:rsidP="00A4083A">
      <w:pPr>
        <w:pStyle w:val="OdstavecASR"/>
      </w:pPr>
      <w:r w:rsidRPr="00D17312">
        <w:t>Délku řízení uvádíme v kalendářních dnech ode dne nápadu u odvolacího soudu do dne vyřízení věci odvolacím soudem. Data použitá pro výpočet délky řízení jsou očištěna stejným způsobem jako u prvostupňového řízení u krajských soudů.</w:t>
      </w:r>
    </w:p>
    <w:p w:rsidR="00A4083A" w:rsidRPr="00D17312" w:rsidRDefault="00A4083A" w:rsidP="00A4083A">
      <w:pPr>
        <w:pStyle w:val="Podnadpis"/>
        <w:rPr>
          <w:color w:val="auto"/>
        </w:rPr>
      </w:pPr>
      <w:bookmarkStart w:id="620" w:name="_Toc515871411"/>
      <w:bookmarkStart w:id="621" w:name="_Toc11135142"/>
      <w:bookmarkStart w:id="622" w:name="_Toc43841464"/>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84</w:t>
      </w:r>
      <w:r w:rsidRPr="00D17312">
        <w:rPr>
          <w:noProof/>
          <w:color w:val="auto"/>
        </w:rPr>
        <w:fldChar w:fldCharType="end"/>
      </w:r>
      <w:r w:rsidRPr="00D17312">
        <w:rPr>
          <w:color w:val="auto"/>
        </w:rPr>
        <w:t>: VS – délka civilního odvolacího řízení u VS v letech 2010–201</w:t>
      </w:r>
      <w:bookmarkEnd w:id="620"/>
      <w:bookmarkEnd w:id="621"/>
      <w:r w:rsidRPr="00D17312">
        <w:rPr>
          <w:color w:val="auto"/>
        </w:rPr>
        <w:t>9</w:t>
      </w:r>
      <w:bookmarkEnd w:id="622"/>
    </w:p>
    <w:p w:rsidR="00A4083A" w:rsidRPr="00D17312" w:rsidRDefault="00A4083A" w:rsidP="00A4083A">
      <w:pPr>
        <w:rPr>
          <w:highlight w:val="yellow"/>
        </w:rPr>
      </w:pPr>
      <w:r w:rsidRPr="00D17312">
        <w:rPr>
          <w:noProof/>
          <w:lang w:eastAsia="cs-CZ"/>
        </w:rPr>
        <w:drawing>
          <wp:inline distT="0" distB="0" distL="0" distR="0" wp14:anchorId="55842FB2" wp14:editId="4B26A711">
            <wp:extent cx="5114925" cy="3743325"/>
            <wp:effectExtent l="0" t="0" r="0" b="9525"/>
            <wp:docPr id="143" name="Obráze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rPr>
          <w:highlight w:val="yellow"/>
        </w:rPr>
      </w:pPr>
    </w:p>
    <w:p w:rsidR="00A4083A" w:rsidRPr="00D17312" w:rsidRDefault="00A4083A" w:rsidP="00A4083A">
      <w:pPr>
        <w:pStyle w:val="OdstavecASR"/>
      </w:pPr>
      <w:r w:rsidRPr="00D17312">
        <w:t>Z grafu jasně vyplývá, že VS Olomouc vyřizuje věci mnohem rychleji než VS Praha. Devadesátý percentil délky řízení u VS v Olomouci bývá pravidelně nižší než průměr u VS v Praze</w:t>
      </w:r>
      <w:r>
        <w:t>,</w:t>
      </w:r>
      <w:r w:rsidRPr="00D17312">
        <w:t xml:space="preserve"> </w:t>
      </w:r>
      <w:r>
        <w:t>v</w:t>
      </w:r>
      <w:r w:rsidRPr="00D17312">
        <w:t xml:space="preserve"> ro</w:t>
      </w:r>
      <w:r>
        <w:t>ce 2019</w:t>
      </w:r>
      <w:r w:rsidRPr="00D17312">
        <w:t xml:space="preserve"> je dokonce na úrovni mediánu u VS v Praze. Rozdíl můžeme zčásti připsat odlišnostem ve vyřizované agendě, nicméně předpokládáme, že </w:t>
      </w:r>
      <w:r>
        <w:t xml:space="preserve">se na něm </w:t>
      </w:r>
      <w:r w:rsidRPr="00D17312">
        <w:t xml:space="preserve">podílí i další faktory. Navíc délky řízení u VS v Praze opět vzrostly a je vidět zcela jasný rostoucí trend. Na druhou stranu níže </w:t>
      </w:r>
      <w:r>
        <w:t>u</w:t>
      </w:r>
      <w:r w:rsidRPr="00D17312">
        <w:t xml:space="preserve">vidíme, že nápad a počet nevyřízených věcí klesá. </w:t>
      </w:r>
      <w:r>
        <w:t>P</w:t>
      </w:r>
      <w:r w:rsidRPr="00D17312">
        <w:t>okud nedojde k nějaké zásadní změně</w:t>
      </w:r>
      <w:r>
        <w:t>,</w:t>
      </w:r>
      <w:r w:rsidRPr="00D17312">
        <w:t xml:space="preserve"> </w:t>
      </w:r>
      <w:r>
        <w:t>č</w:t>
      </w:r>
      <w:r w:rsidRPr="00D17312">
        <w:t>asem by se</w:t>
      </w:r>
      <w:r>
        <w:t xml:space="preserve"> tento stav</w:t>
      </w:r>
      <w:r w:rsidRPr="00D17312">
        <w:t xml:space="preserve"> měl projevit i v délkách řízení.</w:t>
      </w:r>
    </w:p>
    <w:p w:rsidR="00A4083A" w:rsidRPr="00D17312" w:rsidRDefault="00A4083A" w:rsidP="00A4083A">
      <w:pPr>
        <w:pStyle w:val="OdstavecASR"/>
        <w:rPr>
          <w:highlight w:val="yellow"/>
        </w:rPr>
      </w:pPr>
      <w:r>
        <w:t>G</w:t>
      </w:r>
      <w:r w:rsidRPr="00D17312">
        <w:t xml:space="preserve">rafu také </w:t>
      </w:r>
      <w:r>
        <w:t>ukazuje</w:t>
      </w:r>
      <w:r w:rsidRPr="00D17312">
        <w:t xml:space="preserve"> zajímavý jev, kdy medián a 90. percentil u VS Olomouc jsou stabilní, zatímco průměr kolísá.</w:t>
      </w:r>
    </w:p>
    <w:p w:rsidR="00A4083A" w:rsidRPr="00D17312" w:rsidRDefault="00A4083A" w:rsidP="00A4083A">
      <w:pPr>
        <w:pStyle w:val="OdstavecASR"/>
      </w:pPr>
      <w:r w:rsidRPr="00D17312">
        <w:t>V histogramu níže srovnáváme délky řízení. Opět můžeme vidět zcela jasný rozdíl mezi oběma soudy. Graf například ukazuje, že podíl věcí vyřízených do 75 dnů je u VS v Olomouci více než dvojnásobný ve srovnání s VS v Praze.</w:t>
      </w:r>
    </w:p>
    <w:p w:rsidR="00A4083A" w:rsidRPr="00D17312" w:rsidRDefault="00A4083A" w:rsidP="00A4083A">
      <w:pPr>
        <w:rPr>
          <w:highlight w:val="yellow"/>
        </w:rPr>
      </w:pPr>
    </w:p>
    <w:p w:rsidR="00A4083A" w:rsidRPr="00D17312" w:rsidRDefault="00A4083A" w:rsidP="00A4083A">
      <w:pPr>
        <w:pStyle w:val="Podnadpis"/>
        <w:rPr>
          <w:color w:val="auto"/>
          <w:highlight w:val="yellow"/>
        </w:rPr>
      </w:pPr>
      <w:bookmarkStart w:id="623" w:name="_Toc515871412"/>
      <w:bookmarkStart w:id="624" w:name="_Toc11135143"/>
      <w:bookmarkStart w:id="625" w:name="_Toc43841465"/>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85</w:t>
      </w:r>
      <w:r w:rsidRPr="00D17312">
        <w:rPr>
          <w:color w:val="auto"/>
        </w:rPr>
        <w:fldChar w:fldCharType="end"/>
      </w:r>
      <w:r w:rsidRPr="00D17312">
        <w:rPr>
          <w:color w:val="auto"/>
        </w:rPr>
        <w:t>: VS – distribuce délek civilního odvolacího řízení</w:t>
      </w:r>
      <w:bookmarkEnd w:id="623"/>
      <w:bookmarkEnd w:id="624"/>
      <w:bookmarkEnd w:id="625"/>
    </w:p>
    <w:p w:rsidR="00A4083A" w:rsidRPr="00D17312" w:rsidRDefault="00A4083A" w:rsidP="00A4083A">
      <w:r w:rsidRPr="00D17312">
        <w:rPr>
          <w:noProof/>
          <w:lang w:eastAsia="cs-CZ"/>
        </w:rPr>
        <w:drawing>
          <wp:inline distT="0" distB="0" distL="0" distR="0" wp14:anchorId="24E40421" wp14:editId="5A7F2E5E">
            <wp:extent cx="5114925" cy="3743325"/>
            <wp:effectExtent l="0" t="0" r="0" b="9525"/>
            <wp:docPr id="144" name="Obráze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Nadpis3"/>
        <w:rPr>
          <w:color w:val="auto"/>
          <w:lang w:eastAsia="cs-CZ"/>
        </w:rPr>
      </w:pPr>
      <w:bookmarkStart w:id="626" w:name="_Toc515871283"/>
      <w:bookmarkStart w:id="627" w:name="_Toc43903095"/>
      <w:r w:rsidRPr="00D17312">
        <w:rPr>
          <w:color w:val="auto"/>
          <w:lang w:eastAsia="cs-CZ"/>
        </w:rPr>
        <w:t>Vyřizování věcí</w:t>
      </w:r>
      <w:bookmarkEnd w:id="626"/>
      <w:bookmarkEnd w:id="627"/>
    </w:p>
    <w:p w:rsidR="00A4083A" w:rsidRPr="00D17312" w:rsidRDefault="00A4083A" w:rsidP="00A4083A">
      <w:pPr>
        <w:pStyle w:val="OdstavecASR"/>
      </w:pPr>
      <w:r w:rsidRPr="00D17312">
        <w:fldChar w:fldCharType="begin"/>
      </w:r>
      <w:r w:rsidRPr="00D17312">
        <w:instrText xml:space="preserve"> REF _Ref511821018 \h  \* MERGEFORMAT </w:instrText>
      </w:r>
      <w:r w:rsidRPr="00D17312">
        <w:fldChar w:fldCharType="separate"/>
      </w:r>
      <w:r w:rsidR="006E7F27" w:rsidRPr="00D17312">
        <w:t xml:space="preserve">Graf </w:t>
      </w:r>
      <w:r w:rsidR="006E7F27">
        <w:rPr>
          <w:noProof/>
        </w:rPr>
        <w:t>86</w:t>
      </w:r>
      <w:r w:rsidRPr="00D17312">
        <w:fldChar w:fldCharType="end"/>
      </w:r>
      <w:r w:rsidRPr="00D17312">
        <w:t xml:space="preserve"> potvrzuje výsledky zkoumání počtu soudců, totiž skutečnost, že VS v Praze je výrazně větší než VS v Olomouci.</w:t>
      </w:r>
    </w:p>
    <w:p w:rsidR="00A4083A" w:rsidRPr="00D17312" w:rsidRDefault="00A4083A" w:rsidP="00A4083A">
      <w:pPr>
        <w:pStyle w:val="Podnadpis"/>
        <w:rPr>
          <w:color w:val="auto"/>
        </w:rPr>
      </w:pPr>
      <w:bookmarkStart w:id="628" w:name="_Ref511821018"/>
      <w:bookmarkStart w:id="629" w:name="_Toc515871413"/>
      <w:bookmarkStart w:id="630" w:name="_Toc11135144"/>
      <w:bookmarkStart w:id="631" w:name="_Toc43841466"/>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86</w:t>
      </w:r>
      <w:r w:rsidRPr="00D17312">
        <w:rPr>
          <w:noProof/>
          <w:color w:val="auto"/>
        </w:rPr>
        <w:fldChar w:fldCharType="end"/>
      </w:r>
      <w:bookmarkEnd w:id="628"/>
      <w:r w:rsidRPr="00D17312">
        <w:rPr>
          <w:color w:val="auto"/>
        </w:rPr>
        <w:t>: VS – vyřizování odvolacích civilních věcí v letech 2008–201</w:t>
      </w:r>
      <w:bookmarkEnd w:id="629"/>
      <w:bookmarkEnd w:id="630"/>
      <w:r w:rsidRPr="00D17312">
        <w:rPr>
          <w:color w:val="auto"/>
        </w:rPr>
        <w:t>9</w:t>
      </w:r>
      <w:bookmarkEnd w:id="631"/>
    </w:p>
    <w:p w:rsidR="00A4083A" w:rsidRPr="00D17312" w:rsidRDefault="00A4083A" w:rsidP="00A4083A">
      <w:pPr>
        <w:rPr>
          <w:highlight w:val="yellow"/>
        </w:rPr>
      </w:pPr>
      <w:r w:rsidRPr="00D17312">
        <w:rPr>
          <w:noProof/>
          <w:lang w:eastAsia="cs-CZ"/>
        </w:rPr>
        <w:drawing>
          <wp:inline distT="0" distB="0" distL="0" distR="0" wp14:anchorId="5C22B7D2" wp14:editId="3AF2CDCE">
            <wp:extent cx="5114925" cy="3743325"/>
            <wp:effectExtent l="0" t="0" r="0" b="9525"/>
            <wp:docPr id="133" name="Obráze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pPr>
      <w:r w:rsidRPr="00D17312">
        <w:lastRenderedPageBreak/>
        <w:t>Na první pohled zaujme jasný pokles nápadu u obou soudů v posledních letech, který je nepochybně způsoben přesunem prvostupňové obchodní agendy z krajských soudů na soudy okresní. Od roku 2012 klesl počet příchozích věcí u obou soudů více než o polovinu. U VS v Olomouci se tento trend v posledních letech již zbrzdil, u VS v Praze vidíme i v roce 2019 velmi výrazný pokles.</w:t>
      </w:r>
    </w:p>
    <w:p w:rsidR="00A4083A" w:rsidRPr="00D17312" w:rsidRDefault="00A4083A" w:rsidP="00A4083A">
      <w:pPr>
        <w:pStyle w:val="OdstavecASR"/>
        <w:rPr>
          <w:highlight w:val="yellow"/>
          <w:lang w:eastAsia="cs-CZ"/>
        </w:rPr>
      </w:pPr>
      <w:r w:rsidRPr="00D17312">
        <w:t>Z poklesu v nápadu logicky vyplývá pokles v počtu vyřízených věcí. Díky klesajícímu nápadu se oběma soudům nicméně daří vyřizovat více věcí, než napadne a obživne, a úspěšně se jim tak daří snižovat počet nedodělků. Tento kladný trend by se mohl v příštích letech odrazit i v délce řízení. V současné době tomu tak není, nicméně díky klesajícímu počtu nedodělků nemusíme mít nárůst délky řízení u VS Praha za příliš znepokojivý jev</w:t>
      </w:r>
      <w:r>
        <w:t>, a to tím spíše, že u tohoto soudu klesá také p</w:t>
      </w:r>
      <w:r w:rsidRPr="00D17312">
        <w:t>očet věcí nevyřízených déle než 6 měsíců.</w:t>
      </w:r>
    </w:p>
    <w:p w:rsidR="00A4083A" w:rsidRPr="00D17312" w:rsidRDefault="00A4083A" w:rsidP="00A4083A">
      <w:pPr>
        <w:pStyle w:val="Nadpis3"/>
        <w:rPr>
          <w:color w:val="auto"/>
          <w:lang w:eastAsia="cs-CZ"/>
        </w:rPr>
      </w:pPr>
      <w:bookmarkStart w:id="632" w:name="_Toc515871284"/>
      <w:bookmarkStart w:id="633" w:name="_Toc43903096"/>
      <w:r w:rsidRPr="00D17312">
        <w:rPr>
          <w:color w:val="auto"/>
          <w:lang w:eastAsia="cs-CZ"/>
        </w:rPr>
        <w:t>Vyřizování v přepočtu na soudce</w:t>
      </w:r>
      <w:bookmarkEnd w:id="632"/>
      <w:bookmarkEnd w:id="633"/>
    </w:p>
    <w:p w:rsidR="00A4083A" w:rsidRPr="00D17312" w:rsidRDefault="00A4083A" w:rsidP="00A4083A">
      <w:pPr>
        <w:pStyle w:val="OdstavecASR"/>
      </w:pPr>
      <w:bookmarkStart w:id="634" w:name="_Toc515871503"/>
      <w:bookmarkStart w:id="635" w:name="_Toc11133269"/>
      <w:r w:rsidRPr="00D17312">
        <w:t xml:space="preserve">Tabulka níže naznačuje, že soudci u VS v Praze jsou zatíženější než soudci u VS v Olomouci. Z vyššího nápadu na soudce logicky plyne více vyřízených věcí na soudce. Je třeba zdůraznit, že se jedná pouze o velmi přibližné srovnání. Na civilním úseku vrchních soudů se vyřizuje i jiná agenda než pouze rejstříky Co a Cmo. Záleží také na zapojení dalších soudních zaměstnanců ve výkonu i na poměru počtu věcí v rejstříku Co k počtu věcí v rejstříku Cmo. Počet nevyřízených věcí na jednoho soudce je ale u VS v Praze zcela bezpochyby vyšší než u soudu v Olomouci, což plyne především z dřívějších let. Rozdíl je opravdu velký – u VS v Praze připadá na soudce takřka šestinásobek nevyřízených věcí </w:t>
      </w:r>
      <w:r>
        <w:t>oproti</w:t>
      </w:r>
      <w:r w:rsidRPr="00D17312">
        <w:t> VS v Olomouci. V letošním roce se ještě zvětšil po mimořádném poklesu počtu nevyřízených věcí u VS v Olomouci. Počet nevyřízených věcí na soudce u obou soudů klesl, což plyne z poklesu celkového počtu nevyřízených věcí, který zase plyne z poklesu v počtu příchozích věcí.</w:t>
      </w:r>
    </w:p>
    <w:p w:rsidR="00A4083A" w:rsidRPr="00D17312" w:rsidRDefault="00A4083A" w:rsidP="00A4083A">
      <w:pPr>
        <w:pStyle w:val="Podnadpis"/>
        <w:rPr>
          <w:color w:val="auto"/>
        </w:rPr>
      </w:pPr>
      <w:bookmarkStart w:id="636" w:name="_Toc43931251"/>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78</w:t>
      </w:r>
      <w:r w:rsidRPr="00D17312">
        <w:rPr>
          <w:noProof/>
          <w:color w:val="auto"/>
        </w:rPr>
        <w:fldChar w:fldCharType="end"/>
      </w:r>
      <w:r w:rsidRPr="00D17312">
        <w:rPr>
          <w:color w:val="auto"/>
        </w:rPr>
        <w:t>: VS – vyřizování odvolacích civilních věcí na soudce</w:t>
      </w:r>
      <w:bookmarkEnd w:id="634"/>
      <w:bookmarkEnd w:id="635"/>
      <w:bookmarkEnd w:id="636"/>
    </w:p>
    <w:tbl>
      <w:tblPr>
        <w:tblW w:w="7720" w:type="dxa"/>
        <w:tblCellMar>
          <w:left w:w="70" w:type="dxa"/>
          <w:right w:w="70" w:type="dxa"/>
        </w:tblCellMar>
        <w:tblLook w:val="04A0" w:firstRow="1" w:lastRow="0" w:firstColumn="1" w:lastColumn="0" w:noHBand="0" w:noVBand="1"/>
      </w:tblPr>
      <w:tblGrid>
        <w:gridCol w:w="2020"/>
        <w:gridCol w:w="673"/>
        <w:gridCol w:w="1075"/>
        <w:gridCol w:w="672"/>
        <w:gridCol w:w="1304"/>
        <w:gridCol w:w="672"/>
        <w:gridCol w:w="1304"/>
      </w:tblGrid>
      <w:tr w:rsidR="00A4083A" w:rsidRPr="00D17312" w:rsidTr="00A41CAB">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5700" w:type="dxa"/>
            <w:gridSpan w:val="6"/>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věcí na soudce</w:t>
            </w:r>
          </w:p>
        </w:tc>
      </w:tr>
      <w:tr w:rsidR="00A4083A" w:rsidRPr="00D17312" w:rsidTr="00A41CAB">
        <w:trPr>
          <w:trHeight w:val="330"/>
        </w:trPr>
        <w:tc>
          <w:tcPr>
            <w:tcW w:w="202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1748"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Nápad + obživa</w:t>
            </w:r>
          </w:p>
        </w:tc>
        <w:tc>
          <w:tcPr>
            <w:tcW w:w="1976" w:type="dxa"/>
            <w:gridSpan w:val="2"/>
            <w:tcBorders>
              <w:top w:val="nil"/>
              <w:left w:val="single" w:sz="4" w:space="0" w:color="auto"/>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Vyřízeno</w:t>
            </w:r>
          </w:p>
        </w:tc>
        <w:tc>
          <w:tcPr>
            <w:tcW w:w="1976"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Nevyřízeno</w:t>
            </w:r>
          </w:p>
        </w:tc>
      </w:tr>
      <w:tr w:rsidR="00A4083A" w:rsidRPr="00D17312" w:rsidTr="00A41CAB">
        <w:trPr>
          <w:trHeight w:val="330"/>
        </w:trPr>
        <w:tc>
          <w:tcPr>
            <w:tcW w:w="202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VS Praha</w:t>
            </w:r>
          </w:p>
        </w:tc>
        <w:tc>
          <w:tcPr>
            <w:tcW w:w="673"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64</w:t>
            </w:r>
          </w:p>
        </w:tc>
        <w:tc>
          <w:tcPr>
            <w:tcW w:w="1075"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672" w:type="dxa"/>
            <w:tcBorders>
              <w:top w:val="single" w:sz="4" w:space="0" w:color="auto"/>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66</w:t>
            </w:r>
          </w:p>
        </w:tc>
        <w:tc>
          <w:tcPr>
            <w:tcW w:w="1304" w:type="dxa"/>
            <w:tcBorders>
              <w:top w:val="single" w:sz="4" w:space="0" w:color="auto"/>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-14</w:t>
            </w:r>
            <w:r>
              <w:rPr>
                <w:rFonts w:eastAsia="Times New Roman"/>
                <w:sz w:val="20"/>
                <w:szCs w:val="20"/>
                <w:lang w:eastAsia="cs-CZ"/>
              </w:rPr>
              <w:t> %</w:t>
            </w:r>
          </w:p>
        </w:tc>
        <w:tc>
          <w:tcPr>
            <w:tcW w:w="672"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34</w:t>
            </w:r>
          </w:p>
        </w:tc>
        <w:tc>
          <w:tcPr>
            <w:tcW w:w="1304"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-5</w:t>
            </w:r>
            <w:r>
              <w:rPr>
                <w:rFonts w:eastAsia="Times New Roman"/>
                <w:sz w:val="20"/>
                <w:szCs w:val="20"/>
                <w:lang w:eastAsia="cs-CZ"/>
              </w:rPr>
              <w:t> %</w:t>
            </w:r>
          </w:p>
        </w:tc>
      </w:tr>
      <w:tr w:rsidR="00A4083A" w:rsidRPr="00D17312" w:rsidTr="00A41CAB">
        <w:trPr>
          <w:trHeight w:val="330"/>
        </w:trPr>
        <w:tc>
          <w:tcPr>
            <w:tcW w:w="2020" w:type="dxa"/>
            <w:tcBorders>
              <w:top w:val="nil"/>
              <w:left w:val="nil"/>
              <w:bottom w:val="nil"/>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VS Olomouc</w:t>
            </w:r>
          </w:p>
        </w:tc>
        <w:tc>
          <w:tcPr>
            <w:tcW w:w="673" w:type="dxa"/>
            <w:tcBorders>
              <w:top w:val="nil"/>
              <w:left w:val="nil"/>
              <w:bottom w:val="nil"/>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52</w:t>
            </w:r>
          </w:p>
        </w:tc>
        <w:tc>
          <w:tcPr>
            <w:tcW w:w="1075" w:type="dxa"/>
            <w:tcBorders>
              <w:top w:val="nil"/>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-7</w:t>
            </w:r>
            <w:r>
              <w:rPr>
                <w:rFonts w:eastAsia="Times New Roman"/>
                <w:sz w:val="20"/>
                <w:szCs w:val="20"/>
                <w:lang w:eastAsia="cs-CZ"/>
              </w:rPr>
              <w:t> %</w:t>
            </w:r>
          </w:p>
        </w:tc>
        <w:tc>
          <w:tcPr>
            <w:tcW w:w="672" w:type="dxa"/>
            <w:tcBorders>
              <w:top w:val="nil"/>
              <w:left w:val="single" w:sz="4" w:space="0" w:color="auto"/>
              <w:bottom w:val="nil"/>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56</w:t>
            </w:r>
          </w:p>
        </w:tc>
        <w:tc>
          <w:tcPr>
            <w:tcW w:w="1304" w:type="dxa"/>
            <w:tcBorders>
              <w:top w:val="nil"/>
              <w:left w:val="nil"/>
              <w:bottom w:val="nil"/>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w:t>
            </w:r>
            <w:r>
              <w:rPr>
                <w:rFonts w:eastAsia="Times New Roman"/>
                <w:sz w:val="20"/>
                <w:szCs w:val="20"/>
                <w:lang w:eastAsia="cs-CZ"/>
              </w:rPr>
              <w:t> %</w:t>
            </w:r>
          </w:p>
        </w:tc>
        <w:tc>
          <w:tcPr>
            <w:tcW w:w="672" w:type="dxa"/>
            <w:tcBorders>
              <w:top w:val="nil"/>
              <w:left w:val="nil"/>
              <w:bottom w:val="nil"/>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w:t>
            </w:r>
          </w:p>
        </w:tc>
        <w:tc>
          <w:tcPr>
            <w:tcW w:w="1304" w:type="dxa"/>
            <w:tcBorders>
              <w:top w:val="nil"/>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-42</w:t>
            </w:r>
            <w:r>
              <w:rPr>
                <w:rFonts w:eastAsia="Times New Roman"/>
                <w:sz w:val="20"/>
                <w:szCs w:val="20"/>
                <w:lang w:eastAsia="cs-CZ"/>
              </w:rPr>
              <w:t> %</w:t>
            </w:r>
          </w:p>
        </w:tc>
      </w:tr>
      <w:tr w:rsidR="00A4083A" w:rsidRPr="00D17312" w:rsidTr="00A41CAB">
        <w:trPr>
          <w:trHeight w:val="345"/>
        </w:trPr>
        <w:tc>
          <w:tcPr>
            <w:tcW w:w="2020" w:type="dxa"/>
            <w:tcBorders>
              <w:top w:val="double" w:sz="6" w:space="0" w:color="auto"/>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673" w:type="dxa"/>
            <w:tcBorders>
              <w:top w:val="double" w:sz="6" w:space="0" w:color="auto"/>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60</w:t>
            </w:r>
          </w:p>
        </w:tc>
        <w:tc>
          <w:tcPr>
            <w:tcW w:w="1075"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-7</w:t>
            </w:r>
            <w:r>
              <w:rPr>
                <w:rFonts w:eastAsia="Times New Roman"/>
                <w:b/>
                <w:bCs/>
                <w:sz w:val="20"/>
                <w:szCs w:val="20"/>
                <w:lang w:eastAsia="cs-CZ"/>
              </w:rPr>
              <w:t> %</w:t>
            </w:r>
          </w:p>
        </w:tc>
        <w:tc>
          <w:tcPr>
            <w:tcW w:w="672" w:type="dxa"/>
            <w:tcBorders>
              <w:top w:val="double" w:sz="6" w:space="0" w:color="auto"/>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70</w:t>
            </w:r>
          </w:p>
        </w:tc>
        <w:tc>
          <w:tcPr>
            <w:tcW w:w="1304" w:type="dxa"/>
            <w:tcBorders>
              <w:top w:val="double" w:sz="6" w:space="0" w:color="auto"/>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-11</w:t>
            </w:r>
            <w:r>
              <w:rPr>
                <w:rFonts w:eastAsia="Times New Roman"/>
                <w:b/>
                <w:bCs/>
                <w:sz w:val="20"/>
                <w:szCs w:val="20"/>
                <w:lang w:eastAsia="cs-CZ"/>
              </w:rPr>
              <w:t> %</w:t>
            </w:r>
          </w:p>
        </w:tc>
        <w:tc>
          <w:tcPr>
            <w:tcW w:w="672" w:type="dxa"/>
            <w:tcBorders>
              <w:top w:val="double" w:sz="6" w:space="0" w:color="auto"/>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24</w:t>
            </w:r>
          </w:p>
        </w:tc>
        <w:tc>
          <w:tcPr>
            <w:tcW w:w="1304"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-10</w:t>
            </w:r>
            <w:r>
              <w:rPr>
                <w:rFonts w:eastAsia="Times New Roman"/>
                <w:b/>
                <w:bCs/>
                <w:sz w:val="20"/>
                <w:szCs w:val="20"/>
                <w:lang w:eastAsia="cs-CZ"/>
              </w:rPr>
              <w:t> %</w:t>
            </w:r>
          </w:p>
        </w:tc>
      </w:tr>
    </w:tbl>
    <w:p w:rsidR="00A4083A" w:rsidRPr="00D17312" w:rsidRDefault="00A4083A" w:rsidP="00A4083A">
      <w:pPr>
        <w:rPr>
          <w:highlight w:val="yellow"/>
        </w:rPr>
      </w:pPr>
    </w:p>
    <w:p w:rsidR="00A4083A" w:rsidRPr="00D17312" w:rsidRDefault="00A4083A" w:rsidP="00A4083A">
      <w:pPr>
        <w:pStyle w:val="Nadpis3"/>
        <w:rPr>
          <w:color w:val="auto"/>
          <w:lang w:eastAsia="cs-CZ"/>
        </w:rPr>
      </w:pPr>
      <w:bookmarkStart w:id="637" w:name="_Toc515871285"/>
      <w:bookmarkStart w:id="638" w:name="_Toc43903097"/>
      <w:r w:rsidRPr="00D17312">
        <w:rPr>
          <w:color w:val="auto"/>
          <w:lang w:eastAsia="cs-CZ"/>
        </w:rPr>
        <w:t>Disposition time</w:t>
      </w:r>
      <w:bookmarkEnd w:id="637"/>
      <w:bookmarkEnd w:id="638"/>
    </w:p>
    <w:p w:rsidR="00A4083A" w:rsidRPr="00D17312" w:rsidRDefault="00A4083A" w:rsidP="00A4083A">
      <w:pPr>
        <w:pStyle w:val="OdstavecASR"/>
      </w:pPr>
      <w:r w:rsidRPr="00D17312">
        <w:t>Disposition time a jeho vývoj vyplývá z výše uvedených faktů a ukazatelů. Vrchní soud v Olomouci vykazuje výrazně nižší DT než Vrchní soud v Praze. DT Vrchního soudu v Olomouci v roce 2010 výrazně klesl díky poklesu v počtu nevyřízených věcí. Naopak DT u VS Praha v letech 2011 až 2013 narostl díky většímu počtu nevyřízených věcí. DT u obou soudů v následujících letech stagnoval, protože podobným tempem klesal počet vyřízených i nevyřízených věcí. V roce 2017 (a v roce 2016 u VS Olomouc) DT stoupl, protože počet vyřízených věcí klesal rychleji než počet nevyřízených věcí. Rostoucí DT v tomto případě tedy vlastně není negativním jevem. V roce 2018 DT klesl především u VS Praha, a to díky poklesu v počtu nevyřízených věcí. V roce 2019 se rozdíl mezi soudy opět výrazně zvětšil, a to hlavně díky poklesu DT u VS v Olomouci. Ten klesl díky výše zmíněnému signifikantnímu poklesu v počtu nevyřízených věcí.</w:t>
      </w:r>
    </w:p>
    <w:p w:rsidR="00A4083A" w:rsidRPr="00D17312" w:rsidRDefault="00A4083A" w:rsidP="00A4083A">
      <w:pPr>
        <w:pStyle w:val="Podnadpis"/>
        <w:rPr>
          <w:color w:val="auto"/>
        </w:rPr>
      </w:pPr>
      <w:bookmarkStart w:id="639" w:name="_Toc515871414"/>
      <w:bookmarkStart w:id="640" w:name="_Toc11135145"/>
      <w:bookmarkStart w:id="641" w:name="_Toc43841467"/>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87</w:t>
      </w:r>
      <w:r w:rsidRPr="00D17312">
        <w:rPr>
          <w:noProof/>
          <w:color w:val="auto"/>
        </w:rPr>
        <w:fldChar w:fldCharType="end"/>
      </w:r>
      <w:r w:rsidRPr="00D17312">
        <w:rPr>
          <w:color w:val="auto"/>
        </w:rPr>
        <w:t>: VS – DT civilního odvolacího řízení v letech 2008–201</w:t>
      </w:r>
      <w:bookmarkEnd w:id="639"/>
      <w:bookmarkEnd w:id="640"/>
      <w:r w:rsidRPr="00D17312">
        <w:rPr>
          <w:color w:val="auto"/>
        </w:rPr>
        <w:t>9</w:t>
      </w:r>
      <w:bookmarkEnd w:id="641"/>
    </w:p>
    <w:p w:rsidR="00A4083A" w:rsidRPr="00D17312" w:rsidRDefault="00A4083A" w:rsidP="00A4083A">
      <w:pPr>
        <w:pStyle w:val="OdstavecASR"/>
        <w:rPr>
          <w:highlight w:val="yellow"/>
        </w:rPr>
      </w:pPr>
      <w:r w:rsidRPr="00D17312">
        <w:rPr>
          <w:noProof/>
          <w:lang w:eastAsia="cs-CZ"/>
        </w:rPr>
        <w:drawing>
          <wp:inline distT="0" distB="0" distL="0" distR="0" wp14:anchorId="0FCE1B80" wp14:editId="7101B1CC">
            <wp:extent cx="5114925" cy="3743325"/>
            <wp:effectExtent l="0" t="0" r="0" b="9525"/>
            <wp:docPr id="136" name="Obráze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spacing w:line="240" w:lineRule="auto"/>
        <w:jc w:val="left"/>
        <w:rPr>
          <w:highlight w:val="yellow"/>
        </w:rPr>
      </w:pPr>
      <w:r w:rsidRPr="00D17312">
        <w:rPr>
          <w:highlight w:val="yellow"/>
        </w:rPr>
        <w:br w:type="page"/>
      </w:r>
    </w:p>
    <w:p w:rsidR="00A4083A" w:rsidRPr="00D17312" w:rsidRDefault="00A4083A" w:rsidP="00A4083A">
      <w:pPr>
        <w:pStyle w:val="Nadpis2"/>
        <w:rPr>
          <w:lang w:eastAsia="cs-CZ"/>
        </w:rPr>
      </w:pPr>
      <w:bookmarkStart w:id="642" w:name="_Toc515871286"/>
      <w:bookmarkStart w:id="643" w:name="_Toc43903098"/>
      <w:r w:rsidRPr="00D17312">
        <w:rPr>
          <w:lang w:eastAsia="cs-CZ"/>
        </w:rPr>
        <w:lastRenderedPageBreak/>
        <w:t>Trestní odvolací agenda</w:t>
      </w:r>
      <w:bookmarkEnd w:id="642"/>
      <w:bookmarkEnd w:id="643"/>
    </w:p>
    <w:p w:rsidR="00A4083A" w:rsidRPr="00D17312" w:rsidRDefault="00A4083A" w:rsidP="00A4083A">
      <w:pPr>
        <w:pStyle w:val="OdstavecASR"/>
      </w:pPr>
      <w:r w:rsidRPr="00D17312">
        <w:t>Vrchní soud vyřizuje věci, v nichž bylo podáno odvolání proti rozhodnutí prvostupňového krajského soudu. Jedná se o rejstříky označené jako To a Tmo.</w:t>
      </w:r>
    </w:p>
    <w:p w:rsidR="00A4083A" w:rsidRPr="00D17312" w:rsidRDefault="00A4083A" w:rsidP="00A4083A">
      <w:pPr>
        <w:pStyle w:val="Nadpis3"/>
        <w:rPr>
          <w:color w:val="auto"/>
          <w:lang w:eastAsia="cs-CZ"/>
        </w:rPr>
      </w:pPr>
      <w:bookmarkStart w:id="644" w:name="_Toc515871287"/>
      <w:bookmarkStart w:id="645" w:name="_Toc43903099"/>
      <w:r w:rsidRPr="00D17312">
        <w:rPr>
          <w:color w:val="auto"/>
          <w:lang w:eastAsia="cs-CZ"/>
        </w:rPr>
        <w:t>Délka řízení</w:t>
      </w:r>
      <w:bookmarkEnd w:id="644"/>
      <w:bookmarkEnd w:id="645"/>
    </w:p>
    <w:p w:rsidR="00A4083A" w:rsidRPr="00D17312" w:rsidRDefault="00A4083A" w:rsidP="00A4083A">
      <w:pPr>
        <w:pStyle w:val="OdstavecASR"/>
      </w:pPr>
      <w:r w:rsidRPr="00D17312">
        <w:t>Uvedená délka řízení je tentokrát od dne nápadu do dne právní moci, protože dnem konečného vyřízení odvolacím soudem se věc stane pravomocnou. Na grafu níže vidíme, že délky řízení v trestní agendě jsou mezi soudy mnohem vyrovnanější než v agendě civilní, ne-li téměř vyrovnané. Do roku 2013 vykazoval VS v Olomouci vyšší průměrnou délku řízení. V roce 2014 narostla délka řízení u VS v Praze, takže se situace obrátila. V roce 2018 opět vykázal větší mediánovou délku VS</w:t>
      </w:r>
      <w:r>
        <w:t xml:space="preserve"> </w:t>
      </w:r>
      <w:r w:rsidRPr="00D17312">
        <w:t>v Olomouci. Medián je ale u obou soudů stále velmi podobný. Pozornost může upoutat kolísání devadesátého percentilu, především u VS v Olomouci. To je dáno malým počtem pozorování. V roce 2017 došlo k náhlému a obrovskému nárůstu devadesátého percentilu, značnému růstu průměru a mírnému zvýšení mediánu. To plyne z již dříve diskutovaného malého počtu pozorování. U obou soudů v tomto roce skončilo několik rozsáhlých a dlouhotrvající kauz. To pak ovlivnilo především devadesátý percentil, v menší míře i průměr a medián. Růst délek řízení ale u VS v Olomouci pokračoval i v roce 2018. V roce 2019 došlo k nezanedbatelnému poklesu v délkách řízení u obou soudů. Velmi výrazně klesl především percentil 90 u VS v Olomouci. Co se týče délek řízení v trestní agendě, je situace v roce 2019 velmi podobná u obou soudů. V mediánu je dokonce rozdíl pouze jeden jediný den. Další fakt, na který je třeba upozornit, je absolutní délka řízení. Stejně jako u nižších článků soudní soustavy je délka trestního řízení výrazně nižší než délka civilního řízení.</w:t>
      </w:r>
    </w:p>
    <w:p w:rsidR="00A4083A" w:rsidRPr="00D17312" w:rsidRDefault="00A4083A" w:rsidP="00A4083A">
      <w:pPr>
        <w:rPr>
          <w:lang w:eastAsia="cs-CZ"/>
        </w:rPr>
      </w:pPr>
      <w:r w:rsidRPr="00D17312">
        <w:t>Ještě zbývá dodat, že složení agendy u VS je logicky velmi podobné složení prvostupňové agendy u krajských soudů</w:t>
      </w:r>
    </w:p>
    <w:p w:rsidR="00A4083A" w:rsidRPr="00D17312" w:rsidRDefault="00A4083A" w:rsidP="00A4083A">
      <w:pPr>
        <w:pStyle w:val="Podnadpis"/>
        <w:rPr>
          <w:color w:val="auto"/>
        </w:rPr>
      </w:pPr>
      <w:bookmarkStart w:id="646" w:name="_Toc515871415"/>
      <w:bookmarkStart w:id="647" w:name="_Toc11135146"/>
      <w:bookmarkStart w:id="648" w:name="_Toc43841468"/>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88</w:t>
      </w:r>
      <w:r w:rsidRPr="00D17312">
        <w:rPr>
          <w:noProof/>
          <w:color w:val="auto"/>
        </w:rPr>
        <w:fldChar w:fldCharType="end"/>
      </w:r>
      <w:r w:rsidRPr="00D17312">
        <w:rPr>
          <w:color w:val="auto"/>
        </w:rPr>
        <w:t>: VS – délka trestního odvolacího řízení v letech 2010–</w:t>
      </w:r>
      <w:bookmarkEnd w:id="646"/>
      <w:r w:rsidRPr="00D17312">
        <w:rPr>
          <w:color w:val="auto"/>
        </w:rPr>
        <w:t>201</w:t>
      </w:r>
      <w:bookmarkEnd w:id="647"/>
      <w:r w:rsidRPr="00D17312">
        <w:rPr>
          <w:color w:val="auto"/>
        </w:rPr>
        <w:t>9</w:t>
      </w:r>
      <w:bookmarkEnd w:id="648"/>
    </w:p>
    <w:p w:rsidR="00A4083A" w:rsidRPr="00D17312" w:rsidRDefault="00A4083A" w:rsidP="00A4083A">
      <w:pPr>
        <w:rPr>
          <w:highlight w:val="yellow"/>
          <w:lang w:eastAsia="cs-CZ"/>
        </w:rPr>
      </w:pPr>
      <w:r w:rsidRPr="00D17312">
        <w:rPr>
          <w:noProof/>
          <w:lang w:eastAsia="cs-CZ"/>
        </w:rPr>
        <w:drawing>
          <wp:inline distT="0" distB="0" distL="0" distR="0" wp14:anchorId="690ED711" wp14:editId="795DA008">
            <wp:extent cx="5114925" cy="3743325"/>
            <wp:effectExtent l="0" t="0" r="0" b="9525"/>
            <wp:docPr id="76"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Podnadpis"/>
        <w:rPr>
          <w:color w:val="auto"/>
        </w:rPr>
      </w:pPr>
      <w:bookmarkStart w:id="649" w:name="_Toc515871416"/>
      <w:bookmarkStart w:id="650" w:name="_Toc11135147"/>
      <w:bookmarkStart w:id="651" w:name="_Toc43841469"/>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89</w:t>
      </w:r>
      <w:r w:rsidRPr="00D17312">
        <w:rPr>
          <w:color w:val="auto"/>
        </w:rPr>
        <w:fldChar w:fldCharType="end"/>
      </w:r>
      <w:r w:rsidRPr="00D17312">
        <w:rPr>
          <w:color w:val="auto"/>
        </w:rPr>
        <w:t>: VS – distribuce délek trestního odvolacího řízení</w:t>
      </w:r>
      <w:bookmarkEnd w:id="649"/>
      <w:bookmarkEnd w:id="650"/>
      <w:bookmarkEnd w:id="651"/>
    </w:p>
    <w:p w:rsidR="00A4083A" w:rsidRPr="00D17312" w:rsidRDefault="00A4083A" w:rsidP="00A4083A">
      <w:pPr>
        <w:pStyle w:val="OdstavecASR"/>
        <w:rPr>
          <w:highlight w:val="yellow"/>
        </w:rPr>
      </w:pPr>
      <w:r w:rsidRPr="00D17312">
        <w:rPr>
          <w:noProof/>
          <w:lang w:eastAsia="cs-CZ"/>
        </w:rPr>
        <w:drawing>
          <wp:inline distT="0" distB="0" distL="0" distR="0" wp14:anchorId="17D15296" wp14:editId="545A0BC0">
            <wp:extent cx="5114925" cy="3743325"/>
            <wp:effectExtent l="0" t="0" r="0" b="9525"/>
            <wp:docPr id="79"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Default="00A4083A" w:rsidP="00A4083A">
      <w:pPr>
        <w:pStyle w:val="OdstavecASR"/>
        <w:rPr>
          <w:lang w:eastAsia="cs-CZ"/>
        </w:rPr>
      </w:pPr>
      <w:r w:rsidRPr="00D17312">
        <w:rPr>
          <w:lang w:eastAsia="cs-CZ"/>
        </w:rPr>
        <w:t>Malý počet pozorování se projevuje i v histogramu. Distribuce délek řízení se mezi soudy liší</w:t>
      </w:r>
      <w:r>
        <w:rPr>
          <w:lang w:eastAsia="cs-CZ"/>
        </w:rPr>
        <w:t>;</w:t>
      </w:r>
      <w:r w:rsidRPr="00D17312">
        <w:rPr>
          <w:lang w:eastAsia="cs-CZ"/>
        </w:rPr>
        <w:t xml:space="preserve"> </w:t>
      </w:r>
      <w:r>
        <w:rPr>
          <w:lang w:eastAsia="cs-CZ"/>
        </w:rPr>
        <w:t>p</w:t>
      </w:r>
      <w:r w:rsidRPr="00D17312">
        <w:rPr>
          <w:lang w:eastAsia="cs-CZ"/>
        </w:rPr>
        <w:t>ři vyšším počtu pozorování by zřejmě byla podobn</w:t>
      </w:r>
      <w:r>
        <w:rPr>
          <w:lang w:eastAsia="cs-CZ"/>
        </w:rPr>
        <w:t>ější</w:t>
      </w:r>
      <w:r w:rsidRPr="00D17312">
        <w:rPr>
          <w:lang w:eastAsia="cs-CZ"/>
        </w:rPr>
        <w:t xml:space="preserve">. Za </w:t>
      </w:r>
      <w:r>
        <w:rPr>
          <w:lang w:eastAsia="cs-CZ"/>
        </w:rPr>
        <w:t>příznivé</w:t>
      </w:r>
      <w:r w:rsidRPr="00D17312">
        <w:rPr>
          <w:lang w:eastAsia="cs-CZ"/>
        </w:rPr>
        <w:t xml:space="preserve"> lze považovat to, že klesl počet věcí s délkou nad 800 dnů u VS v Praze. Vzhledem k počtu pozorování jsou výkyvy běžné, přesto </w:t>
      </w:r>
      <w:r>
        <w:rPr>
          <w:lang w:eastAsia="cs-CZ"/>
        </w:rPr>
        <w:t xml:space="preserve">je však </w:t>
      </w:r>
      <w:r w:rsidRPr="00D17312">
        <w:rPr>
          <w:lang w:eastAsia="cs-CZ"/>
        </w:rPr>
        <w:t xml:space="preserve">rozhodně </w:t>
      </w:r>
      <w:r>
        <w:rPr>
          <w:lang w:eastAsia="cs-CZ"/>
        </w:rPr>
        <w:t>pozitivní</w:t>
      </w:r>
      <w:r w:rsidRPr="00D17312">
        <w:rPr>
          <w:lang w:eastAsia="cs-CZ"/>
        </w:rPr>
        <w:t>, že počet věcí s délkou řízení nad 400 dnů je minimální.</w:t>
      </w:r>
    </w:p>
    <w:p w:rsidR="00A4083A" w:rsidRPr="00D17312" w:rsidRDefault="00A4083A" w:rsidP="00A4083A">
      <w:pPr>
        <w:pStyle w:val="Nadpis3"/>
        <w:rPr>
          <w:color w:val="auto"/>
          <w:lang w:eastAsia="cs-CZ"/>
        </w:rPr>
      </w:pPr>
      <w:bookmarkStart w:id="652" w:name="_Toc515871288"/>
      <w:bookmarkStart w:id="653" w:name="_Toc43903100"/>
      <w:r w:rsidRPr="00D17312">
        <w:rPr>
          <w:color w:val="auto"/>
          <w:lang w:eastAsia="cs-CZ"/>
        </w:rPr>
        <w:t>Vyřizování věcí</w:t>
      </w:r>
      <w:bookmarkEnd w:id="652"/>
      <w:bookmarkEnd w:id="653"/>
    </w:p>
    <w:p w:rsidR="00A4083A" w:rsidRDefault="00A4083A" w:rsidP="00A4083A">
      <w:pPr>
        <w:pStyle w:val="OdstavecASR"/>
      </w:pPr>
      <w:r w:rsidRPr="00D17312">
        <w:t>Počet věcí opět ilustruje rozdíl ve velikosti soudů. V nápadu je vidět jisté kolísání, ale dlouho se od roku v zásadě 2010 nezměnil, což souvisí s tím, že v nápadu prvostupňové agendy u krajských soudů také nedošlo k žádné výraznější změně. V roce 2016 došlo k nárůstu v počtu nevyřízených věcí především u VS v Olomouci. Ačkoliv počet nevyřízených věcí vzrostl asi o 50</w:t>
      </w:r>
      <w:r>
        <w:t> %</w:t>
      </w:r>
      <w:r w:rsidRPr="00D17312">
        <w:t>, v absolutních číslech představuje pouze několik desítek věcí a celkový počet nevyřízených věcí je velmi malý. Jak je již uvedeno výše, počet nevyřízených věcí v roce 2018 klesl u obou soudů</w:t>
      </w:r>
      <w:r>
        <w:t>,</w:t>
      </w:r>
      <w:r w:rsidRPr="00D17312">
        <w:t xml:space="preserve"> </w:t>
      </w:r>
      <w:r>
        <w:t>u</w:t>
      </w:r>
      <w:r w:rsidRPr="00D17312">
        <w:t xml:space="preserve"> VS v Praze i přes nárůst v počtu věcí příchozích. V roce 2019 došlo k velkému poklesu v počtu příchozích věcí. V prvostupňové agendě u KS došlo jen k menšímu poklesu a u VS počet příchozích věcí mírně narostl. Jedná se tedy o zajímavý jev, který lze spíše považovat za výkyv</w:t>
      </w:r>
      <w:r>
        <w:t>; to však</w:t>
      </w:r>
      <w:r w:rsidRPr="00D17312">
        <w:t xml:space="preserve"> potvrdí až další roky. I přes pokles v počtu příchozích věcí nedošlo u VS v Praze k poklesu v počtu nevyřízených věcí. To lze přisoudit tomu, že počet nevyřízených věcí je již tak malý a</w:t>
      </w:r>
      <w:r>
        <w:t> </w:t>
      </w:r>
      <w:r w:rsidRPr="00D17312">
        <w:t>některé případy prostě není možné urychlit.</w:t>
      </w:r>
    </w:p>
    <w:p w:rsidR="00A4083A" w:rsidRDefault="00A4083A" w:rsidP="00A4083A">
      <w:pPr>
        <w:pStyle w:val="OdstavecASR"/>
      </w:pPr>
      <w:r w:rsidRPr="00D17312">
        <w:t>Naopak u VS v Olomouc došlo k nárůstu v počtu nevyřízených věcí. Pohled na časovou řadu ale ukazuje, že se jedná spíše o mírný výkyv než cokoliv jiného.</w:t>
      </w:r>
    </w:p>
    <w:p w:rsidR="00A4083A" w:rsidRPr="00D17312" w:rsidRDefault="00A4083A" w:rsidP="00A4083A">
      <w:pPr>
        <w:pStyle w:val="Podnadpis"/>
        <w:rPr>
          <w:color w:val="auto"/>
        </w:rPr>
      </w:pPr>
      <w:bookmarkStart w:id="654" w:name="_Toc515871417"/>
      <w:bookmarkStart w:id="655" w:name="_Toc11135148"/>
      <w:bookmarkStart w:id="656" w:name="_Toc43841470"/>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90</w:t>
      </w:r>
      <w:r w:rsidRPr="00D17312">
        <w:rPr>
          <w:noProof/>
          <w:color w:val="auto"/>
        </w:rPr>
        <w:fldChar w:fldCharType="end"/>
      </w:r>
      <w:r w:rsidRPr="00D17312">
        <w:rPr>
          <w:color w:val="auto"/>
        </w:rPr>
        <w:t>: VS – vyřizování odvolacích trestních věcí v letech 2008–201</w:t>
      </w:r>
      <w:bookmarkEnd w:id="654"/>
      <w:bookmarkEnd w:id="655"/>
      <w:r w:rsidRPr="00D17312">
        <w:rPr>
          <w:color w:val="auto"/>
        </w:rPr>
        <w:t>9</w:t>
      </w:r>
      <w:bookmarkEnd w:id="656"/>
    </w:p>
    <w:p w:rsidR="00A4083A" w:rsidRPr="00D17312" w:rsidRDefault="00A4083A" w:rsidP="00A4083A">
      <w:pPr>
        <w:pStyle w:val="OdstavecASR"/>
        <w:rPr>
          <w:highlight w:val="yellow"/>
        </w:rPr>
      </w:pPr>
      <w:r w:rsidRPr="00D17312">
        <w:rPr>
          <w:noProof/>
          <w:lang w:eastAsia="cs-CZ"/>
        </w:rPr>
        <w:drawing>
          <wp:inline distT="0" distB="0" distL="0" distR="0" wp14:anchorId="1D8194A0" wp14:editId="0F2F89BB">
            <wp:extent cx="5114925" cy="3743325"/>
            <wp:effectExtent l="0" t="0" r="0" b="9525"/>
            <wp:docPr id="78" name="Obráze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Nadpis3"/>
        <w:rPr>
          <w:color w:val="auto"/>
          <w:lang w:eastAsia="cs-CZ"/>
        </w:rPr>
      </w:pPr>
      <w:bookmarkStart w:id="657" w:name="_Toc515871289"/>
      <w:bookmarkStart w:id="658" w:name="_Toc43903101"/>
      <w:r w:rsidRPr="00D17312">
        <w:rPr>
          <w:color w:val="auto"/>
          <w:lang w:eastAsia="cs-CZ"/>
        </w:rPr>
        <w:t>Vyřizování věcí v přepočtu na soudce</w:t>
      </w:r>
      <w:bookmarkEnd w:id="657"/>
      <w:bookmarkEnd w:id="658"/>
    </w:p>
    <w:p w:rsidR="00A4083A" w:rsidRPr="00D17312" w:rsidRDefault="00A4083A" w:rsidP="00A4083A">
      <w:pPr>
        <w:pStyle w:val="OdstavecASR"/>
        <w:rPr>
          <w:lang w:eastAsia="cs-CZ"/>
        </w:rPr>
      </w:pPr>
      <w:r w:rsidRPr="00D17312">
        <w:rPr>
          <w:lang w:eastAsia="cs-CZ"/>
        </w:rPr>
        <w:t>Počet příchozích, vyřízených i nevyřízených věcí na soudce vždy byl u obou soudů velmi podobný. To koresponduje s tvrzením založeným na délkách řízení – oba soudy si ve vyřizování trestní odvolací agendy vedou obdobně. V letošním roce došlo ze všech diskutovaných důvodů k určitému výkyvu a VS v Praze nyní vykazuje menší počet příchozích, vyřízených i nevyřízených věcí než VS Olomouc.</w:t>
      </w:r>
    </w:p>
    <w:p w:rsidR="00A4083A" w:rsidRPr="00D17312" w:rsidRDefault="00A4083A" w:rsidP="00A4083A">
      <w:pPr>
        <w:pStyle w:val="Podnadpis"/>
        <w:rPr>
          <w:color w:val="auto"/>
        </w:rPr>
      </w:pPr>
      <w:bookmarkStart w:id="659" w:name="_Toc515871504"/>
      <w:bookmarkStart w:id="660" w:name="_Toc11133270"/>
      <w:bookmarkStart w:id="661" w:name="_Toc43931252"/>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79</w:t>
      </w:r>
      <w:r w:rsidRPr="00D17312">
        <w:rPr>
          <w:noProof/>
          <w:color w:val="auto"/>
        </w:rPr>
        <w:fldChar w:fldCharType="end"/>
      </w:r>
      <w:r w:rsidRPr="00D17312">
        <w:rPr>
          <w:color w:val="auto"/>
        </w:rPr>
        <w:t>: VS – vyřizování odvolacích trestních věcí na soudce</w:t>
      </w:r>
      <w:bookmarkEnd w:id="659"/>
      <w:bookmarkEnd w:id="660"/>
      <w:bookmarkEnd w:id="661"/>
    </w:p>
    <w:tbl>
      <w:tblPr>
        <w:tblW w:w="7721" w:type="dxa"/>
        <w:tblCellMar>
          <w:left w:w="70" w:type="dxa"/>
          <w:right w:w="70" w:type="dxa"/>
        </w:tblCellMar>
        <w:tblLook w:val="04A0" w:firstRow="1" w:lastRow="0" w:firstColumn="1" w:lastColumn="0" w:noHBand="0" w:noVBand="1"/>
      </w:tblPr>
      <w:tblGrid>
        <w:gridCol w:w="2020"/>
        <w:gridCol w:w="988"/>
        <w:gridCol w:w="1030"/>
        <w:gridCol w:w="988"/>
        <w:gridCol w:w="901"/>
        <w:gridCol w:w="764"/>
        <w:gridCol w:w="1030"/>
      </w:tblGrid>
      <w:tr w:rsidR="00A4083A" w:rsidRPr="00D17312" w:rsidTr="00A41CAB">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Soud</w:t>
            </w:r>
          </w:p>
        </w:tc>
        <w:tc>
          <w:tcPr>
            <w:tcW w:w="5701" w:type="dxa"/>
            <w:gridSpan w:val="6"/>
            <w:tcBorders>
              <w:top w:val="double" w:sz="6" w:space="0" w:color="auto"/>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věcí</w:t>
            </w:r>
          </w:p>
        </w:tc>
      </w:tr>
      <w:tr w:rsidR="00A4083A" w:rsidRPr="00D17312" w:rsidTr="00A41CAB">
        <w:trPr>
          <w:trHeight w:val="330"/>
        </w:trPr>
        <w:tc>
          <w:tcPr>
            <w:tcW w:w="2020" w:type="dxa"/>
            <w:vMerge/>
            <w:tcBorders>
              <w:top w:val="double" w:sz="6" w:space="0" w:color="auto"/>
              <w:left w:val="nil"/>
              <w:bottom w:val="double" w:sz="6" w:space="0" w:color="000000"/>
              <w:right w:val="nil"/>
            </w:tcBorders>
            <w:vAlign w:val="center"/>
            <w:hideMark/>
          </w:tcPr>
          <w:p w:rsidR="00A4083A" w:rsidRPr="00D17312" w:rsidRDefault="00A4083A" w:rsidP="00A41CAB">
            <w:pPr>
              <w:spacing w:line="240" w:lineRule="auto"/>
              <w:jc w:val="left"/>
              <w:rPr>
                <w:rFonts w:eastAsia="Times New Roman"/>
                <w:b/>
                <w:bCs/>
                <w:szCs w:val="24"/>
                <w:lang w:eastAsia="cs-CZ"/>
              </w:rPr>
            </w:pPr>
          </w:p>
        </w:tc>
        <w:tc>
          <w:tcPr>
            <w:tcW w:w="2018"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Nápad + obživa</w:t>
            </w:r>
          </w:p>
        </w:tc>
        <w:tc>
          <w:tcPr>
            <w:tcW w:w="1889" w:type="dxa"/>
            <w:gridSpan w:val="2"/>
            <w:tcBorders>
              <w:top w:val="nil"/>
              <w:left w:val="single" w:sz="4" w:space="0" w:color="auto"/>
              <w:bottom w:val="double" w:sz="6" w:space="0" w:color="auto"/>
              <w:right w:val="single" w:sz="4" w:space="0" w:color="000000"/>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Vyřízeno</w:t>
            </w:r>
          </w:p>
        </w:tc>
        <w:tc>
          <w:tcPr>
            <w:tcW w:w="1794" w:type="dxa"/>
            <w:gridSpan w:val="2"/>
            <w:tcBorders>
              <w:top w:val="nil"/>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Nevyřízeno</w:t>
            </w:r>
          </w:p>
        </w:tc>
      </w:tr>
      <w:tr w:rsidR="00A4083A" w:rsidRPr="00D17312" w:rsidTr="00A41CAB">
        <w:trPr>
          <w:trHeight w:val="330"/>
        </w:trPr>
        <w:tc>
          <w:tcPr>
            <w:tcW w:w="2020"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VS Praha</w:t>
            </w:r>
          </w:p>
        </w:tc>
        <w:tc>
          <w:tcPr>
            <w:tcW w:w="988"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34,03</w:t>
            </w:r>
          </w:p>
        </w:tc>
        <w:tc>
          <w:tcPr>
            <w:tcW w:w="1030"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-14</w:t>
            </w:r>
            <w:r>
              <w:rPr>
                <w:rFonts w:eastAsia="Times New Roman"/>
                <w:sz w:val="20"/>
                <w:szCs w:val="20"/>
                <w:lang w:eastAsia="cs-CZ"/>
              </w:rPr>
              <w:t> %</w:t>
            </w:r>
          </w:p>
        </w:tc>
        <w:tc>
          <w:tcPr>
            <w:tcW w:w="988" w:type="dxa"/>
            <w:tcBorders>
              <w:top w:val="single" w:sz="4" w:space="0" w:color="auto"/>
              <w:left w:val="single" w:sz="4" w:space="0" w:color="auto"/>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34,08</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-15</w:t>
            </w:r>
            <w:r>
              <w:rPr>
                <w:rFonts w:eastAsia="Times New Roman"/>
                <w:sz w:val="20"/>
                <w:szCs w:val="20"/>
                <w:lang w:eastAsia="cs-CZ"/>
              </w:rPr>
              <w:t> %</w:t>
            </w:r>
          </w:p>
        </w:tc>
        <w:tc>
          <w:tcPr>
            <w:tcW w:w="764" w:type="dxa"/>
            <w:tcBorders>
              <w:top w:val="single" w:sz="4" w:space="0" w:color="auto"/>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4,60</w:t>
            </w:r>
          </w:p>
        </w:tc>
        <w:tc>
          <w:tcPr>
            <w:tcW w:w="1030" w:type="dxa"/>
            <w:tcBorders>
              <w:top w:val="single" w:sz="4" w:space="0" w:color="auto"/>
              <w:left w:val="nil"/>
              <w:bottom w:val="single" w:sz="4"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w:t>
            </w:r>
            <w:r>
              <w:rPr>
                <w:rFonts w:eastAsia="Times New Roman"/>
                <w:sz w:val="20"/>
                <w:szCs w:val="20"/>
                <w:lang w:eastAsia="cs-CZ"/>
              </w:rPr>
              <w:t> %</w:t>
            </w:r>
          </w:p>
        </w:tc>
      </w:tr>
      <w:tr w:rsidR="00A4083A" w:rsidRPr="00D17312" w:rsidTr="00A41CAB">
        <w:trPr>
          <w:trHeight w:val="330"/>
        </w:trPr>
        <w:tc>
          <w:tcPr>
            <w:tcW w:w="2020" w:type="dxa"/>
            <w:tcBorders>
              <w:top w:val="nil"/>
              <w:left w:val="nil"/>
              <w:bottom w:val="nil"/>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VS Olomouc</w:t>
            </w:r>
          </w:p>
        </w:tc>
        <w:tc>
          <w:tcPr>
            <w:tcW w:w="988" w:type="dxa"/>
            <w:tcBorders>
              <w:top w:val="nil"/>
              <w:left w:val="nil"/>
              <w:bottom w:val="nil"/>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43,00</w:t>
            </w:r>
          </w:p>
        </w:tc>
        <w:tc>
          <w:tcPr>
            <w:tcW w:w="1030" w:type="dxa"/>
            <w:tcBorders>
              <w:top w:val="nil"/>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+17</w:t>
            </w:r>
            <w:r>
              <w:rPr>
                <w:rFonts w:eastAsia="Times New Roman"/>
                <w:sz w:val="20"/>
                <w:szCs w:val="20"/>
                <w:lang w:eastAsia="cs-CZ"/>
              </w:rPr>
              <w:t> %</w:t>
            </w:r>
          </w:p>
        </w:tc>
        <w:tc>
          <w:tcPr>
            <w:tcW w:w="988" w:type="dxa"/>
            <w:tcBorders>
              <w:top w:val="nil"/>
              <w:left w:val="single" w:sz="4" w:space="0" w:color="auto"/>
              <w:bottom w:val="nil"/>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41,65</w:t>
            </w:r>
          </w:p>
        </w:tc>
        <w:tc>
          <w:tcPr>
            <w:tcW w:w="901" w:type="dxa"/>
            <w:tcBorders>
              <w:top w:val="nil"/>
              <w:left w:val="nil"/>
              <w:bottom w:val="nil"/>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+9</w:t>
            </w:r>
            <w:r>
              <w:rPr>
                <w:rFonts w:eastAsia="Times New Roman"/>
                <w:sz w:val="20"/>
                <w:szCs w:val="20"/>
                <w:lang w:eastAsia="cs-CZ"/>
              </w:rPr>
              <w:t> %</w:t>
            </w:r>
          </w:p>
        </w:tc>
        <w:tc>
          <w:tcPr>
            <w:tcW w:w="764" w:type="dxa"/>
            <w:tcBorders>
              <w:top w:val="nil"/>
              <w:left w:val="nil"/>
              <w:bottom w:val="nil"/>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6,53</w:t>
            </w:r>
          </w:p>
        </w:tc>
        <w:tc>
          <w:tcPr>
            <w:tcW w:w="1030" w:type="dxa"/>
            <w:tcBorders>
              <w:top w:val="nil"/>
              <w:left w:val="nil"/>
              <w:bottom w:val="nil"/>
              <w:right w:val="nil"/>
            </w:tcBorders>
            <w:shd w:val="clear" w:color="auto" w:fill="auto"/>
            <w:noWrap/>
            <w:vAlign w:val="center"/>
            <w:hideMark/>
          </w:tcPr>
          <w:p w:rsidR="00A4083A" w:rsidRPr="00D17312" w:rsidRDefault="00A4083A" w:rsidP="00A41CAB">
            <w:pPr>
              <w:spacing w:line="240" w:lineRule="auto"/>
              <w:jc w:val="center"/>
              <w:rPr>
                <w:rFonts w:eastAsia="Times New Roman"/>
                <w:sz w:val="20"/>
                <w:szCs w:val="20"/>
                <w:lang w:eastAsia="cs-CZ"/>
              </w:rPr>
            </w:pPr>
            <w:r w:rsidRPr="00D17312">
              <w:rPr>
                <w:rFonts w:eastAsia="Times New Roman"/>
                <w:sz w:val="20"/>
                <w:szCs w:val="20"/>
                <w:lang w:eastAsia="cs-CZ"/>
              </w:rPr>
              <w:t>+26</w:t>
            </w:r>
            <w:r>
              <w:rPr>
                <w:rFonts w:eastAsia="Times New Roman"/>
                <w:sz w:val="20"/>
                <w:szCs w:val="20"/>
                <w:lang w:eastAsia="cs-CZ"/>
              </w:rPr>
              <w:t> %</w:t>
            </w:r>
          </w:p>
        </w:tc>
      </w:tr>
      <w:tr w:rsidR="00A4083A" w:rsidRPr="00D17312" w:rsidTr="00A41CAB">
        <w:trPr>
          <w:trHeight w:val="345"/>
        </w:trPr>
        <w:tc>
          <w:tcPr>
            <w:tcW w:w="2020" w:type="dxa"/>
            <w:tcBorders>
              <w:top w:val="double" w:sz="6" w:space="0" w:color="auto"/>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988" w:type="dxa"/>
            <w:tcBorders>
              <w:top w:val="double" w:sz="6" w:space="0" w:color="auto"/>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36,70</w:t>
            </w:r>
          </w:p>
        </w:tc>
        <w:tc>
          <w:tcPr>
            <w:tcW w:w="103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-5</w:t>
            </w:r>
            <w:r>
              <w:rPr>
                <w:rFonts w:eastAsia="Times New Roman"/>
                <w:b/>
                <w:bCs/>
                <w:sz w:val="20"/>
                <w:szCs w:val="20"/>
                <w:lang w:eastAsia="cs-CZ"/>
              </w:rPr>
              <w:t> %</w:t>
            </w:r>
          </w:p>
        </w:tc>
        <w:tc>
          <w:tcPr>
            <w:tcW w:w="988" w:type="dxa"/>
            <w:tcBorders>
              <w:top w:val="double" w:sz="6" w:space="0" w:color="auto"/>
              <w:left w:val="single" w:sz="4" w:space="0" w:color="auto"/>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36,33</w:t>
            </w:r>
          </w:p>
        </w:tc>
        <w:tc>
          <w:tcPr>
            <w:tcW w:w="901" w:type="dxa"/>
            <w:tcBorders>
              <w:top w:val="double" w:sz="6" w:space="0" w:color="auto"/>
              <w:left w:val="nil"/>
              <w:bottom w:val="double" w:sz="6" w:space="0" w:color="auto"/>
              <w:right w:val="single" w:sz="4" w:space="0" w:color="auto"/>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-8</w:t>
            </w:r>
            <w:r>
              <w:rPr>
                <w:rFonts w:eastAsia="Times New Roman"/>
                <w:b/>
                <w:bCs/>
                <w:sz w:val="20"/>
                <w:szCs w:val="20"/>
                <w:lang w:eastAsia="cs-CZ"/>
              </w:rPr>
              <w:t> %</w:t>
            </w:r>
          </w:p>
        </w:tc>
        <w:tc>
          <w:tcPr>
            <w:tcW w:w="764" w:type="dxa"/>
            <w:tcBorders>
              <w:top w:val="double" w:sz="6" w:space="0" w:color="auto"/>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5,18</w:t>
            </w:r>
          </w:p>
        </w:tc>
        <w:tc>
          <w:tcPr>
            <w:tcW w:w="103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 w:val="20"/>
                <w:szCs w:val="20"/>
                <w:lang w:eastAsia="cs-CZ"/>
              </w:rPr>
            </w:pPr>
            <w:r w:rsidRPr="00D17312">
              <w:rPr>
                <w:rFonts w:eastAsia="Times New Roman"/>
                <w:b/>
                <w:bCs/>
                <w:sz w:val="20"/>
                <w:szCs w:val="20"/>
                <w:lang w:eastAsia="cs-CZ"/>
              </w:rPr>
              <w:t>+8</w:t>
            </w:r>
            <w:r>
              <w:rPr>
                <w:rFonts w:eastAsia="Times New Roman"/>
                <w:b/>
                <w:bCs/>
                <w:sz w:val="20"/>
                <w:szCs w:val="20"/>
                <w:lang w:eastAsia="cs-CZ"/>
              </w:rPr>
              <w:t> %</w:t>
            </w:r>
          </w:p>
        </w:tc>
      </w:tr>
    </w:tbl>
    <w:p w:rsidR="00A4083A" w:rsidRPr="00D17312" w:rsidRDefault="00A4083A" w:rsidP="00A4083A">
      <w:pPr>
        <w:pStyle w:val="OdstavecASR"/>
        <w:rPr>
          <w:highlight w:val="yellow"/>
        </w:rPr>
      </w:pPr>
    </w:p>
    <w:p w:rsidR="00A4083A" w:rsidRPr="00D17312" w:rsidRDefault="00A4083A" w:rsidP="00A4083A">
      <w:pPr>
        <w:pStyle w:val="Nadpis3"/>
        <w:keepNext w:val="0"/>
        <w:rPr>
          <w:color w:val="auto"/>
          <w:lang w:eastAsia="cs-CZ"/>
        </w:rPr>
      </w:pPr>
      <w:bookmarkStart w:id="662" w:name="_Toc515871290"/>
      <w:bookmarkStart w:id="663" w:name="_Toc43903102"/>
      <w:r w:rsidRPr="00D17312">
        <w:rPr>
          <w:color w:val="auto"/>
          <w:lang w:eastAsia="cs-CZ"/>
        </w:rPr>
        <w:t>Disposition time</w:t>
      </w:r>
      <w:bookmarkEnd w:id="662"/>
      <w:bookmarkEnd w:id="663"/>
    </w:p>
    <w:p w:rsidR="00A4083A" w:rsidRPr="00D17312" w:rsidRDefault="00A4083A" w:rsidP="00A4083A">
      <w:pPr>
        <w:rPr>
          <w:lang w:eastAsia="cs-CZ"/>
        </w:rPr>
      </w:pPr>
      <w:bookmarkStart w:id="664" w:name="_Toc515871418"/>
      <w:bookmarkStart w:id="665" w:name="_Toc11135149"/>
      <w:r w:rsidRPr="00D17312">
        <w:t>DT opět potvrzuje to, co ukazují předchozí podkapitoly. Nejdůležitější</w:t>
      </w:r>
      <w:r>
        <w:t>m závěrem</w:t>
      </w:r>
      <w:r w:rsidRPr="00D17312">
        <w:t xml:space="preserve"> je, že DT, tedy poměr mezi nevyřízenými a vyřízenými věcmi, je nízký. Především u VS v Olomouci je pak DT značně nestabilní</w:t>
      </w:r>
      <w:r>
        <w:t>;</w:t>
      </w:r>
      <w:r w:rsidRPr="00D17312">
        <w:t xml:space="preserve"> zejména nárůst v roce 2016 je velmi výrazný</w:t>
      </w:r>
      <w:r>
        <w:t>,</w:t>
      </w:r>
      <w:r w:rsidRPr="00D17312">
        <w:t xml:space="preserve"> </w:t>
      </w:r>
      <w:r>
        <w:t>c</w:t>
      </w:r>
      <w:r w:rsidRPr="00D17312">
        <w:t>ož plyne z dlouhodobě velmi malého počtu nevyřízených věcí. Při takto malých číslech se změna v počtu nevyřízených věcí o několik desítek silně projeví v DT. V reálném fungování nebo zatíženosti soudu k (téměř) žádné změně nedojde. V následujících dvou letech opět došlo k poklesu a DT se tak opět dostal přibližně na předchozí úroveň, v roce 2019 opět stoupl.</w:t>
      </w:r>
    </w:p>
    <w:p w:rsidR="00A4083A" w:rsidRPr="00D17312" w:rsidRDefault="00A4083A" w:rsidP="00A4083A">
      <w:pPr>
        <w:pStyle w:val="Podnadpis"/>
        <w:rPr>
          <w:color w:val="auto"/>
        </w:rPr>
      </w:pPr>
      <w:bookmarkStart w:id="666" w:name="_Toc43841471"/>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91</w:t>
      </w:r>
      <w:r w:rsidRPr="00D17312">
        <w:rPr>
          <w:noProof/>
          <w:color w:val="auto"/>
        </w:rPr>
        <w:fldChar w:fldCharType="end"/>
      </w:r>
      <w:r w:rsidRPr="00D17312">
        <w:rPr>
          <w:color w:val="auto"/>
        </w:rPr>
        <w:t>: VS – DT trestního odvolacího řízení v letech 2008–201</w:t>
      </w:r>
      <w:bookmarkEnd w:id="664"/>
      <w:bookmarkEnd w:id="665"/>
      <w:r w:rsidRPr="00D17312">
        <w:rPr>
          <w:color w:val="auto"/>
        </w:rPr>
        <w:t>9</w:t>
      </w:r>
      <w:bookmarkEnd w:id="666"/>
    </w:p>
    <w:p w:rsidR="00A4083A" w:rsidRPr="00D17312" w:rsidRDefault="00A4083A" w:rsidP="00A4083A">
      <w:pPr>
        <w:pStyle w:val="OdstavecASR"/>
        <w:rPr>
          <w:highlight w:val="yellow"/>
        </w:rPr>
      </w:pPr>
      <w:r w:rsidRPr="00D17312">
        <w:rPr>
          <w:noProof/>
          <w:lang w:eastAsia="cs-CZ"/>
        </w:rPr>
        <w:drawing>
          <wp:inline distT="0" distB="0" distL="0" distR="0" wp14:anchorId="2DC388FA" wp14:editId="416AA195">
            <wp:extent cx="5114925" cy="3743325"/>
            <wp:effectExtent l="0" t="0" r="0" b="9525"/>
            <wp:docPr id="137" name="Obráze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rPr>
          <w:lang w:eastAsia="cs-CZ"/>
        </w:rPr>
      </w:pPr>
      <w:r w:rsidRPr="00D17312">
        <w:t>Situaci v této agendě lze shrnout asi tak, že ani jeden ze soudů nevykazuje problém s jejím vyřizováním a oba soudy ji vyřizují přibližně stejně rychle. V některých ukazatelích vykazuje lepší výsledky Praha, v jiných Olomouc. Tento rok má lepší statistiky VS Praha. Data v některých obdobích vykazují určité výkyvy, které jsou způsobeny tím, že počet pozorování (např. počet pravomocně skončených věcí) je malý.</w:t>
      </w:r>
    </w:p>
    <w:p w:rsidR="00A4083A" w:rsidRPr="00D17312" w:rsidRDefault="00A4083A" w:rsidP="00A4083A">
      <w:pPr>
        <w:spacing w:line="240" w:lineRule="auto"/>
        <w:jc w:val="left"/>
        <w:rPr>
          <w:highlight w:val="yellow"/>
        </w:rPr>
      </w:pPr>
      <w:r w:rsidRPr="00D17312">
        <w:rPr>
          <w:highlight w:val="yellow"/>
        </w:rPr>
        <w:br w:type="page"/>
      </w:r>
    </w:p>
    <w:p w:rsidR="00A4083A" w:rsidRPr="00D17312" w:rsidRDefault="00A4083A" w:rsidP="00A4083A">
      <w:pPr>
        <w:pStyle w:val="Nadpis2"/>
      </w:pPr>
      <w:bookmarkStart w:id="667" w:name="_Toc487791293"/>
      <w:bookmarkStart w:id="668" w:name="_Toc515871291"/>
      <w:bookmarkStart w:id="669" w:name="_Toc43903103"/>
      <w:r w:rsidRPr="00D17312">
        <w:lastRenderedPageBreak/>
        <w:t>Insolvenční agenda – II. stupeň</w:t>
      </w:r>
      <w:bookmarkEnd w:id="667"/>
      <w:bookmarkEnd w:id="668"/>
      <w:bookmarkEnd w:id="669"/>
    </w:p>
    <w:p w:rsidR="00A4083A" w:rsidRPr="00D17312" w:rsidRDefault="00A4083A" w:rsidP="00A4083A">
      <w:pPr>
        <w:pStyle w:val="OdstavecASR"/>
      </w:pPr>
      <w:r w:rsidRPr="00D17312">
        <w:t>Vrchní soudy vyřizují také insolvenční agendu v druhém stupni, to znamená především odvolání podaná proti rozhodnutí prvostupňových krajských insolvenčních soudů v rejstříku INS. Dále jsou do této agendy zahrnuta řízení o podjatosti, řízení o přikázání věci a řízení o příslušnosti vztahující se k insolvenčnímu řízení. Počet napadlých věcí v těchto agendách se však pohybuje v řádech jednotek. V insolvenční agendě nejsou k dispozici délky řízení a nelze ani provést přepočet na jednoho soudce.</w:t>
      </w:r>
    </w:p>
    <w:p w:rsidR="00A4083A" w:rsidRPr="00D17312" w:rsidRDefault="00A4083A" w:rsidP="00A4083A">
      <w:pPr>
        <w:pStyle w:val="Nadpis3"/>
        <w:rPr>
          <w:color w:val="auto"/>
          <w:lang w:eastAsia="cs-CZ"/>
        </w:rPr>
      </w:pPr>
      <w:bookmarkStart w:id="670" w:name="_Toc515871292"/>
      <w:bookmarkStart w:id="671" w:name="_Toc43903104"/>
      <w:r w:rsidRPr="00D17312">
        <w:rPr>
          <w:color w:val="auto"/>
          <w:lang w:eastAsia="cs-CZ"/>
        </w:rPr>
        <w:t>Vyřizování věcí</w:t>
      </w:r>
      <w:bookmarkEnd w:id="670"/>
      <w:bookmarkEnd w:id="671"/>
    </w:p>
    <w:p w:rsidR="00A4083A" w:rsidRDefault="00A4083A" w:rsidP="00A4083A">
      <w:pPr>
        <w:pStyle w:val="OdstavecASR"/>
      </w:pPr>
      <w:bookmarkStart w:id="672" w:name="_Ref511907845"/>
      <w:bookmarkStart w:id="673" w:name="_Toc515871419"/>
      <w:bookmarkStart w:id="674" w:name="_Toc11135150"/>
      <w:r w:rsidRPr="00D17312">
        <w:t xml:space="preserve">Z grafu je patrný velký nárůst v nápadu i počtu vyřízených věcí do roku 2014. Důvody jsou stejné jako v případě insolvenční agendy u prvostupňových soudů, tedy skutečnost, že rejstřík vznikl v roce 2008 a logicky trvá několik let, než se nápad ustálí. U odvolání dojde ke stabilizaci s určitým zpožděním oproti prvostupňové agendě. U VS Praha začal nápad klesat v roce 2015, u VS Olomouc došlo k poklesu až v roce 2017. I v roce 2018 se snížil počet napadlých a obživlých věcí, </w:t>
      </w:r>
      <w:r>
        <w:t xml:space="preserve">což </w:t>
      </w:r>
      <w:r w:rsidRPr="00D17312">
        <w:t>se však neodrazil</w:t>
      </w:r>
      <w:r>
        <w:t>o</w:t>
      </w:r>
      <w:r w:rsidRPr="00D17312">
        <w:t xml:space="preserve"> v počtu nevyřízených věcí</w:t>
      </w:r>
      <w:r>
        <w:t>;</w:t>
      </w:r>
      <w:r w:rsidRPr="00D17312">
        <w:t xml:space="preserve"> </w:t>
      </w:r>
      <w:r>
        <w:t xml:space="preserve">ten </w:t>
      </w:r>
      <w:r w:rsidRPr="00D17312">
        <w:t xml:space="preserve">se v roce 2018 </w:t>
      </w:r>
      <w:r>
        <w:t>u</w:t>
      </w:r>
      <w:r w:rsidRPr="00D17312">
        <w:t xml:space="preserve"> VS Praha zvýšil téměř o</w:t>
      </w:r>
      <w:r>
        <w:t> </w:t>
      </w:r>
      <w:r w:rsidRPr="00D17312">
        <w:t>13</w:t>
      </w:r>
      <w:r>
        <w:t> %</w:t>
      </w:r>
      <w:r w:rsidRPr="00D17312">
        <w:t xml:space="preserve"> </w:t>
      </w:r>
      <w:r>
        <w:t>a u</w:t>
      </w:r>
      <w:r w:rsidRPr="00D17312">
        <w:t xml:space="preserve"> VS Olomouc stagnoval. Oproti předchozímu roku se situace u obou soudů již nezlepšovala. Je třeba poznamenat, že pokles v počtu příchozích věcí v letech 2017 a 2018 je opravdu vysoký. Počet příchozích věcí v roce 2018 byl u VS v Praze ve srovnání s rokem 2016 o</w:t>
      </w:r>
      <w:r>
        <w:t> </w:t>
      </w:r>
      <w:r w:rsidRPr="00D17312">
        <w:t>24</w:t>
      </w:r>
      <w:r>
        <w:t> %</w:t>
      </w:r>
      <w:r w:rsidRPr="00D17312">
        <w:t xml:space="preserve"> nižší. U VS v Olomouci byl nižší dokonce o 47</w:t>
      </w:r>
      <w:r>
        <w:t> %</w:t>
      </w:r>
      <w:r w:rsidRPr="00D17312">
        <w:t>. V roce 2019 počet příchozích věcí stagnoval a byl nižší než počet věcí vyřízených. U obou soudů tedy došlo k poklesu v počtu nevyřízených věcí. Do budoucna lze zřejmě očekávat nárůst v počtu příchozích věcí, neboť po poslední novele insolvenčního zákona narostla prvostupňová agenda u krajských soudů.</w:t>
      </w:r>
    </w:p>
    <w:p w:rsidR="00A4083A" w:rsidRPr="008E15C1" w:rsidRDefault="00A4083A" w:rsidP="00A4083A">
      <w:pPr>
        <w:pStyle w:val="Podnadpis"/>
      </w:pPr>
      <w:bookmarkStart w:id="675" w:name="_Ref43837240"/>
      <w:bookmarkStart w:id="676" w:name="_Ref43837233"/>
      <w:bookmarkStart w:id="677" w:name="_Toc43841472"/>
      <w:r w:rsidRPr="008E15C1">
        <w:t xml:space="preserve">Graf </w:t>
      </w:r>
      <w:r>
        <w:rPr>
          <w:noProof/>
        </w:rPr>
        <w:fldChar w:fldCharType="begin"/>
      </w:r>
      <w:r>
        <w:rPr>
          <w:noProof/>
        </w:rPr>
        <w:instrText xml:space="preserve"> SEQ Graf \* ARABIC </w:instrText>
      </w:r>
      <w:r>
        <w:rPr>
          <w:noProof/>
        </w:rPr>
        <w:fldChar w:fldCharType="separate"/>
      </w:r>
      <w:r w:rsidR="006E7F27">
        <w:rPr>
          <w:noProof/>
        </w:rPr>
        <w:t>92</w:t>
      </w:r>
      <w:r>
        <w:rPr>
          <w:noProof/>
        </w:rPr>
        <w:fldChar w:fldCharType="end"/>
      </w:r>
      <w:bookmarkEnd w:id="672"/>
      <w:bookmarkEnd w:id="675"/>
      <w:r w:rsidRPr="008E15C1">
        <w:t>: VS – vyřizování insolvenční agendy v letech 2010–201</w:t>
      </w:r>
      <w:bookmarkEnd w:id="673"/>
      <w:bookmarkEnd w:id="674"/>
      <w:r w:rsidRPr="008E15C1">
        <w:t>9</w:t>
      </w:r>
      <w:bookmarkEnd w:id="676"/>
      <w:bookmarkEnd w:id="677"/>
    </w:p>
    <w:p w:rsidR="00A4083A" w:rsidRPr="008E15C1" w:rsidRDefault="00A4083A" w:rsidP="00A4083A">
      <w:pPr>
        <w:spacing w:line="240" w:lineRule="auto"/>
        <w:jc w:val="left"/>
        <w:rPr>
          <w:highlight w:val="yellow"/>
        </w:rPr>
      </w:pPr>
      <w:r w:rsidRPr="00064C41">
        <w:rPr>
          <w:noProof/>
          <w:lang w:eastAsia="cs-CZ"/>
        </w:rPr>
        <w:drawing>
          <wp:inline distT="0" distB="0" distL="0" distR="0" wp14:anchorId="32C5A4E6" wp14:editId="6353E83D">
            <wp:extent cx="5112385" cy="3745230"/>
            <wp:effectExtent l="0" t="0" r="0" b="7620"/>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A4083A" w:rsidRPr="00D17312" w:rsidRDefault="00A4083A" w:rsidP="00A4083A">
      <w:pPr>
        <w:pStyle w:val="Nadpis3"/>
        <w:rPr>
          <w:color w:val="auto"/>
          <w:lang w:eastAsia="cs-CZ"/>
        </w:rPr>
      </w:pPr>
      <w:bookmarkStart w:id="678" w:name="_Toc515871293"/>
      <w:bookmarkStart w:id="679" w:name="_Toc43903105"/>
      <w:r w:rsidRPr="00D17312">
        <w:rPr>
          <w:color w:val="auto"/>
          <w:lang w:eastAsia="cs-CZ"/>
        </w:rPr>
        <w:lastRenderedPageBreak/>
        <w:t>Disposition time</w:t>
      </w:r>
      <w:bookmarkEnd w:id="678"/>
      <w:bookmarkEnd w:id="679"/>
    </w:p>
    <w:p w:rsidR="00A4083A" w:rsidRPr="00D17312" w:rsidRDefault="00A4083A" w:rsidP="00A4083A">
      <w:pPr>
        <w:pStyle w:val="Podnadpis"/>
        <w:rPr>
          <w:color w:val="auto"/>
        </w:rPr>
      </w:pPr>
      <w:bookmarkStart w:id="680" w:name="_Toc515871420"/>
      <w:bookmarkStart w:id="681" w:name="_Toc11135151"/>
      <w:bookmarkStart w:id="682" w:name="_Toc43841473"/>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93</w:t>
      </w:r>
      <w:r w:rsidRPr="00D17312">
        <w:rPr>
          <w:noProof/>
          <w:color w:val="auto"/>
        </w:rPr>
        <w:fldChar w:fldCharType="end"/>
      </w:r>
      <w:r w:rsidRPr="00D17312">
        <w:rPr>
          <w:color w:val="auto"/>
        </w:rPr>
        <w:t>: VS – DT v insolvenční agendě v letech 2010–201</w:t>
      </w:r>
      <w:bookmarkEnd w:id="680"/>
      <w:bookmarkEnd w:id="681"/>
      <w:r w:rsidRPr="00D17312">
        <w:rPr>
          <w:color w:val="auto"/>
        </w:rPr>
        <w:t>9</w:t>
      </w:r>
      <w:bookmarkEnd w:id="682"/>
    </w:p>
    <w:p w:rsidR="00A4083A" w:rsidRPr="00D17312" w:rsidRDefault="00A4083A" w:rsidP="00A4083A">
      <w:pPr>
        <w:pStyle w:val="Podnadpis"/>
        <w:rPr>
          <w:color w:val="auto"/>
          <w:highlight w:val="yellow"/>
        </w:rPr>
      </w:pPr>
      <w:r w:rsidRPr="00D17312">
        <w:rPr>
          <w:noProof/>
          <w:color w:val="auto"/>
          <w:lang w:eastAsia="cs-CZ"/>
        </w:rPr>
        <w:drawing>
          <wp:inline distT="0" distB="0" distL="0" distR="0" wp14:anchorId="25016073" wp14:editId="40DDF205">
            <wp:extent cx="5114925" cy="3743325"/>
            <wp:effectExtent l="0" t="0" r="0" b="9525"/>
            <wp:docPr id="139" name="Obráze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pPr>
      <w:r w:rsidRPr="00D17312">
        <w:t>Z dat byl patrný zřetelný klesající trend u VS v Praze. Zejména v letech 2016 a 2017 došlo k obzvláště významnému poklesu vyplývajícímu z výše popsaných změn v počtu nevyřízených věcí. U VS v Olomouci došlo také k obrovskému poklesu v DT. Pokles v obou případech plyne z poklesu v počtu nevyřízených věcí a ten zase plyne především ze snížení nápadu. Vzhledem k poměrně velkým změnám v počtu vyřízených a nevyřízených věcí je DT v této agendě proměnlivý. Ačkoliv není pro tuto agendu k dispozici mnoho dat, můžeme dojít k závěru, že v roce 2017 byla z hlediska vyřizování věcí pro oba soudy bezproblémová. V roce 2018 došlo k výraznému růstu DT u obou soudů, protože počet vyřízených věcí výrazně poklesl, zatímco počet nevyřízených věcí mírně rostl nebo stagnoval. V roce 2019 klesl počet nevyřízených věcí za víceméně konstantního počtu vyřízených věcí, což vedlo k poklesu DT. Agenda se stále jeví poměrně bezproblémově, neboť už jen díky poklesu v počtu příchozích věcí jsou soudy méně zatížené.</w:t>
      </w:r>
    </w:p>
    <w:p w:rsidR="00A4083A" w:rsidRPr="00D17312" w:rsidRDefault="00A4083A" w:rsidP="00A4083A">
      <w:pPr>
        <w:spacing w:line="240" w:lineRule="auto"/>
        <w:jc w:val="left"/>
        <w:rPr>
          <w:highlight w:val="yellow"/>
        </w:rPr>
      </w:pPr>
      <w:r w:rsidRPr="00D17312">
        <w:rPr>
          <w:highlight w:val="yellow"/>
        </w:rPr>
        <w:br w:type="page"/>
      </w:r>
    </w:p>
    <w:p w:rsidR="00A4083A" w:rsidRPr="00D17312" w:rsidRDefault="00A4083A" w:rsidP="00A4083A">
      <w:pPr>
        <w:pStyle w:val="Nadpis2"/>
      </w:pPr>
      <w:bookmarkStart w:id="683" w:name="_Toc43903106"/>
      <w:r w:rsidRPr="00D17312">
        <w:lastRenderedPageBreak/>
        <w:t>Incidenční spory – II. stupeň</w:t>
      </w:r>
      <w:bookmarkEnd w:id="683"/>
    </w:p>
    <w:p w:rsidR="00A4083A" w:rsidRDefault="00A4083A" w:rsidP="00A4083A">
      <w:r w:rsidRPr="00D17312">
        <w:t>Stejně jako ve většině ostatních agend i v incidenčních sporech je možné podat odvolání. Prvostupňovou agendu vyřizují krajské soudy a odvolací (druhostupňová) agenda tedy napadá na soudy vrchní.</w:t>
      </w:r>
    </w:p>
    <w:p w:rsidR="00A4083A" w:rsidRDefault="00A4083A" w:rsidP="00A4083A">
      <w:r w:rsidRPr="00D17312">
        <w:t>Délku řízení je možné zjistit ze statistických listů civilních a vyřizování věcí je opět možno zjistit z výkazů. U této agendy tedy budeme zkoumat délky řízení, vyřizování věcí a disposition time.</w:t>
      </w:r>
    </w:p>
    <w:p w:rsidR="00A4083A" w:rsidRPr="00D17312" w:rsidRDefault="00A4083A" w:rsidP="00A4083A">
      <w:pPr>
        <w:pStyle w:val="Nadpis3"/>
        <w:rPr>
          <w:color w:val="auto"/>
        </w:rPr>
      </w:pPr>
      <w:bookmarkStart w:id="684" w:name="_Toc43903107"/>
      <w:r w:rsidRPr="00D17312">
        <w:rPr>
          <w:color w:val="auto"/>
        </w:rPr>
        <w:t>Délka řízení</w:t>
      </w:r>
      <w:bookmarkEnd w:id="684"/>
    </w:p>
    <w:p w:rsidR="00A4083A" w:rsidRDefault="00A4083A" w:rsidP="00A4083A">
      <w:pPr>
        <w:pStyle w:val="OdstavecASR"/>
      </w:pPr>
      <w:r w:rsidRPr="00D17312">
        <w:t>Jde o délku řízení v kalendářních dnech ode dne nápadu u odvolacího soudu do dne vyřízení věci odvolacím soudem.</w:t>
      </w:r>
    </w:p>
    <w:p w:rsidR="00A4083A" w:rsidRPr="00D17312" w:rsidRDefault="00A4083A" w:rsidP="00A4083A">
      <w:pPr>
        <w:pStyle w:val="Podnadpis"/>
        <w:rPr>
          <w:color w:val="auto"/>
        </w:rPr>
      </w:pPr>
      <w:bookmarkStart w:id="685" w:name="_Toc43841474"/>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94</w:t>
      </w:r>
      <w:r w:rsidRPr="00D17312">
        <w:rPr>
          <w:noProof/>
          <w:color w:val="auto"/>
        </w:rPr>
        <w:fldChar w:fldCharType="end"/>
      </w:r>
      <w:r w:rsidRPr="00D17312">
        <w:rPr>
          <w:color w:val="auto"/>
        </w:rPr>
        <w:t>: VS – délka odvolacího řízení incidenčních sporů v letech 2011–2019</w:t>
      </w:r>
      <w:bookmarkEnd w:id="685"/>
    </w:p>
    <w:p w:rsidR="00A4083A" w:rsidRPr="00D17312" w:rsidRDefault="00A4083A" w:rsidP="00A4083A">
      <w:pPr>
        <w:pStyle w:val="OdstavecASR"/>
        <w:rPr>
          <w:highlight w:val="yellow"/>
        </w:rPr>
      </w:pPr>
      <w:r w:rsidRPr="00D17312">
        <w:rPr>
          <w:noProof/>
          <w:lang w:eastAsia="cs-CZ"/>
        </w:rPr>
        <w:drawing>
          <wp:inline distT="0" distB="0" distL="0" distR="0" wp14:anchorId="1D9A8648" wp14:editId="4C1E312D">
            <wp:extent cx="5114925" cy="3743325"/>
            <wp:effectExtent l="0" t="0" r="0" b="9525"/>
            <wp:docPr id="82" name="Obráze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pPr>
      <w:r w:rsidRPr="00D17312">
        <w:t>Na grafu lze vyčíst několik zajímavých údajů, například:</w:t>
      </w:r>
    </w:p>
    <w:p w:rsidR="00A4083A" w:rsidRPr="00D17312" w:rsidRDefault="00A4083A" w:rsidP="00A4083A">
      <w:pPr>
        <w:pStyle w:val="OdstavecASR"/>
        <w:numPr>
          <w:ilvl w:val="0"/>
          <w:numId w:val="26"/>
        </w:numPr>
      </w:pPr>
      <w:r w:rsidRPr="00D17312">
        <w:t xml:space="preserve">VS Praha má výrazně vyšší délky řízení. Rozdíl je ale mnohem větší u průměru a 90. percentil než u mediánu. To naznačuje, že VS Olomouc má mnohem méně extrémních hodnot než VS Praha, tedy velmi dlouhých řízení. </w:t>
      </w:r>
      <w:r>
        <w:t>Tento závěr</w:t>
      </w:r>
      <w:r w:rsidRPr="00D17312">
        <w:t xml:space="preserve"> potvrzuje i</w:t>
      </w:r>
      <w:r>
        <w:t> </w:t>
      </w:r>
      <w:r w:rsidRPr="00D17312">
        <w:t xml:space="preserve">histogram níže. VS Olomouc nevykázal řízení s délkou řízení větší než 300 dnů, zatímco VS Praha </w:t>
      </w:r>
      <w:r>
        <w:t>taková</w:t>
      </w:r>
      <w:r w:rsidRPr="00D17312">
        <w:t xml:space="preserve"> řízení vykazuje.</w:t>
      </w:r>
    </w:p>
    <w:p w:rsidR="00A4083A" w:rsidRPr="00D17312" w:rsidRDefault="00A4083A" w:rsidP="00A4083A">
      <w:pPr>
        <w:pStyle w:val="OdstavecASR"/>
        <w:numPr>
          <w:ilvl w:val="0"/>
          <w:numId w:val="26"/>
        </w:numPr>
      </w:pPr>
      <w:r w:rsidRPr="00D17312">
        <w:t>I vývoje délky řízení se se u obou soudů liší. U obou soudů byla délka řízení nízká a následně rostla. Malá délka řízení byla způsobena, jako například u incidenčních sporů I. stupně tím, že agenda byla poměrně nová. Délka řízení nakonec u VS v Olomouci klesla v roce 2017 a již zůstala nízká. U VS v Praze došlo k poklesu v roce 2019 a není jisté, zda jde o výkyv či trvalý pokles.</w:t>
      </w:r>
    </w:p>
    <w:p w:rsidR="00A4083A" w:rsidRPr="00D17312" w:rsidRDefault="00A4083A" w:rsidP="00A4083A">
      <w:pPr>
        <w:pStyle w:val="OdstavecASR"/>
        <w:numPr>
          <w:ilvl w:val="0"/>
          <w:numId w:val="26"/>
        </w:numPr>
      </w:pPr>
      <w:r w:rsidRPr="00D17312">
        <w:lastRenderedPageBreak/>
        <w:t>V absolutních číslech jsou délky řízení nízké jako u ostatních odvolacích agend a jsou tedy výrazně nižší než u agendy prvostupňové.</w:t>
      </w:r>
    </w:p>
    <w:p w:rsidR="00A4083A" w:rsidRDefault="00A4083A" w:rsidP="00A4083A">
      <w:pPr>
        <w:pStyle w:val="OdstavecASR"/>
        <w:numPr>
          <w:ilvl w:val="0"/>
          <w:numId w:val="26"/>
        </w:numPr>
      </w:pPr>
      <w:r w:rsidRPr="00D17312">
        <w:t>Za povšimnutí rovněž stojí fakt, že u VS v Olomouci je velmi vyrovnaná mediánová a průměrná délka řízení. V roce 2014 byl medián dokonce vyšší než průměr. To opět ukazuje na nepřítomnost extrémních hodnot.</w:t>
      </w:r>
    </w:p>
    <w:p w:rsidR="00A4083A" w:rsidRPr="00D17312" w:rsidRDefault="00A4083A" w:rsidP="00A4083A">
      <w:pPr>
        <w:pStyle w:val="Podnadpis"/>
        <w:rPr>
          <w:color w:val="auto"/>
          <w:highlight w:val="yellow"/>
        </w:rPr>
      </w:pPr>
      <w:bookmarkStart w:id="686" w:name="_Toc43841475"/>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95</w:t>
      </w:r>
      <w:r w:rsidRPr="00D17312">
        <w:rPr>
          <w:noProof/>
          <w:color w:val="auto"/>
        </w:rPr>
        <w:fldChar w:fldCharType="end"/>
      </w:r>
      <w:r w:rsidRPr="00D17312">
        <w:rPr>
          <w:color w:val="auto"/>
        </w:rPr>
        <w:t>: VS – distribuce délek odvolacího řízení v incidenčních sporech</w:t>
      </w:r>
      <w:bookmarkEnd w:id="686"/>
    </w:p>
    <w:p w:rsidR="00A4083A" w:rsidRPr="00D17312" w:rsidRDefault="00A4083A" w:rsidP="00A4083A">
      <w:pPr>
        <w:pStyle w:val="OdstavecASR"/>
        <w:rPr>
          <w:highlight w:val="yellow"/>
        </w:rPr>
      </w:pPr>
      <w:r w:rsidRPr="00D17312">
        <w:rPr>
          <w:noProof/>
          <w:lang w:eastAsia="cs-CZ"/>
        </w:rPr>
        <w:drawing>
          <wp:inline distT="0" distB="0" distL="0" distR="0" wp14:anchorId="3D516DF4" wp14:editId="77F404FA">
            <wp:extent cx="5114925" cy="3743325"/>
            <wp:effectExtent l="0" t="0" r="0" b="9525"/>
            <wp:docPr id="83" name="Obráze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Nadpis3"/>
        <w:rPr>
          <w:color w:val="auto"/>
          <w:lang w:eastAsia="cs-CZ"/>
        </w:rPr>
      </w:pPr>
      <w:bookmarkStart w:id="687" w:name="_Toc43903108"/>
      <w:r w:rsidRPr="00D17312">
        <w:rPr>
          <w:color w:val="auto"/>
          <w:lang w:eastAsia="cs-CZ"/>
        </w:rPr>
        <w:lastRenderedPageBreak/>
        <w:t>Vyřizování věcí</w:t>
      </w:r>
      <w:bookmarkEnd w:id="687"/>
    </w:p>
    <w:p w:rsidR="00A4083A" w:rsidRPr="00D17312" w:rsidRDefault="00A4083A" w:rsidP="00A4083A">
      <w:pPr>
        <w:pStyle w:val="Podnadpis"/>
        <w:rPr>
          <w:color w:val="auto"/>
          <w:highlight w:val="yellow"/>
        </w:rPr>
      </w:pPr>
      <w:bookmarkStart w:id="688" w:name="_Toc43841476"/>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96</w:t>
      </w:r>
      <w:r w:rsidRPr="00D17312">
        <w:rPr>
          <w:noProof/>
          <w:color w:val="auto"/>
        </w:rPr>
        <w:fldChar w:fldCharType="end"/>
      </w:r>
      <w:r w:rsidRPr="00D17312">
        <w:rPr>
          <w:color w:val="auto"/>
        </w:rPr>
        <w:t>: VS – vyřizování odvolacího řízení v incidenčních sporech</w:t>
      </w:r>
      <w:bookmarkEnd w:id="688"/>
    </w:p>
    <w:p w:rsidR="00A4083A" w:rsidRPr="00D17312" w:rsidRDefault="00A4083A" w:rsidP="00A4083A">
      <w:pPr>
        <w:rPr>
          <w:lang w:eastAsia="cs-CZ"/>
        </w:rPr>
      </w:pPr>
      <w:r w:rsidRPr="00064C41">
        <w:rPr>
          <w:noProof/>
          <w:lang w:eastAsia="cs-CZ"/>
        </w:rPr>
        <w:drawing>
          <wp:inline distT="0" distB="0" distL="0" distR="0" wp14:anchorId="676FD4C4" wp14:editId="48425D69">
            <wp:extent cx="5112385" cy="3745230"/>
            <wp:effectExtent l="0" t="0" r="0" b="7620"/>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A4083A" w:rsidRPr="00D17312" w:rsidRDefault="00A4083A" w:rsidP="00A4083A">
      <w:pPr>
        <w:rPr>
          <w:lang w:eastAsia="cs-CZ"/>
        </w:rPr>
      </w:pPr>
    </w:p>
    <w:p w:rsidR="00A4083A" w:rsidRPr="00DC26AA" w:rsidRDefault="00A4083A" w:rsidP="00A4083A">
      <w:pPr>
        <w:rPr>
          <w:lang w:eastAsia="cs-CZ"/>
        </w:rPr>
      </w:pPr>
      <w:r w:rsidRPr="00D17312">
        <w:rPr>
          <w:lang w:eastAsia="cs-CZ"/>
        </w:rPr>
        <w:t xml:space="preserve">U VS v Praze vidíme, že se počet příchozích a vyřízených věcí příliš neměnní. Počet příchozích převyšuje počet vyřízených, a roste tak počet nevyřízených věcí. </w:t>
      </w:r>
      <w:r w:rsidRPr="00DC26AA">
        <w:rPr>
          <w:lang w:eastAsia="cs-CZ"/>
        </w:rPr>
        <w:t>V posledních dvou letech to ale bylo naopak.</w:t>
      </w:r>
    </w:p>
    <w:p w:rsidR="00A4083A" w:rsidRPr="00D17312" w:rsidRDefault="00A4083A" w:rsidP="00A4083A">
      <w:pPr>
        <w:rPr>
          <w:lang w:eastAsia="cs-CZ"/>
        </w:rPr>
      </w:pPr>
      <w:r w:rsidRPr="00D17312">
        <w:rPr>
          <w:lang w:eastAsia="cs-CZ"/>
        </w:rPr>
        <w:t xml:space="preserve">Opravdu zajímavý je vývoj v počtu příchozích věcí u VS v Olomouci, kdy počet příchozích věcí vzrostl z 315 v roce 2016 na 1 430 v roce 2019. </w:t>
      </w:r>
      <w:r>
        <w:rPr>
          <w:lang w:eastAsia="cs-CZ"/>
        </w:rPr>
        <w:t>Jde t</w:t>
      </w:r>
      <w:r w:rsidRPr="00D17312">
        <w:rPr>
          <w:lang w:eastAsia="cs-CZ"/>
        </w:rPr>
        <w:t>edy o nárůst asi o 350</w:t>
      </w:r>
      <w:r>
        <w:rPr>
          <w:lang w:eastAsia="cs-CZ"/>
        </w:rPr>
        <w:t> %</w:t>
      </w:r>
      <w:r w:rsidRPr="00D17312">
        <w:rPr>
          <w:lang w:eastAsia="cs-CZ"/>
        </w:rPr>
        <w:t xml:space="preserve"> během tří let.</w:t>
      </w:r>
    </w:p>
    <w:p w:rsidR="00A4083A" w:rsidRDefault="00A4083A" w:rsidP="00A4083A">
      <w:pPr>
        <w:rPr>
          <w:lang w:eastAsia="cs-CZ"/>
        </w:rPr>
      </w:pPr>
      <w:r w:rsidRPr="00D17312">
        <w:rPr>
          <w:lang w:eastAsia="cs-CZ"/>
        </w:rPr>
        <w:t xml:space="preserve">Za tento nárůst jsou zodpovědné </w:t>
      </w:r>
      <w:r>
        <w:rPr>
          <w:lang w:eastAsia="cs-CZ"/>
        </w:rPr>
        <w:t>rozsáhlé</w:t>
      </w:r>
      <w:r w:rsidRPr="00D17312">
        <w:rPr>
          <w:lang w:eastAsia="cs-CZ"/>
        </w:rPr>
        <w:t xml:space="preserve"> konkursy, které vyřizoval KS v</w:t>
      </w:r>
      <w:r>
        <w:rPr>
          <w:lang w:eastAsia="cs-CZ"/>
        </w:rPr>
        <w:t> </w:t>
      </w:r>
      <w:r w:rsidRPr="00D17312">
        <w:rPr>
          <w:lang w:eastAsia="cs-CZ"/>
        </w:rPr>
        <w:t>Ostravě</w:t>
      </w:r>
      <w:r>
        <w:rPr>
          <w:lang w:eastAsia="cs-CZ"/>
        </w:rPr>
        <w:t xml:space="preserve"> a které </w:t>
      </w:r>
      <w:r w:rsidRPr="00D17312">
        <w:rPr>
          <w:lang w:eastAsia="cs-CZ"/>
        </w:rPr>
        <w:t>jsou známy i ze sdělovacích prostředků. V těchto věcech napadlo velké množství incidenčních sporů především v letech v letech 2014 až 2017 (a byly vyřízeny cca o rok až dva později). V hojné většině bylo podáno odvolání a s určitým zpožděním tyto spory napadly i u VS v Olomouci. Množství sporů je opravdu velké – i přesto, že VS v Olomouci je výrazně menší než VS v Praze, nápad incidenčních sporů je u něj daleko vyšší.</w:t>
      </w:r>
    </w:p>
    <w:p w:rsidR="00A4083A" w:rsidRPr="00D17312" w:rsidRDefault="00A4083A" w:rsidP="00A4083A">
      <w:pPr>
        <w:rPr>
          <w:lang w:eastAsia="cs-CZ"/>
        </w:rPr>
      </w:pPr>
      <w:r w:rsidRPr="00D17312">
        <w:rPr>
          <w:lang w:eastAsia="cs-CZ"/>
        </w:rPr>
        <w:t>Dále vidíme, že i přes obrovský nárůst v nápadu se nezvýšil počet nevyřízených věci a zároveň výrazně klesla vykázaná délka řízení. To ukazuje, že pro soud nebylo složité agendu vyřídit, spíše naopak – vyřízení zabralo méně času než jiné incidenční spory.</w:t>
      </w:r>
    </w:p>
    <w:p w:rsidR="00A4083A" w:rsidRPr="00D17312" w:rsidRDefault="00A4083A" w:rsidP="00A4083A">
      <w:pPr>
        <w:pStyle w:val="Nadpis3"/>
        <w:rPr>
          <w:color w:val="auto"/>
          <w:lang w:eastAsia="cs-CZ"/>
        </w:rPr>
      </w:pPr>
      <w:bookmarkStart w:id="689" w:name="_Toc43903109"/>
      <w:r w:rsidRPr="00D17312">
        <w:rPr>
          <w:color w:val="auto"/>
          <w:lang w:eastAsia="cs-CZ"/>
        </w:rPr>
        <w:t>Disposit</w:t>
      </w:r>
      <w:r>
        <w:rPr>
          <w:color w:val="auto"/>
          <w:lang w:eastAsia="cs-CZ"/>
        </w:rPr>
        <w:t>i</w:t>
      </w:r>
      <w:r w:rsidRPr="00D17312">
        <w:rPr>
          <w:color w:val="auto"/>
          <w:lang w:eastAsia="cs-CZ"/>
        </w:rPr>
        <w:t>on time</w:t>
      </w:r>
      <w:bookmarkEnd w:id="689"/>
    </w:p>
    <w:p w:rsidR="00A4083A" w:rsidRDefault="00A4083A" w:rsidP="00A4083A">
      <w:pPr>
        <w:rPr>
          <w:lang w:eastAsia="cs-CZ"/>
        </w:rPr>
      </w:pPr>
      <w:r w:rsidRPr="00D17312">
        <w:rPr>
          <w:lang w:eastAsia="cs-CZ"/>
        </w:rPr>
        <w:t xml:space="preserve">Disposition time opět odráží výše popsané změny. U VS v Praze dlouhodobě osciluje přibližně mezi 140 a 180. U VS v Olomouc došlo k posledních třech letech k obrovskému poklesu z výše diskutovaných důvodů. </w:t>
      </w:r>
      <w:r>
        <w:rPr>
          <w:lang w:eastAsia="cs-CZ"/>
        </w:rPr>
        <w:t>R</w:t>
      </w:r>
      <w:r w:rsidRPr="00D17312">
        <w:rPr>
          <w:lang w:eastAsia="cs-CZ"/>
        </w:rPr>
        <w:t xml:space="preserve">ovněž </w:t>
      </w:r>
      <w:r>
        <w:rPr>
          <w:lang w:eastAsia="cs-CZ"/>
        </w:rPr>
        <w:t xml:space="preserve">je </w:t>
      </w:r>
      <w:r w:rsidRPr="00D17312">
        <w:rPr>
          <w:lang w:eastAsia="cs-CZ"/>
        </w:rPr>
        <w:t>třeba poznamenat, že DT v roce 2011 nemá žádnou vypovídající hodnotu, protože rejstřík byl téměř zcela nový a napadaly do něj první věcí.</w:t>
      </w:r>
    </w:p>
    <w:p w:rsidR="00A4083A" w:rsidRPr="00D17312" w:rsidRDefault="00A4083A" w:rsidP="00A4083A">
      <w:pPr>
        <w:rPr>
          <w:lang w:eastAsia="cs-CZ"/>
        </w:rPr>
      </w:pPr>
    </w:p>
    <w:p w:rsidR="00A4083A" w:rsidRPr="00D17312" w:rsidRDefault="00A4083A" w:rsidP="00A4083A">
      <w:pPr>
        <w:pStyle w:val="Podnadpis"/>
        <w:rPr>
          <w:noProof/>
          <w:color w:val="auto"/>
          <w:lang w:eastAsia="cs-CZ"/>
        </w:rPr>
      </w:pPr>
      <w:bookmarkStart w:id="690" w:name="_Toc43841477"/>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97</w:t>
      </w:r>
      <w:r w:rsidRPr="00D17312">
        <w:rPr>
          <w:noProof/>
          <w:color w:val="auto"/>
        </w:rPr>
        <w:fldChar w:fldCharType="end"/>
      </w:r>
      <w:r w:rsidRPr="00D17312">
        <w:rPr>
          <w:color w:val="auto"/>
        </w:rPr>
        <w:t>: VS – DT odvolacího řízení v incidenčních sporech</w:t>
      </w:r>
      <w:bookmarkEnd w:id="690"/>
    </w:p>
    <w:p w:rsidR="00A4083A" w:rsidRPr="00D17312" w:rsidRDefault="00A4083A" w:rsidP="00A4083A">
      <w:pPr>
        <w:rPr>
          <w:lang w:eastAsia="cs-CZ"/>
        </w:rPr>
      </w:pPr>
      <w:r w:rsidRPr="00D17312">
        <w:rPr>
          <w:noProof/>
          <w:lang w:eastAsia="cs-CZ"/>
        </w:rPr>
        <w:drawing>
          <wp:inline distT="0" distB="0" distL="0" distR="0" wp14:anchorId="350668CD" wp14:editId="51EF4A47">
            <wp:extent cx="5114925" cy="3743325"/>
            <wp:effectExtent l="0" t="0" r="0" b="9525"/>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rPr>
          <w:rFonts w:eastAsia="Times New Roman"/>
          <w:spacing w:val="15"/>
          <w:szCs w:val="24"/>
          <w:highlight w:val="yellow"/>
        </w:rPr>
      </w:pPr>
      <w:r w:rsidRPr="00D17312">
        <w:rPr>
          <w:highlight w:val="yellow"/>
        </w:rPr>
        <w:br w:type="page"/>
      </w:r>
    </w:p>
    <w:p w:rsidR="00A4083A" w:rsidRPr="00D17312" w:rsidRDefault="00A4083A" w:rsidP="00A4083A">
      <w:pPr>
        <w:pStyle w:val="Nadpis1"/>
        <w:rPr>
          <w:lang w:eastAsia="cs-CZ"/>
        </w:rPr>
      </w:pPr>
      <w:bookmarkStart w:id="691" w:name="_Toc515871294"/>
      <w:bookmarkStart w:id="692" w:name="_Toc43903110"/>
      <w:r w:rsidRPr="00D17312">
        <w:rPr>
          <w:lang w:eastAsia="cs-CZ"/>
        </w:rPr>
        <w:lastRenderedPageBreak/>
        <w:t>Nejvyšší soud</w:t>
      </w:r>
      <w:bookmarkEnd w:id="691"/>
      <w:bookmarkEnd w:id="692"/>
    </w:p>
    <w:p w:rsidR="00A4083A" w:rsidRPr="00D17312" w:rsidRDefault="00A4083A" w:rsidP="00A4083A">
      <w:pPr>
        <w:pStyle w:val="OdstavecASR"/>
        <w:rPr>
          <w:highlight w:val="yellow"/>
        </w:rPr>
      </w:pPr>
      <w:r w:rsidRPr="00D17312">
        <w:t>Největší část agendy Nejvyššího soudu (NS) ČR, který sídlí v Brně, tvoří věci, v nichž byl podán mimořádný opravný prostředek proti rozhodnutí odvolacích soudů. Jedná se především o dovolání, a to v občanskoprávním a obchodním řízení (rejstřík Cdo, dříve také rejstřík Odo), trestním řízení (rejstřík Tdo), insolvenčním řízení (rejstřík NSČR) a incidenčních sporech (rejstřík ICdo). V této zprávě sledujeme také agendu stížností pro porušení zákona (rejstřík Tz), což je další mimořádný opravný prostředek v trestním řízení. Stejně jako u ostatních soudů nechybí v této kapitole ani data týkající se personální situace. Nejvyšší soud rozhoduje i v dalších případech stanovených předpisy upravujícími působnost soudů a řízení před soudem.</w:t>
      </w:r>
      <w:r w:rsidRPr="00D17312">
        <w:rPr>
          <w:rStyle w:val="Znakapoznpodarou"/>
        </w:rPr>
        <w:footnoteReference w:id="12"/>
      </w:r>
    </w:p>
    <w:p w:rsidR="00A4083A" w:rsidRPr="00D17312" w:rsidRDefault="00A4083A" w:rsidP="00A4083A">
      <w:pPr>
        <w:pStyle w:val="OdstavecASR"/>
      </w:pPr>
      <w:r w:rsidRPr="00D17312">
        <w:t>V případě Nejvyššího soudu uvádí zpráva méně ukazatelů než u soudů nižších stupňů. Jsou pro to dva důvody. Za prvé, délka řízení nebo další statistické ukazatele nejsou k dispozici. Za druhé, soud je pouze jeden a není ho tedy s čím statisticky srovnávat. Přepočet vyřizování na jednoho soudce či výpočet disposition time zde tedy mají mnohem menší smysl než u ostatních soudů.</w:t>
      </w:r>
    </w:p>
    <w:p w:rsidR="00A4083A" w:rsidRPr="00D17312" w:rsidRDefault="00A4083A" w:rsidP="00A4083A">
      <w:pPr>
        <w:pStyle w:val="OdstavecASR"/>
      </w:pPr>
      <w:r w:rsidRPr="00D17312">
        <w:t>V této zprávě uvádíme základní statistické informace. Další údaje a informace o činnosti NS s rozsáhlým komentářem jsou dostupné v Ročence Nejvyššího soudu.</w:t>
      </w:r>
      <w:r w:rsidRPr="00D17312">
        <w:rPr>
          <w:rStyle w:val="Znakapoznpodarou"/>
        </w:rPr>
        <w:footnoteReference w:id="13"/>
      </w:r>
    </w:p>
    <w:p w:rsidR="00A4083A" w:rsidRPr="00D17312" w:rsidRDefault="00A4083A" w:rsidP="00A4083A">
      <w:pPr>
        <w:pStyle w:val="OdstavecASR"/>
        <w:rPr>
          <w:highlight w:val="yellow"/>
        </w:rPr>
      </w:pPr>
    </w:p>
    <w:p w:rsidR="00A4083A" w:rsidRPr="00D17312" w:rsidRDefault="00A4083A" w:rsidP="00A4083A">
      <w:pPr>
        <w:pStyle w:val="Nadpis2"/>
        <w:keepNext w:val="0"/>
        <w:rPr>
          <w:lang w:eastAsia="cs-CZ"/>
        </w:rPr>
      </w:pPr>
      <w:bookmarkStart w:id="693" w:name="_Toc515871295"/>
      <w:bookmarkStart w:id="694" w:name="_Toc43903111"/>
      <w:r w:rsidRPr="00D17312">
        <w:rPr>
          <w:lang w:eastAsia="cs-CZ"/>
        </w:rPr>
        <w:t>Personál</w:t>
      </w:r>
      <w:bookmarkEnd w:id="693"/>
      <w:bookmarkEnd w:id="694"/>
    </w:p>
    <w:p w:rsidR="00A4083A" w:rsidRPr="00D17312" w:rsidRDefault="00A4083A" w:rsidP="00A4083A">
      <w:pPr>
        <w:pStyle w:val="Nadpis3"/>
        <w:keepNext w:val="0"/>
        <w:rPr>
          <w:color w:val="auto"/>
          <w:lang w:eastAsia="cs-CZ"/>
        </w:rPr>
      </w:pPr>
      <w:bookmarkStart w:id="695" w:name="_Toc515871296"/>
      <w:bookmarkStart w:id="696" w:name="_Toc43903112"/>
      <w:r w:rsidRPr="00D17312">
        <w:rPr>
          <w:color w:val="auto"/>
          <w:lang w:eastAsia="cs-CZ"/>
        </w:rPr>
        <w:t>Soudci</w:t>
      </w:r>
      <w:bookmarkEnd w:id="695"/>
      <w:bookmarkEnd w:id="696"/>
    </w:p>
    <w:p w:rsidR="00A4083A" w:rsidRPr="00D17312" w:rsidRDefault="00A4083A" w:rsidP="00A4083A">
      <w:pPr>
        <w:pStyle w:val="OdstavecASR"/>
        <w:rPr>
          <w:highlight w:val="yellow"/>
        </w:rPr>
      </w:pPr>
      <w:r w:rsidRPr="00D17312">
        <w:t>Počet soudců se od roku 2009 do roku 2014 pomalu zvyšoval. Celkem se zvýšil o šest soudců, tedy o 10</w:t>
      </w:r>
      <w:r>
        <w:t> %</w:t>
      </w:r>
      <w:r w:rsidRPr="00D17312">
        <w:t>. Z důvodu dovršení věku 70 let odešli v roce 2016 2 soudci. K 1. 1. 2017 nicméně došlo doplnění počtu soudců, takže jich k tomuto datu u NS působilo 69. K 1. 1. 2019 u soudu působilo 66 soudců. V roce 2019 došlo k značnému navýšení plánovaného počtu soudců, a to na 72. NS měl tedy k 1. 1. 2019 nižší evidenční počet soudců, než byl počet soudců plánovaný</w:t>
      </w:r>
      <w:r w:rsidRPr="00D17312">
        <w:rPr>
          <w:rStyle w:val="Znakapoznpodarou"/>
        </w:rPr>
        <w:footnoteReference w:id="14"/>
      </w:r>
      <w:r w:rsidRPr="00D17312">
        <w:t>. Soud je ovšem dlouhodobě posilován o stážisty z nižších soudů (aktuálně jich zde působí devět</w:t>
      </w:r>
      <w:r w:rsidRPr="00D17312">
        <w:rPr>
          <w:rStyle w:val="Znakapoznpodarou"/>
        </w:rPr>
        <w:footnoteReference w:id="15"/>
      </w:r>
      <w:r w:rsidRPr="00D17312">
        <w:t>, osm z nich jakožto soudci občanskoprávního a obchodního kolegia).</w:t>
      </w:r>
    </w:p>
    <w:p w:rsidR="00A4083A" w:rsidRPr="00D17312" w:rsidRDefault="00A4083A" w:rsidP="00A4083A">
      <w:pPr>
        <w:rPr>
          <w:highlight w:val="yellow"/>
          <w:lang w:eastAsia="cs-CZ"/>
        </w:rPr>
      </w:pPr>
    </w:p>
    <w:p w:rsidR="00A4083A" w:rsidRPr="00D17312" w:rsidRDefault="00A4083A" w:rsidP="00A4083A">
      <w:pPr>
        <w:pStyle w:val="Podnadpis"/>
        <w:rPr>
          <w:color w:val="auto"/>
        </w:rPr>
      </w:pPr>
      <w:bookmarkStart w:id="697" w:name="_Toc515871421"/>
      <w:bookmarkStart w:id="698" w:name="_Toc11135152"/>
      <w:bookmarkStart w:id="699" w:name="_Toc43841478"/>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98</w:t>
      </w:r>
      <w:r w:rsidRPr="00D17312">
        <w:rPr>
          <w:noProof/>
          <w:color w:val="auto"/>
        </w:rPr>
        <w:fldChar w:fldCharType="end"/>
      </w:r>
      <w:r w:rsidRPr="00D17312">
        <w:rPr>
          <w:color w:val="auto"/>
        </w:rPr>
        <w:t>: NS – počet soudců v letech 2008–201</w:t>
      </w:r>
      <w:bookmarkEnd w:id="697"/>
      <w:bookmarkEnd w:id="698"/>
      <w:r w:rsidRPr="00D17312">
        <w:rPr>
          <w:color w:val="auto"/>
        </w:rPr>
        <w:t>9</w:t>
      </w:r>
      <w:bookmarkEnd w:id="699"/>
    </w:p>
    <w:p w:rsidR="00A4083A" w:rsidRPr="00D17312" w:rsidRDefault="00A4083A" w:rsidP="00A4083A">
      <w:pPr>
        <w:rPr>
          <w:highlight w:val="yellow"/>
        </w:rPr>
      </w:pPr>
      <w:r w:rsidRPr="00D17312">
        <w:rPr>
          <w:noProof/>
          <w:lang w:eastAsia="cs-CZ"/>
        </w:rPr>
        <w:drawing>
          <wp:inline distT="0" distB="0" distL="0" distR="0" wp14:anchorId="64015C68" wp14:editId="23430116">
            <wp:extent cx="5114925" cy="3743325"/>
            <wp:effectExtent l="0" t="0" r="0" b="9525"/>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Podnadpis"/>
        <w:rPr>
          <w:color w:val="auto"/>
        </w:rPr>
      </w:pPr>
      <w:bookmarkStart w:id="700" w:name="_Toc515871422"/>
      <w:bookmarkStart w:id="701" w:name="_Toc11135153"/>
      <w:bookmarkStart w:id="702" w:name="_Toc43841479"/>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99</w:t>
      </w:r>
      <w:r w:rsidRPr="00D17312">
        <w:rPr>
          <w:noProof/>
          <w:color w:val="auto"/>
        </w:rPr>
        <w:fldChar w:fldCharType="end"/>
      </w:r>
      <w:r w:rsidRPr="00D17312">
        <w:rPr>
          <w:color w:val="auto"/>
        </w:rPr>
        <w:t>: NS – evidenční počet soudců dle soudních úseků v letech 2008–</w:t>
      </w:r>
      <w:bookmarkEnd w:id="700"/>
      <w:bookmarkEnd w:id="701"/>
      <w:r w:rsidRPr="00D17312">
        <w:rPr>
          <w:color w:val="auto"/>
        </w:rPr>
        <w:t>2019</w:t>
      </w:r>
      <w:bookmarkEnd w:id="702"/>
    </w:p>
    <w:p w:rsidR="00A4083A" w:rsidRPr="00D17312" w:rsidRDefault="00A4083A" w:rsidP="00A4083A">
      <w:pPr>
        <w:rPr>
          <w:highlight w:val="yellow"/>
        </w:rPr>
      </w:pPr>
      <w:r w:rsidRPr="00D17312">
        <w:rPr>
          <w:noProof/>
          <w:lang w:eastAsia="cs-CZ"/>
        </w:rPr>
        <w:drawing>
          <wp:inline distT="0" distB="0" distL="0" distR="0" wp14:anchorId="5C8D73C5" wp14:editId="399F310C">
            <wp:extent cx="5114925" cy="3743325"/>
            <wp:effectExtent l="0" t="0" r="0" b="9525"/>
            <wp:docPr id="86"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Default="00A4083A" w:rsidP="00A4083A">
      <w:pPr>
        <w:pStyle w:val="OdstavecASR"/>
      </w:pPr>
      <w:r w:rsidRPr="00D17312">
        <w:t>Z dalšího grafu vyčteme, že výše zmíněný mírný nárůst v počtu soudců v letech 2009 až 2014 se odehrál na civilním úseku soudu. V roce 2017 byl především posílen také civilní úsek. V roce 2018 na tomto úseku 2 soudci skončili. V roce 2019 na trestním úseku ubyli hned 4 soudci a</w:t>
      </w:r>
      <w:r>
        <w:t xml:space="preserve"> na</w:t>
      </w:r>
      <w:r w:rsidRPr="00D17312">
        <w:t xml:space="preserve"> civilním </w:t>
      </w:r>
      <w:r w:rsidRPr="00D17312">
        <w:lastRenderedPageBreak/>
        <w:t>2 přibyli. To poměrně značně změnilo velikostní poměr mezi oběma úseky. V současné době je civilní úsek asi dvaapůlkrát větší než úsek trestní (dříve byl pouze dvojnásobně větší).</w:t>
      </w:r>
    </w:p>
    <w:p w:rsidR="00A4083A" w:rsidRDefault="00A4083A" w:rsidP="00A4083A">
      <w:pPr>
        <w:pStyle w:val="OdstavecASR"/>
      </w:pPr>
      <w:r w:rsidRPr="00D17312">
        <w:t>Na dalším grafu je stejně jako u ostatních soudů zobrazen vývoj počtu soudců a soudkyň. Od roku 2009 se počet mužů zvyšoval a v roce 2017 došlo k dalšímu významnému růstu. Teprve v roce 2019 se výše popsaný trend zarazil a podíl žen dokonce mírně stoupnul.</w:t>
      </w:r>
    </w:p>
    <w:p w:rsidR="00A4083A" w:rsidRPr="00D17312" w:rsidRDefault="00A4083A" w:rsidP="00A4083A">
      <w:pPr>
        <w:pStyle w:val="OdstavecASR"/>
      </w:pPr>
      <w:r w:rsidRPr="00D17312">
        <w:t>U Nejvyššího soudu ale stále pokračuje trend, který je patrný i u některých soudů nižších stupňů, tedy snižování podílu soudkyň s každým dalším článkem soudní soustavy. Podíl žen mezi soudci u Nejvyššího soudu v roce 2019 činil asi 20</w:t>
      </w:r>
      <w:r>
        <w:t> %</w:t>
      </w:r>
      <w:r w:rsidRPr="00D17312">
        <w:t>.</w:t>
      </w:r>
    </w:p>
    <w:p w:rsidR="00A4083A" w:rsidRPr="00D17312" w:rsidRDefault="00A4083A" w:rsidP="00A4083A">
      <w:pPr>
        <w:pStyle w:val="Podnadpis"/>
        <w:rPr>
          <w:color w:val="auto"/>
        </w:rPr>
      </w:pPr>
      <w:bookmarkStart w:id="703" w:name="_Toc515871423"/>
      <w:bookmarkStart w:id="704" w:name="_Toc11135154"/>
      <w:bookmarkStart w:id="705" w:name="_Toc43841480"/>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100</w:t>
      </w:r>
      <w:r w:rsidRPr="00D17312">
        <w:rPr>
          <w:noProof/>
          <w:color w:val="auto"/>
        </w:rPr>
        <w:fldChar w:fldCharType="end"/>
      </w:r>
      <w:r w:rsidRPr="00D17312">
        <w:rPr>
          <w:color w:val="auto"/>
        </w:rPr>
        <w:t>: NS – evidenční počet soudců podle pohlaví v letech 2008–201</w:t>
      </w:r>
      <w:bookmarkEnd w:id="703"/>
      <w:bookmarkEnd w:id="704"/>
      <w:r w:rsidRPr="00D17312">
        <w:rPr>
          <w:color w:val="auto"/>
        </w:rPr>
        <w:t>9</w:t>
      </w:r>
      <w:bookmarkEnd w:id="705"/>
    </w:p>
    <w:p w:rsidR="00A4083A" w:rsidRPr="00D17312" w:rsidRDefault="00A4083A" w:rsidP="00A4083A">
      <w:pPr>
        <w:rPr>
          <w:highlight w:val="yellow"/>
        </w:rPr>
      </w:pPr>
      <w:r w:rsidRPr="00D17312">
        <w:rPr>
          <w:noProof/>
          <w:lang w:eastAsia="cs-CZ"/>
        </w:rPr>
        <w:drawing>
          <wp:inline distT="0" distB="0" distL="0" distR="0" wp14:anchorId="2B296317" wp14:editId="6DCB3900">
            <wp:extent cx="5114925" cy="3743325"/>
            <wp:effectExtent l="0" t="0" r="0" b="9525"/>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r w:rsidRPr="00D17312">
        <w:rPr>
          <w:lang w:eastAsia="cs-CZ"/>
        </w:rPr>
        <w:t>Věkovou strukturu soudců zkoumáme i u Nejvyššího soudu. Soudci u Nejvyššího soudu se už v průměru nezdají být starší než soudci u vrchních soudů. I zde</w:t>
      </w:r>
      <w:r>
        <w:rPr>
          <w:lang w:eastAsia="cs-CZ"/>
        </w:rPr>
        <w:t xml:space="preserve"> však</w:t>
      </w:r>
      <w:r w:rsidRPr="00D17312">
        <w:rPr>
          <w:lang w:eastAsia="cs-CZ"/>
        </w:rPr>
        <w:t xml:space="preserve"> došlo během let ke změnám ve věkové struktuře soudců. Zvyšoval se podíl soudců ve věku 61–70 let a snižoval se podíl soudců mezi 51. a 60. rokem věku.</w:t>
      </w:r>
    </w:p>
    <w:p w:rsidR="00A4083A" w:rsidRPr="00D17312" w:rsidRDefault="00A4083A" w:rsidP="00A4083A">
      <w:pPr>
        <w:pStyle w:val="Podnadpis"/>
        <w:rPr>
          <w:color w:val="auto"/>
        </w:rPr>
      </w:pPr>
      <w:bookmarkStart w:id="706" w:name="_Toc515871424"/>
      <w:bookmarkStart w:id="707" w:name="_Toc11135155"/>
      <w:bookmarkStart w:id="708" w:name="_Toc43841481"/>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101</w:t>
      </w:r>
      <w:r w:rsidRPr="00D17312">
        <w:rPr>
          <w:color w:val="auto"/>
        </w:rPr>
        <w:fldChar w:fldCharType="end"/>
      </w:r>
      <w:r w:rsidRPr="00D17312">
        <w:rPr>
          <w:color w:val="auto"/>
        </w:rPr>
        <w:t>: NS – věková struktura soudců v letech 2008–201</w:t>
      </w:r>
      <w:bookmarkEnd w:id="706"/>
      <w:bookmarkEnd w:id="707"/>
      <w:r w:rsidRPr="00D17312">
        <w:rPr>
          <w:color w:val="auto"/>
        </w:rPr>
        <w:t>9</w:t>
      </w:r>
      <w:bookmarkEnd w:id="708"/>
    </w:p>
    <w:p w:rsidR="00A4083A" w:rsidRPr="00D17312" w:rsidRDefault="00A4083A" w:rsidP="00A4083A">
      <w:pPr>
        <w:rPr>
          <w:highlight w:val="yellow"/>
        </w:rPr>
      </w:pPr>
      <w:r w:rsidRPr="00D17312">
        <w:rPr>
          <w:noProof/>
          <w:lang w:eastAsia="cs-CZ"/>
        </w:rPr>
        <w:drawing>
          <wp:inline distT="0" distB="0" distL="0" distR="0" wp14:anchorId="2856B86D" wp14:editId="21EDF827">
            <wp:extent cx="5114925" cy="3743325"/>
            <wp:effectExtent l="0" t="0" r="0" b="9525"/>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Nadpis3"/>
        <w:rPr>
          <w:color w:val="auto"/>
          <w:lang w:eastAsia="cs-CZ"/>
        </w:rPr>
      </w:pPr>
      <w:bookmarkStart w:id="709" w:name="_Toc515871297"/>
      <w:bookmarkStart w:id="710" w:name="_Toc43903113"/>
      <w:r w:rsidRPr="00D17312">
        <w:rPr>
          <w:color w:val="auto"/>
          <w:lang w:eastAsia="cs-CZ"/>
        </w:rPr>
        <w:t>Zaměstnanci ve výkonu</w:t>
      </w:r>
      <w:bookmarkEnd w:id="709"/>
      <w:bookmarkEnd w:id="710"/>
    </w:p>
    <w:p w:rsidR="00A4083A" w:rsidRPr="00D17312" w:rsidRDefault="00A4083A" w:rsidP="00A4083A">
      <w:pPr>
        <w:pStyle w:val="OdstavecASR"/>
      </w:pPr>
      <w:r w:rsidRPr="00D17312">
        <w:t>Diametrálně odlišná povaha rozhodovací činnosti Nejvyššího soudu oproti soudům nižších stupňů (téměř vždy se rozhoduje bez jednání, řeší se téměř výhradně složité právní otázky) se nutně odráží i ve zcela odlišné struktuře zaměstnanců ve výkonu. K tomu nutno doplnit, že činnost asistenta na Nejvyšším soudu je velmi rozdílná oproti činnosti stejně nazvané profese na soudu prvního stupně. Ve srovnání s předchozím rokem se počet zaměstnanců ve výkonu takřka nezměnil.</w:t>
      </w:r>
    </w:p>
    <w:p w:rsidR="00A4083A" w:rsidRPr="00D17312" w:rsidRDefault="00A4083A" w:rsidP="00A4083A">
      <w:pPr>
        <w:pStyle w:val="Podnadpis"/>
        <w:rPr>
          <w:color w:val="auto"/>
        </w:rPr>
      </w:pPr>
      <w:bookmarkStart w:id="711" w:name="_Toc515871505"/>
      <w:bookmarkStart w:id="712" w:name="_Toc11133271"/>
      <w:bookmarkStart w:id="713" w:name="_Toc43931253"/>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80</w:t>
      </w:r>
      <w:r w:rsidRPr="00D17312">
        <w:rPr>
          <w:noProof/>
          <w:color w:val="auto"/>
        </w:rPr>
        <w:fldChar w:fldCharType="end"/>
      </w:r>
      <w:r w:rsidRPr="00D17312">
        <w:rPr>
          <w:color w:val="auto"/>
        </w:rPr>
        <w:t>: NS – počet zaměstnanců ve výkonu</w:t>
      </w:r>
      <w:bookmarkEnd w:id="711"/>
      <w:bookmarkEnd w:id="712"/>
      <w:bookmarkEnd w:id="713"/>
    </w:p>
    <w:tbl>
      <w:tblPr>
        <w:tblW w:w="5120" w:type="dxa"/>
        <w:tblCellMar>
          <w:left w:w="70" w:type="dxa"/>
          <w:right w:w="70" w:type="dxa"/>
        </w:tblCellMar>
        <w:tblLook w:val="04A0" w:firstRow="1" w:lastRow="0" w:firstColumn="1" w:lastColumn="0" w:noHBand="0" w:noVBand="1"/>
      </w:tblPr>
      <w:tblGrid>
        <w:gridCol w:w="3680"/>
        <w:gridCol w:w="1440"/>
      </w:tblGrid>
      <w:tr w:rsidR="00A4083A" w:rsidRPr="00D17312" w:rsidTr="00A41CAB">
        <w:trPr>
          <w:trHeight w:val="345"/>
        </w:trPr>
        <w:tc>
          <w:tcPr>
            <w:tcW w:w="3680" w:type="dxa"/>
            <w:tcBorders>
              <w:top w:val="double" w:sz="6" w:space="0" w:color="auto"/>
              <w:left w:val="nil"/>
              <w:bottom w:val="double" w:sz="6" w:space="0" w:color="auto"/>
              <w:right w:val="nil"/>
            </w:tcBorders>
            <w:shd w:val="clear" w:color="auto" w:fill="auto"/>
            <w:noWrap/>
            <w:vAlign w:val="center"/>
            <w:hideMark/>
          </w:tcPr>
          <w:p w:rsidR="00A4083A" w:rsidRPr="00D17312" w:rsidRDefault="00A4083A" w:rsidP="00A41CAB">
            <w:pPr>
              <w:spacing w:line="240" w:lineRule="auto"/>
              <w:jc w:val="center"/>
              <w:rPr>
                <w:rFonts w:eastAsia="Times New Roman"/>
                <w:b/>
                <w:bCs/>
                <w:szCs w:val="24"/>
                <w:lang w:eastAsia="cs-CZ"/>
              </w:rPr>
            </w:pPr>
            <w:bookmarkStart w:id="714" w:name="_Toc515871298"/>
            <w:r w:rsidRPr="00D17312">
              <w:rPr>
                <w:rFonts w:eastAsia="Times New Roman"/>
                <w:b/>
                <w:bCs/>
                <w:szCs w:val="24"/>
                <w:lang w:eastAsia="cs-CZ"/>
              </w:rPr>
              <w:t>Soud</w:t>
            </w:r>
          </w:p>
        </w:tc>
        <w:tc>
          <w:tcPr>
            <w:tcW w:w="1440" w:type="dxa"/>
            <w:tcBorders>
              <w:top w:val="double" w:sz="6" w:space="0" w:color="auto"/>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Počet osob</w:t>
            </w:r>
          </w:p>
        </w:tc>
      </w:tr>
      <w:tr w:rsidR="00A4083A" w:rsidRPr="00D17312" w:rsidTr="00A41CAB">
        <w:trPr>
          <w:trHeight w:val="330"/>
        </w:trPr>
        <w:tc>
          <w:tcPr>
            <w:tcW w:w="36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Asistent</w:t>
            </w:r>
          </w:p>
        </w:tc>
        <w:tc>
          <w:tcPr>
            <w:tcW w:w="144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156</w:t>
            </w:r>
          </w:p>
        </w:tc>
      </w:tr>
      <w:tr w:rsidR="00A4083A" w:rsidRPr="00D17312" w:rsidTr="00A41CAB">
        <w:trPr>
          <w:trHeight w:val="315"/>
        </w:trPr>
        <w:tc>
          <w:tcPr>
            <w:tcW w:w="36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Vedoucí kanceláře</w:t>
            </w:r>
          </w:p>
        </w:tc>
        <w:tc>
          <w:tcPr>
            <w:tcW w:w="144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7</w:t>
            </w:r>
          </w:p>
        </w:tc>
      </w:tr>
      <w:tr w:rsidR="00A4083A" w:rsidRPr="00D17312" w:rsidTr="00A41CAB">
        <w:trPr>
          <w:trHeight w:val="315"/>
        </w:trPr>
        <w:tc>
          <w:tcPr>
            <w:tcW w:w="368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Protokolující úředník</w:t>
            </w:r>
          </w:p>
        </w:tc>
        <w:tc>
          <w:tcPr>
            <w:tcW w:w="1440" w:type="dxa"/>
            <w:tcBorders>
              <w:top w:val="nil"/>
              <w:left w:val="nil"/>
              <w:bottom w:val="single" w:sz="4"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8</w:t>
            </w:r>
          </w:p>
        </w:tc>
      </w:tr>
      <w:tr w:rsidR="00A4083A" w:rsidRPr="00D17312" w:rsidTr="00A41CAB">
        <w:trPr>
          <w:trHeight w:val="330"/>
        </w:trPr>
        <w:tc>
          <w:tcPr>
            <w:tcW w:w="36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szCs w:val="24"/>
                <w:lang w:eastAsia="cs-CZ"/>
              </w:rPr>
            </w:pPr>
            <w:r w:rsidRPr="00D17312">
              <w:rPr>
                <w:rFonts w:eastAsia="Times New Roman"/>
                <w:szCs w:val="24"/>
                <w:lang w:eastAsia="cs-CZ"/>
              </w:rPr>
              <w:t>Zapisovatelka</w:t>
            </w:r>
          </w:p>
        </w:tc>
        <w:tc>
          <w:tcPr>
            <w:tcW w:w="144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szCs w:val="24"/>
                <w:lang w:eastAsia="cs-CZ"/>
              </w:rPr>
            </w:pPr>
            <w:r w:rsidRPr="00D17312">
              <w:rPr>
                <w:rFonts w:eastAsia="Times New Roman"/>
                <w:szCs w:val="24"/>
                <w:lang w:eastAsia="cs-CZ"/>
              </w:rPr>
              <w:t>14</w:t>
            </w:r>
          </w:p>
        </w:tc>
      </w:tr>
      <w:tr w:rsidR="00A4083A" w:rsidRPr="00D17312" w:rsidTr="00A41CAB">
        <w:trPr>
          <w:trHeight w:val="345"/>
        </w:trPr>
        <w:tc>
          <w:tcPr>
            <w:tcW w:w="368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left"/>
              <w:rPr>
                <w:rFonts w:eastAsia="Times New Roman"/>
                <w:b/>
                <w:bCs/>
                <w:szCs w:val="24"/>
                <w:lang w:eastAsia="cs-CZ"/>
              </w:rPr>
            </w:pPr>
            <w:r w:rsidRPr="00D17312">
              <w:rPr>
                <w:rFonts w:eastAsia="Times New Roman"/>
                <w:b/>
                <w:bCs/>
                <w:szCs w:val="24"/>
                <w:lang w:eastAsia="cs-CZ"/>
              </w:rPr>
              <w:t>Celkem ČR</w:t>
            </w:r>
          </w:p>
        </w:tc>
        <w:tc>
          <w:tcPr>
            <w:tcW w:w="1440" w:type="dxa"/>
            <w:tcBorders>
              <w:top w:val="nil"/>
              <w:left w:val="nil"/>
              <w:bottom w:val="double" w:sz="6" w:space="0" w:color="auto"/>
              <w:right w:val="nil"/>
            </w:tcBorders>
            <w:shd w:val="clear" w:color="auto" w:fill="auto"/>
            <w:noWrap/>
            <w:vAlign w:val="bottom"/>
            <w:hideMark/>
          </w:tcPr>
          <w:p w:rsidR="00A4083A" w:rsidRPr="00D17312" w:rsidRDefault="00A4083A" w:rsidP="00A41CAB">
            <w:pPr>
              <w:spacing w:line="240" w:lineRule="auto"/>
              <w:jc w:val="center"/>
              <w:rPr>
                <w:rFonts w:eastAsia="Times New Roman"/>
                <w:b/>
                <w:bCs/>
                <w:szCs w:val="24"/>
                <w:lang w:eastAsia="cs-CZ"/>
              </w:rPr>
            </w:pPr>
            <w:r w:rsidRPr="00D17312">
              <w:rPr>
                <w:rFonts w:eastAsia="Times New Roman"/>
                <w:b/>
                <w:bCs/>
                <w:szCs w:val="24"/>
                <w:lang w:eastAsia="cs-CZ"/>
              </w:rPr>
              <w:t>185</w:t>
            </w:r>
          </w:p>
        </w:tc>
      </w:tr>
    </w:tbl>
    <w:p w:rsidR="00A4083A" w:rsidRPr="00D17312" w:rsidRDefault="00A4083A" w:rsidP="00A4083A">
      <w:pPr>
        <w:rPr>
          <w:highlight w:val="yellow"/>
        </w:rPr>
      </w:pPr>
    </w:p>
    <w:p w:rsidR="00A4083A" w:rsidRDefault="00A4083A" w:rsidP="00A4083A">
      <w:pPr>
        <w:spacing w:line="240" w:lineRule="auto"/>
        <w:jc w:val="left"/>
        <w:rPr>
          <w:highlight w:val="yellow"/>
        </w:rPr>
      </w:pPr>
      <w:r>
        <w:rPr>
          <w:highlight w:val="yellow"/>
        </w:rPr>
        <w:br w:type="page"/>
      </w:r>
    </w:p>
    <w:p w:rsidR="00A4083A" w:rsidRPr="00D17312" w:rsidRDefault="00A4083A" w:rsidP="00A4083A">
      <w:pPr>
        <w:pStyle w:val="Nadpis2"/>
        <w:rPr>
          <w:lang w:eastAsia="cs-CZ"/>
        </w:rPr>
      </w:pPr>
      <w:bookmarkStart w:id="715" w:name="_Toc43903114"/>
      <w:r w:rsidRPr="00D17312">
        <w:rPr>
          <w:lang w:eastAsia="cs-CZ"/>
        </w:rPr>
        <w:lastRenderedPageBreak/>
        <w:t>Civilní dovolací agenda</w:t>
      </w:r>
      <w:bookmarkEnd w:id="714"/>
      <w:bookmarkEnd w:id="715"/>
    </w:p>
    <w:p w:rsidR="00A4083A" w:rsidRPr="00D17312" w:rsidRDefault="00A4083A" w:rsidP="00A4083A">
      <w:pPr>
        <w:pStyle w:val="OdstavecASR"/>
      </w:pPr>
      <w:bookmarkStart w:id="716" w:name="_Toc515871425"/>
      <w:bookmarkStart w:id="717" w:name="_Toc11135156"/>
      <w:r w:rsidRPr="00D17312">
        <w:t xml:space="preserve">Již </w:t>
      </w:r>
      <w:r>
        <w:t>výše</w:t>
      </w:r>
      <w:r w:rsidRPr="00D17312">
        <w:t xml:space="preserve"> jsme uvedli, že se jedná o rejstřík Cdo, dříve též rejstřík Odo.</w:t>
      </w:r>
    </w:p>
    <w:p w:rsidR="00A4083A" w:rsidRPr="00D17312" w:rsidRDefault="00A4083A" w:rsidP="00A4083A">
      <w:pPr>
        <w:pStyle w:val="Nadpis3"/>
        <w:rPr>
          <w:color w:val="auto"/>
          <w:lang w:eastAsia="cs-CZ"/>
        </w:rPr>
      </w:pPr>
      <w:bookmarkStart w:id="718" w:name="_Toc515871299"/>
      <w:bookmarkStart w:id="719" w:name="_Toc41546389"/>
      <w:bookmarkStart w:id="720" w:name="_Toc43903115"/>
      <w:r w:rsidRPr="00D17312">
        <w:rPr>
          <w:color w:val="auto"/>
          <w:lang w:eastAsia="cs-CZ"/>
        </w:rPr>
        <w:t>Vyřizování věcí</w:t>
      </w:r>
      <w:bookmarkEnd w:id="718"/>
      <w:bookmarkEnd w:id="719"/>
      <w:bookmarkEnd w:id="720"/>
    </w:p>
    <w:p w:rsidR="00A4083A" w:rsidRPr="00D17312" w:rsidRDefault="00A4083A" w:rsidP="00A4083A">
      <w:pPr>
        <w:pStyle w:val="OdstavecASR"/>
        <w:rPr>
          <w:highlight w:val="yellow"/>
        </w:rPr>
      </w:pPr>
      <w:r w:rsidRPr="00D17312">
        <w:t>Časové řady mají v tomto případě velmi zajímavý průběh, a to i mimo běžně sledované období 2008–2019. V roce 2001 činil nápad 3 102 věcí a počet nevyřízených věcí byl 1 663. Do roku 2008 víceméně postupně nápad narostl na 5 453 a počet nevyřízených věcí na 5 613. Následoval značný propad nápadu až na 3 914 věcí v roce 2012, což je hodnota na úrovni roku 2003. Pokles v nápadu se logicky příznivě projevil v počtu nevyřízených věcí. Od roku 2013 došlo k dalšímu růstu nápadu (podobnému tomu z let 2002–2008), který trval dalších několik let. Lze to přisoudit tomu, že dne 1. 1. 2013 nabyla účinnosti novela (zákon č. 404/2012 Sb.), kterou byla rozšířena objektivní přípustnost dovolání v civilních věcech. Soudu se ale tentokrát podařilo úspěšně reagovat a výrazně zvýšil počet vyřízených věcí, čímž se mu podařilo zabránit výraznému růstu v počtu nevyřízených věcí. V roce 2017 se ale rostoucí trend v nápadu silně zpomalil</w:t>
      </w:r>
      <w:r>
        <w:t>, až</w:t>
      </w:r>
      <w:r w:rsidRPr="00D17312">
        <w:t xml:space="preserve"> téměř zastavil. V roce 2017 napadlo pouze o 40 věcí více než v roce 2016. V roce 2018 pak došlo k markantnímu poklesu v počtu příchozích věcí (o 22</w:t>
      </w:r>
      <w:r>
        <w:t> %</w:t>
      </w:r>
      <w:r w:rsidRPr="00D17312">
        <w:t>). V roce 2019 následoval další pokles v počtu napadlých věcí, i</w:t>
      </w:r>
      <w:r>
        <w:t> </w:t>
      </w:r>
      <w:r w:rsidRPr="00D17312">
        <w:t>když už ne tak markantní</w:t>
      </w:r>
      <w:r>
        <w:t xml:space="preserve"> (</w:t>
      </w:r>
      <w:r w:rsidRPr="00D17312">
        <w:t>o 9</w:t>
      </w:r>
      <w:r>
        <w:t> %)</w:t>
      </w:r>
      <w:r w:rsidRPr="00D17312">
        <w:t>. Nápad je tak na úrovni nápadu z roku 2013. Za tímto enormním poklesem zřejmě stojí velká novela civilního procesního práva (zákon č. 296/2017 Sb.), která nabyla účinnosti dne 30.</w:t>
      </w:r>
      <w:r>
        <w:t> </w:t>
      </w:r>
      <w:r w:rsidRPr="00D17312">
        <w:t>9.</w:t>
      </w:r>
      <w:r>
        <w:t> </w:t>
      </w:r>
      <w:r w:rsidRPr="00D17312">
        <w:t>2017. Kromě jiných legislativních úprav si tato novela dala za cíl též odbřemenit dovolací soud.</w:t>
      </w:r>
    </w:p>
    <w:p w:rsidR="00A4083A" w:rsidRPr="00D17312" w:rsidRDefault="00A4083A" w:rsidP="00A4083A">
      <w:pPr>
        <w:pStyle w:val="OdstavecASR"/>
      </w:pPr>
      <w:r w:rsidRPr="00D17312">
        <w:t xml:space="preserve">Soudu, který především v letech 2015 až 2017 čelil velké případové zátěži, se tak alespoň částečně ulevilo. Výše uvedené se projevilo i v poklesu v počtu vyřízených věcí (mezi příchozími a vyřízenými věcmi je logicky velmi silná závislost). Počet vyřízených věcí ale stále v posledních dvou letech výrazně převýšil počet věcí příchozích. Došlo tedy k poklesu </w:t>
      </w:r>
      <w:r>
        <w:t xml:space="preserve">počtu </w:t>
      </w:r>
      <w:r w:rsidRPr="00D17312">
        <w:t>nevyřízených věcí.</w:t>
      </w:r>
    </w:p>
    <w:p w:rsidR="00A4083A" w:rsidRPr="00D17312" w:rsidRDefault="00A4083A" w:rsidP="00A4083A">
      <w:pPr>
        <w:pStyle w:val="Podnadpis"/>
        <w:rPr>
          <w:color w:val="auto"/>
        </w:rPr>
      </w:pPr>
      <w:bookmarkStart w:id="721" w:name="_Toc43841482"/>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102</w:t>
      </w:r>
      <w:r w:rsidRPr="00D17312">
        <w:rPr>
          <w:noProof/>
          <w:color w:val="auto"/>
        </w:rPr>
        <w:fldChar w:fldCharType="end"/>
      </w:r>
      <w:r w:rsidRPr="00D17312">
        <w:rPr>
          <w:color w:val="auto"/>
        </w:rPr>
        <w:t>: NS – vyřizování civilní dovolací agendy v letech 2008–201</w:t>
      </w:r>
      <w:bookmarkEnd w:id="716"/>
      <w:bookmarkEnd w:id="717"/>
      <w:r w:rsidRPr="00D17312">
        <w:rPr>
          <w:color w:val="auto"/>
        </w:rPr>
        <w:t>9</w:t>
      </w:r>
      <w:bookmarkEnd w:id="721"/>
    </w:p>
    <w:p w:rsidR="00A4083A" w:rsidRPr="00D17312" w:rsidRDefault="00A4083A" w:rsidP="00A4083A">
      <w:pPr>
        <w:rPr>
          <w:highlight w:val="yellow"/>
        </w:rPr>
      </w:pPr>
      <w:r w:rsidRPr="00D17312">
        <w:rPr>
          <w:noProof/>
          <w:lang w:eastAsia="cs-CZ"/>
        </w:rPr>
        <w:drawing>
          <wp:inline distT="0" distB="0" distL="0" distR="0" wp14:anchorId="4155BFBE" wp14:editId="11A9B21F">
            <wp:extent cx="5114925" cy="3743325"/>
            <wp:effectExtent l="0" t="0" r="0" b="9525"/>
            <wp:docPr id="90" name="Obráze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Nadpis2"/>
        <w:pageBreakBefore/>
      </w:pPr>
      <w:bookmarkStart w:id="722" w:name="_Toc515871300"/>
      <w:bookmarkStart w:id="723" w:name="_Toc43903116"/>
      <w:r w:rsidRPr="00D17312">
        <w:lastRenderedPageBreak/>
        <w:t>Trestní dovolací agenda</w:t>
      </w:r>
      <w:bookmarkEnd w:id="722"/>
      <w:bookmarkEnd w:id="723"/>
    </w:p>
    <w:p w:rsidR="00A4083A" w:rsidRPr="00D17312" w:rsidRDefault="00A4083A" w:rsidP="00A4083A">
      <w:r w:rsidRPr="00D17312">
        <w:t>Jak již bylo řečeno, jedná se o rejstřík Tdo.</w:t>
      </w:r>
    </w:p>
    <w:p w:rsidR="00A4083A" w:rsidRPr="00D17312" w:rsidRDefault="00A4083A" w:rsidP="00A4083A">
      <w:pPr>
        <w:pStyle w:val="Nadpis3"/>
        <w:rPr>
          <w:color w:val="auto"/>
          <w:lang w:eastAsia="cs-CZ"/>
        </w:rPr>
      </w:pPr>
      <w:bookmarkStart w:id="724" w:name="_Toc515871301"/>
      <w:bookmarkStart w:id="725" w:name="_Toc43903117"/>
      <w:r w:rsidRPr="00D17312">
        <w:rPr>
          <w:color w:val="auto"/>
          <w:lang w:eastAsia="cs-CZ"/>
        </w:rPr>
        <w:t>Vyřizování věcí</w:t>
      </w:r>
      <w:bookmarkEnd w:id="724"/>
      <w:bookmarkEnd w:id="725"/>
    </w:p>
    <w:p w:rsidR="00A4083A" w:rsidRPr="00D17312" w:rsidRDefault="00A4083A" w:rsidP="00A4083A">
      <w:pPr>
        <w:pStyle w:val="Podnadpis"/>
        <w:rPr>
          <w:color w:val="auto"/>
        </w:rPr>
      </w:pPr>
      <w:bookmarkStart w:id="726" w:name="_Toc515871426"/>
      <w:bookmarkStart w:id="727" w:name="_Toc11135157"/>
      <w:bookmarkStart w:id="728" w:name="_Toc43841483"/>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103</w:t>
      </w:r>
      <w:r w:rsidRPr="00D17312">
        <w:rPr>
          <w:noProof/>
          <w:color w:val="auto"/>
        </w:rPr>
        <w:fldChar w:fldCharType="end"/>
      </w:r>
      <w:r w:rsidRPr="00D17312">
        <w:rPr>
          <w:color w:val="auto"/>
        </w:rPr>
        <w:t>: NS – vyřizování trestní dovolací agendy v letech 2008–201</w:t>
      </w:r>
      <w:bookmarkEnd w:id="726"/>
      <w:bookmarkEnd w:id="727"/>
      <w:r w:rsidRPr="00D17312">
        <w:rPr>
          <w:color w:val="auto"/>
        </w:rPr>
        <w:t>9</w:t>
      </w:r>
      <w:bookmarkEnd w:id="728"/>
    </w:p>
    <w:p w:rsidR="00A4083A" w:rsidRPr="00D17312" w:rsidRDefault="00A4083A" w:rsidP="00A4083A">
      <w:pPr>
        <w:rPr>
          <w:highlight w:val="yellow"/>
        </w:rPr>
      </w:pPr>
      <w:r w:rsidRPr="00D17312">
        <w:rPr>
          <w:noProof/>
          <w:lang w:eastAsia="cs-CZ"/>
        </w:rPr>
        <w:drawing>
          <wp:inline distT="0" distB="0" distL="0" distR="0" wp14:anchorId="3622F76D" wp14:editId="767AD1DB">
            <wp:extent cx="5114925" cy="3743325"/>
            <wp:effectExtent l="0" t="0" r="0" b="9525"/>
            <wp:docPr id="91"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pPr>
      <w:r w:rsidRPr="00D17312">
        <w:t xml:space="preserve">Trestní kolegium čelí mnohem menším změnám v nápadu než kolegium občanskoprávní a obchodní. V agendě Tdo byl nicméně v letech 2013 až 2016 patrný mírný rostoucí trend v počtu napadlých věcí, což se zřejmě projevilo i v mírném růstu v počtu nevyřízených věcí. V roce 2017 nápad poklesl a počet nevyřízených věcí se díky tomu vrátil přibližně na úroveň </w:t>
      </w:r>
      <w:r>
        <w:t>roku</w:t>
      </w:r>
      <w:r w:rsidRPr="00D17312">
        <w:t xml:space="preserve"> 2013, na které zůstal i v letech 2018 a 2019. Počet vyřízených věcí byl dokonce v letech 2018 a 2019 zcela totožný. Počet nevyřízených věcí je v poměru k nápadu a k vyřízeným věcem stále velmi nízký; přesto je třeba ho nadále sledovat.</w:t>
      </w:r>
    </w:p>
    <w:p w:rsidR="00A4083A" w:rsidRPr="00D17312" w:rsidRDefault="00A4083A" w:rsidP="00A4083A">
      <w:pPr>
        <w:spacing w:line="240" w:lineRule="auto"/>
        <w:jc w:val="left"/>
        <w:rPr>
          <w:highlight w:val="yellow"/>
        </w:rPr>
      </w:pPr>
      <w:r w:rsidRPr="00D17312">
        <w:rPr>
          <w:highlight w:val="yellow"/>
        </w:rPr>
        <w:br w:type="page"/>
      </w:r>
    </w:p>
    <w:p w:rsidR="00A4083A" w:rsidRPr="00D17312" w:rsidRDefault="00A4083A" w:rsidP="00A4083A">
      <w:pPr>
        <w:pStyle w:val="Nadpis2"/>
      </w:pPr>
      <w:bookmarkStart w:id="729" w:name="_Toc487791304"/>
      <w:bookmarkStart w:id="730" w:name="_Toc515871302"/>
      <w:bookmarkStart w:id="731" w:name="_Toc43903118"/>
      <w:r w:rsidRPr="00D17312">
        <w:lastRenderedPageBreak/>
        <w:t>Stížnosti pro porušení zákona</w:t>
      </w:r>
      <w:bookmarkEnd w:id="729"/>
      <w:bookmarkEnd w:id="730"/>
      <w:bookmarkEnd w:id="731"/>
    </w:p>
    <w:p w:rsidR="00A4083A" w:rsidRPr="00D17312" w:rsidRDefault="00A4083A" w:rsidP="00A4083A">
      <w:pPr>
        <w:pStyle w:val="OdstavecASR"/>
      </w:pPr>
      <w:r w:rsidRPr="00D17312">
        <w:t>Popis této agendy lze najít v seznamu použitých pojmů (příloha). Jedná se o rejstřík označený jako Tz. Agendu vyřizuje trestní kolegium Nejvyššího soudu.</w:t>
      </w:r>
    </w:p>
    <w:p w:rsidR="00A4083A" w:rsidRPr="00D17312" w:rsidRDefault="00A4083A" w:rsidP="00A4083A">
      <w:pPr>
        <w:pStyle w:val="Nadpis3"/>
        <w:rPr>
          <w:color w:val="auto"/>
          <w:lang w:eastAsia="cs-CZ"/>
        </w:rPr>
      </w:pPr>
      <w:bookmarkStart w:id="732" w:name="_Toc515871303"/>
      <w:bookmarkStart w:id="733" w:name="_Toc43903119"/>
      <w:r w:rsidRPr="00D17312">
        <w:rPr>
          <w:color w:val="auto"/>
          <w:lang w:eastAsia="cs-CZ"/>
        </w:rPr>
        <w:t>Vyřizování věcí</w:t>
      </w:r>
      <w:bookmarkEnd w:id="732"/>
      <w:bookmarkEnd w:id="733"/>
    </w:p>
    <w:p w:rsidR="00A4083A" w:rsidRPr="00D17312" w:rsidRDefault="00A4083A" w:rsidP="00A4083A">
      <w:pPr>
        <w:pStyle w:val="Podnadpis"/>
        <w:rPr>
          <w:color w:val="auto"/>
        </w:rPr>
      </w:pPr>
      <w:bookmarkStart w:id="734" w:name="_Toc515871427"/>
      <w:bookmarkStart w:id="735" w:name="_Toc11135158"/>
      <w:bookmarkStart w:id="736" w:name="_Toc43841484"/>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104</w:t>
      </w:r>
      <w:r w:rsidRPr="00D17312">
        <w:rPr>
          <w:noProof/>
          <w:color w:val="auto"/>
        </w:rPr>
        <w:fldChar w:fldCharType="end"/>
      </w:r>
      <w:r w:rsidRPr="00D17312">
        <w:rPr>
          <w:color w:val="auto"/>
        </w:rPr>
        <w:t>: NS – vyřizování stížností pro porušení zákona v letech 2010–201</w:t>
      </w:r>
      <w:bookmarkEnd w:id="734"/>
      <w:bookmarkEnd w:id="735"/>
      <w:r w:rsidRPr="00D17312">
        <w:rPr>
          <w:color w:val="auto"/>
        </w:rPr>
        <w:t>9</w:t>
      </w:r>
      <w:bookmarkEnd w:id="736"/>
    </w:p>
    <w:p w:rsidR="00A4083A" w:rsidRPr="00D17312" w:rsidRDefault="00A4083A" w:rsidP="00A4083A">
      <w:pPr>
        <w:spacing w:line="240" w:lineRule="auto"/>
        <w:jc w:val="left"/>
        <w:rPr>
          <w:highlight w:val="yellow"/>
        </w:rPr>
      </w:pPr>
      <w:r w:rsidRPr="00D17312">
        <w:rPr>
          <w:noProof/>
          <w:lang w:eastAsia="cs-CZ"/>
        </w:rPr>
        <w:drawing>
          <wp:inline distT="0" distB="0" distL="0" distR="0" wp14:anchorId="60D1C6C7" wp14:editId="6AC3A2D2">
            <wp:extent cx="5114925" cy="3743325"/>
            <wp:effectExtent l="0" t="0" r="0" b="9525"/>
            <wp:docPr id="92" name="Obráze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pPr>
      <w:r w:rsidRPr="00D17312">
        <w:t>Oproti agendě dovolání, především dovolání v občanskoprávních a obchodních věcech, je tato agenda velmi malá. Z toho také plyne velká variabilita. U takto malých čísel je možné, aby se v jeden rok „sešlo“ větší množství pravomocných rozhodnutí, proti kterým ministr spravedlnosti považuje za vhodné podat stížnost pro porušení zákona. V absolutních číslech se ale jedná o změny malé. Určité změny mohou také plynout ze střídání ministrů spravedlnosti, kteří mohou klást větší či menší důraz na určitou problematiku. Jak je z grafu patrné, jedná se o agendu, kterou soud vyřizuje bez jakýchkoliv problémů.</w:t>
      </w:r>
    </w:p>
    <w:p w:rsidR="00A4083A" w:rsidRPr="00D17312" w:rsidRDefault="00A4083A" w:rsidP="00A4083A">
      <w:pPr>
        <w:spacing w:line="240" w:lineRule="auto"/>
        <w:jc w:val="left"/>
        <w:rPr>
          <w:highlight w:val="yellow"/>
        </w:rPr>
      </w:pPr>
      <w:r w:rsidRPr="00D17312">
        <w:rPr>
          <w:highlight w:val="yellow"/>
        </w:rPr>
        <w:br w:type="page"/>
      </w:r>
    </w:p>
    <w:p w:rsidR="00A4083A" w:rsidRPr="00D17312" w:rsidRDefault="00A4083A" w:rsidP="00A4083A">
      <w:pPr>
        <w:pStyle w:val="Nadpis2"/>
      </w:pPr>
      <w:bookmarkStart w:id="737" w:name="_Toc515871304"/>
      <w:bookmarkStart w:id="738" w:name="_Toc43903120"/>
      <w:r w:rsidRPr="00D17312">
        <w:lastRenderedPageBreak/>
        <w:t>Insolvenční agenda</w:t>
      </w:r>
      <w:bookmarkEnd w:id="737"/>
      <w:bookmarkEnd w:id="738"/>
    </w:p>
    <w:p w:rsidR="00A4083A" w:rsidRPr="00D17312" w:rsidRDefault="00A4083A" w:rsidP="00A4083A">
      <w:pPr>
        <w:pStyle w:val="OdstavecASR"/>
      </w:pPr>
      <w:r w:rsidRPr="00D17312">
        <w:t>Jedná se o rejstřík NSČR – věci předložené soudu k rozhodnutí v insolvenčním řízení (dovolání, příslušnost soudů a vyloučení soudců v insolvenčním řízení). Rejstřík spadá pod civilní úsek Nejvyššího soudu, tedy občanskoprávní a obchodní kolegium.</w:t>
      </w:r>
    </w:p>
    <w:p w:rsidR="00A4083A" w:rsidRPr="00D17312" w:rsidRDefault="00A4083A" w:rsidP="00A4083A">
      <w:pPr>
        <w:pStyle w:val="Nadpis3"/>
        <w:rPr>
          <w:color w:val="auto"/>
        </w:rPr>
      </w:pPr>
      <w:bookmarkStart w:id="739" w:name="_Toc515871305"/>
      <w:bookmarkStart w:id="740" w:name="_Toc43903121"/>
      <w:r w:rsidRPr="00D17312">
        <w:rPr>
          <w:color w:val="auto"/>
        </w:rPr>
        <w:t>Vyřizování věcí</w:t>
      </w:r>
      <w:bookmarkEnd w:id="739"/>
      <w:bookmarkEnd w:id="740"/>
    </w:p>
    <w:p w:rsidR="00A4083A" w:rsidRPr="00D17312" w:rsidRDefault="00A4083A" w:rsidP="00A4083A">
      <w:pPr>
        <w:pStyle w:val="Podnadpis"/>
        <w:rPr>
          <w:color w:val="auto"/>
        </w:rPr>
      </w:pPr>
      <w:bookmarkStart w:id="741" w:name="_Toc515871428"/>
      <w:bookmarkStart w:id="742" w:name="_Toc11135159"/>
      <w:bookmarkStart w:id="743" w:name="_Toc43841485"/>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105</w:t>
      </w:r>
      <w:r w:rsidRPr="00D17312">
        <w:rPr>
          <w:noProof/>
          <w:color w:val="auto"/>
        </w:rPr>
        <w:fldChar w:fldCharType="end"/>
      </w:r>
      <w:r w:rsidRPr="00D17312">
        <w:rPr>
          <w:color w:val="auto"/>
        </w:rPr>
        <w:t>: NS – vyřizování insolvenční dovolací agendy v letech 2010–201</w:t>
      </w:r>
      <w:bookmarkEnd w:id="741"/>
      <w:bookmarkEnd w:id="742"/>
      <w:r w:rsidRPr="00D17312">
        <w:rPr>
          <w:color w:val="auto"/>
        </w:rPr>
        <w:t>9</w:t>
      </w:r>
      <w:bookmarkEnd w:id="743"/>
    </w:p>
    <w:p w:rsidR="00A4083A" w:rsidRPr="00D17312" w:rsidRDefault="00A4083A" w:rsidP="00A4083A">
      <w:pPr>
        <w:spacing w:line="240" w:lineRule="auto"/>
        <w:jc w:val="left"/>
        <w:rPr>
          <w:highlight w:val="yellow"/>
        </w:rPr>
      </w:pPr>
      <w:r w:rsidRPr="00D17312">
        <w:rPr>
          <w:noProof/>
          <w:lang w:eastAsia="cs-CZ"/>
        </w:rPr>
        <w:drawing>
          <wp:inline distT="0" distB="0" distL="0" distR="0" wp14:anchorId="6E4A4D05" wp14:editId="3379A6E3">
            <wp:extent cx="5114925" cy="3743325"/>
            <wp:effectExtent l="0" t="0" r="0" b="9525"/>
            <wp:docPr id="93" name="Obráze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pPr>
      <w:r w:rsidRPr="00D17312">
        <w:t>Agenda je velmi malá, ale až do roku 2016 postupně rostla. V roce 2017 poprvé došlo k poklesu v počtu napadlých věcí, který pokračoval i v roce 2018. Růst a následný pokles nápadu v letech 2017 až 2019 plyne především z obdobného vývoje ve vyřizování druhoinstanční insolvenční agendy u vrchních soudů (</w:t>
      </w:r>
      <w:r>
        <w:fldChar w:fldCharType="begin"/>
      </w:r>
      <w:r>
        <w:instrText xml:space="preserve"> REF  _Ref43837240 \h \* Lower </w:instrText>
      </w:r>
      <w:r>
        <w:fldChar w:fldCharType="separate"/>
      </w:r>
      <w:r w:rsidR="006E7F27" w:rsidRPr="008E15C1">
        <w:t xml:space="preserve">graf </w:t>
      </w:r>
      <w:r w:rsidR="006E7F27">
        <w:rPr>
          <w:noProof/>
        </w:rPr>
        <w:t>92</w:t>
      </w:r>
      <w:r>
        <w:fldChar w:fldCharType="end"/>
      </w:r>
      <w:r w:rsidRPr="00D17312">
        <w:t>).</w:t>
      </w:r>
    </w:p>
    <w:p w:rsidR="00A4083A" w:rsidRPr="00D17312" w:rsidRDefault="00A4083A" w:rsidP="00A4083A">
      <w:pPr>
        <w:spacing w:line="240" w:lineRule="auto"/>
        <w:jc w:val="left"/>
        <w:rPr>
          <w:highlight w:val="yellow"/>
        </w:rPr>
      </w:pPr>
      <w:r w:rsidRPr="00D17312">
        <w:rPr>
          <w:highlight w:val="yellow"/>
        </w:rPr>
        <w:br w:type="page"/>
      </w:r>
    </w:p>
    <w:p w:rsidR="00A4083A" w:rsidRPr="00D17312" w:rsidRDefault="00A4083A" w:rsidP="00A4083A">
      <w:pPr>
        <w:pStyle w:val="Nadpis1"/>
        <w:rPr>
          <w:lang w:eastAsia="cs-CZ"/>
        </w:rPr>
      </w:pPr>
      <w:bookmarkStart w:id="744" w:name="_Toc515871306"/>
      <w:bookmarkStart w:id="745" w:name="_Toc43903122"/>
      <w:r w:rsidRPr="00D17312">
        <w:rPr>
          <w:lang w:eastAsia="cs-CZ"/>
        </w:rPr>
        <w:lastRenderedPageBreak/>
        <w:t>Nejvyšší správní soud</w:t>
      </w:r>
      <w:bookmarkEnd w:id="744"/>
      <w:bookmarkEnd w:id="745"/>
    </w:p>
    <w:p w:rsidR="00A4083A" w:rsidRPr="00D17312" w:rsidRDefault="00A4083A" w:rsidP="00A4083A">
      <w:pPr>
        <w:pStyle w:val="OdstavecASR"/>
      </w:pPr>
      <w:r w:rsidRPr="00D17312">
        <w:t>Do pravomoci Nejvyššího správního soudu (NSS) ČR, který sídlí v Brně, spadá několik druhů rozhodování, například rozhodování ve věcech volebních, rozhodování ve věcech politických stran a hnutí (rozpuštění, pozastavení nebo znovuobnovení jejich činnosti) nebo řízení ve věcech kárné odpovědnosti soudců, státních zástupců a exekutorů. Tato zpráva se soustředí výhradně na soudy a soudce, proto jsou v této zprávě data o řízení ve věcech soudců (řízení ve věcech kárné odpovědnost soudců).</w:t>
      </w:r>
    </w:p>
    <w:p w:rsidR="00A4083A" w:rsidRPr="00D17312" w:rsidRDefault="00A4083A" w:rsidP="00A4083A">
      <w:pPr>
        <w:pStyle w:val="OdstavecASR"/>
      </w:pPr>
      <w:r w:rsidRPr="00D17312">
        <w:t>Zdaleka nejrozsáhlejší agendou NSS je ale rozhodování o kasačních stížnostech. Do agendy kasačních stížností spadá velké množství rejstříků: Azs, Ads, Afs, As, Ans, Aps, A, Aos a Ars. Do některých z těchto rejstříků se již nezapisují nové věci. Věci spadají do jednotlivých rejstříků v závislosti na prvostupňové agendě, do níž směřuje kasační stížnost (finanční, azylová apod.).</w:t>
      </w:r>
    </w:p>
    <w:p w:rsidR="00A4083A" w:rsidRPr="00D17312" w:rsidRDefault="00A4083A" w:rsidP="00A4083A">
      <w:pPr>
        <w:pStyle w:val="OdstavecASR"/>
      </w:pPr>
      <w:r w:rsidRPr="00D17312">
        <w:t>Stejně jako u NS i u NSS zachycuje tato zpráva méně ukazatelů než u ostatních soudů. Důvody jsou stejné: délka řízení nebo další statistické ukazatele nejsou k dispozici a soud je pouze jeden a není ho tedy s čím statisticky srovnávat.</w:t>
      </w:r>
    </w:p>
    <w:p w:rsidR="00A4083A" w:rsidRPr="00D17312" w:rsidRDefault="00A4083A" w:rsidP="00A4083A">
      <w:pPr>
        <w:pStyle w:val="Nadpis2"/>
        <w:rPr>
          <w:lang w:eastAsia="cs-CZ"/>
        </w:rPr>
      </w:pPr>
      <w:bookmarkStart w:id="746" w:name="_Toc515871307"/>
      <w:bookmarkStart w:id="747" w:name="_Toc43903123"/>
      <w:r w:rsidRPr="00D17312">
        <w:rPr>
          <w:lang w:eastAsia="cs-CZ"/>
        </w:rPr>
        <w:t>Personál</w:t>
      </w:r>
      <w:bookmarkEnd w:id="746"/>
      <w:bookmarkEnd w:id="747"/>
    </w:p>
    <w:p w:rsidR="00A4083A" w:rsidRPr="00D17312" w:rsidRDefault="00A4083A" w:rsidP="00A4083A">
      <w:pPr>
        <w:pStyle w:val="Nadpis3"/>
        <w:rPr>
          <w:color w:val="auto"/>
          <w:lang w:eastAsia="cs-CZ"/>
        </w:rPr>
      </w:pPr>
      <w:bookmarkStart w:id="748" w:name="_Toc515871308"/>
      <w:bookmarkStart w:id="749" w:name="_Toc43903124"/>
      <w:r w:rsidRPr="00D17312">
        <w:rPr>
          <w:color w:val="auto"/>
          <w:lang w:eastAsia="cs-CZ"/>
        </w:rPr>
        <w:t>Soudci</w:t>
      </w:r>
      <w:bookmarkEnd w:id="748"/>
      <w:bookmarkEnd w:id="749"/>
    </w:p>
    <w:p w:rsidR="00A4083A" w:rsidRDefault="00A4083A" w:rsidP="00A4083A">
      <w:pPr>
        <w:pStyle w:val="OdstavecASR"/>
      </w:pPr>
      <w:r w:rsidRPr="00D17312">
        <w:t xml:space="preserve">Plánovaný počet soudců je neměnný, ale v evidenčním počtu došlo k určitým změnám. V dřívějších letech se jednalo jen o malé výkyvy, v letech 2013 až 2015 však došlo k citelnému posílení soudu a evidenční počet soudců je od roku 2015 stejně vysoký jako plánovaný počet soudců nebo vyšší. K 1. 1. 2019 </w:t>
      </w:r>
      <w:r>
        <w:t>činil</w:t>
      </w:r>
      <w:r w:rsidRPr="00D17312">
        <w:t xml:space="preserve"> 36 soudců, což je nejvyšší číslo za sledované období.</w:t>
      </w:r>
    </w:p>
    <w:p w:rsidR="00A4083A" w:rsidRPr="00D17312" w:rsidRDefault="00A4083A" w:rsidP="00A4083A">
      <w:pPr>
        <w:pStyle w:val="Podnadpis"/>
        <w:rPr>
          <w:color w:val="auto"/>
        </w:rPr>
      </w:pPr>
      <w:bookmarkStart w:id="750" w:name="_Toc515871429"/>
      <w:bookmarkStart w:id="751" w:name="_Toc11135160"/>
      <w:bookmarkStart w:id="752" w:name="_Toc43841486"/>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106</w:t>
      </w:r>
      <w:r w:rsidRPr="00D17312">
        <w:rPr>
          <w:noProof/>
          <w:color w:val="auto"/>
        </w:rPr>
        <w:fldChar w:fldCharType="end"/>
      </w:r>
      <w:r w:rsidRPr="00D17312">
        <w:rPr>
          <w:color w:val="auto"/>
        </w:rPr>
        <w:t>: NSS – počet soudců v letech 2008–201</w:t>
      </w:r>
      <w:bookmarkEnd w:id="750"/>
      <w:bookmarkEnd w:id="751"/>
      <w:r w:rsidRPr="00D17312">
        <w:rPr>
          <w:color w:val="auto"/>
        </w:rPr>
        <w:t>9</w:t>
      </w:r>
      <w:bookmarkEnd w:id="752"/>
    </w:p>
    <w:p w:rsidR="00A4083A" w:rsidRPr="00D17312" w:rsidRDefault="00A4083A" w:rsidP="00A4083A">
      <w:pPr>
        <w:rPr>
          <w:highlight w:val="yellow"/>
        </w:rPr>
      </w:pPr>
      <w:r w:rsidRPr="00D17312">
        <w:rPr>
          <w:noProof/>
          <w:lang w:eastAsia="cs-CZ"/>
        </w:rPr>
        <w:drawing>
          <wp:inline distT="0" distB="0" distL="0" distR="0" wp14:anchorId="5D0425DC" wp14:editId="032D4922">
            <wp:extent cx="5114925" cy="3743325"/>
            <wp:effectExtent l="0" t="0" r="0" b="9525"/>
            <wp:docPr id="147" name="Obráze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Podnadpis"/>
        <w:rPr>
          <w:color w:val="auto"/>
        </w:rPr>
      </w:pPr>
      <w:bookmarkStart w:id="753" w:name="_Toc515871430"/>
      <w:bookmarkStart w:id="754" w:name="_Toc11135161"/>
      <w:bookmarkStart w:id="755" w:name="_Toc43841487"/>
      <w:r w:rsidRPr="00D17312">
        <w:rPr>
          <w:color w:val="auto"/>
        </w:rPr>
        <w:lastRenderedPageBreak/>
        <w:t xml:space="preserve">Graf </w:t>
      </w:r>
      <w:r w:rsidRPr="00D17312">
        <w:rPr>
          <w:noProof/>
          <w:color w:val="auto"/>
        </w:rPr>
        <w:fldChar w:fldCharType="begin"/>
      </w:r>
      <w:r w:rsidRPr="00D17312">
        <w:rPr>
          <w:noProof/>
          <w:color w:val="auto"/>
        </w:rPr>
        <w:instrText xml:space="preserve"> SEQ Graf \* ARABIC </w:instrText>
      </w:r>
      <w:r w:rsidRPr="00D17312">
        <w:rPr>
          <w:noProof/>
          <w:color w:val="auto"/>
        </w:rPr>
        <w:fldChar w:fldCharType="separate"/>
      </w:r>
      <w:r w:rsidR="006E7F27">
        <w:rPr>
          <w:noProof/>
          <w:color w:val="auto"/>
        </w:rPr>
        <w:t>107</w:t>
      </w:r>
      <w:r w:rsidRPr="00D17312">
        <w:rPr>
          <w:noProof/>
          <w:color w:val="auto"/>
        </w:rPr>
        <w:fldChar w:fldCharType="end"/>
      </w:r>
      <w:r w:rsidRPr="00D17312">
        <w:rPr>
          <w:color w:val="auto"/>
        </w:rPr>
        <w:t>: NSS – evidenční počet soudců dle pohlaví v letech 2008–201</w:t>
      </w:r>
      <w:bookmarkEnd w:id="753"/>
      <w:bookmarkEnd w:id="754"/>
      <w:r w:rsidRPr="00D17312">
        <w:rPr>
          <w:color w:val="auto"/>
        </w:rPr>
        <w:t>9</w:t>
      </w:r>
      <w:bookmarkEnd w:id="755"/>
    </w:p>
    <w:p w:rsidR="00A4083A" w:rsidRPr="00CF01B8" w:rsidRDefault="00A4083A" w:rsidP="00A4083A">
      <w:r w:rsidRPr="00482FBD">
        <w:rPr>
          <w:noProof/>
          <w:lang w:eastAsia="cs-CZ"/>
        </w:rPr>
        <w:drawing>
          <wp:inline distT="0" distB="0" distL="0" distR="0" wp14:anchorId="7B5B5984" wp14:editId="7A8617AF">
            <wp:extent cx="5112385" cy="3745230"/>
            <wp:effectExtent l="0" t="0" r="0" b="7620"/>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A4083A" w:rsidRPr="00D17312" w:rsidRDefault="00A4083A" w:rsidP="00A4083A">
      <w:pPr>
        <w:rPr>
          <w:highlight w:val="yellow"/>
        </w:rPr>
      </w:pPr>
    </w:p>
    <w:p w:rsidR="00A4083A" w:rsidRPr="00A13084" w:rsidRDefault="00A4083A" w:rsidP="00A4083A">
      <w:pPr>
        <w:pStyle w:val="OdstavecASR"/>
      </w:pPr>
      <w:r w:rsidRPr="00D17312">
        <w:t>V grafu výše vidíme, že v posledních letech rostl počet mužů, kteří u </w:t>
      </w:r>
      <w:r w:rsidRPr="00A13084">
        <w:t xml:space="preserve">soudu působí. Počet žen zůstává stabilní. U NSS je v současnosti podíl žen mezi soudci přesně jedna třetina, tedy více než u NS, ale méně než </w:t>
      </w:r>
      <w:r w:rsidRPr="00A13084" w:rsidDel="002A40ED">
        <w:t>u</w:t>
      </w:r>
      <w:r w:rsidRPr="00A13084">
        <w:t> soudů nižších stupňů.</w:t>
      </w:r>
    </w:p>
    <w:p w:rsidR="00A4083A" w:rsidRPr="00D17312" w:rsidRDefault="00A4083A" w:rsidP="00A4083A">
      <w:pPr>
        <w:pStyle w:val="OdstavecASR"/>
      </w:pPr>
      <w:r>
        <w:t>V</w:t>
      </w:r>
      <w:r w:rsidRPr="00D17312">
        <w:t> dalším grafu je zobrazen, stejně jako u ostatních článků soudní soustavy, vývoj ve věkové struktuře soudců. Zajímavý poznatkem je to, že soudci u NSS jsou výrazně mladší než nejen soudci u Nejvyššího soudu a u vrchních soudů, ale dokonce také než soudci u soudů krajských.</w:t>
      </w:r>
    </w:p>
    <w:p w:rsidR="00A4083A" w:rsidRPr="00D17312" w:rsidRDefault="00A4083A" w:rsidP="00A4083A">
      <w:pPr>
        <w:pStyle w:val="OdstavecASR"/>
      </w:pPr>
      <w:r w:rsidRPr="00D17312">
        <w:t>Dáme-li údaje ze všech tří grafů dohromady, zjistíme, že soudci, o které byl v letech 2013 až 2015 soud posílen, byli muži ve věku 41 až 50 let.</w:t>
      </w:r>
    </w:p>
    <w:p w:rsidR="00A4083A" w:rsidRPr="00D17312" w:rsidRDefault="00A4083A" w:rsidP="00A4083A">
      <w:pPr>
        <w:rPr>
          <w:highlight w:val="yellow"/>
        </w:rPr>
      </w:pPr>
    </w:p>
    <w:p w:rsidR="00A4083A" w:rsidRPr="00D17312" w:rsidRDefault="00A4083A" w:rsidP="00A4083A">
      <w:pPr>
        <w:pStyle w:val="Podnadpis"/>
        <w:rPr>
          <w:color w:val="auto"/>
          <w:highlight w:val="yellow"/>
        </w:rPr>
      </w:pPr>
      <w:bookmarkStart w:id="756" w:name="_Toc515871431"/>
      <w:bookmarkStart w:id="757" w:name="_Toc11135162"/>
      <w:bookmarkStart w:id="758" w:name="_Toc43841488"/>
      <w:r w:rsidRPr="00D17312">
        <w:rPr>
          <w:color w:val="auto"/>
        </w:rPr>
        <w:lastRenderedPageBreak/>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108</w:t>
      </w:r>
      <w:r w:rsidRPr="00D17312">
        <w:rPr>
          <w:color w:val="auto"/>
        </w:rPr>
        <w:fldChar w:fldCharType="end"/>
      </w:r>
      <w:r w:rsidRPr="00D17312">
        <w:rPr>
          <w:color w:val="auto"/>
        </w:rPr>
        <w:t>: NSS – věková struktura soudců v letech 2008</w:t>
      </w:r>
      <w:r w:rsidRPr="00D17312">
        <w:rPr>
          <w:color w:val="auto"/>
        </w:rPr>
        <w:sym w:font="Symbol" w:char="F02D"/>
      </w:r>
      <w:r w:rsidRPr="00D17312">
        <w:rPr>
          <w:color w:val="auto"/>
        </w:rPr>
        <w:t>201</w:t>
      </w:r>
      <w:bookmarkEnd w:id="756"/>
      <w:bookmarkEnd w:id="757"/>
      <w:r w:rsidRPr="00D17312">
        <w:rPr>
          <w:color w:val="auto"/>
        </w:rPr>
        <w:t>9</w:t>
      </w:r>
      <w:bookmarkEnd w:id="758"/>
    </w:p>
    <w:p w:rsidR="00A4083A" w:rsidRPr="00D17312" w:rsidRDefault="00A4083A" w:rsidP="00A4083A">
      <w:pPr>
        <w:spacing w:line="240" w:lineRule="auto"/>
        <w:jc w:val="left"/>
        <w:rPr>
          <w:rFonts w:eastAsia="Times New Roman"/>
          <w:b/>
          <w:iCs/>
          <w:spacing w:val="15"/>
          <w:szCs w:val="24"/>
          <w:highlight w:val="yellow"/>
        </w:rPr>
      </w:pPr>
      <w:r w:rsidRPr="00D17312">
        <w:rPr>
          <w:rFonts w:eastAsia="Times New Roman"/>
          <w:b/>
          <w:iCs/>
          <w:noProof/>
          <w:spacing w:val="15"/>
          <w:szCs w:val="24"/>
          <w:lang w:eastAsia="cs-CZ"/>
        </w:rPr>
        <w:drawing>
          <wp:inline distT="0" distB="0" distL="0" distR="0" wp14:anchorId="054799BA" wp14:editId="26E11F82">
            <wp:extent cx="5114925" cy="3743325"/>
            <wp:effectExtent l="0" t="0" r="0" b="9525"/>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spacing w:line="240" w:lineRule="auto"/>
        <w:jc w:val="left"/>
        <w:rPr>
          <w:rFonts w:eastAsia="Times New Roman"/>
          <w:b/>
          <w:iCs/>
          <w:spacing w:val="15"/>
          <w:szCs w:val="24"/>
          <w:highlight w:val="yellow"/>
        </w:rPr>
      </w:pPr>
    </w:p>
    <w:p w:rsidR="00A4083A" w:rsidRPr="00D17312" w:rsidRDefault="00A4083A" w:rsidP="00A4083A">
      <w:pPr>
        <w:pStyle w:val="Nadpis3"/>
        <w:rPr>
          <w:color w:val="auto"/>
          <w:lang w:eastAsia="cs-CZ"/>
        </w:rPr>
      </w:pPr>
      <w:bookmarkStart w:id="759" w:name="_Toc515871309"/>
      <w:bookmarkStart w:id="760" w:name="_Toc43903125"/>
      <w:r w:rsidRPr="00D17312">
        <w:rPr>
          <w:color w:val="auto"/>
          <w:lang w:eastAsia="cs-CZ"/>
        </w:rPr>
        <w:t>Zaměstnanci ve výkonu</w:t>
      </w:r>
      <w:bookmarkEnd w:id="759"/>
      <w:bookmarkEnd w:id="760"/>
    </w:p>
    <w:p w:rsidR="00A4083A" w:rsidRDefault="00A4083A" w:rsidP="00A4083A">
      <w:pPr>
        <w:pStyle w:val="OdstavecASR"/>
      </w:pPr>
      <w:r w:rsidRPr="00D17312">
        <w:t>U NSS je stejně jako u NS s výjimkou asistentů soudců malé množství zaměstnanců ve výkonu. Na jednoho soudce připadají téměř dva asistenti. Personální počty opět plynou z malého počtu věcí a vysoké náročnosti agendy. Ve srovnání s rokem 2018 u soudu ubyl jeden protokolující úředník, jinak počty zůstaly stejné.</w:t>
      </w:r>
    </w:p>
    <w:p w:rsidR="00A4083A" w:rsidRPr="00D17312" w:rsidRDefault="00A4083A" w:rsidP="00A4083A">
      <w:pPr>
        <w:pStyle w:val="Podnadpis"/>
        <w:rPr>
          <w:b w:val="0"/>
          <w:iCs w:val="0"/>
          <w:color w:val="auto"/>
        </w:rPr>
      </w:pPr>
      <w:bookmarkStart w:id="761" w:name="_Toc515871506"/>
      <w:bookmarkStart w:id="762" w:name="_Toc11133272"/>
      <w:bookmarkStart w:id="763" w:name="_Toc43931254"/>
      <w:r w:rsidRPr="00D17312">
        <w:rPr>
          <w:color w:val="auto"/>
        </w:rPr>
        <w:t xml:space="preserve">Tabulka </w:t>
      </w:r>
      <w:r w:rsidRPr="00D17312">
        <w:rPr>
          <w:color w:val="auto"/>
        </w:rPr>
        <w:fldChar w:fldCharType="begin"/>
      </w:r>
      <w:r w:rsidRPr="00D17312">
        <w:rPr>
          <w:color w:val="auto"/>
        </w:rPr>
        <w:instrText xml:space="preserve"> SEQ Tabulka \* ARABIC </w:instrText>
      </w:r>
      <w:r w:rsidRPr="00D17312">
        <w:rPr>
          <w:color w:val="auto"/>
        </w:rPr>
        <w:fldChar w:fldCharType="separate"/>
      </w:r>
      <w:r w:rsidR="006E7F27">
        <w:rPr>
          <w:noProof/>
          <w:color w:val="auto"/>
        </w:rPr>
        <w:t>81</w:t>
      </w:r>
      <w:r w:rsidRPr="00D17312">
        <w:rPr>
          <w:noProof/>
          <w:color w:val="auto"/>
        </w:rPr>
        <w:fldChar w:fldCharType="end"/>
      </w:r>
      <w:r w:rsidRPr="00D17312">
        <w:rPr>
          <w:color w:val="auto"/>
        </w:rPr>
        <w:t>: NSS – počet zaměstnanců ve výkonu</w:t>
      </w:r>
      <w:bookmarkStart w:id="764" w:name="_Toc487791314"/>
      <w:bookmarkEnd w:id="761"/>
      <w:bookmarkEnd w:id="762"/>
      <w:bookmarkEnd w:id="763"/>
    </w:p>
    <w:tbl>
      <w:tblPr>
        <w:tblW w:w="5120" w:type="dxa"/>
        <w:tblCellMar>
          <w:left w:w="0" w:type="dxa"/>
          <w:right w:w="0" w:type="dxa"/>
        </w:tblCellMar>
        <w:tblLook w:val="04A0" w:firstRow="1" w:lastRow="0" w:firstColumn="1" w:lastColumn="0" w:noHBand="0" w:noVBand="1"/>
      </w:tblPr>
      <w:tblGrid>
        <w:gridCol w:w="3680"/>
        <w:gridCol w:w="1440"/>
      </w:tblGrid>
      <w:tr w:rsidR="00A4083A" w:rsidRPr="00D17312" w:rsidTr="00A41CAB">
        <w:trPr>
          <w:trHeight w:val="345"/>
        </w:trPr>
        <w:tc>
          <w:tcPr>
            <w:tcW w:w="3680" w:type="dxa"/>
            <w:tcBorders>
              <w:top w:val="double" w:sz="6" w:space="0" w:color="auto"/>
              <w:left w:val="nil"/>
              <w:bottom w:val="double" w:sz="6" w:space="0" w:color="auto"/>
              <w:right w:val="nil"/>
            </w:tcBorders>
            <w:shd w:val="clear" w:color="auto" w:fill="auto"/>
            <w:noWrap/>
            <w:tcMar>
              <w:top w:w="15" w:type="dxa"/>
              <w:left w:w="15" w:type="dxa"/>
              <w:bottom w:w="0" w:type="dxa"/>
              <w:right w:w="15" w:type="dxa"/>
            </w:tcMar>
            <w:vAlign w:val="center"/>
            <w:hideMark/>
          </w:tcPr>
          <w:p w:rsidR="00A4083A" w:rsidRPr="00D17312" w:rsidRDefault="00A4083A" w:rsidP="00A41CAB">
            <w:pPr>
              <w:spacing w:line="240" w:lineRule="auto"/>
              <w:jc w:val="center"/>
              <w:rPr>
                <w:b/>
                <w:bCs/>
                <w:szCs w:val="24"/>
                <w:lang w:eastAsia="cs-CZ"/>
              </w:rPr>
            </w:pPr>
            <w:r w:rsidRPr="00D17312">
              <w:rPr>
                <w:b/>
                <w:bCs/>
              </w:rPr>
              <w:t>Soud</w:t>
            </w:r>
          </w:p>
        </w:tc>
        <w:tc>
          <w:tcPr>
            <w:tcW w:w="1440" w:type="dxa"/>
            <w:tcBorders>
              <w:top w:val="double" w:sz="6" w:space="0" w:color="auto"/>
              <w:left w:val="nil"/>
              <w:bottom w:val="double" w:sz="6" w:space="0" w:color="auto"/>
              <w:right w:val="nil"/>
            </w:tcBorders>
            <w:shd w:val="clear" w:color="auto" w:fill="auto"/>
            <w:noWrap/>
            <w:tcMar>
              <w:top w:w="15" w:type="dxa"/>
              <w:left w:w="15" w:type="dxa"/>
              <w:bottom w:w="0" w:type="dxa"/>
              <w:right w:w="15" w:type="dxa"/>
            </w:tcMar>
            <w:vAlign w:val="bottom"/>
            <w:hideMark/>
          </w:tcPr>
          <w:p w:rsidR="00A4083A" w:rsidRPr="00D17312" w:rsidRDefault="00A4083A" w:rsidP="00A41CAB">
            <w:pPr>
              <w:jc w:val="center"/>
              <w:rPr>
                <w:b/>
                <w:bCs/>
              </w:rPr>
            </w:pPr>
            <w:r w:rsidRPr="00D17312">
              <w:rPr>
                <w:b/>
                <w:bCs/>
              </w:rPr>
              <w:t>Počet osob</w:t>
            </w:r>
          </w:p>
        </w:tc>
      </w:tr>
      <w:tr w:rsidR="00A4083A" w:rsidRPr="00D17312" w:rsidTr="00A41CAB">
        <w:trPr>
          <w:trHeight w:val="33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A4083A" w:rsidRPr="00D17312" w:rsidRDefault="00A4083A" w:rsidP="00A41CAB">
            <w:pPr>
              <w:jc w:val="left"/>
            </w:pPr>
            <w:r w:rsidRPr="00D17312">
              <w:t>Asistent</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A4083A" w:rsidRPr="00D17312" w:rsidRDefault="00A4083A" w:rsidP="00A41CAB">
            <w:pPr>
              <w:jc w:val="center"/>
            </w:pPr>
            <w:r w:rsidRPr="00D17312">
              <w:t>61</w:t>
            </w:r>
          </w:p>
        </w:tc>
      </w:tr>
      <w:tr w:rsidR="00A4083A" w:rsidRPr="00D17312" w:rsidTr="00A41CAB">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A4083A" w:rsidRPr="00D17312" w:rsidRDefault="00A4083A" w:rsidP="00A41CAB">
            <w:pPr>
              <w:jc w:val="left"/>
            </w:pPr>
            <w:r w:rsidRPr="00D17312">
              <w:t>Vedoucí kanceláře</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A4083A" w:rsidRPr="00D17312" w:rsidRDefault="00A4083A" w:rsidP="00A41CAB">
            <w:pPr>
              <w:jc w:val="center"/>
            </w:pPr>
            <w:r w:rsidRPr="00D17312">
              <w:t>11</w:t>
            </w:r>
          </w:p>
        </w:tc>
      </w:tr>
      <w:tr w:rsidR="00A4083A" w:rsidRPr="00D17312" w:rsidTr="00A41CAB">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A4083A" w:rsidRPr="00D17312" w:rsidRDefault="00A4083A" w:rsidP="00A41CAB">
            <w:pPr>
              <w:jc w:val="left"/>
            </w:pPr>
            <w:r w:rsidRPr="00D17312">
              <w:t>Protokolující úředník</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A4083A" w:rsidRPr="00D17312" w:rsidRDefault="00A4083A" w:rsidP="00A41CAB">
            <w:pPr>
              <w:jc w:val="center"/>
            </w:pPr>
            <w:r w:rsidRPr="00D17312">
              <w:t>3</w:t>
            </w:r>
          </w:p>
        </w:tc>
      </w:tr>
      <w:tr w:rsidR="00A4083A" w:rsidRPr="00D17312" w:rsidTr="00A41CAB">
        <w:trPr>
          <w:trHeight w:val="330"/>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rsidR="00A4083A" w:rsidRPr="00D17312" w:rsidRDefault="00A4083A" w:rsidP="00A41CAB">
            <w:pPr>
              <w:jc w:val="left"/>
            </w:pPr>
            <w:r w:rsidRPr="00D17312">
              <w:t>Zapisovatelka</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rsidR="00A4083A" w:rsidRPr="00D17312" w:rsidRDefault="00A4083A" w:rsidP="00A41CAB">
            <w:pPr>
              <w:jc w:val="center"/>
            </w:pPr>
            <w:r w:rsidRPr="00D17312">
              <w:t>20</w:t>
            </w:r>
          </w:p>
        </w:tc>
      </w:tr>
      <w:tr w:rsidR="00A4083A" w:rsidRPr="00D17312" w:rsidTr="00A41CAB">
        <w:trPr>
          <w:trHeight w:val="345"/>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rsidR="00A4083A" w:rsidRPr="00D17312" w:rsidRDefault="00A4083A" w:rsidP="00A41CAB">
            <w:pPr>
              <w:jc w:val="left"/>
              <w:rPr>
                <w:b/>
                <w:bCs/>
              </w:rPr>
            </w:pPr>
            <w:r w:rsidRPr="00D17312">
              <w:rPr>
                <w:b/>
                <w:bCs/>
              </w:rPr>
              <w:t>Celkem ČR</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rsidR="00A4083A" w:rsidRPr="00D17312" w:rsidRDefault="00A4083A" w:rsidP="00A41CAB">
            <w:pPr>
              <w:jc w:val="center"/>
              <w:rPr>
                <w:b/>
                <w:bCs/>
              </w:rPr>
            </w:pPr>
            <w:r w:rsidRPr="00D17312">
              <w:rPr>
                <w:b/>
                <w:bCs/>
              </w:rPr>
              <w:t>95</w:t>
            </w:r>
          </w:p>
        </w:tc>
      </w:tr>
    </w:tbl>
    <w:p w:rsidR="00A4083A" w:rsidRPr="00F142C8" w:rsidRDefault="00A4083A" w:rsidP="00A4083A">
      <w:pPr>
        <w:pStyle w:val="OdstavecASR"/>
      </w:pPr>
    </w:p>
    <w:p w:rsidR="00A4083A" w:rsidRPr="00D17312" w:rsidRDefault="00A4083A" w:rsidP="00A4083A">
      <w:pPr>
        <w:rPr>
          <w:highlight w:val="yellow"/>
        </w:rPr>
      </w:pPr>
      <w:r w:rsidRPr="00D17312">
        <w:rPr>
          <w:highlight w:val="yellow"/>
        </w:rPr>
        <w:br w:type="page"/>
      </w:r>
    </w:p>
    <w:p w:rsidR="00A4083A" w:rsidRPr="00D17312" w:rsidRDefault="00A4083A" w:rsidP="00A4083A">
      <w:pPr>
        <w:pStyle w:val="Nadpis2"/>
      </w:pPr>
      <w:bookmarkStart w:id="765" w:name="_Toc487791312"/>
      <w:bookmarkStart w:id="766" w:name="_Toc515871310"/>
      <w:bookmarkStart w:id="767" w:name="_Toc43903126"/>
      <w:r w:rsidRPr="00D17312">
        <w:lastRenderedPageBreak/>
        <w:t>Řízení o kasačních stížnostech</w:t>
      </w:r>
      <w:bookmarkEnd w:id="765"/>
      <w:bookmarkEnd w:id="766"/>
      <w:bookmarkEnd w:id="767"/>
    </w:p>
    <w:p w:rsidR="00A4083A" w:rsidRPr="00D17312" w:rsidRDefault="00A4083A" w:rsidP="00A4083A">
      <w:pPr>
        <w:pStyle w:val="OdstavecASR"/>
      </w:pPr>
      <w:r w:rsidRPr="00D17312">
        <w:t>Rejstříky spadající do této agendy jsou popsány v úvodu této části.</w:t>
      </w:r>
    </w:p>
    <w:p w:rsidR="00A4083A" w:rsidRPr="00D17312" w:rsidRDefault="00A4083A" w:rsidP="00A4083A">
      <w:pPr>
        <w:pStyle w:val="Nadpis3"/>
        <w:rPr>
          <w:color w:val="auto"/>
        </w:rPr>
      </w:pPr>
      <w:bookmarkStart w:id="768" w:name="_Toc515871311"/>
      <w:bookmarkStart w:id="769" w:name="_Toc43903127"/>
      <w:r w:rsidRPr="00D17312">
        <w:rPr>
          <w:color w:val="auto"/>
        </w:rPr>
        <w:t>Vyřizování věcí</w:t>
      </w:r>
      <w:bookmarkEnd w:id="768"/>
      <w:bookmarkEnd w:id="769"/>
    </w:p>
    <w:p w:rsidR="00A4083A" w:rsidRPr="00D17312" w:rsidRDefault="00A4083A" w:rsidP="00A4083A">
      <w:pPr>
        <w:pStyle w:val="OdstavecASR"/>
      </w:pPr>
      <w:r w:rsidRPr="00D17312">
        <w:t>Srovnání nápadu v agendě kasačních stížností a počtu vyřízených věcí u krajských soudů ve správní agendě ukazuje, že průběh obou časových řad vykazuje značnou, i když ne úplnou podobnost. Můžeme tedy logicky dovodit, že nápad u NSS se odvíjí především od počtu pravomocně vyřízených věcí u krajských soudů.</w:t>
      </w:r>
    </w:p>
    <w:p w:rsidR="00A4083A" w:rsidRPr="00A13084" w:rsidRDefault="00A4083A" w:rsidP="00A4083A">
      <w:pPr>
        <w:pStyle w:val="OdstavecASR"/>
      </w:pPr>
      <w:r w:rsidRPr="00D17312">
        <w:t xml:space="preserve">V posledních letech pozorujeme stálý a zvětšující se růst v nápadu. V letech 2016–2018 tak soud nebyl schopen vyřídit svůj nápad, </w:t>
      </w:r>
      <w:r>
        <w:t>který</w:t>
      </w:r>
      <w:r w:rsidRPr="00D17312">
        <w:t xml:space="preserve"> výrazně převýšil počet vyřízených věcí, což logicky vyústilo v rychlý růst počtu nevyřízených věcí. V roce 2018 nárůst příchozích věcí zpomalil, ale nezastavil</w:t>
      </w:r>
      <w:r>
        <w:t xml:space="preserve"> se</w:t>
      </w:r>
      <w:r w:rsidRPr="00D17312">
        <w:t xml:space="preserve">. Počet příchozích věcí tak výrazně převýšil počet věcí vyřízených, a došlo tak k růstu v počtu nevyřízených věcí. Tento růst plyne z růstu nápadu a počtu vyřízených věcí v první instanci. </w:t>
      </w:r>
      <w:r w:rsidRPr="00A13084">
        <w:t>Obdobný závěr platí i pro rok 2019, s tím, že došlo k výraznému růstu v počtu vyřízených věcí a rozdíl mezi věcmi příchozími a vyřízenými se tak zmenšil.</w:t>
      </w:r>
    </w:p>
    <w:p w:rsidR="00A4083A" w:rsidRDefault="00A4083A" w:rsidP="00A4083A">
      <w:pPr>
        <w:pStyle w:val="OdstavecASR"/>
      </w:pPr>
      <w:bookmarkStart w:id="770" w:name="_Toc515871432"/>
      <w:bookmarkStart w:id="771" w:name="_Toc11135163"/>
      <w:r w:rsidRPr="00D17312">
        <w:t>Ještě je třeba upozornit</w:t>
      </w:r>
      <w:r>
        <w:t xml:space="preserve"> na to</w:t>
      </w:r>
      <w:r w:rsidRPr="00D17312">
        <w:t>, že v roce 2019 došlo v prvostupňovém řízení k poklesu v počtu příchozích věcí. Počet vyřízených věcí ovšem stoupl, a tak narostl i počet napadlých kasačních stížností. Pokud bude klesající trend v počtu příchozích prvostupňových věcí pokračovat, měl by logicky začít klesat i počet napadlých kasačních stížností</w:t>
      </w:r>
      <w:r>
        <w:t>,</w:t>
      </w:r>
      <w:r w:rsidRPr="00D17312">
        <w:t xml:space="preserve"> </w:t>
      </w:r>
      <w:r>
        <w:t>p</w:t>
      </w:r>
      <w:r w:rsidRPr="00D17312">
        <w:t>okud se ovšem nezmění jiný parametr.</w:t>
      </w:r>
    </w:p>
    <w:p w:rsidR="00A4083A" w:rsidRPr="00D17312" w:rsidRDefault="00A4083A" w:rsidP="00A4083A">
      <w:pPr>
        <w:pStyle w:val="Podnadpis"/>
        <w:rPr>
          <w:color w:val="auto"/>
        </w:rPr>
      </w:pPr>
      <w:bookmarkStart w:id="772" w:name="_Toc43841489"/>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109</w:t>
      </w:r>
      <w:r w:rsidRPr="00D17312">
        <w:rPr>
          <w:noProof/>
          <w:color w:val="auto"/>
        </w:rPr>
        <w:fldChar w:fldCharType="end"/>
      </w:r>
      <w:r w:rsidRPr="00D17312">
        <w:rPr>
          <w:color w:val="auto"/>
        </w:rPr>
        <w:t>: NSS – vyřizování kasačních věcí v letech 2008–201</w:t>
      </w:r>
      <w:bookmarkEnd w:id="770"/>
      <w:bookmarkEnd w:id="771"/>
      <w:r w:rsidRPr="00D17312">
        <w:rPr>
          <w:color w:val="auto"/>
        </w:rPr>
        <w:t>9</w:t>
      </w:r>
      <w:bookmarkEnd w:id="772"/>
    </w:p>
    <w:p w:rsidR="00A4083A" w:rsidRPr="00D17312" w:rsidRDefault="00A4083A" w:rsidP="00A4083A">
      <w:pPr>
        <w:rPr>
          <w:highlight w:val="yellow"/>
        </w:rPr>
      </w:pPr>
      <w:r w:rsidRPr="00CF01B8">
        <w:rPr>
          <w:noProof/>
          <w:lang w:eastAsia="cs-CZ"/>
        </w:rPr>
        <w:drawing>
          <wp:inline distT="0" distB="0" distL="0" distR="0" wp14:anchorId="258274C7" wp14:editId="18C6B2C3">
            <wp:extent cx="5112385" cy="3745230"/>
            <wp:effectExtent l="0" t="0" r="0" b="762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rsidR="00A4083A" w:rsidRDefault="00A4083A" w:rsidP="00A4083A">
      <w:pPr>
        <w:spacing w:line="240" w:lineRule="auto"/>
        <w:jc w:val="left"/>
        <w:rPr>
          <w:highlight w:val="yellow"/>
        </w:rPr>
      </w:pPr>
    </w:p>
    <w:p w:rsidR="00A4083A" w:rsidRDefault="00A4083A" w:rsidP="00A4083A">
      <w:pPr>
        <w:spacing w:line="240" w:lineRule="auto"/>
        <w:jc w:val="left"/>
        <w:rPr>
          <w:highlight w:val="yellow"/>
        </w:rPr>
      </w:pPr>
      <w:r>
        <w:rPr>
          <w:highlight w:val="yellow"/>
        </w:rPr>
        <w:br w:type="page"/>
      </w:r>
    </w:p>
    <w:p w:rsidR="00A4083A" w:rsidRPr="00D17312" w:rsidRDefault="00A4083A" w:rsidP="00A4083A">
      <w:pPr>
        <w:pStyle w:val="Nadpis2"/>
        <w:rPr>
          <w:lang w:eastAsia="cs-CZ"/>
        </w:rPr>
      </w:pPr>
      <w:bookmarkStart w:id="773" w:name="_Toc515871312"/>
      <w:bookmarkStart w:id="774" w:name="_Toc43903128"/>
      <w:r w:rsidRPr="00D17312">
        <w:rPr>
          <w:lang w:eastAsia="cs-CZ"/>
        </w:rPr>
        <w:lastRenderedPageBreak/>
        <w:t>Řízení ve věcech soudců</w:t>
      </w:r>
      <w:bookmarkEnd w:id="773"/>
      <w:bookmarkEnd w:id="774"/>
    </w:p>
    <w:p w:rsidR="00A4083A" w:rsidRPr="00D17312" w:rsidRDefault="00A4083A" w:rsidP="00A4083A">
      <w:pPr>
        <w:rPr>
          <w:lang w:eastAsia="cs-CZ"/>
        </w:rPr>
      </w:pPr>
      <w:r>
        <w:rPr>
          <w:lang w:eastAsia="cs-CZ"/>
        </w:rPr>
        <w:t>J</w:t>
      </w:r>
      <w:r w:rsidRPr="00D17312">
        <w:rPr>
          <w:lang w:eastAsia="cs-CZ"/>
        </w:rPr>
        <w:t>edná se o řízení ve věcech kárné odpovědnosti soudců a ve věcech nezpůsobilosti soudce podle § 91 zákona o soudech a soudcích. Věci jsou zapisovány do rejstříku Kss.</w:t>
      </w:r>
    </w:p>
    <w:p w:rsidR="00A4083A" w:rsidRPr="00D17312" w:rsidRDefault="00A4083A" w:rsidP="00A4083A">
      <w:pPr>
        <w:pStyle w:val="Nadpis3"/>
        <w:rPr>
          <w:color w:val="auto"/>
          <w:lang w:eastAsia="cs-CZ"/>
        </w:rPr>
      </w:pPr>
      <w:bookmarkStart w:id="775" w:name="_Toc515871313"/>
      <w:bookmarkStart w:id="776" w:name="_Toc43903129"/>
      <w:r w:rsidRPr="00D17312">
        <w:rPr>
          <w:color w:val="auto"/>
          <w:lang w:eastAsia="cs-CZ"/>
        </w:rPr>
        <w:t>Vyřizování věcí</w:t>
      </w:r>
      <w:bookmarkEnd w:id="775"/>
      <w:bookmarkEnd w:id="776"/>
    </w:p>
    <w:p w:rsidR="00A4083A" w:rsidRPr="00D17312" w:rsidRDefault="00A4083A" w:rsidP="00A4083A">
      <w:pPr>
        <w:pStyle w:val="Podnadpis"/>
        <w:rPr>
          <w:color w:val="auto"/>
        </w:rPr>
      </w:pPr>
      <w:bookmarkStart w:id="777" w:name="_Toc515871433"/>
      <w:bookmarkStart w:id="778" w:name="_Toc11135164"/>
      <w:bookmarkStart w:id="779" w:name="_Toc43841490"/>
      <w:r w:rsidRPr="00D17312">
        <w:rPr>
          <w:color w:val="auto"/>
        </w:rPr>
        <w:t xml:space="preserve">Graf </w:t>
      </w:r>
      <w:r w:rsidRPr="00D17312">
        <w:rPr>
          <w:color w:val="auto"/>
        </w:rPr>
        <w:fldChar w:fldCharType="begin"/>
      </w:r>
      <w:r w:rsidRPr="00D17312">
        <w:rPr>
          <w:color w:val="auto"/>
        </w:rPr>
        <w:instrText xml:space="preserve"> SEQ Graf \* ARABIC </w:instrText>
      </w:r>
      <w:r w:rsidRPr="00D17312">
        <w:rPr>
          <w:color w:val="auto"/>
        </w:rPr>
        <w:fldChar w:fldCharType="separate"/>
      </w:r>
      <w:r w:rsidR="006E7F27">
        <w:rPr>
          <w:noProof/>
          <w:color w:val="auto"/>
        </w:rPr>
        <w:t>110</w:t>
      </w:r>
      <w:r w:rsidRPr="00D17312">
        <w:rPr>
          <w:noProof/>
          <w:color w:val="auto"/>
        </w:rPr>
        <w:fldChar w:fldCharType="end"/>
      </w:r>
      <w:r w:rsidRPr="00D17312">
        <w:rPr>
          <w:color w:val="auto"/>
        </w:rPr>
        <w:t>: NSS – vyřizování řízení ve věcech soudců v letech 2008–201</w:t>
      </w:r>
      <w:bookmarkEnd w:id="777"/>
      <w:bookmarkEnd w:id="778"/>
      <w:r w:rsidRPr="00D17312">
        <w:rPr>
          <w:color w:val="auto"/>
        </w:rPr>
        <w:t>9</w:t>
      </w:r>
      <w:bookmarkEnd w:id="779"/>
    </w:p>
    <w:p w:rsidR="00A4083A" w:rsidRPr="00D17312" w:rsidRDefault="00A4083A" w:rsidP="00A4083A">
      <w:pPr>
        <w:rPr>
          <w:highlight w:val="yellow"/>
        </w:rPr>
      </w:pPr>
      <w:r w:rsidRPr="00D17312">
        <w:rPr>
          <w:noProof/>
          <w:lang w:eastAsia="cs-CZ"/>
        </w:rPr>
        <w:drawing>
          <wp:inline distT="0" distB="0" distL="0" distR="0" wp14:anchorId="19C4ACB9" wp14:editId="2922EC6E">
            <wp:extent cx="5114925" cy="3743325"/>
            <wp:effectExtent l="0" t="0" r="0" b="9525"/>
            <wp:docPr id="151" name="Obráze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A4083A" w:rsidRPr="00D17312" w:rsidRDefault="00A4083A" w:rsidP="00A4083A">
      <w:pPr>
        <w:pStyle w:val="OdstavecASR"/>
        <w:rPr>
          <w:lang w:eastAsia="cs-CZ"/>
        </w:rPr>
      </w:pPr>
      <w:r w:rsidRPr="00D17312">
        <w:t xml:space="preserve">Oproti agendě kasačních stížností je tato agenda velmi malá. Z toho také plyne velká variabilita. U takto malých čísel je možné, aby se v jeden rok „sešlo“ větší množství podaných kárných žalob, případně návrhů na zahájení řízení o způsobilosti soudce. V absolutních číslech se ale jedná o změny malé. </w:t>
      </w:r>
      <w:r>
        <w:rPr>
          <w:lang w:eastAsia="cs-CZ"/>
        </w:rPr>
        <w:t>V</w:t>
      </w:r>
      <w:r w:rsidRPr="00D17312">
        <w:rPr>
          <w:lang w:eastAsia="cs-CZ"/>
        </w:rPr>
        <w:t> roce 2018 bylo z 18 vyřízených věcí 10 soudců uznáno vinnými. V roce 2019 to bylo 20 soudců z 26.</w:t>
      </w:r>
    </w:p>
    <w:p w:rsidR="00A4083A" w:rsidRPr="00D17312" w:rsidRDefault="00A4083A" w:rsidP="00A4083A">
      <w:pPr>
        <w:rPr>
          <w:highlight w:val="yellow"/>
        </w:rPr>
      </w:pPr>
    </w:p>
    <w:p w:rsidR="00A4083A" w:rsidRPr="00F142C8" w:rsidRDefault="00A4083A" w:rsidP="00A4083A">
      <w:pPr>
        <w:rPr>
          <w:highlight w:val="yellow"/>
        </w:rPr>
      </w:pPr>
      <w:r w:rsidRPr="00D17312">
        <w:rPr>
          <w:highlight w:val="yellow"/>
        </w:rPr>
        <w:br w:type="page"/>
      </w:r>
    </w:p>
    <w:p w:rsidR="00A4083A" w:rsidRPr="00D17312" w:rsidRDefault="00A4083A" w:rsidP="00A4083A">
      <w:pPr>
        <w:pStyle w:val="Nadpis1"/>
        <w:numPr>
          <w:ilvl w:val="0"/>
          <w:numId w:val="0"/>
        </w:numPr>
      </w:pPr>
      <w:bookmarkStart w:id="780" w:name="_Toc43903130"/>
      <w:r w:rsidRPr="00D17312">
        <w:lastRenderedPageBreak/>
        <w:t>Seznam grafů</w:t>
      </w:r>
      <w:bookmarkEnd w:id="764"/>
      <w:bookmarkEnd w:id="780"/>
    </w:p>
    <w:p w:rsidR="00A4083A" w:rsidRDefault="00A4083A" w:rsidP="00A4083A">
      <w:pPr>
        <w:pStyle w:val="Seznamobrzk"/>
        <w:tabs>
          <w:tab w:val="right" w:leader="dot" w:pos="9060"/>
        </w:tabs>
        <w:rPr>
          <w:rFonts w:asciiTheme="minorHAnsi" w:eastAsiaTheme="minorEastAsia" w:hAnsiTheme="minorHAnsi" w:cstheme="minorBidi"/>
          <w:noProof/>
          <w:sz w:val="22"/>
          <w:lang w:eastAsia="cs-CZ"/>
        </w:rPr>
      </w:pPr>
      <w:r w:rsidRPr="00D17312">
        <w:rPr>
          <w:highlight w:val="yellow"/>
        </w:rPr>
        <w:fldChar w:fldCharType="begin"/>
      </w:r>
      <w:r w:rsidRPr="00D17312">
        <w:rPr>
          <w:highlight w:val="yellow"/>
        </w:rPr>
        <w:instrText xml:space="preserve"> TOC \h \z \c "Graf" </w:instrText>
      </w:r>
      <w:r w:rsidRPr="00D17312">
        <w:rPr>
          <w:highlight w:val="yellow"/>
        </w:rPr>
        <w:fldChar w:fldCharType="separate"/>
      </w:r>
      <w:hyperlink w:anchor="_Toc43841381" w:history="1">
        <w:r w:rsidRPr="00D83412">
          <w:rPr>
            <w:rStyle w:val="Hypertextovodkaz"/>
            <w:noProof/>
          </w:rPr>
          <w:t>Graf 1: OS – počet soudců v letech 2008–2019</w:t>
        </w:r>
        <w:r>
          <w:rPr>
            <w:noProof/>
            <w:webHidden/>
          </w:rPr>
          <w:tab/>
        </w:r>
        <w:r>
          <w:rPr>
            <w:noProof/>
            <w:webHidden/>
          </w:rPr>
          <w:fldChar w:fldCharType="begin"/>
        </w:r>
        <w:r>
          <w:rPr>
            <w:noProof/>
            <w:webHidden/>
          </w:rPr>
          <w:instrText xml:space="preserve"> PAGEREF _Toc43841381 \h </w:instrText>
        </w:r>
        <w:r>
          <w:rPr>
            <w:noProof/>
            <w:webHidden/>
          </w:rPr>
        </w:r>
        <w:r>
          <w:rPr>
            <w:noProof/>
            <w:webHidden/>
          </w:rPr>
          <w:fldChar w:fldCharType="separate"/>
        </w:r>
        <w:r w:rsidR="006E7F27">
          <w:rPr>
            <w:noProof/>
            <w:webHidden/>
          </w:rPr>
          <w:t>2</w:t>
        </w:r>
        <w:r>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382" w:history="1">
        <w:r w:rsidR="00A4083A" w:rsidRPr="00D83412">
          <w:rPr>
            <w:rStyle w:val="Hypertextovodkaz"/>
            <w:noProof/>
          </w:rPr>
          <w:t>Graf 2: OS – evidenční počet soudců dle soudních úseků v letech 2008–2019</w:t>
        </w:r>
        <w:r w:rsidR="00A4083A">
          <w:rPr>
            <w:noProof/>
            <w:webHidden/>
          </w:rPr>
          <w:tab/>
        </w:r>
        <w:r w:rsidR="00A4083A">
          <w:rPr>
            <w:noProof/>
            <w:webHidden/>
          </w:rPr>
          <w:fldChar w:fldCharType="begin"/>
        </w:r>
        <w:r w:rsidR="00A4083A">
          <w:rPr>
            <w:noProof/>
            <w:webHidden/>
          </w:rPr>
          <w:instrText xml:space="preserve"> PAGEREF _Toc43841382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383" w:history="1">
        <w:r w:rsidR="00A4083A" w:rsidRPr="00D83412">
          <w:rPr>
            <w:rStyle w:val="Hypertextovodkaz"/>
            <w:noProof/>
          </w:rPr>
          <w:t>Graf 3: OS – evidenční počet soudců u jednotlivých soudů</w:t>
        </w:r>
        <w:r w:rsidR="00A4083A">
          <w:rPr>
            <w:noProof/>
            <w:webHidden/>
          </w:rPr>
          <w:tab/>
        </w:r>
        <w:r w:rsidR="00A4083A">
          <w:rPr>
            <w:noProof/>
            <w:webHidden/>
          </w:rPr>
          <w:fldChar w:fldCharType="begin"/>
        </w:r>
        <w:r w:rsidR="00A4083A">
          <w:rPr>
            <w:noProof/>
            <w:webHidden/>
          </w:rPr>
          <w:instrText xml:space="preserve"> PAGEREF _Toc43841383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384" w:history="1">
        <w:r w:rsidR="00A4083A" w:rsidRPr="00D83412">
          <w:rPr>
            <w:rStyle w:val="Hypertextovodkaz"/>
            <w:noProof/>
          </w:rPr>
          <w:t>Graf 4: OS – evidenční počet soudců dle pohlaví v letech 2008–2019</w:t>
        </w:r>
        <w:r w:rsidR="00A4083A">
          <w:rPr>
            <w:noProof/>
            <w:webHidden/>
          </w:rPr>
          <w:tab/>
        </w:r>
        <w:r w:rsidR="00A4083A">
          <w:rPr>
            <w:noProof/>
            <w:webHidden/>
          </w:rPr>
          <w:fldChar w:fldCharType="begin"/>
        </w:r>
        <w:r w:rsidR="00A4083A">
          <w:rPr>
            <w:noProof/>
            <w:webHidden/>
          </w:rPr>
          <w:instrText xml:space="preserve"> PAGEREF _Toc43841384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385" w:history="1">
        <w:r w:rsidR="00A4083A" w:rsidRPr="00D83412">
          <w:rPr>
            <w:rStyle w:val="Hypertextovodkaz"/>
            <w:noProof/>
          </w:rPr>
          <w:t>Graf 5: OS – věková struktura soudců v letech 2008–2019</w:t>
        </w:r>
        <w:r w:rsidR="00A4083A">
          <w:rPr>
            <w:noProof/>
            <w:webHidden/>
          </w:rPr>
          <w:tab/>
        </w:r>
        <w:r w:rsidR="00A4083A">
          <w:rPr>
            <w:noProof/>
            <w:webHidden/>
          </w:rPr>
          <w:fldChar w:fldCharType="begin"/>
        </w:r>
        <w:r w:rsidR="00A4083A">
          <w:rPr>
            <w:noProof/>
            <w:webHidden/>
          </w:rPr>
          <w:instrText xml:space="preserve"> PAGEREF _Toc43841385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386" w:history="1">
        <w:r w:rsidR="00A4083A" w:rsidRPr="00D83412">
          <w:rPr>
            <w:rStyle w:val="Hypertextovodkaz"/>
            <w:noProof/>
          </w:rPr>
          <w:t>Graf 6: OS – délka civilního řízení v letech 2008–2019</w:t>
        </w:r>
        <w:r w:rsidR="00A4083A">
          <w:rPr>
            <w:noProof/>
            <w:webHidden/>
          </w:rPr>
          <w:tab/>
        </w:r>
        <w:r w:rsidR="00A4083A">
          <w:rPr>
            <w:noProof/>
            <w:webHidden/>
          </w:rPr>
          <w:fldChar w:fldCharType="begin"/>
        </w:r>
        <w:r w:rsidR="00A4083A">
          <w:rPr>
            <w:noProof/>
            <w:webHidden/>
          </w:rPr>
          <w:instrText xml:space="preserve"> PAGEREF _Toc43841386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387" w:history="1">
        <w:r w:rsidR="00A4083A" w:rsidRPr="00D83412">
          <w:rPr>
            <w:rStyle w:val="Hypertextovodkaz"/>
            <w:noProof/>
          </w:rPr>
          <w:t>Graf 7: OS – mediánové délky civilního řízení u jednotlivých soudů</w:t>
        </w:r>
        <w:r w:rsidR="00A4083A">
          <w:rPr>
            <w:noProof/>
            <w:webHidden/>
          </w:rPr>
          <w:tab/>
        </w:r>
        <w:r w:rsidR="00A4083A">
          <w:rPr>
            <w:noProof/>
            <w:webHidden/>
          </w:rPr>
          <w:fldChar w:fldCharType="begin"/>
        </w:r>
        <w:r w:rsidR="00A4083A">
          <w:rPr>
            <w:noProof/>
            <w:webHidden/>
          </w:rPr>
          <w:instrText xml:space="preserve"> PAGEREF _Toc43841387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388" w:history="1">
        <w:r w:rsidR="00A4083A" w:rsidRPr="00D83412">
          <w:rPr>
            <w:rStyle w:val="Hypertextovodkaz"/>
            <w:noProof/>
          </w:rPr>
          <w:t>Graf 8: OS – krabicové grafy, mediánové délky civilního řízení</w:t>
        </w:r>
        <w:r w:rsidR="00A4083A">
          <w:rPr>
            <w:noProof/>
            <w:webHidden/>
          </w:rPr>
          <w:tab/>
        </w:r>
        <w:r w:rsidR="00A4083A">
          <w:rPr>
            <w:noProof/>
            <w:webHidden/>
          </w:rPr>
          <w:fldChar w:fldCharType="begin"/>
        </w:r>
        <w:r w:rsidR="00A4083A">
          <w:rPr>
            <w:noProof/>
            <w:webHidden/>
          </w:rPr>
          <w:instrText xml:space="preserve"> PAGEREF _Toc43841388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389" w:history="1">
        <w:r w:rsidR="00A4083A" w:rsidRPr="00D83412">
          <w:rPr>
            <w:rStyle w:val="Hypertextovodkaz"/>
            <w:noProof/>
          </w:rPr>
          <w:t>Graf 9: OS – distribuce délek civilního řízení</w:t>
        </w:r>
        <w:r w:rsidR="00A4083A">
          <w:rPr>
            <w:noProof/>
            <w:webHidden/>
          </w:rPr>
          <w:tab/>
        </w:r>
        <w:r w:rsidR="00A4083A">
          <w:rPr>
            <w:noProof/>
            <w:webHidden/>
          </w:rPr>
          <w:fldChar w:fldCharType="begin"/>
        </w:r>
        <w:r w:rsidR="00A4083A">
          <w:rPr>
            <w:noProof/>
            <w:webHidden/>
          </w:rPr>
          <w:instrText xml:space="preserve"> PAGEREF _Toc43841389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390" w:history="1">
        <w:r w:rsidR="00A4083A" w:rsidRPr="00D83412">
          <w:rPr>
            <w:rStyle w:val="Hypertextovodkaz"/>
            <w:noProof/>
          </w:rPr>
          <w:t>Graf 10: OS – vyřizování civilních věcí v letech 2008–2019</w:t>
        </w:r>
        <w:r w:rsidR="00A4083A">
          <w:rPr>
            <w:noProof/>
            <w:webHidden/>
          </w:rPr>
          <w:tab/>
        </w:r>
        <w:r w:rsidR="00A4083A">
          <w:rPr>
            <w:noProof/>
            <w:webHidden/>
          </w:rPr>
          <w:fldChar w:fldCharType="begin"/>
        </w:r>
        <w:r w:rsidR="00A4083A">
          <w:rPr>
            <w:noProof/>
            <w:webHidden/>
          </w:rPr>
          <w:instrText xml:space="preserve"> PAGEREF _Toc43841390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391" w:history="1">
        <w:r w:rsidR="00A4083A" w:rsidRPr="00D83412">
          <w:rPr>
            <w:rStyle w:val="Hypertextovodkaz"/>
            <w:noProof/>
          </w:rPr>
          <w:t>Graf 11: OS – počet nevyříz. civilních věcí na soudce u jednotlivých soudů</w:t>
        </w:r>
        <w:r w:rsidR="00A4083A">
          <w:rPr>
            <w:noProof/>
            <w:webHidden/>
          </w:rPr>
          <w:tab/>
        </w:r>
        <w:r w:rsidR="00A4083A">
          <w:rPr>
            <w:noProof/>
            <w:webHidden/>
          </w:rPr>
          <w:fldChar w:fldCharType="begin"/>
        </w:r>
        <w:r w:rsidR="00A4083A">
          <w:rPr>
            <w:noProof/>
            <w:webHidden/>
          </w:rPr>
          <w:instrText xml:space="preserve"> PAGEREF _Toc43841391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392" w:history="1">
        <w:r w:rsidR="00A4083A" w:rsidRPr="00D83412">
          <w:rPr>
            <w:rStyle w:val="Hypertextovodkaz"/>
            <w:noProof/>
          </w:rPr>
          <w:t>Graf 12: OS – disposition time civilního řízení v letech 2008–2019</w:t>
        </w:r>
        <w:r w:rsidR="00A4083A">
          <w:rPr>
            <w:noProof/>
            <w:webHidden/>
          </w:rPr>
          <w:tab/>
        </w:r>
        <w:r w:rsidR="00A4083A">
          <w:rPr>
            <w:noProof/>
            <w:webHidden/>
          </w:rPr>
          <w:fldChar w:fldCharType="begin"/>
        </w:r>
        <w:r w:rsidR="00A4083A">
          <w:rPr>
            <w:noProof/>
            <w:webHidden/>
          </w:rPr>
          <w:instrText xml:space="preserve"> PAGEREF _Toc43841392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393" w:history="1">
        <w:r w:rsidR="00A4083A" w:rsidRPr="00D83412">
          <w:rPr>
            <w:rStyle w:val="Hypertextovodkaz"/>
            <w:noProof/>
          </w:rPr>
          <w:t>Graf 13: OS – disposition time civilního řízení u jednotlivých soudů</w:t>
        </w:r>
        <w:r w:rsidR="00A4083A">
          <w:rPr>
            <w:noProof/>
            <w:webHidden/>
          </w:rPr>
          <w:tab/>
        </w:r>
        <w:r w:rsidR="00A4083A">
          <w:rPr>
            <w:noProof/>
            <w:webHidden/>
          </w:rPr>
          <w:fldChar w:fldCharType="begin"/>
        </w:r>
        <w:r w:rsidR="00A4083A">
          <w:rPr>
            <w:noProof/>
            <w:webHidden/>
          </w:rPr>
          <w:instrText xml:space="preserve"> PAGEREF _Toc43841393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394" w:history="1">
        <w:r w:rsidR="00A4083A" w:rsidRPr="00D83412">
          <w:rPr>
            <w:rStyle w:val="Hypertextovodkaz"/>
            <w:noProof/>
          </w:rPr>
          <w:t>Graf 14: OS – krabicové grafy, DT civilního řízení</w:t>
        </w:r>
        <w:r w:rsidR="00A4083A">
          <w:rPr>
            <w:noProof/>
            <w:webHidden/>
          </w:rPr>
          <w:tab/>
        </w:r>
        <w:r w:rsidR="00A4083A">
          <w:rPr>
            <w:noProof/>
            <w:webHidden/>
          </w:rPr>
          <w:fldChar w:fldCharType="begin"/>
        </w:r>
        <w:r w:rsidR="00A4083A">
          <w:rPr>
            <w:noProof/>
            <w:webHidden/>
          </w:rPr>
          <w:instrText xml:space="preserve"> PAGEREF _Toc43841394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395" w:history="1">
        <w:r w:rsidR="00A4083A" w:rsidRPr="00D83412">
          <w:rPr>
            <w:rStyle w:val="Hypertextovodkaz"/>
            <w:noProof/>
          </w:rPr>
          <w:t>Graf 15: OS – míra odvolání u jednotlivých soudů v civilním řízení</w:t>
        </w:r>
        <w:r w:rsidR="00A4083A">
          <w:rPr>
            <w:noProof/>
            <w:webHidden/>
          </w:rPr>
          <w:tab/>
        </w:r>
        <w:r w:rsidR="00A4083A">
          <w:rPr>
            <w:noProof/>
            <w:webHidden/>
          </w:rPr>
          <w:fldChar w:fldCharType="begin"/>
        </w:r>
        <w:r w:rsidR="00A4083A">
          <w:rPr>
            <w:noProof/>
            <w:webHidden/>
          </w:rPr>
          <w:instrText xml:space="preserve"> PAGEREF _Toc43841395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396" w:history="1">
        <w:r w:rsidR="00A4083A" w:rsidRPr="00D83412">
          <w:rPr>
            <w:rStyle w:val="Hypertextovodkaz"/>
            <w:noProof/>
          </w:rPr>
          <w:t>Graf 16: OS – míra změny rozsudku u jednotlivých soudů v civilním řízení</w:t>
        </w:r>
        <w:r w:rsidR="00A4083A">
          <w:rPr>
            <w:noProof/>
            <w:webHidden/>
          </w:rPr>
          <w:tab/>
        </w:r>
        <w:r w:rsidR="00A4083A">
          <w:rPr>
            <w:noProof/>
            <w:webHidden/>
          </w:rPr>
          <w:fldChar w:fldCharType="begin"/>
        </w:r>
        <w:r w:rsidR="00A4083A">
          <w:rPr>
            <w:noProof/>
            <w:webHidden/>
          </w:rPr>
          <w:instrText xml:space="preserve"> PAGEREF _Toc43841396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397" w:history="1">
        <w:r w:rsidR="00A4083A" w:rsidRPr="00D83412">
          <w:rPr>
            <w:rStyle w:val="Hypertextovodkaz"/>
            <w:noProof/>
          </w:rPr>
          <w:t>Graf 17: OS – délka civilního el. rozkazního řízení v letech 2013–2019</w:t>
        </w:r>
        <w:r w:rsidR="00A4083A">
          <w:rPr>
            <w:noProof/>
            <w:webHidden/>
          </w:rPr>
          <w:tab/>
        </w:r>
        <w:r w:rsidR="00A4083A">
          <w:rPr>
            <w:noProof/>
            <w:webHidden/>
          </w:rPr>
          <w:fldChar w:fldCharType="begin"/>
        </w:r>
        <w:r w:rsidR="00A4083A">
          <w:rPr>
            <w:noProof/>
            <w:webHidden/>
          </w:rPr>
          <w:instrText xml:space="preserve"> PAGEREF _Toc43841397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398" w:history="1">
        <w:r w:rsidR="00A4083A" w:rsidRPr="00D83412">
          <w:rPr>
            <w:rStyle w:val="Hypertextovodkaz"/>
            <w:noProof/>
          </w:rPr>
          <w:t>Graf 18: OS – vyřizování věcí v rejstříku EPR v letech 2013–2019</w:t>
        </w:r>
        <w:r w:rsidR="00A4083A">
          <w:rPr>
            <w:noProof/>
            <w:webHidden/>
          </w:rPr>
          <w:tab/>
        </w:r>
        <w:r w:rsidR="00A4083A">
          <w:rPr>
            <w:noProof/>
            <w:webHidden/>
          </w:rPr>
          <w:fldChar w:fldCharType="begin"/>
        </w:r>
        <w:r w:rsidR="00A4083A">
          <w:rPr>
            <w:noProof/>
            <w:webHidden/>
          </w:rPr>
          <w:instrText xml:space="preserve"> PAGEREF _Toc43841398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399" w:history="1">
        <w:r w:rsidR="00A4083A" w:rsidRPr="00D83412">
          <w:rPr>
            <w:rStyle w:val="Hypertextovodkaz"/>
            <w:noProof/>
          </w:rPr>
          <w:t>Graf 19: OS – převedeno z rejstříku EPR v letech 2013–2019</w:t>
        </w:r>
        <w:r w:rsidR="00A4083A">
          <w:rPr>
            <w:noProof/>
            <w:webHidden/>
          </w:rPr>
          <w:tab/>
        </w:r>
        <w:r w:rsidR="00A4083A">
          <w:rPr>
            <w:noProof/>
            <w:webHidden/>
          </w:rPr>
          <w:fldChar w:fldCharType="begin"/>
        </w:r>
        <w:r w:rsidR="00A4083A">
          <w:rPr>
            <w:noProof/>
            <w:webHidden/>
          </w:rPr>
          <w:instrText xml:space="preserve"> PAGEREF _Toc43841399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00" w:history="1">
        <w:r w:rsidR="00A4083A" w:rsidRPr="00D83412">
          <w:rPr>
            <w:rStyle w:val="Hypertextovodkaz"/>
            <w:noProof/>
          </w:rPr>
          <w:t>Graf 20: OS – délka trestního řízení v letech 2008–2019 v kalendářních dnech</w:t>
        </w:r>
        <w:r w:rsidR="00A4083A">
          <w:rPr>
            <w:noProof/>
            <w:webHidden/>
          </w:rPr>
          <w:tab/>
        </w:r>
        <w:r w:rsidR="00A4083A">
          <w:rPr>
            <w:noProof/>
            <w:webHidden/>
          </w:rPr>
          <w:fldChar w:fldCharType="begin"/>
        </w:r>
        <w:r w:rsidR="00A4083A">
          <w:rPr>
            <w:noProof/>
            <w:webHidden/>
          </w:rPr>
          <w:instrText xml:space="preserve"> PAGEREF _Toc43841400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01" w:history="1">
        <w:r w:rsidR="00A4083A" w:rsidRPr="00D83412">
          <w:rPr>
            <w:rStyle w:val="Hypertextovodkaz"/>
            <w:noProof/>
          </w:rPr>
          <w:t>Graf 21: OS – mediánové délky trestního řízení u jednotlivých soudů</w:t>
        </w:r>
        <w:r w:rsidR="00A4083A">
          <w:rPr>
            <w:noProof/>
            <w:webHidden/>
          </w:rPr>
          <w:tab/>
        </w:r>
        <w:r w:rsidR="00A4083A">
          <w:rPr>
            <w:noProof/>
            <w:webHidden/>
          </w:rPr>
          <w:fldChar w:fldCharType="begin"/>
        </w:r>
        <w:r w:rsidR="00A4083A">
          <w:rPr>
            <w:noProof/>
            <w:webHidden/>
          </w:rPr>
          <w:instrText xml:space="preserve"> PAGEREF _Toc43841401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02" w:history="1">
        <w:r w:rsidR="00A4083A" w:rsidRPr="00D83412">
          <w:rPr>
            <w:rStyle w:val="Hypertextovodkaz"/>
            <w:noProof/>
          </w:rPr>
          <w:t>Graf 22: OS – krabicové grafy, mediánové délky trestního řízení</w:t>
        </w:r>
        <w:r w:rsidR="00A4083A">
          <w:rPr>
            <w:noProof/>
            <w:webHidden/>
          </w:rPr>
          <w:tab/>
        </w:r>
        <w:r w:rsidR="00A4083A">
          <w:rPr>
            <w:noProof/>
            <w:webHidden/>
          </w:rPr>
          <w:fldChar w:fldCharType="begin"/>
        </w:r>
        <w:r w:rsidR="00A4083A">
          <w:rPr>
            <w:noProof/>
            <w:webHidden/>
          </w:rPr>
          <w:instrText xml:space="preserve"> PAGEREF _Toc43841402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03" w:history="1">
        <w:r w:rsidR="00A4083A" w:rsidRPr="00D83412">
          <w:rPr>
            <w:rStyle w:val="Hypertextovodkaz"/>
            <w:noProof/>
          </w:rPr>
          <w:t>Graf 23: OS – distribuce délek trestního řízení</w:t>
        </w:r>
        <w:r w:rsidR="00A4083A">
          <w:rPr>
            <w:noProof/>
            <w:webHidden/>
          </w:rPr>
          <w:tab/>
        </w:r>
        <w:r w:rsidR="00A4083A">
          <w:rPr>
            <w:noProof/>
            <w:webHidden/>
          </w:rPr>
          <w:fldChar w:fldCharType="begin"/>
        </w:r>
        <w:r w:rsidR="00A4083A">
          <w:rPr>
            <w:noProof/>
            <w:webHidden/>
          </w:rPr>
          <w:instrText xml:space="preserve"> PAGEREF _Toc43841403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04" w:history="1">
        <w:r w:rsidR="00A4083A" w:rsidRPr="00D83412">
          <w:rPr>
            <w:rStyle w:val="Hypertextovodkaz"/>
            <w:noProof/>
          </w:rPr>
          <w:t>Graf 24: OS – vyřizování trestních věcí v letech 2008–2019</w:t>
        </w:r>
        <w:r w:rsidR="00A4083A">
          <w:rPr>
            <w:noProof/>
            <w:webHidden/>
          </w:rPr>
          <w:tab/>
        </w:r>
        <w:r w:rsidR="00A4083A">
          <w:rPr>
            <w:noProof/>
            <w:webHidden/>
          </w:rPr>
          <w:fldChar w:fldCharType="begin"/>
        </w:r>
        <w:r w:rsidR="00A4083A">
          <w:rPr>
            <w:noProof/>
            <w:webHidden/>
          </w:rPr>
          <w:instrText xml:space="preserve"> PAGEREF _Toc43841404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05" w:history="1">
        <w:r w:rsidR="00A4083A" w:rsidRPr="00D83412">
          <w:rPr>
            <w:rStyle w:val="Hypertextovodkaz"/>
            <w:noProof/>
          </w:rPr>
          <w:t>Graf 25: OS – počet nevyříz. trestních věcí na soudce u jednotlivých soudů</w:t>
        </w:r>
        <w:r w:rsidR="00A4083A">
          <w:rPr>
            <w:noProof/>
            <w:webHidden/>
          </w:rPr>
          <w:tab/>
        </w:r>
        <w:r w:rsidR="00A4083A">
          <w:rPr>
            <w:noProof/>
            <w:webHidden/>
          </w:rPr>
          <w:fldChar w:fldCharType="begin"/>
        </w:r>
        <w:r w:rsidR="00A4083A">
          <w:rPr>
            <w:noProof/>
            <w:webHidden/>
          </w:rPr>
          <w:instrText xml:space="preserve"> PAGEREF _Toc43841405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06" w:history="1">
        <w:r w:rsidR="00A4083A" w:rsidRPr="00D83412">
          <w:rPr>
            <w:rStyle w:val="Hypertextovodkaz"/>
            <w:noProof/>
          </w:rPr>
          <w:t>Graf 26: OS – disposition time trestního řízení v letech 2008–2019</w:t>
        </w:r>
        <w:r w:rsidR="00A4083A">
          <w:rPr>
            <w:noProof/>
            <w:webHidden/>
          </w:rPr>
          <w:tab/>
        </w:r>
        <w:r w:rsidR="00A4083A">
          <w:rPr>
            <w:noProof/>
            <w:webHidden/>
          </w:rPr>
          <w:fldChar w:fldCharType="begin"/>
        </w:r>
        <w:r w:rsidR="00A4083A">
          <w:rPr>
            <w:noProof/>
            <w:webHidden/>
          </w:rPr>
          <w:instrText xml:space="preserve"> PAGEREF _Toc43841406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07" w:history="1">
        <w:r w:rsidR="00A4083A" w:rsidRPr="00D83412">
          <w:rPr>
            <w:rStyle w:val="Hypertextovodkaz"/>
            <w:noProof/>
          </w:rPr>
          <w:t>Graf 27: OS – disposition time trestního řízení u jednotlivých soudů</w:t>
        </w:r>
        <w:r w:rsidR="00A4083A">
          <w:rPr>
            <w:noProof/>
            <w:webHidden/>
          </w:rPr>
          <w:tab/>
        </w:r>
        <w:r w:rsidR="00A4083A">
          <w:rPr>
            <w:noProof/>
            <w:webHidden/>
          </w:rPr>
          <w:fldChar w:fldCharType="begin"/>
        </w:r>
        <w:r w:rsidR="00A4083A">
          <w:rPr>
            <w:noProof/>
            <w:webHidden/>
          </w:rPr>
          <w:instrText xml:space="preserve"> PAGEREF _Toc43841407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08" w:history="1">
        <w:r w:rsidR="00A4083A" w:rsidRPr="00D83412">
          <w:rPr>
            <w:rStyle w:val="Hypertextovodkaz"/>
            <w:noProof/>
          </w:rPr>
          <w:t>Graf 28: OS – krabicové grafy, DT trestního řízení</w:t>
        </w:r>
        <w:r w:rsidR="00A4083A">
          <w:rPr>
            <w:noProof/>
            <w:webHidden/>
          </w:rPr>
          <w:tab/>
        </w:r>
        <w:r w:rsidR="00A4083A">
          <w:rPr>
            <w:noProof/>
            <w:webHidden/>
          </w:rPr>
          <w:fldChar w:fldCharType="begin"/>
        </w:r>
        <w:r w:rsidR="00A4083A">
          <w:rPr>
            <w:noProof/>
            <w:webHidden/>
          </w:rPr>
          <w:instrText xml:space="preserve"> PAGEREF _Toc43841408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09" w:history="1">
        <w:r w:rsidR="00A4083A" w:rsidRPr="00D83412">
          <w:rPr>
            <w:rStyle w:val="Hypertextovodkaz"/>
            <w:noProof/>
          </w:rPr>
          <w:t>Graf 29: OS – míra odvolání u jednotlivých soudů v trestním řízení</w:t>
        </w:r>
        <w:r w:rsidR="00A4083A">
          <w:rPr>
            <w:noProof/>
            <w:webHidden/>
          </w:rPr>
          <w:tab/>
        </w:r>
        <w:r w:rsidR="00A4083A">
          <w:rPr>
            <w:noProof/>
            <w:webHidden/>
          </w:rPr>
          <w:fldChar w:fldCharType="begin"/>
        </w:r>
        <w:r w:rsidR="00A4083A">
          <w:rPr>
            <w:noProof/>
            <w:webHidden/>
          </w:rPr>
          <w:instrText xml:space="preserve"> PAGEREF _Toc43841409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10" w:history="1">
        <w:r w:rsidR="00A4083A" w:rsidRPr="00D83412">
          <w:rPr>
            <w:rStyle w:val="Hypertextovodkaz"/>
            <w:noProof/>
          </w:rPr>
          <w:t>Graf 30: OS – míra změny rozsudku u jednotlivých soudů v trestním řízení</w:t>
        </w:r>
        <w:r w:rsidR="00A4083A">
          <w:rPr>
            <w:noProof/>
            <w:webHidden/>
          </w:rPr>
          <w:tab/>
        </w:r>
        <w:r w:rsidR="00A4083A">
          <w:rPr>
            <w:noProof/>
            <w:webHidden/>
          </w:rPr>
          <w:fldChar w:fldCharType="begin"/>
        </w:r>
        <w:r w:rsidR="00A4083A">
          <w:rPr>
            <w:noProof/>
            <w:webHidden/>
          </w:rPr>
          <w:instrText xml:space="preserve"> PAGEREF _Toc43841410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11" w:history="1">
        <w:r w:rsidR="00A4083A" w:rsidRPr="00D83412">
          <w:rPr>
            <w:rStyle w:val="Hypertextovodkaz"/>
            <w:noProof/>
          </w:rPr>
          <w:t>Graf 31: OS – podíl věcí skončených trestním příkazem v letech 2008–2019</w:t>
        </w:r>
        <w:r w:rsidR="00A4083A">
          <w:rPr>
            <w:noProof/>
            <w:webHidden/>
          </w:rPr>
          <w:tab/>
        </w:r>
        <w:r w:rsidR="00A4083A">
          <w:rPr>
            <w:noProof/>
            <w:webHidden/>
          </w:rPr>
          <w:fldChar w:fldCharType="begin"/>
        </w:r>
        <w:r w:rsidR="00A4083A">
          <w:rPr>
            <w:noProof/>
            <w:webHidden/>
          </w:rPr>
          <w:instrText xml:space="preserve"> PAGEREF _Toc43841411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12" w:history="1">
        <w:r w:rsidR="00A4083A" w:rsidRPr="00D83412">
          <w:rPr>
            <w:rStyle w:val="Hypertextovodkaz"/>
            <w:noProof/>
          </w:rPr>
          <w:t>Graf 32: OS – věková struktura obžalovaných</w:t>
        </w:r>
        <w:r w:rsidR="00A4083A">
          <w:rPr>
            <w:noProof/>
            <w:webHidden/>
          </w:rPr>
          <w:tab/>
        </w:r>
        <w:r w:rsidR="00A4083A">
          <w:rPr>
            <w:noProof/>
            <w:webHidden/>
          </w:rPr>
          <w:fldChar w:fldCharType="begin"/>
        </w:r>
        <w:r w:rsidR="00A4083A">
          <w:rPr>
            <w:noProof/>
            <w:webHidden/>
          </w:rPr>
          <w:instrText xml:space="preserve"> PAGEREF _Toc43841412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13" w:history="1">
        <w:r w:rsidR="00A4083A" w:rsidRPr="00D83412">
          <w:rPr>
            <w:rStyle w:val="Hypertextovodkaz"/>
            <w:noProof/>
          </w:rPr>
          <w:t>Graf 33: OS – suma uložených peněžitých trestů</w:t>
        </w:r>
        <w:r w:rsidR="00A4083A">
          <w:rPr>
            <w:noProof/>
            <w:webHidden/>
          </w:rPr>
          <w:tab/>
        </w:r>
        <w:r w:rsidR="00A4083A">
          <w:rPr>
            <w:noProof/>
            <w:webHidden/>
          </w:rPr>
          <w:fldChar w:fldCharType="begin"/>
        </w:r>
        <w:r w:rsidR="00A4083A">
          <w:rPr>
            <w:noProof/>
            <w:webHidden/>
          </w:rPr>
          <w:instrText xml:space="preserve"> PAGEREF _Toc43841413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14" w:history="1">
        <w:r w:rsidR="00A4083A" w:rsidRPr="00D83412">
          <w:rPr>
            <w:rStyle w:val="Hypertextovodkaz"/>
            <w:noProof/>
          </w:rPr>
          <w:t>Graf 34: OS – počet a průměrná výše uložených peněžitých trestů</w:t>
        </w:r>
        <w:r w:rsidR="00A4083A">
          <w:rPr>
            <w:noProof/>
            <w:webHidden/>
          </w:rPr>
          <w:tab/>
        </w:r>
        <w:r w:rsidR="00A4083A">
          <w:rPr>
            <w:noProof/>
            <w:webHidden/>
          </w:rPr>
          <w:fldChar w:fldCharType="begin"/>
        </w:r>
        <w:r w:rsidR="00A4083A">
          <w:rPr>
            <w:noProof/>
            <w:webHidden/>
          </w:rPr>
          <w:instrText xml:space="preserve"> PAGEREF _Toc43841414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15" w:history="1">
        <w:r w:rsidR="00A4083A" w:rsidRPr="00D83412">
          <w:rPr>
            <w:rStyle w:val="Hypertextovodkaz"/>
            <w:noProof/>
          </w:rPr>
          <w:t>Graf 35: OS – délka řízení v opatrovnické agendě v letech 2010–2019</w:t>
        </w:r>
        <w:r w:rsidR="00A4083A">
          <w:rPr>
            <w:noProof/>
            <w:webHidden/>
          </w:rPr>
          <w:tab/>
        </w:r>
        <w:r w:rsidR="00A4083A">
          <w:rPr>
            <w:noProof/>
            <w:webHidden/>
          </w:rPr>
          <w:fldChar w:fldCharType="begin"/>
        </w:r>
        <w:r w:rsidR="00A4083A">
          <w:rPr>
            <w:noProof/>
            <w:webHidden/>
          </w:rPr>
          <w:instrText xml:space="preserve"> PAGEREF _Toc43841415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16" w:history="1">
        <w:r w:rsidR="00A4083A" w:rsidRPr="00D83412">
          <w:rPr>
            <w:rStyle w:val="Hypertextovodkaz"/>
            <w:noProof/>
          </w:rPr>
          <w:t>Graf 36: OS – mediánové délky řízení v opatrov. agendě u jednotlivých soudů</w:t>
        </w:r>
        <w:r w:rsidR="00A4083A">
          <w:rPr>
            <w:noProof/>
            <w:webHidden/>
          </w:rPr>
          <w:tab/>
        </w:r>
        <w:r w:rsidR="00A4083A">
          <w:rPr>
            <w:noProof/>
            <w:webHidden/>
          </w:rPr>
          <w:fldChar w:fldCharType="begin"/>
        </w:r>
        <w:r w:rsidR="00A4083A">
          <w:rPr>
            <w:noProof/>
            <w:webHidden/>
          </w:rPr>
          <w:instrText xml:space="preserve"> PAGEREF _Toc43841416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17" w:history="1">
        <w:r w:rsidR="00A4083A" w:rsidRPr="00D83412">
          <w:rPr>
            <w:rStyle w:val="Hypertextovodkaz"/>
            <w:noProof/>
          </w:rPr>
          <w:t>Graf 37: OS – krabicové grafy, mediánové délky opatrovnického řízení</w:t>
        </w:r>
        <w:r w:rsidR="00A4083A">
          <w:rPr>
            <w:noProof/>
            <w:webHidden/>
          </w:rPr>
          <w:tab/>
        </w:r>
        <w:r w:rsidR="00A4083A">
          <w:rPr>
            <w:noProof/>
            <w:webHidden/>
          </w:rPr>
          <w:fldChar w:fldCharType="begin"/>
        </w:r>
        <w:r w:rsidR="00A4083A">
          <w:rPr>
            <w:noProof/>
            <w:webHidden/>
          </w:rPr>
          <w:instrText xml:space="preserve"> PAGEREF _Toc43841417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18" w:history="1">
        <w:r w:rsidR="00A4083A" w:rsidRPr="00D83412">
          <w:rPr>
            <w:rStyle w:val="Hypertextovodkaz"/>
            <w:noProof/>
          </w:rPr>
          <w:t>Graf 38: OS – vyřizování věcí v opatrovnické agendě v letech 2008–2019</w:t>
        </w:r>
        <w:r w:rsidR="00A4083A">
          <w:rPr>
            <w:noProof/>
            <w:webHidden/>
          </w:rPr>
          <w:tab/>
        </w:r>
        <w:r w:rsidR="00A4083A">
          <w:rPr>
            <w:noProof/>
            <w:webHidden/>
          </w:rPr>
          <w:fldChar w:fldCharType="begin"/>
        </w:r>
        <w:r w:rsidR="00A4083A">
          <w:rPr>
            <w:noProof/>
            <w:webHidden/>
          </w:rPr>
          <w:instrText xml:space="preserve"> PAGEREF _Toc43841418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19" w:history="1">
        <w:r w:rsidR="00A4083A" w:rsidRPr="00D83412">
          <w:rPr>
            <w:rStyle w:val="Hypertextovodkaz"/>
            <w:noProof/>
          </w:rPr>
          <w:t>Graf 39: OS – počet nevyříz. opatrov. věcí na soudce u jednotlivých soudů</w:t>
        </w:r>
        <w:r w:rsidR="00A4083A">
          <w:rPr>
            <w:noProof/>
            <w:webHidden/>
          </w:rPr>
          <w:tab/>
        </w:r>
        <w:r w:rsidR="00A4083A">
          <w:rPr>
            <w:noProof/>
            <w:webHidden/>
          </w:rPr>
          <w:fldChar w:fldCharType="begin"/>
        </w:r>
        <w:r w:rsidR="00A4083A">
          <w:rPr>
            <w:noProof/>
            <w:webHidden/>
          </w:rPr>
          <w:instrText xml:space="preserve"> PAGEREF _Toc43841419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20" w:history="1">
        <w:r w:rsidR="00A4083A" w:rsidRPr="00D83412">
          <w:rPr>
            <w:rStyle w:val="Hypertextovodkaz"/>
            <w:noProof/>
          </w:rPr>
          <w:t>Graf 40: OS – disposition time v opatrovnické agendě v letech 2008–2019</w:t>
        </w:r>
        <w:r w:rsidR="00A4083A">
          <w:rPr>
            <w:noProof/>
            <w:webHidden/>
          </w:rPr>
          <w:tab/>
        </w:r>
        <w:r w:rsidR="00A4083A">
          <w:rPr>
            <w:noProof/>
            <w:webHidden/>
          </w:rPr>
          <w:fldChar w:fldCharType="begin"/>
        </w:r>
        <w:r w:rsidR="00A4083A">
          <w:rPr>
            <w:noProof/>
            <w:webHidden/>
          </w:rPr>
          <w:instrText xml:space="preserve"> PAGEREF _Toc43841420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21" w:history="1">
        <w:r w:rsidR="00A4083A" w:rsidRPr="00D83412">
          <w:rPr>
            <w:rStyle w:val="Hypertextovodkaz"/>
            <w:noProof/>
          </w:rPr>
          <w:t>Graf 41: OS – disposition time v opatrovnické agendě u jednotlivých soudů</w:t>
        </w:r>
        <w:r w:rsidR="00A4083A">
          <w:rPr>
            <w:noProof/>
            <w:webHidden/>
          </w:rPr>
          <w:tab/>
        </w:r>
        <w:r w:rsidR="00A4083A">
          <w:rPr>
            <w:noProof/>
            <w:webHidden/>
          </w:rPr>
          <w:fldChar w:fldCharType="begin"/>
        </w:r>
        <w:r w:rsidR="00A4083A">
          <w:rPr>
            <w:noProof/>
            <w:webHidden/>
          </w:rPr>
          <w:instrText xml:space="preserve"> PAGEREF _Toc43841421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22" w:history="1">
        <w:r w:rsidR="00A4083A" w:rsidRPr="00D83412">
          <w:rPr>
            <w:rStyle w:val="Hypertextovodkaz"/>
            <w:noProof/>
          </w:rPr>
          <w:t>Graf 42: OS – průměrná výše výživného dle povinné osoby v letech 2012–2019</w:t>
        </w:r>
        <w:r w:rsidR="00A4083A">
          <w:rPr>
            <w:noProof/>
            <w:webHidden/>
          </w:rPr>
          <w:tab/>
        </w:r>
        <w:r w:rsidR="00A4083A">
          <w:rPr>
            <w:noProof/>
            <w:webHidden/>
          </w:rPr>
          <w:fldChar w:fldCharType="begin"/>
        </w:r>
        <w:r w:rsidR="00A4083A">
          <w:rPr>
            <w:noProof/>
            <w:webHidden/>
          </w:rPr>
          <w:instrText xml:space="preserve"> PAGEREF _Toc43841422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23" w:history="1">
        <w:r w:rsidR="00A4083A" w:rsidRPr="00D83412">
          <w:rPr>
            <w:rStyle w:val="Hypertextovodkaz"/>
            <w:noProof/>
          </w:rPr>
          <w:t>Graf 43: OS – podíl na příjmu povinné osoby v letech 2012–2019</w:t>
        </w:r>
        <w:r w:rsidR="00A4083A">
          <w:rPr>
            <w:noProof/>
            <w:webHidden/>
          </w:rPr>
          <w:tab/>
        </w:r>
        <w:r w:rsidR="00A4083A">
          <w:rPr>
            <w:noProof/>
            <w:webHidden/>
          </w:rPr>
          <w:fldChar w:fldCharType="begin"/>
        </w:r>
        <w:r w:rsidR="00A4083A">
          <w:rPr>
            <w:noProof/>
            <w:webHidden/>
          </w:rPr>
          <w:instrText xml:space="preserve"> PAGEREF _Toc43841423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24" w:history="1">
        <w:r w:rsidR="00A4083A" w:rsidRPr="00D83412">
          <w:rPr>
            <w:rStyle w:val="Hypertextovodkaz"/>
            <w:noProof/>
          </w:rPr>
          <w:t>Graf 44: OS – svěřování dítěte do péče</w:t>
        </w:r>
        <w:r w:rsidR="00A4083A">
          <w:rPr>
            <w:noProof/>
            <w:webHidden/>
          </w:rPr>
          <w:tab/>
        </w:r>
        <w:r w:rsidR="00A4083A">
          <w:rPr>
            <w:noProof/>
            <w:webHidden/>
          </w:rPr>
          <w:fldChar w:fldCharType="begin"/>
        </w:r>
        <w:r w:rsidR="00A4083A">
          <w:rPr>
            <w:noProof/>
            <w:webHidden/>
          </w:rPr>
          <w:instrText xml:space="preserve"> PAGEREF _Toc43841424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25" w:history="1">
        <w:r w:rsidR="00A4083A" w:rsidRPr="00D83412">
          <w:rPr>
            <w:rStyle w:val="Hypertextovodkaz"/>
            <w:noProof/>
          </w:rPr>
          <w:t>Graf 45: OS – věkové složení dětí v řízení o péči o nezletilé</w:t>
        </w:r>
        <w:r w:rsidR="00A4083A">
          <w:rPr>
            <w:noProof/>
            <w:webHidden/>
          </w:rPr>
          <w:tab/>
        </w:r>
        <w:r w:rsidR="00A4083A">
          <w:rPr>
            <w:noProof/>
            <w:webHidden/>
          </w:rPr>
          <w:fldChar w:fldCharType="begin"/>
        </w:r>
        <w:r w:rsidR="00A4083A">
          <w:rPr>
            <w:noProof/>
            <w:webHidden/>
          </w:rPr>
          <w:instrText xml:space="preserve"> PAGEREF _Toc43841425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26" w:history="1">
        <w:r w:rsidR="00A4083A" w:rsidRPr="00D83412">
          <w:rPr>
            <w:rStyle w:val="Hypertextovodkaz"/>
            <w:noProof/>
          </w:rPr>
          <w:t>Graf 46: KS – počet soudců v letech 2008–2019</w:t>
        </w:r>
        <w:r w:rsidR="00A4083A">
          <w:rPr>
            <w:noProof/>
            <w:webHidden/>
          </w:rPr>
          <w:tab/>
        </w:r>
        <w:r w:rsidR="00A4083A">
          <w:rPr>
            <w:noProof/>
            <w:webHidden/>
          </w:rPr>
          <w:fldChar w:fldCharType="begin"/>
        </w:r>
        <w:r w:rsidR="00A4083A">
          <w:rPr>
            <w:noProof/>
            <w:webHidden/>
          </w:rPr>
          <w:instrText xml:space="preserve"> PAGEREF _Toc43841426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27" w:history="1">
        <w:r w:rsidR="00A4083A" w:rsidRPr="00D83412">
          <w:rPr>
            <w:rStyle w:val="Hypertextovodkaz"/>
            <w:noProof/>
          </w:rPr>
          <w:t>Graf 47: KS – evidenční počet soudců dle soudních úseků v letech 2008–2019</w:t>
        </w:r>
        <w:r w:rsidR="00A4083A">
          <w:rPr>
            <w:noProof/>
            <w:webHidden/>
          </w:rPr>
          <w:tab/>
        </w:r>
        <w:r w:rsidR="00A4083A">
          <w:rPr>
            <w:noProof/>
            <w:webHidden/>
          </w:rPr>
          <w:fldChar w:fldCharType="begin"/>
        </w:r>
        <w:r w:rsidR="00A4083A">
          <w:rPr>
            <w:noProof/>
            <w:webHidden/>
          </w:rPr>
          <w:instrText xml:space="preserve"> PAGEREF _Toc43841427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28" w:history="1">
        <w:r w:rsidR="00A4083A" w:rsidRPr="00D83412">
          <w:rPr>
            <w:rStyle w:val="Hypertextovodkaz"/>
            <w:noProof/>
          </w:rPr>
          <w:t>Graf 48: KS – evidenční počet soudců dle pohlaví v letech 2008–2019</w:t>
        </w:r>
        <w:r w:rsidR="00A4083A">
          <w:rPr>
            <w:noProof/>
            <w:webHidden/>
          </w:rPr>
          <w:tab/>
        </w:r>
        <w:r w:rsidR="00A4083A">
          <w:rPr>
            <w:noProof/>
            <w:webHidden/>
          </w:rPr>
          <w:fldChar w:fldCharType="begin"/>
        </w:r>
        <w:r w:rsidR="00A4083A">
          <w:rPr>
            <w:noProof/>
            <w:webHidden/>
          </w:rPr>
          <w:instrText xml:space="preserve"> PAGEREF _Toc43841428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29" w:history="1">
        <w:r w:rsidR="00A4083A" w:rsidRPr="00D83412">
          <w:rPr>
            <w:rStyle w:val="Hypertextovodkaz"/>
            <w:noProof/>
          </w:rPr>
          <w:t>Graf 49: KS – věkové složení soudců v letech 2008–2019</w:t>
        </w:r>
        <w:r w:rsidR="00A4083A">
          <w:rPr>
            <w:noProof/>
            <w:webHidden/>
          </w:rPr>
          <w:tab/>
        </w:r>
        <w:r w:rsidR="00A4083A">
          <w:rPr>
            <w:noProof/>
            <w:webHidden/>
          </w:rPr>
          <w:fldChar w:fldCharType="begin"/>
        </w:r>
        <w:r w:rsidR="00A4083A">
          <w:rPr>
            <w:noProof/>
            <w:webHidden/>
          </w:rPr>
          <w:instrText xml:space="preserve"> PAGEREF _Toc43841429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30" w:history="1">
        <w:r w:rsidR="00A4083A" w:rsidRPr="00D83412">
          <w:rPr>
            <w:rStyle w:val="Hypertextovodkaz"/>
            <w:noProof/>
          </w:rPr>
          <w:t>Graf 50: KS – délka prvostupňového civilního řízení v letech 2008–2019</w:t>
        </w:r>
        <w:r w:rsidR="00A4083A">
          <w:rPr>
            <w:noProof/>
            <w:webHidden/>
          </w:rPr>
          <w:tab/>
        </w:r>
        <w:r w:rsidR="00A4083A">
          <w:rPr>
            <w:noProof/>
            <w:webHidden/>
          </w:rPr>
          <w:fldChar w:fldCharType="begin"/>
        </w:r>
        <w:r w:rsidR="00A4083A">
          <w:rPr>
            <w:noProof/>
            <w:webHidden/>
          </w:rPr>
          <w:instrText xml:space="preserve"> PAGEREF _Toc43841430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31" w:history="1">
        <w:r w:rsidR="00A4083A" w:rsidRPr="00D83412">
          <w:rPr>
            <w:rStyle w:val="Hypertextovodkaz"/>
            <w:noProof/>
          </w:rPr>
          <w:t>Graf 51: KS – distribuce délek prvostupňového civilního řízení</w:t>
        </w:r>
        <w:r w:rsidR="00A4083A">
          <w:rPr>
            <w:noProof/>
            <w:webHidden/>
          </w:rPr>
          <w:tab/>
        </w:r>
        <w:r w:rsidR="00A4083A">
          <w:rPr>
            <w:noProof/>
            <w:webHidden/>
          </w:rPr>
          <w:fldChar w:fldCharType="begin"/>
        </w:r>
        <w:r w:rsidR="00A4083A">
          <w:rPr>
            <w:noProof/>
            <w:webHidden/>
          </w:rPr>
          <w:instrText xml:space="preserve"> PAGEREF _Toc43841431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32" w:history="1">
        <w:r w:rsidR="00A4083A" w:rsidRPr="00D83412">
          <w:rPr>
            <w:rStyle w:val="Hypertextovodkaz"/>
            <w:noProof/>
          </w:rPr>
          <w:t>Graf 52: KS – vyřizování prvostupňových civilních věcí v letech 2008–2019</w:t>
        </w:r>
        <w:r w:rsidR="00A4083A">
          <w:rPr>
            <w:noProof/>
            <w:webHidden/>
          </w:rPr>
          <w:tab/>
        </w:r>
        <w:r w:rsidR="00A4083A">
          <w:rPr>
            <w:noProof/>
            <w:webHidden/>
          </w:rPr>
          <w:fldChar w:fldCharType="begin"/>
        </w:r>
        <w:r w:rsidR="00A4083A">
          <w:rPr>
            <w:noProof/>
            <w:webHidden/>
          </w:rPr>
          <w:instrText xml:space="preserve"> PAGEREF _Toc43841432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33" w:history="1">
        <w:r w:rsidR="00A4083A" w:rsidRPr="00D83412">
          <w:rPr>
            <w:rStyle w:val="Hypertextovodkaz"/>
            <w:noProof/>
          </w:rPr>
          <w:t>Graf 53: KS – vyřizování věcí v letech 2008–2019, pouze rejstřík Cm</w:t>
        </w:r>
        <w:r w:rsidR="00A4083A">
          <w:rPr>
            <w:noProof/>
            <w:webHidden/>
          </w:rPr>
          <w:tab/>
        </w:r>
        <w:r w:rsidR="00A4083A">
          <w:rPr>
            <w:noProof/>
            <w:webHidden/>
          </w:rPr>
          <w:fldChar w:fldCharType="begin"/>
        </w:r>
        <w:r w:rsidR="00A4083A">
          <w:rPr>
            <w:noProof/>
            <w:webHidden/>
          </w:rPr>
          <w:instrText xml:space="preserve"> PAGEREF _Toc43841433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34" w:history="1">
        <w:r w:rsidR="00A4083A" w:rsidRPr="00D83412">
          <w:rPr>
            <w:rStyle w:val="Hypertextovodkaz"/>
            <w:noProof/>
          </w:rPr>
          <w:t>Graf 54: KS – DT prvostupňového civilního řízení v letech 2008–2019</w:t>
        </w:r>
        <w:r w:rsidR="00A4083A">
          <w:rPr>
            <w:noProof/>
            <w:webHidden/>
          </w:rPr>
          <w:tab/>
        </w:r>
        <w:r w:rsidR="00A4083A">
          <w:rPr>
            <w:noProof/>
            <w:webHidden/>
          </w:rPr>
          <w:fldChar w:fldCharType="begin"/>
        </w:r>
        <w:r w:rsidR="00A4083A">
          <w:rPr>
            <w:noProof/>
            <w:webHidden/>
          </w:rPr>
          <w:instrText xml:space="preserve"> PAGEREF _Toc43841434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35" w:history="1">
        <w:r w:rsidR="00A4083A" w:rsidRPr="00D83412">
          <w:rPr>
            <w:rStyle w:val="Hypertextovodkaz"/>
            <w:noProof/>
          </w:rPr>
          <w:t>Graf 55: KS – délka odvolacího civilního řízení v letech 2010–2019</w:t>
        </w:r>
        <w:r w:rsidR="00A4083A">
          <w:rPr>
            <w:noProof/>
            <w:webHidden/>
          </w:rPr>
          <w:tab/>
        </w:r>
        <w:r w:rsidR="00A4083A">
          <w:rPr>
            <w:noProof/>
            <w:webHidden/>
          </w:rPr>
          <w:fldChar w:fldCharType="begin"/>
        </w:r>
        <w:r w:rsidR="00A4083A">
          <w:rPr>
            <w:noProof/>
            <w:webHidden/>
          </w:rPr>
          <w:instrText xml:space="preserve"> PAGEREF _Toc43841435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36" w:history="1">
        <w:r w:rsidR="00A4083A" w:rsidRPr="00D83412">
          <w:rPr>
            <w:rStyle w:val="Hypertextovodkaz"/>
            <w:noProof/>
          </w:rPr>
          <w:t>Graf 56: KS – distribuce délek odvolacího civilního řízení</w:t>
        </w:r>
        <w:r w:rsidR="00A4083A">
          <w:rPr>
            <w:noProof/>
            <w:webHidden/>
          </w:rPr>
          <w:tab/>
        </w:r>
        <w:r w:rsidR="00A4083A">
          <w:rPr>
            <w:noProof/>
            <w:webHidden/>
          </w:rPr>
          <w:fldChar w:fldCharType="begin"/>
        </w:r>
        <w:r w:rsidR="00A4083A">
          <w:rPr>
            <w:noProof/>
            <w:webHidden/>
          </w:rPr>
          <w:instrText xml:space="preserve"> PAGEREF _Toc43841436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37" w:history="1">
        <w:r w:rsidR="00A4083A" w:rsidRPr="00D83412">
          <w:rPr>
            <w:rStyle w:val="Hypertextovodkaz"/>
            <w:noProof/>
          </w:rPr>
          <w:t>Graf 57: KS – vyřizování odvolacích civilních věcí v letech 2008–2019</w:t>
        </w:r>
        <w:r w:rsidR="00A4083A">
          <w:rPr>
            <w:noProof/>
            <w:webHidden/>
          </w:rPr>
          <w:tab/>
        </w:r>
        <w:r w:rsidR="00A4083A">
          <w:rPr>
            <w:noProof/>
            <w:webHidden/>
          </w:rPr>
          <w:fldChar w:fldCharType="begin"/>
        </w:r>
        <w:r w:rsidR="00A4083A">
          <w:rPr>
            <w:noProof/>
            <w:webHidden/>
          </w:rPr>
          <w:instrText xml:space="preserve"> PAGEREF _Toc43841437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38" w:history="1">
        <w:r w:rsidR="00A4083A" w:rsidRPr="00D83412">
          <w:rPr>
            <w:rStyle w:val="Hypertextovodkaz"/>
            <w:noProof/>
          </w:rPr>
          <w:t>Graf 58: KS – DT odvolacího civilního řízení v letech 2008–2019</w:t>
        </w:r>
        <w:r w:rsidR="00A4083A">
          <w:rPr>
            <w:noProof/>
            <w:webHidden/>
          </w:rPr>
          <w:tab/>
        </w:r>
        <w:r w:rsidR="00A4083A">
          <w:rPr>
            <w:noProof/>
            <w:webHidden/>
          </w:rPr>
          <w:fldChar w:fldCharType="begin"/>
        </w:r>
        <w:r w:rsidR="00A4083A">
          <w:rPr>
            <w:noProof/>
            <w:webHidden/>
          </w:rPr>
          <w:instrText xml:space="preserve"> PAGEREF _Toc43841438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39" w:history="1">
        <w:r w:rsidR="00A4083A" w:rsidRPr="00D83412">
          <w:rPr>
            <w:rStyle w:val="Hypertextovodkaz"/>
            <w:noProof/>
          </w:rPr>
          <w:t>Graf 59: KS – délka prvostupňového trestního řízení v letech 2008–2019</w:t>
        </w:r>
        <w:r w:rsidR="00A4083A">
          <w:rPr>
            <w:noProof/>
            <w:webHidden/>
          </w:rPr>
          <w:tab/>
        </w:r>
        <w:r w:rsidR="00A4083A">
          <w:rPr>
            <w:noProof/>
            <w:webHidden/>
          </w:rPr>
          <w:fldChar w:fldCharType="begin"/>
        </w:r>
        <w:r w:rsidR="00A4083A">
          <w:rPr>
            <w:noProof/>
            <w:webHidden/>
          </w:rPr>
          <w:instrText xml:space="preserve"> PAGEREF _Toc43841439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40" w:history="1">
        <w:r w:rsidR="00A4083A" w:rsidRPr="00D83412">
          <w:rPr>
            <w:rStyle w:val="Hypertextovodkaz"/>
            <w:noProof/>
          </w:rPr>
          <w:t>Graf 60: KS – vyřizování prvostupňových trestních věcí v letech 2008–2019</w:t>
        </w:r>
        <w:r w:rsidR="00A4083A">
          <w:rPr>
            <w:noProof/>
            <w:webHidden/>
          </w:rPr>
          <w:tab/>
        </w:r>
        <w:r w:rsidR="00A4083A">
          <w:rPr>
            <w:noProof/>
            <w:webHidden/>
          </w:rPr>
          <w:fldChar w:fldCharType="begin"/>
        </w:r>
        <w:r w:rsidR="00A4083A">
          <w:rPr>
            <w:noProof/>
            <w:webHidden/>
          </w:rPr>
          <w:instrText xml:space="preserve"> PAGEREF _Toc43841440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41" w:history="1">
        <w:r w:rsidR="00A4083A" w:rsidRPr="00D83412">
          <w:rPr>
            <w:rStyle w:val="Hypertextovodkaz"/>
            <w:noProof/>
          </w:rPr>
          <w:t>Graf 61: KS – DT prvostupňového trestního řízení v letech 2008–2019</w:t>
        </w:r>
        <w:r w:rsidR="00A4083A">
          <w:rPr>
            <w:noProof/>
            <w:webHidden/>
          </w:rPr>
          <w:tab/>
        </w:r>
        <w:r w:rsidR="00A4083A">
          <w:rPr>
            <w:noProof/>
            <w:webHidden/>
          </w:rPr>
          <w:fldChar w:fldCharType="begin"/>
        </w:r>
        <w:r w:rsidR="00A4083A">
          <w:rPr>
            <w:noProof/>
            <w:webHidden/>
          </w:rPr>
          <w:instrText xml:space="preserve"> PAGEREF _Toc43841441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42" w:history="1">
        <w:r w:rsidR="00A4083A" w:rsidRPr="00D83412">
          <w:rPr>
            <w:rStyle w:val="Hypertextovodkaz"/>
            <w:bCs/>
            <w:noProof/>
          </w:rPr>
          <w:t>Graf 62</w:t>
        </w:r>
        <w:r w:rsidR="00A4083A" w:rsidRPr="00D83412">
          <w:rPr>
            <w:rStyle w:val="Hypertextovodkaz"/>
            <w:noProof/>
          </w:rPr>
          <w:t>: KS – věková struktura obžalovaných</w:t>
        </w:r>
        <w:r w:rsidR="00A4083A">
          <w:rPr>
            <w:noProof/>
            <w:webHidden/>
          </w:rPr>
          <w:tab/>
        </w:r>
        <w:r w:rsidR="00A4083A">
          <w:rPr>
            <w:noProof/>
            <w:webHidden/>
          </w:rPr>
          <w:fldChar w:fldCharType="begin"/>
        </w:r>
        <w:r w:rsidR="00A4083A">
          <w:rPr>
            <w:noProof/>
            <w:webHidden/>
          </w:rPr>
          <w:instrText xml:space="preserve"> PAGEREF _Toc43841442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43" w:history="1">
        <w:r w:rsidR="00A4083A" w:rsidRPr="00D83412">
          <w:rPr>
            <w:rStyle w:val="Hypertextovodkaz"/>
            <w:noProof/>
          </w:rPr>
          <w:t>Graf 63: KS – délka odvolacího trestního řízení v letech 2008–2019</w:t>
        </w:r>
        <w:r w:rsidR="00A4083A">
          <w:rPr>
            <w:noProof/>
            <w:webHidden/>
          </w:rPr>
          <w:tab/>
        </w:r>
        <w:r w:rsidR="00A4083A">
          <w:rPr>
            <w:noProof/>
            <w:webHidden/>
          </w:rPr>
          <w:fldChar w:fldCharType="begin"/>
        </w:r>
        <w:r w:rsidR="00A4083A">
          <w:rPr>
            <w:noProof/>
            <w:webHidden/>
          </w:rPr>
          <w:instrText xml:space="preserve"> PAGEREF _Toc43841443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44" w:history="1">
        <w:r w:rsidR="00A4083A" w:rsidRPr="00D83412">
          <w:rPr>
            <w:rStyle w:val="Hypertextovodkaz"/>
            <w:noProof/>
          </w:rPr>
          <w:t>Graf 64: KS – distribuce délek trestního odvolacího řízení</w:t>
        </w:r>
        <w:r w:rsidR="00A4083A">
          <w:rPr>
            <w:noProof/>
            <w:webHidden/>
          </w:rPr>
          <w:tab/>
        </w:r>
        <w:r w:rsidR="00A4083A">
          <w:rPr>
            <w:noProof/>
            <w:webHidden/>
          </w:rPr>
          <w:fldChar w:fldCharType="begin"/>
        </w:r>
        <w:r w:rsidR="00A4083A">
          <w:rPr>
            <w:noProof/>
            <w:webHidden/>
          </w:rPr>
          <w:instrText xml:space="preserve"> PAGEREF _Toc43841444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45" w:history="1">
        <w:r w:rsidR="00A4083A" w:rsidRPr="00D83412">
          <w:rPr>
            <w:rStyle w:val="Hypertextovodkaz"/>
            <w:noProof/>
          </w:rPr>
          <w:t>Graf 65: KS – vyřizování odvolacích trestních věcí v letech 2008–2019</w:t>
        </w:r>
        <w:r w:rsidR="00A4083A">
          <w:rPr>
            <w:noProof/>
            <w:webHidden/>
          </w:rPr>
          <w:tab/>
        </w:r>
        <w:r w:rsidR="00A4083A">
          <w:rPr>
            <w:noProof/>
            <w:webHidden/>
          </w:rPr>
          <w:fldChar w:fldCharType="begin"/>
        </w:r>
        <w:r w:rsidR="00A4083A">
          <w:rPr>
            <w:noProof/>
            <w:webHidden/>
          </w:rPr>
          <w:instrText xml:space="preserve"> PAGEREF _Toc43841445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46" w:history="1">
        <w:r w:rsidR="00A4083A" w:rsidRPr="00D83412">
          <w:rPr>
            <w:rStyle w:val="Hypertextovodkaz"/>
            <w:noProof/>
          </w:rPr>
          <w:t>Graf 66: KS – DT odvolacího trestního řízení v letech 2008–2019</w:t>
        </w:r>
        <w:r w:rsidR="00A4083A">
          <w:rPr>
            <w:noProof/>
            <w:webHidden/>
          </w:rPr>
          <w:tab/>
        </w:r>
        <w:r w:rsidR="00A4083A">
          <w:rPr>
            <w:noProof/>
            <w:webHidden/>
          </w:rPr>
          <w:fldChar w:fldCharType="begin"/>
        </w:r>
        <w:r w:rsidR="00A4083A">
          <w:rPr>
            <w:noProof/>
            <w:webHidden/>
          </w:rPr>
          <w:instrText xml:space="preserve"> PAGEREF _Toc43841446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47" w:history="1">
        <w:r w:rsidR="00A4083A" w:rsidRPr="00D83412">
          <w:rPr>
            <w:rStyle w:val="Hypertextovodkaz"/>
            <w:noProof/>
          </w:rPr>
          <w:t>Graf 67: KS – délka správního řízení u KS v letech 2008–2019</w:t>
        </w:r>
        <w:r w:rsidR="00A4083A">
          <w:rPr>
            <w:noProof/>
            <w:webHidden/>
          </w:rPr>
          <w:tab/>
        </w:r>
        <w:r w:rsidR="00A4083A">
          <w:rPr>
            <w:noProof/>
            <w:webHidden/>
          </w:rPr>
          <w:fldChar w:fldCharType="begin"/>
        </w:r>
        <w:r w:rsidR="00A4083A">
          <w:rPr>
            <w:noProof/>
            <w:webHidden/>
          </w:rPr>
          <w:instrText xml:space="preserve"> PAGEREF _Toc43841447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48" w:history="1">
        <w:r w:rsidR="00A4083A" w:rsidRPr="00D83412">
          <w:rPr>
            <w:rStyle w:val="Hypertextovodkaz"/>
            <w:noProof/>
          </w:rPr>
          <w:t>Graf 68: KS – distribuce délek správního řízení</w:t>
        </w:r>
        <w:r w:rsidR="00A4083A">
          <w:rPr>
            <w:noProof/>
            <w:webHidden/>
          </w:rPr>
          <w:tab/>
        </w:r>
        <w:r w:rsidR="00A4083A">
          <w:rPr>
            <w:noProof/>
            <w:webHidden/>
          </w:rPr>
          <w:fldChar w:fldCharType="begin"/>
        </w:r>
        <w:r w:rsidR="00A4083A">
          <w:rPr>
            <w:noProof/>
            <w:webHidden/>
          </w:rPr>
          <w:instrText xml:space="preserve"> PAGEREF _Toc43841448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49" w:history="1">
        <w:r w:rsidR="00A4083A" w:rsidRPr="00D83412">
          <w:rPr>
            <w:rStyle w:val="Hypertextovodkaz"/>
            <w:noProof/>
          </w:rPr>
          <w:t>Graf 69: KS – vyřizování správních věcí v letech 2008–2019</w:t>
        </w:r>
        <w:r w:rsidR="00A4083A">
          <w:rPr>
            <w:noProof/>
            <w:webHidden/>
          </w:rPr>
          <w:tab/>
        </w:r>
        <w:r w:rsidR="00A4083A">
          <w:rPr>
            <w:noProof/>
            <w:webHidden/>
          </w:rPr>
          <w:fldChar w:fldCharType="begin"/>
        </w:r>
        <w:r w:rsidR="00A4083A">
          <w:rPr>
            <w:noProof/>
            <w:webHidden/>
          </w:rPr>
          <w:instrText xml:space="preserve"> PAGEREF _Toc43841449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50" w:history="1">
        <w:r w:rsidR="00A4083A" w:rsidRPr="00D83412">
          <w:rPr>
            <w:rStyle w:val="Hypertextovodkaz"/>
            <w:noProof/>
          </w:rPr>
          <w:t>Graf 70: KS – vývoj počtu příchozích věcí dle agend správního soudnictví</w:t>
        </w:r>
        <w:r w:rsidR="00A4083A">
          <w:rPr>
            <w:noProof/>
            <w:webHidden/>
          </w:rPr>
          <w:tab/>
        </w:r>
        <w:r w:rsidR="00A4083A">
          <w:rPr>
            <w:noProof/>
            <w:webHidden/>
          </w:rPr>
          <w:fldChar w:fldCharType="begin"/>
        </w:r>
        <w:r w:rsidR="00A4083A">
          <w:rPr>
            <w:noProof/>
            <w:webHidden/>
          </w:rPr>
          <w:instrText xml:space="preserve"> PAGEREF _Toc43841450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51" w:history="1">
        <w:r w:rsidR="00A4083A" w:rsidRPr="00D83412">
          <w:rPr>
            <w:rStyle w:val="Hypertextovodkaz"/>
            <w:noProof/>
          </w:rPr>
          <w:t>Graf 71: KS – DT správního řízení v letech 2008–2019</w:t>
        </w:r>
        <w:r w:rsidR="00A4083A">
          <w:rPr>
            <w:noProof/>
            <w:webHidden/>
          </w:rPr>
          <w:tab/>
        </w:r>
        <w:r w:rsidR="00A4083A">
          <w:rPr>
            <w:noProof/>
            <w:webHidden/>
          </w:rPr>
          <w:fldChar w:fldCharType="begin"/>
        </w:r>
        <w:r w:rsidR="00A4083A">
          <w:rPr>
            <w:noProof/>
            <w:webHidden/>
          </w:rPr>
          <w:instrText xml:space="preserve"> PAGEREF _Toc43841451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52" w:history="1">
        <w:r w:rsidR="00A4083A" w:rsidRPr="00D83412">
          <w:rPr>
            <w:rStyle w:val="Hypertextovodkaz"/>
            <w:noProof/>
          </w:rPr>
          <w:t>Graf 72: KS – délka insolvenčního řízení v letech 2008–2019</w:t>
        </w:r>
        <w:r w:rsidR="00A4083A">
          <w:rPr>
            <w:noProof/>
            <w:webHidden/>
          </w:rPr>
          <w:tab/>
        </w:r>
        <w:r w:rsidR="00A4083A">
          <w:rPr>
            <w:noProof/>
            <w:webHidden/>
          </w:rPr>
          <w:fldChar w:fldCharType="begin"/>
        </w:r>
        <w:r w:rsidR="00A4083A">
          <w:rPr>
            <w:noProof/>
            <w:webHidden/>
          </w:rPr>
          <w:instrText xml:space="preserve"> PAGEREF _Toc43841452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53" w:history="1">
        <w:r w:rsidR="00A4083A" w:rsidRPr="00D83412">
          <w:rPr>
            <w:rStyle w:val="Hypertextovodkaz"/>
            <w:noProof/>
          </w:rPr>
          <w:t>Graf 73: KS – délka druhé fáze insolvenčního řízení u PO v letech 2010–2019</w:t>
        </w:r>
        <w:r w:rsidR="00A4083A">
          <w:rPr>
            <w:noProof/>
            <w:webHidden/>
          </w:rPr>
          <w:tab/>
        </w:r>
        <w:r w:rsidR="00A4083A">
          <w:rPr>
            <w:noProof/>
            <w:webHidden/>
          </w:rPr>
          <w:fldChar w:fldCharType="begin"/>
        </w:r>
        <w:r w:rsidR="00A4083A">
          <w:rPr>
            <w:noProof/>
            <w:webHidden/>
          </w:rPr>
          <w:instrText xml:space="preserve"> PAGEREF _Toc43841453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54" w:history="1">
        <w:r w:rsidR="00A4083A" w:rsidRPr="00D83412">
          <w:rPr>
            <w:rStyle w:val="Hypertextovodkaz"/>
            <w:noProof/>
          </w:rPr>
          <w:t>Graf 74: KS – délka druhé fáze insolvenčního řízení u FO v letech 2010–2019</w:t>
        </w:r>
        <w:r w:rsidR="00A4083A">
          <w:rPr>
            <w:noProof/>
            <w:webHidden/>
          </w:rPr>
          <w:tab/>
        </w:r>
        <w:r w:rsidR="00A4083A">
          <w:rPr>
            <w:noProof/>
            <w:webHidden/>
          </w:rPr>
          <w:fldChar w:fldCharType="begin"/>
        </w:r>
        <w:r w:rsidR="00A4083A">
          <w:rPr>
            <w:noProof/>
            <w:webHidden/>
          </w:rPr>
          <w:instrText xml:space="preserve"> PAGEREF _Toc43841454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55" w:history="1">
        <w:r w:rsidR="00A4083A" w:rsidRPr="00D83412">
          <w:rPr>
            <w:rStyle w:val="Hypertextovodkaz"/>
            <w:noProof/>
          </w:rPr>
          <w:t>Graf 75: KS – vyřizování insolvenčních věcí v letech 2008–2019</w:t>
        </w:r>
        <w:r w:rsidR="00A4083A">
          <w:rPr>
            <w:noProof/>
            <w:webHidden/>
          </w:rPr>
          <w:tab/>
        </w:r>
        <w:r w:rsidR="00A4083A">
          <w:rPr>
            <w:noProof/>
            <w:webHidden/>
          </w:rPr>
          <w:fldChar w:fldCharType="begin"/>
        </w:r>
        <w:r w:rsidR="00A4083A">
          <w:rPr>
            <w:noProof/>
            <w:webHidden/>
          </w:rPr>
          <w:instrText xml:space="preserve"> PAGEREF _Toc43841455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56" w:history="1">
        <w:r w:rsidR="00A4083A" w:rsidRPr="00D83412">
          <w:rPr>
            <w:rStyle w:val="Hypertextovodkaz"/>
            <w:noProof/>
          </w:rPr>
          <w:t>Graf 76: KS – distribuce délek incidenčních sporů</w:t>
        </w:r>
        <w:r w:rsidR="00A4083A">
          <w:rPr>
            <w:noProof/>
            <w:webHidden/>
          </w:rPr>
          <w:tab/>
        </w:r>
        <w:r w:rsidR="00A4083A">
          <w:rPr>
            <w:noProof/>
            <w:webHidden/>
          </w:rPr>
          <w:fldChar w:fldCharType="begin"/>
        </w:r>
        <w:r w:rsidR="00A4083A">
          <w:rPr>
            <w:noProof/>
            <w:webHidden/>
          </w:rPr>
          <w:instrText xml:space="preserve"> PAGEREF _Toc43841456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57" w:history="1">
        <w:r w:rsidR="00A4083A" w:rsidRPr="00D83412">
          <w:rPr>
            <w:rStyle w:val="Hypertextovodkaz"/>
            <w:noProof/>
          </w:rPr>
          <w:t>Graf 77: KS – vyřizování incidenčních sporů v letech 2011–2019</w:t>
        </w:r>
        <w:r w:rsidR="00A4083A">
          <w:rPr>
            <w:noProof/>
            <w:webHidden/>
          </w:rPr>
          <w:tab/>
        </w:r>
        <w:r w:rsidR="00A4083A">
          <w:rPr>
            <w:noProof/>
            <w:webHidden/>
          </w:rPr>
          <w:fldChar w:fldCharType="begin"/>
        </w:r>
        <w:r w:rsidR="00A4083A">
          <w:rPr>
            <w:noProof/>
            <w:webHidden/>
          </w:rPr>
          <w:instrText xml:space="preserve"> PAGEREF _Toc43841457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58" w:history="1">
        <w:r w:rsidR="00A4083A" w:rsidRPr="00D83412">
          <w:rPr>
            <w:rStyle w:val="Hypertextovodkaz"/>
            <w:noProof/>
          </w:rPr>
          <w:t>Graf 78: KS – DT incidenčních sporů v letech 2011–2019</w:t>
        </w:r>
        <w:r w:rsidR="00A4083A">
          <w:rPr>
            <w:noProof/>
            <w:webHidden/>
          </w:rPr>
          <w:tab/>
        </w:r>
        <w:r w:rsidR="00A4083A">
          <w:rPr>
            <w:noProof/>
            <w:webHidden/>
          </w:rPr>
          <w:fldChar w:fldCharType="begin"/>
        </w:r>
        <w:r w:rsidR="00A4083A">
          <w:rPr>
            <w:noProof/>
            <w:webHidden/>
          </w:rPr>
          <w:instrText xml:space="preserve"> PAGEREF _Toc43841458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59" w:history="1">
        <w:r w:rsidR="00A4083A" w:rsidRPr="00D83412">
          <w:rPr>
            <w:rStyle w:val="Hypertextovodkaz"/>
            <w:noProof/>
          </w:rPr>
          <w:t>Graf 79: VS – počet soudců v letech 2008–2019</w:t>
        </w:r>
        <w:r w:rsidR="00A4083A">
          <w:rPr>
            <w:noProof/>
            <w:webHidden/>
          </w:rPr>
          <w:tab/>
        </w:r>
        <w:r w:rsidR="00A4083A">
          <w:rPr>
            <w:noProof/>
            <w:webHidden/>
          </w:rPr>
          <w:fldChar w:fldCharType="begin"/>
        </w:r>
        <w:r w:rsidR="00A4083A">
          <w:rPr>
            <w:noProof/>
            <w:webHidden/>
          </w:rPr>
          <w:instrText xml:space="preserve"> PAGEREF _Toc43841459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60" w:history="1">
        <w:r w:rsidR="00A4083A" w:rsidRPr="00D83412">
          <w:rPr>
            <w:rStyle w:val="Hypertextovodkaz"/>
            <w:noProof/>
          </w:rPr>
          <w:t>Graf 80: VS – evidenční počet soudců dle soudních úseků v letech 2008–2019</w:t>
        </w:r>
        <w:r w:rsidR="00A4083A">
          <w:rPr>
            <w:noProof/>
            <w:webHidden/>
          </w:rPr>
          <w:tab/>
        </w:r>
        <w:r w:rsidR="00A4083A">
          <w:rPr>
            <w:noProof/>
            <w:webHidden/>
          </w:rPr>
          <w:fldChar w:fldCharType="begin"/>
        </w:r>
        <w:r w:rsidR="00A4083A">
          <w:rPr>
            <w:noProof/>
            <w:webHidden/>
          </w:rPr>
          <w:instrText xml:space="preserve"> PAGEREF _Toc43841460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61" w:history="1">
        <w:r w:rsidR="00A4083A" w:rsidRPr="00D83412">
          <w:rPr>
            <w:rStyle w:val="Hypertextovodkaz"/>
            <w:noProof/>
          </w:rPr>
          <w:t>Graf 81: VS – evidenční počet soudců dle pohlaví v letech 2008–2019</w:t>
        </w:r>
        <w:r w:rsidR="00A4083A">
          <w:rPr>
            <w:noProof/>
            <w:webHidden/>
          </w:rPr>
          <w:tab/>
        </w:r>
        <w:r w:rsidR="00A4083A">
          <w:rPr>
            <w:noProof/>
            <w:webHidden/>
          </w:rPr>
          <w:fldChar w:fldCharType="begin"/>
        </w:r>
        <w:r w:rsidR="00A4083A">
          <w:rPr>
            <w:noProof/>
            <w:webHidden/>
          </w:rPr>
          <w:instrText xml:space="preserve"> PAGEREF _Toc43841461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62" w:history="1">
        <w:r w:rsidR="00A4083A" w:rsidRPr="00D83412">
          <w:rPr>
            <w:rStyle w:val="Hypertextovodkaz"/>
            <w:noProof/>
          </w:rPr>
          <w:t>Graf 82: VS Praha – věkové složení soudců v letech 2008–2019</w:t>
        </w:r>
        <w:r w:rsidR="00A4083A">
          <w:rPr>
            <w:noProof/>
            <w:webHidden/>
          </w:rPr>
          <w:tab/>
        </w:r>
        <w:r w:rsidR="00A4083A">
          <w:rPr>
            <w:noProof/>
            <w:webHidden/>
          </w:rPr>
          <w:fldChar w:fldCharType="begin"/>
        </w:r>
        <w:r w:rsidR="00A4083A">
          <w:rPr>
            <w:noProof/>
            <w:webHidden/>
          </w:rPr>
          <w:instrText xml:space="preserve"> PAGEREF _Toc43841462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63" w:history="1">
        <w:r w:rsidR="00A4083A" w:rsidRPr="00D83412">
          <w:rPr>
            <w:rStyle w:val="Hypertextovodkaz"/>
            <w:noProof/>
          </w:rPr>
          <w:t>Graf 83: VS Olomouc – věkové složení soudců v letech 2008–2019</w:t>
        </w:r>
        <w:r w:rsidR="00A4083A">
          <w:rPr>
            <w:noProof/>
            <w:webHidden/>
          </w:rPr>
          <w:tab/>
        </w:r>
        <w:r w:rsidR="00A4083A">
          <w:rPr>
            <w:noProof/>
            <w:webHidden/>
          </w:rPr>
          <w:fldChar w:fldCharType="begin"/>
        </w:r>
        <w:r w:rsidR="00A4083A">
          <w:rPr>
            <w:noProof/>
            <w:webHidden/>
          </w:rPr>
          <w:instrText xml:space="preserve"> PAGEREF _Toc43841463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64" w:history="1">
        <w:r w:rsidR="00A4083A" w:rsidRPr="00D83412">
          <w:rPr>
            <w:rStyle w:val="Hypertextovodkaz"/>
            <w:noProof/>
          </w:rPr>
          <w:t>Graf 84: VS – délka civilního odvolacího řízení u VS v letech 2010–2019</w:t>
        </w:r>
        <w:r w:rsidR="00A4083A">
          <w:rPr>
            <w:noProof/>
            <w:webHidden/>
          </w:rPr>
          <w:tab/>
        </w:r>
        <w:r w:rsidR="00A4083A">
          <w:rPr>
            <w:noProof/>
            <w:webHidden/>
          </w:rPr>
          <w:fldChar w:fldCharType="begin"/>
        </w:r>
        <w:r w:rsidR="00A4083A">
          <w:rPr>
            <w:noProof/>
            <w:webHidden/>
          </w:rPr>
          <w:instrText xml:space="preserve"> PAGEREF _Toc43841464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65" w:history="1">
        <w:r w:rsidR="00A4083A" w:rsidRPr="00D83412">
          <w:rPr>
            <w:rStyle w:val="Hypertextovodkaz"/>
            <w:noProof/>
          </w:rPr>
          <w:t>Graf 85: VS – distribuce délek civilního odvolacího řízení</w:t>
        </w:r>
        <w:r w:rsidR="00A4083A">
          <w:rPr>
            <w:noProof/>
            <w:webHidden/>
          </w:rPr>
          <w:tab/>
        </w:r>
        <w:r w:rsidR="00A4083A">
          <w:rPr>
            <w:noProof/>
            <w:webHidden/>
          </w:rPr>
          <w:fldChar w:fldCharType="begin"/>
        </w:r>
        <w:r w:rsidR="00A4083A">
          <w:rPr>
            <w:noProof/>
            <w:webHidden/>
          </w:rPr>
          <w:instrText xml:space="preserve"> PAGEREF _Toc43841465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66" w:history="1">
        <w:r w:rsidR="00A4083A" w:rsidRPr="00D83412">
          <w:rPr>
            <w:rStyle w:val="Hypertextovodkaz"/>
            <w:noProof/>
          </w:rPr>
          <w:t>Graf 86: VS – vyřizování odvolacích civilních věcí v letech 2008–2019</w:t>
        </w:r>
        <w:r w:rsidR="00A4083A">
          <w:rPr>
            <w:noProof/>
            <w:webHidden/>
          </w:rPr>
          <w:tab/>
        </w:r>
        <w:r w:rsidR="00A4083A">
          <w:rPr>
            <w:noProof/>
            <w:webHidden/>
          </w:rPr>
          <w:fldChar w:fldCharType="begin"/>
        </w:r>
        <w:r w:rsidR="00A4083A">
          <w:rPr>
            <w:noProof/>
            <w:webHidden/>
          </w:rPr>
          <w:instrText xml:space="preserve"> PAGEREF _Toc43841466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67" w:history="1">
        <w:r w:rsidR="00A4083A" w:rsidRPr="00D83412">
          <w:rPr>
            <w:rStyle w:val="Hypertextovodkaz"/>
            <w:noProof/>
          </w:rPr>
          <w:t>Graf 87: VS – DT civilního odvolacího řízení v letech 2008–2019</w:t>
        </w:r>
        <w:r w:rsidR="00A4083A">
          <w:rPr>
            <w:noProof/>
            <w:webHidden/>
          </w:rPr>
          <w:tab/>
        </w:r>
        <w:r w:rsidR="00A4083A">
          <w:rPr>
            <w:noProof/>
            <w:webHidden/>
          </w:rPr>
          <w:fldChar w:fldCharType="begin"/>
        </w:r>
        <w:r w:rsidR="00A4083A">
          <w:rPr>
            <w:noProof/>
            <w:webHidden/>
          </w:rPr>
          <w:instrText xml:space="preserve"> PAGEREF _Toc43841467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68" w:history="1">
        <w:r w:rsidR="00A4083A" w:rsidRPr="00D83412">
          <w:rPr>
            <w:rStyle w:val="Hypertextovodkaz"/>
            <w:noProof/>
          </w:rPr>
          <w:t>Graf 88: VS – délka trestního odvolacího řízení v letech 2010–2019</w:t>
        </w:r>
        <w:r w:rsidR="00A4083A">
          <w:rPr>
            <w:noProof/>
            <w:webHidden/>
          </w:rPr>
          <w:tab/>
        </w:r>
        <w:r w:rsidR="00A4083A">
          <w:rPr>
            <w:noProof/>
            <w:webHidden/>
          </w:rPr>
          <w:fldChar w:fldCharType="begin"/>
        </w:r>
        <w:r w:rsidR="00A4083A">
          <w:rPr>
            <w:noProof/>
            <w:webHidden/>
          </w:rPr>
          <w:instrText xml:space="preserve"> PAGEREF _Toc43841468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69" w:history="1">
        <w:r w:rsidR="00A4083A" w:rsidRPr="00D83412">
          <w:rPr>
            <w:rStyle w:val="Hypertextovodkaz"/>
            <w:noProof/>
          </w:rPr>
          <w:t>Graf 89: VS – distribuce délek trestního odvolacího řízení</w:t>
        </w:r>
        <w:r w:rsidR="00A4083A">
          <w:rPr>
            <w:noProof/>
            <w:webHidden/>
          </w:rPr>
          <w:tab/>
        </w:r>
        <w:r w:rsidR="00A4083A">
          <w:rPr>
            <w:noProof/>
            <w:webHidden/>
          </w:rPr>
          <w:fldChar w:fldCharType="begin"/>
        </w:r>
        <w:r w:rsidR="00A4083A">
          <w:rPr>
            <w:noProof/>
            <w:webHidden/>
          </w:rPr>
          <w:instrText xml:space="preserve"> PAGEREF _Toc43841469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70" w:history="1">
        <w:r w:rsidR="00A4083A" w:rsidRPr="00D83412">
          <w:rPr>
            <w:rStyle w:val="Hypertextovodkaz"/>
            <w:noProof/>
          </w:rPr>
          <w:t>Graf 90: VS – vyřizování odvolacích trestních věcí v letech 2008–2019</w:t>
        </w:r>
        <w:r w:rsidR="00A4083A">
          <w:rPr>
            <w:noProof/>
            <w:webHidden/>
          </w:rPr>
          <w:tab/>
        </w:r>
        <w:r w:rsidR="00A4083A">
          <w:rPr>
            <w:noProof/>
            <w:webHidden/>
          </w:rPr>
          <w:fldChar w:fldCharType="begin"/>
        </w:r>
        <w:r w:rsidR="00A4083A">
          <w:rPr>
            <w:noProof/>
            <w:webHidden/>
          </w:rPr>
          <w:instrText xml:space="preserve"> PAGEREF _Toc43841470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71" w:history="1">
        <w:r w:rsidR="00A4083A" w:rsidRPr="00D83412">
          <w:rPr>
            <w:rStyle w:val="Hypertextovodkaz"/>
            <w:noProof/>
          </w:rPr>
          <w:t>Graf 91: VS – DT trestního odvolacího řízení v letech 2008–2019</w:t>
        </w:r>
        <w:r w:rsidR="00A4083A">
          <w:rPr>
            <w:noProof/>
            <w:webHidden/>
          </w:rPr>
          <w:tab/>
        </w:r>
        <w:r w:rsidR="00A4083A">
          <w:rPr>
            <w:noProof/>
            <w:webHidden/>
          </w:rPr>
          <w:fldChar w:fldCharType="begin"/>
        </w:r>
        <w:r w:rsidR="00A4083A">
          <w:rPr>
            <w:noProof/>
            <w:webHidden/>
          </w:rPr>
          <w:instrText xml:space="preserve"> PAGEREF _Toc43841471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72" w:history="1">
        <w:r w:rsidR="00A4083A" w:rsidRPr="00D83412">
          <w:rPr>
            <w:rStyle w:val="Hypertextovodkaz"/>
            <w:noProof/>
          </w:rPr>
          <w:t>Graf 92: VS – vyřizování insolvenční agendy v letech 2010–2019</w:t>
        </w:r>
        <w:r w:rsidR="00A4083A">
          <w:rPr>
            <w:noProof/>
            <w:webHidden/>
          </w:rPr>
          <w:tab/>
        </w:r>
        <w:r w:rsidR="00A4083A">
          <w:rPr>
            <w:noProof/>
            <w:webHidden/>
          </w:rPr>
          <w:fldChar w:fldCharType="begin"/>
        </w:r>
        <w:r w:rsidR="00A4083A">
          <w:rPr>
            <w:noProof/>
            <w:webHidden/>
          </w:rPr>
          <w:instrText xml:space="preserve"> PAGEREF _Toc43841472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73" w:history="1">
        <w:r w:rsidR="00A4083A" w:rsidRPr="00D83412">
          <w:rPr>
            <w:rStyle w:val="Hypertextovodkaz"/>
            <w:noProof/>
          </w:rPr>
          <w:t>Graf 93: VS – DT v insolvenční agendě v letech 2010–2019</w:t>
        </w:r>
        <w:r w:rsidR="00A4083A">
          <w:rPr>
            <w:noProof/>
            <w:webHidden/>
          </w:rPr>
          <w:tab/>
        </w:r>
        <w:r w:rsidR="00A4083A">
          <w:rPr>
            <w:noProof/>
            <w:webHidden/>
          </w:rPr>
          <w:fldChar w:fldCharType="begin"/>
        </w:r>
        <w:r w:rsidR="00A4083A">
          <w:rPr>
            <w:noProof/>
            <w:webHidden/>
          </w:rPr>
          <w:instrText xml:space="preserve"> PAGEREF _Toc43841473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74" w:history="1">
        <w:r w:rsidR="00A4083A" w:rsidRPr="00D83412">
          <w:rPr>
            <w:rStyle w:val="Hypertextovodkaz"/>
            <w:noProof/>
          </w:rPr>
          <w:t>Graf 94: VS – délka odvolacího řízení incidenčních sporů v letech 2011–2019</w:t>
        </w:r>
        <w:r w:rsidR="00A4083A">
          <w:rPr>
            <w:noProof/>
            <w:webHidden/>
          </w:rPr>
          <w:tab/>
        </w:r>
        <w:r w:rsidR="00A4083A">
          <w:rPr>
            <w:noProof/>
            <w:webHidden/>
          </w:rPr>
          <w:fldChar w:fldCharType="begin"/>
        </w:r>
        <w:r w:rsidR="00A4083A">
          <w:rPr>
            <w:noProof/>
            <w:webHidden/>
          </w:rPr>
          <w:instrText xml:space="preserve"> PAGEREF _Toc43841474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75" w:history="1">
        <w:r w:rsidR="00A4083A" w:rsidRPr="00D83412">
          <w:rPr>
            <w:rStyle w:val="Hypertextovodkaz"/>
            <w:noProof/>
          </w:rPr>
          <w:t>Graf 95: VS – distribuce délek odvolacího řízení v incidenčních sporech</w:t>
        </w:r>
        <w:r w:rsidR="00A4083A">
          <w:rPr>
            <w:noProof/>
            <w:webHidden/>
          </w:rPr>
          <w:tab/>
        </w:r>
        <w:r w:rsidR="00A4083A">
          <w:rPr>
            <w:noProof/>
            <w:webHidden/>
          </w:rPr>
          <w:fldChar w:fldCharType="begin"/>
        </w:r>
        <w:r w:rsidR="00A4083A">
          <w:rPr>
            <w:noProof/>
            <w:webHidden/>
          </w:rPr>
          <w:instrText xml:space="preserve"> PAGEREF _Toc43841475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76" w:history="1">
        <w:r w:rsidR="00A4083A" w:rsidRPr="00D83412">
          <w:rPr>
            <w:rStyle w:val="Hypertextovodkaz"/>
            <w:noProof/>
          </w:rPr>
          <w:t>Graf 96: VS – vyřizování odvolacího řízení v incidenčních sporech</w:t>
        </w:r>
        <w:r w:rsidR="00A4083A">
          <w:rPr>
            <w:noProof/>
            <w:webHidden/>
          </w:rPr>
          <w:tab/>
        </w:r>
        <w:r w:rsidR="00A4083A">
          <w:rPr>
            <w:noProof/>
            <w:webHidden/>
          </w:rPr>
          <w:fldChar w:fldCharType="begin"/>
        </w:r>
        <w:r w:rsidR="00A4083A">
          <w:rPr>
            <w:noProof/>
            <w:webHidden/>
          </w:rPr>
          <w:instrText xml:space="preserve"> PAGEREF _Toc43841476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77" w:history="1">
        <w:r w:rsidR="00A4083A" w:rsidRPr="00D83412">
          <w:rPr>
            <w:rStyle w:val="Hypertextovodkaz"/>
            <w:noProof/>
          </w:rPr>
          <w:t>Graf 97: VS – DT odvolacího řízení v incidenčních sporech</w:t>
        </w:r>
        <w:r w:rsidR="00A4083A">
          <w:rPr>
            <w:noProof/>
            <w:webHidden/>
          </w:rPr>
          <w:tab/>
        </w:r>
        <w:r w:rsidR="00A4083A">
          <w:rPr>
            <w:noProof/>
            <w:webHidden/>
          </w:rPr>
          <w:fldChar w:fldCharType="begin"/>
        </w:r>
        <w:r w:rsidR="00A4083A">
          <w:rPr>
            <w:noProof/>
            <w:webHidden/>
          </w:rPr>
          <w:instrText xml:space="preserve"> PAGEREF _Toc43841477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78" w:history="1">
        <w:r w:rsidR="00A4083A" w:rsidRPr="00D83412">
          <w:rPr>
            <w:rStyle w:val="Hypertextovodkaz"/>
            <w:noProof/>
          </w:rPr>
          <w:t>Graf 98: NS – počet soudců v letech 2008–2019</w:t>
        </w:r>
        <w:r w:rsidR="00A4083A">
          <w:rPr>
            <w:noProof/>
            <w:webHidden/>
          </w:rPr>
          <w:tab/>
        </w:r>
        <w:r w:rsidR="00A4083A">
          <w:rPr>
            <w:noProof/>
            <w:webHidden/>
          </w:rPr>
          <w:fldChar w:fldCharType="begin"/>
        </w:r>
        <w:r w:rsidR="00A4083A">
          <w:rPr>
            <w:noProof/>
            <w:webHidden/>
          </w:rPr>
          <w:instrText xml:space="preserve"> PAGEREF _Toc43841478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79" w:history="1">
        <w:r w:rsidR="00A4083A" w:rsidRPr="00D83412">
          <w:rPr>
            <w:rStyle w:val="Hypertextovodkaz"/>
            <w:noProof/>
          </w:rPr>
          <w:t>Graf 99: NS – evidenční počet soudců dle soudních úseků v letech 2008–2019</w:t>
        </w:r>
        <w:r w:rsidR="00A4083A">
          <w:rPr>
            <w:noProof/>
            <w:webHidden/>
          </w:rPr>
          <w:tab/>
        </w:r>
        <w:r w:rsidR="00A4083A">
          <w:rPr>
            <w:noProof/>
            <w:webHidden/>
          </w:rPr>
          <w:fldChar w:fldCharType="begin"/>
        </w:r>
        <w:r w:rsidR="00A4083A">
          <w:rPr>
            <w:noProof/>
            <w:webHidden/>
          </w:rPr>
          <w:instrText xml:space="preserve"> PAGEREF _Toc43841479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80" w:history="1">
        <w:r w:rsidR="00A4083A" w:rsidRPr="00D83412">
          <w:rPr>
            <w:rStyle w:val="Hypertextovodkaz"/>
            <w:noProof/>
          </w:rPr>
          <w:t>Graf 100: NS – evidenční počet soudců podle pohlaví v letech 2008–2019</w:t>
        </w:r>
        <w:r w:rsidR="00A4083A">
          <w:rPr>
            <w:noProof/>
            <w:webHidden/>
          </w:rPr>
          <w:tab/>
        </w:r>
        <w:r w:rsidR="00A4083A">
          <w:rPr>
            <w:noProof/>
            <w:webHidden/>
          </w:rPr>
          <w:fldChar w:fldCharType="begin"/>
        </w:r>
        <w:r w:rsidR="00A4083A">
          <w:rPr>
            <w:noProof/>
            <w:webHidden/>
          </w:rPr>
          <w:instrText xml:space="preserve"> PAGEREF _Toc43841480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81" w:history="1">
        <w:r w:rsidR="00A4083A" w:rsidRPr="00D83412">
          <w:rPr>
            <w:rStyle w:val="Hypertextovodkaz"/>
            <w:noProof/>
          </w:rPr>
          <w:t>Graf 101: NS – věková struktura soudců v letech 2008–2019</w:t>
        </w:r>
        <w:r w:rsidR="00A4083A">
          <w:rPr>
            <w:noProof/>
            <w:webHidden/>
          </w:rPr>
          <w:tab/>
        </w:r>
        <w:r w:rsidR="00A4083A">
          <w:rPr>
            <w:noProof/>
            <w:webHidden/>
          </w:rPr>
          <w:fldChar w:fldCharType="begin"/>
        </w:r>
        <w:r w:rsidR="00A4083A">
          <w:rPr>
            <w:noProof/>
            <w:webHidden/>
          </w:rPr>
          <w:instrText xml:space="preserve"> PAGEREF _Toc43841481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82" w:history="1">
        <w:r w:rsidR="00A4083A" w:rsidRPr="00D83412">
          <w:rPr>
            <w:rStyle w:val="Hypertextovodkaz"/>
            <w:noProof/>
          </w:rPr>
          <w:t>Graf 102: NS – vyřizování civilní dovolací agendy v letech 2008–2019</w:t>
        </w:r>
        <w:r w:rsidR="00A4083A">
          <w:rPr>
            <w:noProof/>
            <w:webHidden/>
          </w:rPr>
          <w:tab/>
        </w:r>
        <w:r w:rsidR="00A4083A">
          <w:rPr>
            <w:noProof/>
            <w:webHidden/>
          </w:rPr>
          <w:fldChar w:fldCharType="begin"/>
        </w:r>
        <w:r w:rsidR="00A4083A">
          <w:rPr>
            <w:noProof/>
            <w:webHidden/>
          </w:rPr>
          <w:instrText xml:space="preserve"> PAGEREF _Toc43841482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83" w:history="1">
        <w:r w:rsidR="00A4083A" w:rsidRPr="00D83412">
          <w:rPr>
            <w:rStyle w:val="Hypertextovodkaz"/>
            <w:noProof/>
          </w:rPr>
          <w:t>Graf 103: NS – vyřizování trestní dovolací agendy v letech 2008–2019</w:t>
        </w:r>
        <w:r w:rsidR="00A4083A">
          <w:rPr>
            <w:noProof/>
            <w:webHidden/>
          </w:rPr>
          <w:tab/>
        </w:r>
        <w:r w:rsidR="00A4083A">
          <w:rPr>
            <w:noProof/>
            <w:webHidden/>
          </w:rPr>
          <w:fldChar w:fldCharType="begin"/>
        </w:r>
        <w:r w:rsidR="00A4083A">
          <w:rPr>
            <w:noProof/>
            <w:webHidden/>
          </w:rPr>
          <w:instrText xml:space="preserve"> PAGEREF _Toc43841483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84" w:history="1">
        <w:r w:rsidR="00A4083A" w:rsidRPr="00D83412">
          <w:rPr>
            <w:rStyle w:val="Hypertextovodkaz"/>
            <w:noProof/>
          </w:rPr>
          <w:t>Graf 104: NS – vyřizování stížností pro porušení zákona v letech 2010–2019</w:t>
        </w:r>
        <w:r w:rsidR="00A4083A">
          <w:rPr>
            <w:noProof/>
            <w:webHidden/>
          </w:rPr>
          <w:tab/>
        </w:r>
        <w:r w:rsidR="00A4083A">
          <w:rPr>
            <w:noProof/>
            <w:webHidden/>
          </w:rPr>
          <w:fldChar w:fldCharType="begin"/>
        </w:r>
        <w:r w:rsidR="00A4083A">
          <w:rPr>
            <w:noProof/>
            <w:webHidden/>
          </w:rPr>
          <w:instrText xml:space="preserve"> PAGEREF _Toc43841484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85" w:history="1">
        <w:r w:rsidR="00A4083A" w:rsidRPr="00D83412">
          <w:rPr>
            <w:rStyle w:val="Hypertextovodkaz"/>
            <w:noProof/>
          </w:rPr>
          <w:t>Graf 105: NS – vyřizování insolvenční dovolací agendy v letech 2010–2019</w:t>
        </w:r>
        <w:r w:rsidR="00A4083A">
          <w:rPr>
            <w:noProof/>
            <w:webHidden/>
          </w:rPr>
          <w:tab/>
        </w:r>
        <w:r w:rsidR="00A4083A">
          <w:rPr>
            <w:noProof/>
            <w:webHidden/>
          </w:rPr>
          <w:fldChar w:fldCharType="begin"/>
        </w:r>
        <w:r w:rsidR="00A4083A">
          <w:rPr>
            <w:noProof/>
            <w:webHidden/>
          </w:rPr>
          <w:instrText xml:space="preserve"> PAGEREF _Toc43841485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86" w:history="1">
        <w:r w:rsidR="00A4083A" w:rsidRPr="00D83412">
          <w:rPr>
            <w:rStyle w:val="Hypertextovodkaz"/>
            <w:noProof/>
          </w:rPr>
          <w:t>Graf 106: NSS – počet soudců v letech 2008–2019</w:t>
        </w:r>
        <w:r w:rsidR="00A4083A">
          <w:rPr>
            <w:noProof/>
            <w:webHidden/>
          </w:rPr>
          <w:tab/>
        </w:r>
        <w:r w:rsidR="00A4083A">
          <w:rPr>
            <w:noProof/>
            <w:webHidden/>
          </w:rPr>
          <w:fldChar w:fldCharType="begin"/>
        </w:r>
        <w:r w:rsidR="00A4083A">
          <w:rPr>
            <w:noProof/>
            <w:webHidden/>
          </w:rPr>
          <w:instrText xml:space="preserve"> PAGEREF _Toc43841486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87" w:history="1">
        <w:r w:rsidR="00A4083A" w:rsidRPr="00D83412">
          <w:rPr>
            <w:rStyle w:val="Hypertextovodkaz"/>
            <w:noProof/>
          </w:rPr>
          <w:t>Graf 107: NSS – evidenční počet soudců dle pohlaví v letech 2008–2019</w:t>
        </w:r>
        <w:r w:rsidR="00A4083A">
          <w:rPr>
            <w:noProof/>
            <w:webHidden/>
          </w:rPr>
          <w:tab/>
        </w:r>
        <w:r w:rsidR="00A4083A">
          <w:rPr>
            <w:noProof/>
            <w:webHidden/>
          </w:rPr>
          <w:fldChar w:fldCharType="begin"/>
        </w:r>
        <w:r w:rsidR="00A4083A">
          <w:rPr>
            <w:noProof/>
            <w:webHidden/>
          </w:rPr>
          <w:instrText xml:space="preserve"> PAGEREF _Toc43841487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88" w:history="1">
        <w:r w:rsidR="00A4083A" w:rsidRPr="00D83412">
          <w:rPr>
            <w:rStyle w:val="Hypertextovodkaz"/>
            <w:noProof/>
          </w:rPr>
          <w:t>Graf 108: NSS – věková struktura soudců v letech 2008</w:t>
        </w:r>
        <w:r w:rsidR="00A4083A" w:rsidRPr="00D83412">
          <w:rPr>
            <w:rStyle w:val="Hypertextovodkaz"/>
            <w:noProof/>
          </w:rPr>
          <w:sym w:font="Symbol" w:char="F02D"/>
        </w:r>
        <w:r w:rsidR="00A4083A" w:rsidRPr="00D83412">
          <w:rPr>
            <w:rStyle w:val="Hypertextovodkaz"/>
            <w:noProof/>
          </w:rPr>
          <w:t>2019</w:t>
        </w:r>
        <w:r w:rsidR="00A4083A">
          <w:rPr>
            <w:noProof/>
            <w:webHidden/>
          </w:rPr>
          <w:tab/>
        </w:r>
        <w:r w:rsidR="00A4083A">
          <w:rPr>
            <w:noProof/>
            <w:webHidden/>
          </w:rPr>
          <w:fldChar w:fldCharType="begin"/>
        </w:r>
        <w:r w:rsidR="00A4083A">
          <w:rPr>
            <w:noProof/>
            <w:webHidden/>
          </w:rPr>
          <w:instrText xml:space="preserve"> PAGEREF _Toc43841488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89" w:history="1">
        <w:r w:rsidR="00A4083A" w:rsidRPr="00D83412">
          <w:rPr>
            <w:rStyle w:val="Hypertextovodkaz"/>
            <w:noProof/>
          </w:rPr>
          <w:t>Graf 109: NSS – vyřizování kasačních věcí v letech 2008–2019</w:t>
        </w:r>
        <w:r w:rsidR="00A4083A">
          <w:rPr>
            <w:noProof/>
            <w:webHidden/>
          </w:rPr>
          <w:tab/>
        </w:r>
        <w:r w:rsidR="00A4083A">
          <w:rPr>
            <w:noProof/>
            <w:webHidden/>
          </w:rPr>
          <w:fldChar w:fldCharType="begin"/>
        </w:r>
        <w:r w:rsidR="00A4083A">
          <w:rPr>
            <w:noProof/>
            <w:webHidden/>
          </w:rPr>
          <w:instrText xml:space="preserve"> PAGEREF _Toc43841489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90" w:history="1">
        <w:r w:rsidR="00A4083A" w:rsidRPr="00D83412">
          <w:rPr>
            <w:rStyle w:val="Hypertextovodkaz"/>
            <w:noProof/>
          </w:rPr>
          <w:t>Graf 110: NSS – vyřizování řízení ve věcech soudců v letech 2008–2019</w:t>
        </w:r>
        <w:r w:rsidR="00A4083A">
          <w:rPr>
            <w:noProof/>
            <w:webHidden/>
          </w:rPr>
          <w:tab/>
        </w:r>
        <w:r w:rsidR="00A4083A">
          <w:rPr>
            <w:noProof/>
            <w:webHidden/>
          </w:rPr>
          <w:fldChar w:fldCharType="begin"/>
        </w:r>
        <w:r w:rsidR="00A4083A">
          <w:rPr>
            <w:noProof/>
            <w:webHidden/>
          </w:rPr>
          <w:instrText xml:space="preserve"> PAGEREF _Toc43841490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91" w:history="1">
        <w:r w:rsidR="00A4083A" w:rsidRPr="00D83412">
          <w:rPr>
            <w:rStyle w:val="Hypertextovodkaz"/>
            <w:noProof/>
          </w:rPr>
          <w:t>Graf 111: Koncept technické efektivnosti</w:t>
        </w:r>
        <w:r w:rsidR="00A4083A">
          <w:rPr>
            <w:noProof/>
            <w:webHidden/>
          </w:rPr>
          <w:tab/>
        </w:r>
        <w:r w:rsidR="00A4083A">
          <w:rPr>
            <w:noProof/>
            <w:webHidden/>
          </w:rPr>
          <w:fldChar w:fldCharType="begin"/>
        </w:r>
        <w:r w:rsidR="00A4083A">
          <w:rPr>
            <w:noProof/>
            <w:webHidden/>
          </w:rPr>
          <w:instrText xml:space="preserve"> PAGEREF _Toc43841491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Default="00FE0F08" w:rsidP="00A4083A">
      <w:pPr>
        <w:pStyle w:val="Seznamobrzk"/>
        <w:tabs>
          <w:tab w:val="right" w:leader="dot" w:pos="9060"/>
        </w:tabs>
        <w:rPr>
          <w:rFonts w:asciiTheme="minorHAnsi" w:eastAsiaTheme="minorEastAsia" w:hAnsiTheme="minorHAnsi" w:cstheme="minorBidi"/>
          <w:noProof/>
          <w:sz w:val="22"/>
          <w:lang w:eastAsia="cs-CZ"/>
        </w:rPr>
      </w:pPr>
      <w:hyperlink w:anchor="_Toc43841492" w:history="1">
        <w:r w:rsidR="00A4083A" w:rsidRPr="00D83412">
          <w:rPr>
            <w:rStyle w:val="Hypertextovodkaz"/>
            <w:noProof/>
          </w:rPr>
          <w:t>Graf 112: Koncept technické efektivnosti a přídatné proměnné</w:t>
        </w:r>
        <w:r w:rsidR="00A4083A">
          <w:rPr>
            <w:noProof/>
            <w:webHidden/>
          </w:rPr>
          <w:tab/>
        </w:r>
        <w:r w:rsidR="00A4083A">
          <w:rPr>
            <w:noProof/>
            <w:webHidden/>
          </w:rPr>
          <w:fldChar w:fldCharType="begin"/>
        </w:r>
        <w:r w:rsidR="00A4083A">
          <w:rPr>
            <w:noProof/>
            <w:webHidden/>
          </w:rPr>
          <w:instrText xml:space="preserve"> PAGEREF _Toc43841492 \h </w:instrText>
        </w:r>
        <w:r w:rsidR="00A4083A">
          <w:rPr>
            <w:noProof/>
            <w:webHidden/>
          </w:rPr>
        </w:r>
        <w:r w:rsidR="00A4083A">
          <w:rPr>
            <w:noProof/>
            <w:webHidden/>
          </w:rPr>
          <w:fldChar w:fldCharType="separate"/>
        </w:r>
        <w:r w:rsidR="006E7F27">
          <w:rPr>
            <w:noProof/>
            <w:webHidden/>
          </w:rPr>
          <w:t>2</w:t>
        </w:r>
        <w:r w:rsidR="00A4083A">
          <w:rPr>
            <w:noProof/>
            <w:webHidden/>
          </w:rPr>
          <w:fldChar w:fldCharType="end"/>
        </w:r>
      </w:hyperlink>
    </w:p>
    <w:p w:rsidR="00A4083A" w:rsidRPr="00D17312" w:rsidRDefault="00A4083A" w:rsidP="00A4083A">
      <w:pPr>
        <w:spacing w:line="240" w:lineRule="auto"/>
        <w:jc w:val="left"/>
        <w:rPr>
          <w:highlight w:val="yellow"/>
        </w:rPr>
      </w:pPr>
      <w:r w:rsidRPr="00D17312">
        <w:rPr>
          <w:highlight w:val="yellow"/>
        </w:rPr>
        <w:fldChar w:fldCharType="end"/>
      </w:r>
      <w:r w:rsidRPr="00D17312">
        <w:rPr>
          <w:highlight w:val="yellow"/>
        </w:rPr>
        <w:br w:type="page"/>
      </w:r>
    </w:p>
    <w:p w:rsidR="00A4083A" w:rsidRPr="00D17312" w:rsidRDefault="00A4083A" w:rsidP="00A4083A">
      <w:pPr>
        <w:pStyle w:val="Nadpis1"/>
        <w:numPr>
          <w:ilvl w:val="0"/>
          <w:numId w:val="0"/>
        </w:numPr>
        <w:ind w:left="432" w:hanging="432"/>
      </w:pPr>
      <w:bookmarkStart w:id="781" w:name="_Toc487791315"/>
      <w:bookmarkStart w:id="782" w:name="_Toc43903131"/>
      <w:r w:rsidRPr="00D17312">
        <w:lastRenderedPageBreak/>
        <w:t>Seznam tabulek</w:t>
      </w:r>
      <w:bookmarkEnd w:id="781"/>
      <w:bookmarkEnd w:id="782"/>
    </w:p>
    <w:p w:rsidR="000B679B" w:rsidRDefault="00A4083A">
      <w:pPr>
        <w:pStyle w:val="Seznamobrzk"/>
        <w:tabs>
          <w:tab w:val="right" w:leader="dot" w:pos="9060"/>
        </w:tabs>
        <w:rPr>
          <w:rFonts w:asciiTheme="minorHAnsi" w:eastAsiaTheme="minorEastAsia" w:hAnsiTheme="minorHAnsi" w:cstheme="minorBidi"/>
          <w:noProof/>
          <w:sz w:val="22"/>
          <w:lang w:eastAsia="cs-CZ"/>
        </w:rPr>
      </w:pPr>
      <w:r w:rsidRPr="00D17312">
        <w:rPr>
          <w:b/>
          <w:bCs/>
          <w:noProof/>
          <w:highlight w:val="yellow"/>
        </w:rPr>
        <w:fldChar w:fldCharType="begin"/>
      </w:r>
      <w:r w:rsidRPr="00D17312">
        <w:rPr>
          <w:b/>
          <w:bCs/>
          <w:noProof/>
          <w:highlight w:val="yellow"/>
        </w:rPr>
        <w:instrText xml:space="preserve"> TOC \h \z \c "Tabulka" </w:instrText>
      </w:r>
      <w:r w:rsidRPr="00D17312">
        <w:rPr>
          <w:b/>
          <w:bCs/>
          <w:noProof/>
          <w:highlight w:val="yellow"/>
        </w:rPr>
        <w:fldChar w:fldCharType="separate"/>
      </w:r>
      <w:hyperlink w:anchor="_Toc43931174" w:history="1">
        <w:r w:rsidR="000B679B" w:rsidRPr="00404E3D">
          <w:rPr>
            <w:rStyle w:val="Hypertextovodkaz"/>
            <w:noProof/>
          </w:rPr>
          <w:t>Tabulka 1: OS – počet soudců dle krajů</w:t>
        </w:r>
        <w:r w:rsidR="000B679B">
          <w:rPr>
            <w:noProof/>
            <w:webHidden/>
          </w:rPr>
          <w:tab/>
        </w:r>
        <w:r w:rsidR="000B679B">
          <w:rPr>
            <w:noProof/>
            <w:webHidden/>
          </w:rPr>
          <w:fldChar w:fldCharType="begin"/>
        </w:r>
        <w:r w:rsidR="000B679B">
          <w:rPr>
            <w:noProof/>
            <w:webHidden/>
          </w:rPr>
          <w:instrText xml:space="preserve"> PAGEREF _Toc43931174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75" w:history="1">
        <w:r w:rsidR="000B679B" w:rsidRPr="00404E3D">
          <w:rPr>
            <w:rStyle w:val="Hypertextovodkaz"/>
            <w:noProof/>
          </w:rPr>
          <w:t>Tabulka 2: OS – evidenční počet soudců dle pohlaví a krajů</w:t>
        </w:r>
        <w:r w:rsidR="000B679B">
          <w:rPr>
            <w:noProof/>
            <w:webHidden/>
          </w:rPr>
          <w:tab/>
        </w:r>
        <w:r w:rsidR="000B679B">
          <w:rPr>
            <w:noProof/>
            <w:webHidden/>
          </w:rPr>
          <w:fldChar w:fldCharType="begin"/>
        </w:r>
        <w:r w:rsidR="000B679B">
          <w:rPr>
            <w:noProof/>
            <w:webHidden/>
          </w:rPr>
          <w:instrText xml:space="preserve"> PAGEREF _Toc43931175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76" w:history="1">
        <w:r w:rsidR="000B679B" w:rsidRPr="00404E3D">
          <w:rPr>
            <w:rStyle w:val="Hypertextovodkaz"/>
            <w:noProof/>
          </w:rPr>
          <w:t>Tabulka 3: OS – předsedové a místopředsedové soudů</w:t>
        </w:r>
        <w:r w:rsidR="000B679B">
          <w:rPr>
            <w:noProof/>
            <w:webHidden/>
          </w:rPr>
          <w:tab/>
        </w:r>
        <w:r w:rsidR="000B679B">
          <w:rPr>
            <w:noProof/>
            <w:webHidden/>
          </w:rPr>
          <w:fldChar w:fldCharType="begin"/>
        </w:r>
        <w:r w:rsidR="000B679B">
          <w:rPr>
            <w:noProof/>
            <w:webHidden/>
          </w:rPr>
          <w:instrText xml:space="preserve"> PAGEREF _Toc43931176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77" w:history="1">
        <w:r w:rsidR="000B679B" w:rsidRPr="00404E3D">
          <w:rPr>
            <w:rStyle w:val="Hypertextovodkaz"/>
            <w:noProof/>
          </w:rPr>
          <w:t>Tabulka 4: OS – věková struktura soudců dle krajů</w:t>
        </w:r>
        <w:r w:rsidR="000B679B">
          <w:rPr>
            <w:noProof/>
            <w:webHidden/>
          </w:rPr>
          <w:tab/>
        </w:r>
        <w:r w:rsidR="000B679B">
          <w:rPr>
            <w:noProof/>
            <w:webHidden/>
          </w:rPr>
          <w:fldChar w:fldCharType="begin"/>
        </w:r>
        <w:r w:rsidR="000B679B">
          <w:rPr>
            <w:noProof/>
            <w:webHidden/>
          </w:rPr>
          <w:instrText xml:space="preserve"> PAGEREF _Toc43931177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78" w:history="1">
        <w:r w:rsidR="000B679B" w:rsidRPr="00404E3D">
          <w:rPr>
            <w:rStyle w:val="Hypertextovodkaz"/>
            <w:noProof/>
          </w:rPr>
          <w:t>Tabulka 5: OS – srovnání evidenční a plánovaného počtu soudců za 5 let</w:t>
        </w:r>
        <w:r w:rsidR="000B679B">
          <w:rPr>
            <w:noProof/>
            <w:webHidden/>
          </w:rPr>
          <w:tab/>
        </w:r>
        <w:r w:rsidR="000B679B">
          <w:rPr>
            <w:noProof/>
            <w:webHidden/>
          </w:rPr>
          <w:fldChar w:fldCharType="begin"/>
        </w:r>
        <w:r w:rsidR="000B679B">
          <w:rPr>
            <w:noProof/>
            <w:webHidden/>
          </w:rPr>
          <w:instrText xml:space="preserve"> PAGEREF _Toc43931178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79" w:history="1">
        <w:r w:rsidR="000B679B" w:rsidRPr="00404E3D">
          <w:rPr>
            <w:rStyle w:val="Hypertextovodkaz"/>
            <w:noProof/>
          </w:rPr>
          <w:t>Tabulka 6: OS – evidenční počet zaměstnanců ve výkonu dle krajů</w:t>
        </w:r>
        <w:r w:rsidR="000B679B">
          <w:rPr>
            <w:noProof/>
            <w:webHidden/>
          </w:rPr>
          <w:tab/>
        </w:r>
        <w:r w:rsidR="000B679B">
          <w:rPr>
            <w:noProof/>
            <w:webHidden/>
          </w:rPr>
          <w:fldChar w:fldCharType="begin"/>
        </w:r>
        <w:r w:rsidR="000B679B">
          <w:rPr>
            <w:noProof/>
            <w:webHidden/>
          </w:rPr>
          <w:instrText xml:space="preserve"> PAGEREF _Toc43931179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80" w:history="1">
        <w:r w:rsidR="000B679B" w:rsidRPr="00404E3D">
          <w:rPr>
            <w:rStyle w:val="Hypertextovodkaz"/>
            <w:noProof/>
          </w:rPr>
          <w:t>Tabulka 7: OS – počet přísedících dle krajů a pohlaví</w:t>
        </w:r>
        <w:r w:rsidR="000B679B">
          <w:rPr>
            <w:noProof/>
            <w:webHidden/>
          </w:rPr>
          <w:tab/>
        </w:r>
        <w:r w:rsidR="000B679B">
          <w:rPr>
            <w:noProof/>
            <w:webHidden/>
          </w:rPr>
          <w:fldChar w:fldCharType="begin"/>
        </w:r>
        <w:r w:rsidR="000B679B">
          <w:rPr>
            <w:noProof/>
            <w:webHidden/>
          </w:rPr>
          <w:instrText xml:space="preserve"> PAGEREF _Toc43931180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81" w:history="1">
        <w:r w:rsidR="000B679B" w:rsidRPr="00404E3D">
          <w:rPr>
            <w:rStyle w:val="Hypertextovodkaz"/>
            <w:noProof/>
          </w:rPr>
          <w:t>Tabulka 8: OS – počet přísedících dle krajů a věku</w:t>
        </w:r>
        <w:r w:rsidR="000B679B">
          <w:rPr>
            <w:noProof/>
            <w:webHidden/>
          </w:rPr>
          <w:tab/>
        </w:r>
        <w:r w:rsidR="000B679B">
          <w:rPr>
            <w:noProof/>
            <w:webHidden/>
          </w:rPr>
          <w:fldChar w:fldCharType="begin"/>
        </w:r>
        <w:r w:rsidR="000B679B">
          <w:rPr>
            <w:noProof/>
            <w:webHidden/>
          </w:rPr>
          <w:instrText xml:space="preserve"> PAGEREF _Toc43931181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82" w:history="1">
        <w:r w:rsidR="000B679B" w:rsidRPr="00404E3D">
          <w:rPr>
            <w:rStyle w:val="Hypertextovodkaz"/>
            <w:noProof/>
          </w:rPr>
          <w:t>Tabulka 9: OS – délky civilního řízení dle krajů</w:t>
        </w:r>
        <w:r w:rsidR="000B679B">
          <w:rPr>
            <w:noProof/>
            <w:webHidden/>
          </w:rPr>
          <w:tab/>
        </w:r>
        <w:r w:rsidR="000B679B">
          <w:rPr>
            <w:noProof/>
            <w:webHidden/>
          </w:rPr>
          <w:fldChar w:fldCharType="begin"/>
        </w:r>
        <w:r w:rsidR="000B679B">
          <w:rPr>
            <w:noProof/>
            <w:webHidden/>
          </w:rPr>
          <w:instrText xml:space="preserve"> PAGEREF _Toc43931182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83" w:history="1">
        <w:r w:rsidR="000B679B" w:rsidRPr="00404E3D">
          <w:rPr>
            <w:rStyle w:val="Hypertextovodkaz"/>
            <w:noProof/>
          </w:rPr>
          <w:t>Tabulka 10: OS – vyřizování civilních věcí dle krajů</w:t>
        </w:r>
        <w:r w:rsidR="000B679B">
          <w:rPr>
            <w:noProof/>
            <w:webHidden/>
          </w:rPr>
          <w:tab/>
        </w:r>
        <w:r w:rsidR="000B679B">
          <w:rPr>
            <w:noProof/>
            <w:webHidden/>
          </w:rPr>
          <w:fldChar w:fldCharType="begin"/>
        </w:r>
        <w:r w:rsidR="000B679B">
          <w:rPr>
            <w:noProof/>
            <w:webHidden/>
          </w:rPr>
          <w:instrText xml:space="preserve"> PAGEREF _Toc43931183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84" w:history="1">
        <w:r w:rsidR="000B679B" w:rsidRPr="00404E3D">
          <w:rPr>
            <w:rStyle w:val="Hypertextovodkaz"/>
            <w:noProof/>
          </w:rPr>
          <w:t>Tabulka 11: OS – vyřizování civilních věcí na soudce dle krajů</w:t>
        </w:r>
        <w:r w:rsidR="000B679B">
          <w:rPr>
            <w:noProof/>
            <w:webHidden/>
          </w:rPr>
          <w:tab/>
        </w:r>
        <w:r w:rsidR="000B679B">
          <w:rPr>
            <w:noProof/>
            <w:webHidden/>
          </w:rPr>
          <w:fldChar w:fldCharType="begin"/>
        </w:r>
        <w:r w:rsidR="000B679B">
          <w:rPr>
            <w:noProof/>
            <w:webHidden/>
          </w:rPr>
          <w:instrText xml:space="preserve"> PAGEREF _Toc43931184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85" w:history="1">
        <w:r w:rsidR="000B679B" w:rsidRPr="00404E3D">
          <w:rPr>
            <w:rStyle w:val="Hypertextovodkaz"/>
            <w:noProof/>
          </w:rPr>
          <w:t>Tabulka 12: OS – disposition time v civilním řízení dle krajů</w:t>
        </w:r>
        <w:r w:rsidR="000B679B">
          <w:rPr>
            <w:noProof/>
            <w:webHidden/>
          </w:rPr>
          <w:tab/>
        </w:r>
        <w:r w:rsidR="000B679B">
          <w:rPr>
            <w:noProof/>
            <w:webHidden/>
          </w:rPr>
          <w:fldChar w:fldCharType="begin"/>
        </w:r>
        <w:r w:rsidR="000B679B">
          <w:rPr>
            <w:noProof/>
            <w:webHidden/>
          </w:rPr>
          <w:instrText xml:space="preserve"> PAGEREF _Toc43931185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86" w:history="1">
        <w:r w:rsidR="000B679B" w:rsidRPr="00404E3D">
          <w:rPr>
            <w:rStyle w:val="Hypertextovodkaz"/>
            <w:noProof/>
          </w:rPr>
          <w:t>Tabulka 13: OS – míra odvolání dle krajů v civilním řízení</w:t>
        </w:r>
        <w:r w:rsidR="000B679B">
          <w:rPr>
            <w:noProof/>
            <w:webHidden/>
          </w:rPr>
          <w:tab/>
        </w:r>
        <w:r w:rsidR="000B679B">
          <w:rPr>
            <w:noProof/>
            <w:webHidden/>
          </w:rPr>
          <w:fldChar w:fldCharType="begin"/>
        </w:r>
        <w:r w:rsidR="000B679B">
          <w:rPr>
            <w:noProof/>
            <w:webHidden/>
          </w:rPr>
          <w:instrText xml:space="preserve"> PAGEREF _Toc43931186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87" w:history="1">
        <w:r w:rsidR="000B679B" w:rsidRPr="00404E3D">
          <w:rPr>
            <w:rStyle w:val="Hypertextovodkaz"/>
            <w:noProof/>
          </w:rPr>
          <w:t>Tabulka 14: OS – míra změny rozsudku dle krajů v civilním řízení</w:t>
        </w:r>
        <w:r w:rsidR="000B679B">
          <w:rPr>
            <w:noProof/>
            <w:webHidden/>
          </w:rPr>
          <w:tab/>
        </w:r>
        <w:r w:rsidR="000B679B">
          <w:rPr>
            <w:noProof/>
            <w:webHidden/>
          </w:rPr>
          <w:fldChar w:fldCharType="begin"/>
        </w:r>
        <w:r w:rsidR="000B679B">
          <w:rPr>
            <w:noProof/>
            <w:webHidden/>
          </w:rPr>
          <w:instrText xml:space="preserve"> PAGEREF _Toc43931187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88" w:history="1">
        <w:r w:rsidR="000B679B" w:rsidRPr="00404E3D">
          <w:rPr>
            <w:rStyle w:val="Hypertextovodkaz"/>
            <w:noProof/>
          </w:rPr>
          <w:t>Tabulka 15: OS – vzdělání manželů u rozvodových řízení</w:t>
        </w:r>
        <w:r w:rsidR="000B679B">
          <w:rPr>
            <w:noProof/>
            <w:webHidden/>
          </w:rPr>
          <w:tab/>
        </w:r>
        <w:r w:rsidR="000B679B">
          <w:rPr>
            <w:noProof/>
            <w:webHidden/>
          </w:rPr>
          <w:fldChar w:fldCharType="begin"/>
        </w:r>
        <w:r w:rsidR="000B679B">
          <w:rPr>
            <w:noProof/>
            <w:webHidden/>
          </w:rPr>
          <w:instrText xml:space="preserve"> PAGEREF _Toc43931188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89" w:history="1">
        <w:r w:rsidR="000B679B" w:rsidRPr="00404E3D">
          <w:rPr>
            <w:rStyle w:val="Hypertextovodkaz"/>
            <w:noProof/>
          </w:rPr>
          <w:t>Tabulka 16: OS – výsledky rozvodových řízení</w:t>
        </w:r>
        <w:r w:rsidR="000B679B">
          <w:rPr>
            <w:noProof/>
            <w:webHidden/>
          </w:rPr>
          <w:tab/>
        </w:r>
        <w:r w:rsidR="000B679B">
          <w:rPr>
            <w:noProof/>
            <w:webHidden/>
          </w:rPr>
          <w:fldChar w:fldCharType="begin"/>
        </w:r>
        <w:r w:rsidR="000B679B">
          <w:rPr>
            <w:noProof/>
            <w:webHidden/>
          </w:rPr>
          <w:instrText xml:space="preserve"> PAGEREF _Toc43931189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90" w:history="1">
        <w:r w:rsidR="000B679B" w:rsidRPr="00404E3D">
          <w:rPr>
            <w:rStyle w:val="Hypertextovodkaz"/>
            <w:noProof/>
          </w:rPr>
          <w:t>Tabulka 17: OS – délky el. rozkazního civilního řízení dle krajů</w:t>
        </w:r>
        <w:r w:rsidR="000B679B">
          <w:rPr>
            <w:noProof/>
            <w:webHidden/>
          </w:rPr>
          <w:tab/>
        </w:r>
        <w:r w:rsidR="000B679B">
          <w:rPr>
            <w:noProof/>
            <w:webHidden/>
          </w:rPr>
          <w:fldChar w:fldCharType="begin"/>
        </w:r>
        <w:r w:rsidR="000B679B">
          <w:rPr>
            <w:noProof/>
            <w:webHidden/>
          </w:rPr>
          <w:instrText xml:space="preserve"> PAGEREF _Toc43931190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91" w:history="1">
        <w:r w:rsidR="000B679B" w:rsidRPr="00404E3D">
          <w:rPr>
            <w:rStyle w:val="Hypertextovodkaz"/>
            <w:noProof/>
          </w:rPr>
          <w:t>Tabulka 18: OS – vyřizování věcí v rejstříku EPR dle krajů</w:t>
        </w:r>
        <w:r w:rsidR="000B679B">
          <w:rPr>
            <w:noProof/>
            <w:webHidden/>
          </w:rPr>
          <w:tab/>
        </w:r>
        <w:r w:rsidR="000B679B">
          <w:rPr>
            <w:noProof/>
            <w:webHidden/>
          </w:rPr>
          <w:fldChar w:fldCharType="begin"/>
        </w:r>
        <w:r w:rsidR="000B679B">
          <w:rPr>
            <w:noProof/>
            <w:webHidden/>
          </w:rPr>
          <w:instrText xml:space="preserve"> PAGEREF _Toc43931191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92" w:history="1">
        <w:r w:rsidR="000B679B" w:rsidRPr="00404E3D">
          <w:rPr>
            <w:rStyle w:val="Hypertextovodkaz"/>
            <w:noProof/>
          </w:rPr>
          <w:t>Tabulka 19: OS – převedeno z rejstříku EPR dle krajů</w:t>
        </w:r>
        <w:r w:rsidR="000B679B">
          <w:rPr>
            <w:noProof/>
            <w:webHidden/>
          </w:rPr>
          <w:tab/>
        </w:r>
        <w:r w:rsidR="000B679B">
          <w:rPr>
            <w:noProof/>
            <w:webHidden/>
          </w:rPr>
          <w:fldChar w:fldCharType="begin"/>
        </w:r>
        <w:r w:rsidR="000B679B">
          <w:rPr>
            <w:noProof/>
            <w:webHidden/>
          </w:rPr>
          <w:instrText xml:space="preserve"> PAGEREF _Toc43931192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93" w:history="1">
        <w:r w:rsidR="000B679B" w:rsidRPr="00404E3D">
          <w:rPr>
            <w:rStyle w:val="Hypertextovodkaz"/>
            <w:noProof/>
          </w:rPr>
          <w:t>Tabulka 20: OS – délky trestního řízení dle krajů</w:t>
        </w:r>
        <w:r w:rsidR="000B679B">
          <w:rPr>
            <w:noProof/>
            <w:webHidden/>
          </w:rPr>
          <w:tab/>
        </w:r>
        <w:r w:rsidR="000B679B">
          <w:rPr>
            <w:noProof/>
            <w:webHidden/>
          </w:rPr>
          <w:fldChar w:fldCharType="begin"/>
        </w:r>
        <w:r w:rsidR="000B679B">
          <w:rPr>
            <w:noProof/>
            <w:webHidden/>
          </w:rPr>
          <w:instrText xml:space="preserve"> PAGEREF _Toc43931193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94" w:history="1">
        <w:r w:rsidR="000B679B" w:rsidRPr="00404E3D">
          <w:rPr>
            <w:rStyle w:val="Hypertextovodkaz"/>
            <w:noProof/>
          </w:rPr>
          <w:t>Tabulka 21: OS – vyřizování trestních věcí dle krajů</w:t>
        </w:r>
        <w:r w:rsidR="000B679B">
          <w:rPr>
            <w:noProof/>
            <w:webHidden/>
          </w:rPr>
          <w:tab/>
        </w:r>
        <w:r w:rsidR="000B679B">
          <w:rPr>
            <w:noProof/>
            <w:webHidden/>
          </w:rPr>
          <w:fldChar w:fldCharType="begin"/>
        </w:r>
        <w:r w:rsidR="000B679B">
          <w:rPr>
            <w:noProof/>
            <w:webHidden/>
          </w:rPr>
          <w:instrText xml:space="preserve"> PAGEREF _Toc43931194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95" w:history="1">
        <w:r w:rsidR="000B679B" w:rsidRPr="00404E3D">
          <w:rPr>
            <w:rStyle w:val="Hypertextovodkaz"/>
            <w:noProof/>
          </w:rPr>
          <w:t>Tabulka 22: OS – vyřizování trestních věcí na soudce dle krajů</w:t>
        </w:r>
        <w:r w:rsidR="000B679B">
          <w:rPr>
            <w:noProof/>
            <w:webHidden/>
          </w:rPr>
          <w:tab/>
        </w:r>
        <w:r w:rsidR="000B679B">
          <w:rPr>
            <w:noProof/>
            <w:webHidden/>
          </w:rPr>
          <w:fldChar w:fldCharType="begin"/>
        </w:r>
        <w:r w:rsidR="000B679B">
          <w:rPr>
            <w:noProof/>
            <w:webHidden/>
          </w:rPr>
          <w:instrText xml:space="preserve"> PAGEREF _Toc43931195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96" w:history="1">
        <w:r w:rsidR="000B679B" w:rsidRPr="00404E3D">
          <w:rPr>
            <w:rStyle w:val="Hypertextovodkaz"/>
            <w:noProof/>
          </w:rPr>
          <w:t>Tabulka 23: OS – disposition time trestního řízení dle krajů</w:t>
        </w:r>
        <w:r w:rsidR="000B679B">
          <w:rPr>
            <w:noProof/>
            <w:webHidden/>
          </w:rPr>
          <w:tab/>
        </w:r>
        <w:r w:rsidR="000B679B">
          <w:rPr>
            <w:noProof/>
            <w:webHidden/>
          </w:rPr>
          <w:fldChar w:fldCharType="begin"/>
        </w:r>
        <w:r w:rsidR="000B679B">
          <w:rPr>
            <w:noProof/>
            <w:webHidden/>
          </w:rPr>
          <w:instrText xml:space="preserve"> PAGEREF _Toc43931196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97" w:history="1">
        <w:r w:rsidR="000B679B" w:rsidRPr="00404E3D">
          <w:rPr>
            <w:rStyle w:val="Hypertextovodkaz"/>
            <w:noProof/>
          </w:rPr>
          <w:t>Tabulka 24: OS – míra odvolání dle krajů v trestním řízení</w:t>
        </w:r>
        <w:r w:rsidR="000B679B">
          <w:rPr>
            <w:noProof/>
            <w:webHidden/>
          </w:rPr>
          <w:tab/>
        </w:r>
        <w:r w:rsidR="000B679B">
          <w:rPr>
            <w:noProof/>
            <w:webHidden/>
          </w:rPr>
          <w:fldChar w:fldCharType="begin"/>
        </w:r>
        <w:r w:rsidR="000B679B">
          <w:rPr>
            <w:noProof/>
            <w:webHidden/>
          </w:rPr>
          <w:instrText xml:space="preserve"> PAGEREF _Toc43931197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98" w:history="1">
        <w:r w:rsidR="000B679B" w:rsidRPr="00404E3D">
          <w:rPr>
            <w:rStyle w:val="Hypertextovodkaz"/>
            <w:noProof/>
          </w:rPr>
          <w:t>Tabulka 25: OS – míra změny rozsudku dle krajů v trestním řízení</w:t>
        </w:r>
        <w:r w:rsidR="000B679B">
          <w:rPr>
            <w:noProof/>
            <w:webHidden/>
          </w:rPr>
          <w:tab/>
        </w:r>
        <w:r w:rsidR="000B679B">
          <w:rPr>
            <w:noProof/>
            <w:webHidden/>
          </w:rPr>
          <w:fldChar w:fldCharType="begin"/>
        </w:r>
        <w:r w:rsidR="000B679B">
          <w:rPr>
            <w:noProof/>
            <w:webHidden/>
          </w:rPr>
          <w:instrText xml:space="preserve"> PAGEREF _Toc43931198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199" w:history="1">
        <w:r w:rsidR="000B679B" w:rsidRPr="00404E3D">
          <w:rPr>
            <w:rStyle w:val="Hypertextovodkaz"/>
            <w:noProof/>
          </w:rPr>
          <w:t>Tabulka 26: OS – nejčastější trestné činy dle věkových skupin</w:t>
        </w:r>
        <w:r w:rsidR="000B679B">
          <w:rPr>
            <w:noProof/>
            <w:webHidden/>
          </w:rPr>
          <w:tab/>
        </w:r>
        <w:r w:rsidR="000B679B">
          <w:rPr>
            <w:noProof/>
            <w:webHidden/>
          </w:rPr>
          <w:fldChar w:fldCharType="begin"/>
        </w:r>
        <w:r w:rsidR="000B679B">
          <w:rPr>
            <w:noProof/>
            <w:webHidden/>
          </w:rPr>
          <w:instrText xml:space="preserve"> PAGEREF _Toc43931199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00" w:history="1">
        <w:r w:rsidR="000B679B" w:rsidRPr="00404E3D">
          <w:rPr>
            <w:rStyle w:val="Hypertextovodkaz"/>
            <w:noProof/>
          </w:rPr>
          <w:t>Tabulka 27: OS – pravomocné přeměny peněžitého trestu v jiný trest</w:t>
        </w:r>
        <w:r w:rsidR="000B679B">
          <w:rPr>
            <w:noProof/>
            <w:webHidden/>
          </w:rPr>
          <w:tab/>
        </w:r>
        <w:r w:rsidR="000B679B">
          <w:rPr>
            <w:noProof/>
            <w:webHidden/>
          </w:rPr>
          <w:fldChar w:fldCharType="begin"/>
        </w:r>
        <w:r w:rsidR="000B679B">
          <w:rPr>
            <w:noProof/>
            <w:webHidden/>
          </w:rPr>
          <w:instrText xml:space="preserve"> PAGEREF _Toc43931200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01" w:history="1">
        <w:r w:rsidR="000B679B" w:rsidRPr="00404E3D">
          <w:rPr>
            <w:rStyle w:val="Hypertextovodkaz"/>
            <w:noProof/>
          </w:rPr>
          <w:t>Tabulka 28: OS – délky řízení v opatrovnické agendě dle krajů</w:t>
        </w:r>
        <w:r w:rsidR="000B679B">
          <w:rPr>
            <w:noProof/>
            <w:webHidden/>
          </w:rPr>
          <w:tab/>
        </w:r>
        <w:r w:rsidR="000B679B">
          <w:rPr>
            <w:noProof/>
            <w:webHidden/>
          </w:rPr>
          <w:fldChar w:fldCharType="begin"/>
        </w:r>
        <w:r w:rsidR="000B679B">
          <w:rPr>
            <w:noProof/>
            <w:webHidden/>
          </w:rPr>
          <w:instrText xml:space="preserve"> PAGEREF _Toc43931201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02" w:history="1">
        <w:r w:rsidR="000B679B" w:rsidRPr="00404E3D">
          <w:rPr>
            <w:rStyle w:val="Hypertextovodkaz"/>
            <w:noProof/>
          </w:rPr>
          <w:t>Tabulka 29: OS – vyřizování opatrovnických věcí dle krajů</w:t>
        </w:r>
        <w:r w:rsidR="000B679B">
          <w:rPr>
            <w:noProof/>
            <w:webHidden/>
          </w:rPr>
          <w:tab/>
        </w:r>
        <w:r w:rsidR="000B679B">
          <w:rPr>
            <w:noProof/>
            <w:webHidden/>
          </w:rPr>
          <w:fldChar w:fldCharType="begin"/>
        </w:r>
        <w:r w:rsidR="000B679B">
          <w:rPr>
            <w:noProof/>
            <w:webHidden/>
          </w:rPr>
          <w:instrText xml:space="preserve"> PAGEREF _Toc43931202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03" w:history="1">
        <w:r w:rsidR="000B679B" w:rsidRPr="00404E3D">
          <w:rPr>
            <w:rStyle w:val="Hypertextovodkaz"/>
            <w:noProof/>
          </w:rPr>
          <w:t>Tabulka 30: OS – vyřizování opatrovnických věcí na soudce dle krajů</w:t>
        </w:r>
        <w:r w:rsidR="000B679B">
          <w:rPr>
            <w:noProof/>
            <w:webHidden/>
          </w:rPr>
          <w:tab/>
        </w:r>
        <w:r w:rsidR="000B679B">
          <w:rPr>
            <w:noProof/>
            <w:webHidden/>
          </w:rPr>
          <w:fldChar w:fldCharType="begin"/>
        </w:r>
        <w:r w:rsidR="000B679B">
          <w:rPr>
            <w:noProof/>
            <w:webHidden/>
          </w:rPr>
          <w:instrText xml:space="preserve"> PAGEREF _Toc43931203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04" w:history="1">
        <w:r w:rsidR="000B679B" w:rsidRPr="00404E3D">
          <w:rPr>
            <w:rStyle w:val="Hypertextovodkaz"/>
            <w:noProof/>
          </w:rPr>
          <w:t>Tabulka 31: OS – disposition time v opatrovnické agendě dle krajů</w:t>
        </w:r>
        <w:r w:rsidR="000B679B">
          <w:rPr>
            <w:noProof/>
            <w:webHidden/>
          </w:rPr>
          <w:tab/>
        </w:r>
        <w:r w:rsidR="000B679B">
          <w:rPr>
            <w:noProof/>
            <w:webHidden/>
          </w:rPr>
          <w:fldChar w:fldCharType="begin"/>
        </w:r>
        <w:r w:rsidR="000B679B">
          <w:rPr>
            <w:noProof/>
            <w:webHidden/>
          </w:rPr>
          <w:instrText xml:space="preserve"> PAGEREF _Toc43931204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05" w:history="1">
        <w:r w:rsidR="000B679B" w:rsidRPr="00404E3D">
          <w:rPr>
            <w:rStyle w:val="Hypertextovodkaz"/>
            <w:noProof/>
          </w:rPr>
          <w:t>Tabulka 32: OS, DEA – výsledky</w:t>
        </w:r>
        <w:r w:rsidR="000B679B">
          <w:rPr>
            <w:noProof/>
            <w:webHidden/>
          </w:rPr>
          <w:tab/>
        </w:r>
        <w:r w:rsidR="000B679B">
          <w:rPr>
            <w:noProof/>
            <w:webHidden/>
          </w:rPr>
          <w:fldChar w:fldCharType="begin"/>
        </w:r>
        <w:r w:rsidR="000B679B">
          <w:rPr>
            <w:noProof/>
            <w:webHidden/>
          </w:rPr>
          <w:instrText xml:space="preserve"> PAGEREF _Toc43931205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06" w:history="1">
        <w:r w:rsidR="000B679B" w:rsidRPr="00404E3D">
          <w:rPr>
            <w:rStyle w:val="Hypertextovodkaz"/>
            <w:noProof/>
          </w:rPr>
          <w:t>Tabulka 33: KS – počet soudců dle soudů</w:t>
        </w:r>
        <w:r w:rsidR="000B679B">
          <w:rPr>
            <w:noProof/>
            <w:webHidden/>
          </w:rPr>
          <w:tab/>
        </w:r>
        <w:r w:rsidR="000B679B">
          <w:rPr>
            <w:noProof/>
            <w:webHidden/>
          </w:rPr>
          <w:fldChar w:fldCharType="begin"/>
        </w:r>
        <w:r w:rsidR="000B679B">
          <w:rPr>
            <w:noProof/>
            <w:webHidden/>
          </w:rPr>
          <w:instrText xml:space="preserve"> PAGEREF _Toc43931206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07" w:history="1">
        <w:r w:rsidR="000B679B" w:rsidRPr="00404E3D">
          <w:rPr>
            <w:rStyle w:val="Hypertextovodkaz"/>
            <w:noProof/>
          </w:rPr>
          <w:t>Tabulka 34: KS – evidenční počet soudců dle pohlaví a soudů</w:t>
        </w:r>
        <w:r w:rsidR="000B679B">
          <w:rPr>
            <w:noProof/>
            <w:webHidden/>
          </w:rPr>
          <w:tab/>
        </w:r>
        <w:r w:rsidR="000B679B">
          <w:rPr>
            <w:noProof/>
            <w:webHidden/>
          </w:rPr>
          <w:fldChar w:fldCharType="begin"/>
        </w:r>
        <w:r w:rsidR="000B679B">
          <w:rPr>
            <w:noProof/>
            <w:webHidden/>
          </w:rPr>
          <w:instrText xml:space="preserve"> PAGEREF _Toc43931207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08" w:history="1">
        <w:r w:rsidR="000B679B" w:rsidRPr="00404E3D">
          <w:rPr>
            <w:rStyle w:val="Hypertextovodkaz"/>
            <w:noProof/>
          </w:rPr>
          <w:t>Tabulka 35: KS – věková struktura soudců dle krajů</w:t>
        </w:r>
        <w:r w:rsidR="000B679B">
          <w:rPr>
            <w:noProof/>
            <w:webHidden/>
          </w:rPr>
          <w:tab/>
        </w:r>
        <w:r w:rsidR="000B679B">
          <w:rPr>
            <w:noProof/>
            <w:webHidden/>
          </w:rPr>
          <w:fldChar w:fldCharType="begin"/>
        </w:r>
        <w:r w:rsidR="000B679B">
          <w:rPr>
            <w:noProof/>
            <w:webHidden/>
          </w:rPr>
          <w:instrText xml:space="preserve"> PAGEREF _Toc43931208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09" w:history="1">
        <w:r w:rsidR="000B679B" w:rsidRPr="00404E3D">
          <w:rPr>
            <w:rStyle w:val="Hypertextovodkaz"/>
            <w:noProof/>
          </w:rPr>
          <w:t>Tabulka 36: KS – srovnání evidenční a plánovaného počtu soudců za 5 let</w:t>
        </w:r>
        <w:r w:rsidR="000B679B">
          <w:rPr>
            <w:noProof/>
            <w:webHidden/>
          </w:rPr>
          <w:tab/>
        </w:r>
        <w:r w:rsidR="000B679B">
          <w:rPr>
            <w:noProof/>
            <w:webHidden/>
          </w:rPr>
          <w:fldChar w:fldCharType="begin"/>
        </w:r>
        <w:r w:rsidR="000B679B">
          <w:rPr>
            <w:noProof/>
            <w:webHidden/>
          </w:rPr>
          <w:instrText xml:space="preserve"> PAGEREF _Toc43931209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10" w:history="1">
        <w:r w:rsidR="000B679B" w:rsidRPr="00404E3D">
          <w:rPr>
            <w:rStyle w:val="Hypertextovodkaz"/>
            <w:noProof/>
          </w:rPr>
          <w:t>Tabulka 37: KS – evidenční počet zaměstnanců ve výkonu dle soudů</w:t>
        </w:r>
        <w:r w:rsidR="000B679B">
          <w:rPr>
            <w:noProof/>
            <w:webHidden/>
          </w:rPr>
          <w:tab/>
        </w:r>
        <w:r w:rsidR="000B679B">
          <w:rPr>
            <w:noProof/>
            <w:webHidden/>
          </w:rPr>
          <w:fldChar w:fldCharType="begin"/>
        </w:r>
        <w:r w:rsidR="000B679B">
          <w:rPr>
            <w:noProof/>
            <w:webHidden/>
          </w:rPr>
          <w:instrText xml:space="preserve"> PAGEREF _Toc43931210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11" w:history="1">
        <w:r w:rsidR="000B679B" w:rsidRPr="00404E3D">
          <w:rPr>
            <w:rStyle w:val="Hypertextovodkaz"/>
            <w:noProof/>
          </w:rPr>
          <w:t>Tabulka 38: KS – počet přísedících dle soudů a pohlaví</w:t>
        </w:r>
        <w:r w:rsidR="000B679B">
          <w:rPr>
            <w:noProof/>
            <w:webHidden/>
          </w:rPr>
          <w:tab/>
        </w:r>
        <w:r w:rsidR="000B679B">
          <w:rPr>
            <w:noProof/>
            <w:webHidden/>
          </w:rPr>
          <w:fldChar w:fldCharType="begin"/>
        </w:r>
        <w:r w:rsidR="000B679B">
          <w:rPr>
            <w:noProof/>
            <w:webHidden/>
          </w:rPr>
          <w:instrText xml:space="preserve"> PAGEREF _Toc43931211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12" w:history="1">
        <w:r w:rsidR="000B679B" w:rsidRPr="00404E3D">
          <w:rPr>
            <w:rStyle w:val="Hypertextovodkaz"/>
            <w:noProof/>
          </w:rPr>
          <w:t>Tabulka 39: KS – počet přísedících dle soudů a věku</w:t>
        </w:r>
        <w:r w:rsidR="000B679B">
          <w:rPr>
            <w:noProof/>
            <w:webHidden/>
          </w:rPr>
          <w:tab/>
        </w:r>
        <w:r w:rsidR="000B679B">
          <w:rPr>
            <w:noProof/>
            <w:webHidden/>
          </w:rPr>
          <w:fldChar w:fldCharType="begin"/>
        </w:r>
        <w:r w:rsidR="000B679B">
          <w:rPr>
            <w:noProof/>
            <w:webHidden/>
          </w:rPr>
          <w:instrText xml:space="preserve"> PAGEREF _Toc43931212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13" w:history="1">
        <w:r w:rsidR="000B679B" w:rsidRPr="00404E3D">
          <w:rPr>
            <w:rStyle w:val="Hypertextovodkaz"/>
            <w:noProof/>
          </w:rPr>
          <w:t>Tabulka 40: KS – délky prvostupňového civilního řízení dle soudů</w:t>
        </w:r>
        <w:r w:rsidR="000B679B">
          <w:rPr>
            <w:noProof/>
            <w:webHidden/>
          </w:rPr>
          <w:tab/>
        </w:r>
        <w:r w:rsidR="000B679B">
          <w:rPr>
            <w:noProof/>
            <w:webHidden/>
          </w:rPr>
          <w:fldChar w:fldCharType="begin"/>
        </w:r>
        <w:r w:rsidR="000B679B">
          <w:rPr>
            <w:noProof/>
            <w:webHidden/>
          </w:rPr>
          <w:instrText xml:space="preserve"> PAGEREF _Toc43931213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14" w:history="1">
        <w:r w:rsidR="000B679B" w:rsidRPr="00404E3D">
          <w:rPr>
            <w:rStyle w:val="Hypertextovodkaz"/>
            <w:noProof/>
          </w:rPr>
          <w:t>Tabulka 41: KS – vyřizování prvostupňových civilních věcí dle soudů</w:t>
        </w:r>
        <w:r w:rsidR="000B679B">
          <w:rPr>
            <w:noProof/>
            <w:webHidden/>
          </w:rPr>
          <w:tab/>
        </w:r>
        <w:r w:rsidR="000B679B">
          <w:rPr>
            <w:noProof/>
            <w:webHidden/>
          </w:rPr>
          <w:fldChar w:fldCharType="begin"/>
        </w:r>
        <w:r w:rsidR="000B679B">
          <w:rPr>
            <w:noProof/>
            <w:webHidden/>
          </w:rPr>
          <w:instrText xml:space="preserve"> PAGEREF _Toc43931214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15" w:history="1">
        <w:r w:rsidR="000B679B" w:rsidRPr="00404E3D">
          <w:rPr>
            <w:rStyle w:val="Hypertextovodkaz"/>
            <w:noProof/>
          </w:rPr>
          <w:t>Tabulka 42: KS – vyřizování prvostupňových civil. věcí na soudce dle krajů</w:t>
        </w:r>
        <w:r w:rsidR="000B679B">
          <w:rPr>
            <w:noProof/>
            <w:webHidden/>
          </w:rPr>
          <w:tab/>
        </w:r>
        <w:r w:rsidR="000B679B">
          <w:rPr>
            <w:noProof/>
            <w:webHidden/>
          </w:rPr>
          <w:fldChar w:fldCharType="begin"/>
        </w:r>
        <w:r w:rsidR="000B679B">
          <w:rPr>
            <w:noProof/>
            <w:webHidden/>
          </w:rPr>
          <w:instrText xml:space="preserve"> PAGEREF _Toc43931215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16" w:history="1">
        <w:r w:rsidR="000B679B" w:rsidRPr="00404E3D">
          <w:rPr>
            <w:rStyle w:val="Hypertextovodkaz"/>
            <w:noProof/>
          </w:rPr>
          <w:t>Tabulka 43: KS – DT prvostupňového civilního řízení dle soudů</w:t>
        </w:r>
        <w:r w:rsidR="000B679B">
          <w:rPr>
            <w:noProof/>
            <w:webHidden/>
          </w:rPr>
          <w:tab/>
        </w:r>
        <w:r w:rsidR="000B679B">
          <w:rPr>
            <w:noProof/>
            <w:webHidden/>
          </w:rPr>
          <w:fldChar w:fldCharType="begin"/>
        </w:r>
        <w:r w:rsidR="000B679B">
          <w:rPr>
            <w:noProof/>
            <w:webHidden/>
          </w:rPr>
          <w:instrText xml:space="preserve"> PAGEREF _Toc43931216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17" w:history="1">
        <w:r w:rsidR="000B679B" w:rsidRPr="00404E3D">
          <w:rPr>
            <w:rStyle w:val="Hypertextovodkaz"/>
            <w:noProof/>
          </w:rPr>
          <w:t>Tabulka 44: KS – míra odvolání dle soudů v civilním řízení</w:t>
        </w:r>
        <w:r w:rsidR="000B679B">
          <w:rPr>
            <w:noProof/>
            <w:webHidden/>
          </w:rPr>
          <w:tab/>
        </w:r>
        <w:r w:rsidR="000B679B">
          <w:rPr>
            <w:noProof/>
            <w:webHidden/>
          </w:rPr>
          <w:fldChar w:fldCharType="begin"/>
        </w:r>
        <w:r w:rsidR="000B679B">
          <w:rPr>
            <w:noProof/>
            <w:webHidden/>
          </w:rPr>
          <w:instrText xml:space="preserve"> PAGEREF _Toc43931217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18" w:history="1">
        <w:r w:rsidR="000B679B" w:rsidRPr="00404E3D">
          <w:rPr>
            <w:rStyle w:val="Hypertextovodkaz"/>
            <w:noProof/>
          </w:rPr>
          <w:t>Tabulka 45: KS – míra změny rozsudku dle soudů v civilním řízení</w:t>
        </w:r>
        <w:r w:rsidR="000B679B">
          <w:rPr>
            <w:noProof/>
            <w:webHidden/>
          </w:rPr>
          <w:tab/>
        </w:r>
        <w:r w:rsidR="000B679B">
          <w:rPr>
            <w:noProof/>
            <w:webHidden/>
          </w:rPr>
          <w:fldChar w:fldCharType="begin"/>
        </w:r>
        <w:r w:rsidR="000B679B">
          <w:rPr>
            <w:noProof/>
            <w:webHidden/>
          </w:rPr>
          <w:instrText xml:space="preserve"> PAGEREF _Toc43931218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19" w:history="1">
        <w:r w:rsidR="000B679B" w:rsidRPr="00404E3D">
          <w:rPr>
            <w:rStyle w:val="Hypertextovodkaz"/>
            <w:noProof/>
          </w:rPr>
          <w:t>Tabulka 46: KS – výše přiznaných nároků</w:t>
        </w:r>
        <w:r w:rsidR="000B679B">
          <w:rPr>
            <w:noProof/>
            <w:webHidden/>
          </w:rPr>
          <w:tab/>
        </w:r>
        <w:r w:rsidR="000B679B">
          <w:rPr>
            <w:noProof/>
            <w:webHidden/>
          </w:rPr>
          <w:fldChar w:fldCharType="begin"/>
        </w:r>
        <w:r w:rsidR="000B679B">
          <w:rPr>
            <w:noProof/>
            <w:webHidden/>
          </w:rPr>
          <w:instrText xml:space="preserve"> PAGEREF _Toc43931219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20" w:history="1">
        <w:r w:rsidR="000B679B" w:rsidRPr="00404E3D">
          <w:rPr>
            <w:rStyle w:val="Hypertextovodkaz"/>
            <w:noProof/>
          </w:rPr>
          <w:t>Tabulka 47: KS – výše přiznaných nároků v letech 2016–2019</w:t>
        </w:r>
        <w:r w:rsidR="000B679B">
          <w:rPr>
            <w:noProof/>
            <w:webHidden/>
          </w:rPr>
          <w:tab/>
        </w:r>
        <w:r w:rsidR="000B679B">
          <w:rPr>
            <w:noProof/>
            <w:webHidden/>
          </w:rPr>
          <w:fldChar w:fldCharType="begin"/>
        </w:r>
        <w:r w:rsidR="000B679B">
          <w:rPr>
            <w:noProof/>
            <w:webHidden/>
          </w:rPr>
          <w:instrText xml:space="preserve"> PAGEREF _Toc43931220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21" w:history="1">
        <w:r w:rsidR="000B679B" w:rsidRPr="00404E3D">
          <w:rPr>
            <w:rStyle w:val="Hypertextovodkaz"/>
            <w:noProof/>
          </w:rPr>
          <w:t>Tabulka 48: KS – délky odvolacího civilního řízení dle soudů</w:t>
        </w:r>
        <w:r w:rsidR="000B679B">
          <w:rPr>
            <w:noProof/>
            <w:webHidden/>
          </w:rPr>
          <w:tab/>
        </w:r>
        <w:r w:rsidR="000B679B">
          <w:rPr>
            <w:noProof/>
            <w:webHidden/>
          </w:rPr>
          <w:fldChar w:fldCharType="begin"/>
        </w:r>
        <w:r w:rsidR="000B679B">
          <w:rPr>
            <w:noProof/>
            <w:webHidden/>
          </w:rPr>
          <w:instrText xml:space="preserve"> PAGEREF _Toc43931221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22" w:history="1">
        <w:r w:rsidR="000B679B" w:rsidRPr="00404E3D">
          <w:rPr>
            <w:rStyle w:val="Hypertextovodkaz"/>
            <w:noProof/>
          </w:rPr>
          <w:t>Tabulka 49: KS – vyřizování odvolacích civilních věcí dle soudů</w:t>
        </w:r>
        <w:r w:rsidR="000B679B">
          <w:rPr>
            <w:noProof/>
            <w:webHidden/>
          </w:rPr>
          <w:tab/>
        </w:r>
        <w:r w:rsidR="000B679B">
          <w:rPr>
            <w:noProof/>
            <w:webHidden/>
          </w:rPr>
          <w:fldChar w:fldCharType="begin"/>
        </w:r>
        <w:r w:rsidR="000B679B">
          <w:rPr>
            <w:noProof/>
            <w:webHidden/>
          </w:rPr>
          <w:instrText xml:space="preserve"> PAGEREF _Toc43931222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23" w:history="1">
        <w:r w:rsidR="000B679B" w:rsidRPr="00404E3D">
          <w:rPr>
            <w:rStyle w:val="Hypertextovodkaz"/>
            <w:noProof/>
          </w:rPr>
          <w:t>Tabulka 50: KS – vyřizování odvolacích civilních věcí na soudce dle soudů</w:t>
        </w:r>
        <w:r w:rsidR="000B679B">
          <w:rPr>
            <w:noProof/>
            <w:webHidden/>
          </w:rPr>
          <w:tab/>
        </w:r>
        <w:r w:rsidR="000B679B">
          <w:rPr>
            <w:noProof/>
            <w:webHidden/>
          </w:rPr>
          <w:fldChar w:fldCharType="begin"/>
        </w:r>
        <w:r w:rsidR="000B679B">
          <w:rPr>
            <w:noProof/>
            <w:webHidden/>
          </w:rPr>
          <w:instrText xml:space="preserve"> PAGEREF _Toc43931223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24" w:history="1">
        <w:r w:rsidR="000B679B" w:rsidRPr="00404E3D">
          <w:rPr>
            <w:rStyle w:val="Hypertextovodkaz"/>
            <w:noProof/>
          </w:rPr>
          <w:t>Tabulka 51: KS – DT v civilním odvolacím řízení dle soudů</w:t>
        </w:r>
        <w:r w:rsidR="000B679B">
          <w:rPr>
            <w:noProof/>
            <w:webHidden/>
          </w:rPr>
          <w:tab/>
        </w:r>
        <w:r w:rsidR="000B679B">
          <w:rPr>
            <w:noProof/>
            <w:webHidden/>
          </w:rPr>
          <w:fldChar w:fldCharType="begin"/>
        </w:r>
        <w:r w:rsidR="000B679B">
          <w:rPr>
            <w:noProof/>
            <w:webHidden/>
          </w:rPr>
          <w:instrText xml:space="preserve"> PAGEREF _Toc43931224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25" w:history="1">
        <w:r w:rsidR="000B679B" w:rsidRPr="00404E3D">
          <w:rPr>
            <w:rStyle w:val="Hypertextovodkaz"/>
            <w:noProof/>
          </w:rPr>
          <w:t>Tabulka 52: KS – délky prvostupňového trestního řízení dle soudů</w:t>
        </w:r>
        <w:r w:rsidR="000B679B">
          <w:rPr>
            <w:noProof/>
            <w:webHidden/>
          </w:rPr>
          <w:tab/>
        </w:r>
        <w:r w:rsidR="000B679B">
          <w:rPr>
            <w:noProof/>
            <w:webHidden/>
          </w:rPr>
          <w:fldChar w:fldCharType="begin"/>
        </w:r>
        <w:r w:rsidR="000B679B">
          <w:rPr>
            <w:noProof/>
            <w:webHidden/>
          </w:rPr>
          <w:instrText xml:space="preserve"> PAGEREF _Toc43931225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26" w:history="1">
        <w:r w:rsidR="000B679B" w:rsidRPr="00404E3D">
          <w:rPr>
            <w:rStyle w:val="Hypertextovodkaz"/>
            <w:noProof/>
          </w:rPr>
          <w:t>Tabulka 53: KS – vyřizování prvostupňových trestních věcí dle soudů</w:t>
        </w:r>
        <w:r w:rsidR="000B679B">
          <w:rPr>
            <w:noProof/>
            <w:webHidden/>
          </w:rPr>
          <w:tab/>
        </w:r>
        <w:r w:rsidR="000B679B">
          <w:rPr>
            <w:noProof/>
            <w:webHidden/>
          </w:rPr>
          <w:fldChar w:fldCharType="begin"/>
        </w:r>
        <w:r w:rsidR="000B679B">
          <w:rPr>
            <w:noProof/>
            <w:webHidden/>
          </w:rPr>
          <w:instrText xml:space="preserve"> PAGEREF _Toc43931226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27" w:history="1">
        <w:r w:rsidR="000B679B" w:rsidRPr="00404E3D">
          <w:rPr>
            <w:rStyle w:val="Hypertextovodkaz"/>
            <w:noProof/>
          </w:rPr>
          <w:t>Tabulka 54: KS – vyřiz. prvostupňových trestních věcí na soudce dle soudů</w:t>
        </w:r>
        <w:r w:rsidR="000B679B">
          <w:rPr>
            <w:noProof/>
            <w:webHidden/>
          </w:rPr>
          <w:tab/>
        </w:r>
        <w:r w:rsidR="000B679B">
          <w:rPr>
            <w:noProof/>
            <w:webHidden/>
          </w:rPr>
          <w:fldChar w:fldCharType="begin"/>
        </w:r>
        <w:r w:rsidR="000B679B">
          <w:rPr>
            <w:noProof/>
            <w:webHidden/>
          </w:rPr>
          <w:instrText xml:space="preserve"> PAGEREF _Toc43931227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28" w:history="1">
        <w:r w:rsidR="000B679B" w:rsidRPr="00404E3D">
          <w:rPr>
            <w:rStyle w:val="Hypertextovodkaz"/>
            <w:noProof/>
          </w:rPr>
          <w:t>Tabulka 55: KS – DT v prvostupňovém trestním řízení dle soudů</w:t>
        </w:r>
        <w:r w:rsidR="000B679B">
          <w:rPr>
            <w:noProof/>
            <w:webHidden/>
          </w:rPr>
          <w:tab/>
        </w:r>
        <w:r w:rsidR="000B679B">
          <w:rPr>
            <w:noProof/>
            <w:webHidden/>
          </w:rPr>
          <w:fldChar w:fldCharType="begin"/>
        </w:r>
        <w:r w:rsidR="000B679B">
          <w:rPr>
            <w:noProof/>
            <w:webHidden/>
          </w:rPr>
          <w:instrText xml:space="preserve"> PAGEREF _Toc43931228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29" w:history="1">
        <w:r w:rsidR="000B679B" w:rsidRPr="00404E3D">
          <w:rPr>
            <w:rStyle w:val="Hypertextovodkaz"/>
            <w:noProof/>
          </w:rPr>
          <w:t>Tabulka 56: KS – míra odvolání dle soudů v trestním řízení</w:t>
        </w:r>
        <w:r w:rsidR="000B679B">
          <w:rPr>
            <w:noProof/>
            <w:webHidden/>
          </w:rPr>
          <w:tab/>
        </w:r>
        <w:r w:rsidR="000B679B">
          <w:rPr>
            <w:noProof/>
            <w:webHidden/>
          </w:rPr>
          <w:fldChar w:fldCharType="begin"/>
        </w:r>
        <w:r w:rsidR="000B679B">
          <w:rPr>
            <w:noProof/>
            <w:webHidden/>
          </w:rPr>
          <w:instrText xml:space="preserve"> PAGEREF _Toc43931229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30" w:history="1">
        <w:r w:rsidR="000B679B" w:rsidRPr="00404E3D">
          <w:rPr>
            <w:rStyle w:val="Hypertextovodkaz"/>
            <w:noProof/>
          </w:rPr>
          <w:t>Tabulka 57: KS – míra změny rozsudku dle soudů v trestním řízení</w:t>
        </w:r>
        <w:r w:rsidR="000B679B">
          <w:rPr>
            <w:noProof/>
            <w:webHidden/>
          </w:rPr>
          <w:tab/>
        </w:r>
        <w:r w:rsidR="000B679B">
          <w:rPr>
            <w:noProof/>
            <w:webHidden/>
          </w:rPr>
          <w:fldChar w:fldCharType="begin"/>
        </w:r>
        <w:r w:rsidR="000B679B">
          <w:rPr>
            <w:noProof/>
            <w:webHidden/>
          </w:rPr>
          <w:instrText xml:space="preserve"> PAGEREF _Toc43931230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31" w:history="1">
        <w:r w:rsidR="000B679B" w:rsidRPr="00404E3D">
          <w:rPr>
            <w:rStyle w:val="Hypertextovodkaz"/>
            <w:noProof/>
          </w:rPr>
          <w:t>Tabulka 58: KS – nejčastější trestné činy dle věkových skupin</w:t>
        </w:r>
        <w:r w:rsidR="000B679B">
          <w:rPr>
            <w:noProof/>
            <w:webHidden/>
          </w:rPr>
          <w:tab/>
        </w:r>
        <w:r w:rsidR="000B679B">
          <w:rPr>
            <w:noProof/>
            <w:webHidden/>
          </w:rPr>
          <w:fldChar w:fldCharType="begin"/>
        </w:r>
        <w:r w:rsidR="000B679B">
          <w:rPr>
            <w:noProof/>
            <w:webHidden/>
          </w:rPr>
          <w:instrText xml:space="preserve"> PAGEREF _Toc43931231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32" w:history="1">
        <w:r w:rsidR="000B679B" w:rsidRPr="00404E3D">
          <w:rPr>
            <w:rStyle w:val="Hypertextovodkaz"/>
            <w:noProof/>
          </w:rPr>
          <w:t>Tabulka 59: KS – délky odvolacího trestního řízení dle soudů</w:t>
        </w:r>
        <w:r w:rsidR="000B679B">
          <w:rPr>
            <w:noProof/>
            <w:webHidden/>
          </w:rPr>
          <w:tab/>
        </w:r>
        <w:r w:rsidR="000B679B">
          <w:rPr>
            <w:noProof/>
            <w:webHidden/>
          </w:rPr>
          <w:fldChar w:fldCharType="begin"/>
        </w:r>
        <w:r w:rsidR="000B679B">
          <w:rPr>
            <w:noProof/>
            <w:webHidden/>
          </w:rPr>
          <w:instrText xml:space="preserve"> PAGEREF _Toc43931232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33" w:history="1">
        <w:r w:rsidR="000B679B" w:rsidRPr="00404E3D">
          <w:rPr>
            <w:rStyle w:val="Hypertextovodkaz"/>
            <w:noProof/>
          </w:rPr>
          <w:t>Tabulka 60: KS – vyřizování odvolacích trestních věcí dle soudů</w:t>
        </w:r>
        <w:r w:rsidR="000B679B">
          <w:rPr>
            <w:noProof/>
            <w:webHidden/>
          </w:rPr>
          <w:tab/>
        </w:r>
        <w:r w:rsidR="000B679B">
          <w:rPr>
            <w:noProof/>
            <w:webHidden/>
          </w:rPr>
          <w:fldChar w:fldCharType="begin"/>
        </w:r>
        <w:r w:rsidR="000B679B">
          <w:rPr>
            <w:noProof/>
            <w:webHidden/>
          </w:rPr>
          <w:instrText xml:space="preserve"> PAGEREF _Toc43931233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34" w:history="1">
        <w:r w:rsidR="000B679B" w:rsidRPr="00404E3D">
          <w:rPr>
            <w:rStyle w:val="Hypertextovodkaz"/>
            <w:noProof/>
          </w:rPr>
          <w:t>Tabulka 61: KS – vyřizování odvolacích trestních věcí na soudce dle soudů</w:t>
        </w:r>
        <w:r w:rsidR="000B679B">
          <w:rPr>
            <w:noProof/>
            <w:webHidden/>
          </w:rPr>
          <w:tab/>
        </w:r>
        <w:r w:rsidR="000B679B">
          <w:rPr>
            <w:noProof/>
            <w:webHidden/>
          </w:rPr>
          <w:fldChar w:fldCharType="begin"/>
        </w:r>
        <w:r w:rsidR="000B679B">
          <w:rPr>
            <w:noProof/>
            <w:webHidden/>
          </w:rPr>
          <w:instrText xml:space="preserve"> PAGEREF _Toc43931234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35" w:history="1">
        <w:r w:rsidR="000B679B" w:rsidRPr="00404E3D">
          <w:rPr>
            <w:rStyle w:val="Hypertextovodkaz"/>
            <w:noProof/>
          </w:rPr>
          <w:t>Tabulka 62: KS – DT odvolacího trestního řízení dle soudů</w:t>
        </w:r>
        <w:r w:rsidR="000B679B">
          <w:rPr>
            <w:noProof/>
            <w:webHidden/>
          </w:rPr>
          <w:tab/>
        </w:r>
        <w:r w:rsidR="000B679B">
          <w:rPr>
            <w:noProof/>
            <w:webHidden/>
          </w:rPr>
          <w:fldChar w:fldCharType="begin"/>
        </w:r>
        <w:r w:rsidR="000B679B">
          <w:rPr>
            <w:noProof/>
            <w:webHidden/>
          </w:rPr>
          <w:instrText xml:space="preserve"> PAGEREF _Toc43931235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36" w:history="1">
        <w:r w:rsidR="000B679B" w:rsidRPr="00404E3D">
          <w:rPr>
            <w:rStyle w:val="Hypertextovodkaz"/>
            <w:noProof/>
          </w:rPr>
          <w:t>Tabulka 63: KS – délky správního řízení dle soudů</w:t>
        </w:r>
        <w:r w:rsidR="000B679B">
          <w:rPr>
            <w:noProof/>
            <w:webHidden/>
          </w:rPr>
          <w:tab/>
        </w:r>
        <w:r w:rsidR="000B679B">
          <w:rPr>
            <w:noProof/>
            <w:webHidden/>
          </w:rPr>
          <w:fldChar w:fldCharType="begin"/>
        </w:r>
        <w:r w:rsidR="000B679B">
          <w:rPr>
            <w:noProof/>
            <w:webHidden/>
          </w:rPr>
          <w:instrText xml:space="preserve"> PAGEREF _Toc43931236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37" w:history="1">
        <w:r w:rsidR="000B679B" w:rsidRPr="00404E3D">
          <w:rPr>
            <w:rStyle w:val="Hypertextovodkaz"/>
            <w:noProof/>
          </w:rPr>
          <w:t>Tabulka 64: KS – vyřizování správních věcí dle soudů</w:t>
        </w:r>
        <w:r w:rsidR="000B679B">
          <w:rPr>
            <w:noProof/>
            <w:webHidden/>
          </w:rPr>
          <w:tab/>
        </w:r>
        <w:r w:rsidR="000B679B">
          <w:rPr>
            <w:noProof/>
            <w:webHidden/>
          </w:rPr>
          <w:fldChar w:fldCharType="begin"/>
        </w:r>
        <w:r w:rsidR="000B679B">
          <w:rPr>
            <w:noProof/>
            <w:webHidden/>
          </w:rPr>
          <w:instrText xml:space="preserve"> PAGEREF _Toc43931237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38" w:history="1">
        <w:r w:rsidR="000B679B" w:rsidRPr="00404E3D">
          <w:rPr>
            <w:rStyle w:val="Hypertextovodkaz"/>
            <w:noProof/>
          </w:rPr>
          <w:t>Tabulka 65: KS – podíl nevyřízených věcí druhů agendy správního soudnictví</w:t>
        </w:r>
        <w:r w:rsidR="000B679B">
          <w:rPr>
            <w:noProof/>
            <w:webHidden/>
          </w:rPr>
          <w:tab/>
        </w:r>
        <w:r w:rsidR="000B679B">
          <w:rPr>
            <w:noProof/>
            <w:webHidden/>
          </w:rPr>
          <w:fldChar w:fldCharType="begin"/>
        </w:r>
        <w:r w:rsidR="000B679B">
          <w:rPr>
            <w:noProof/>
            <w:webHidden/>
          </w:rPr>
          <w:instrText xml:space="preserve"> PAGEREF _Toc43931238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39" w:history="1">
        <w:r w:rsidR="000B679B" w:rsidRPr="00404E3D">
          <w:rPr>
            <w:rStyle w:val="Hypertextovodkaz"/>
            <w:noProof/>
          </w:rPr>
          <w:t>Tabulka 66: KS – vyřizování správních věcí na soudce dle soudů</w:t>
        </w:r>
        <w:r w:rsidR="000B679B">
          <w:rPr>
            <w:noProof/>
            <w:webHidden/>
          </w:rPr>
          <w:tab/>
        </w:r>
        <w:r w:rsidR="000B679B">
          <w:rPr>
            <w:noProof/>
            <w:webHidden/>
          </w:rPr>
          <w:fldChar w:fldCharType="begin"/>
        </w:r>
        <w:r w:rsidR="000B679B">
          <w:rPr>
            <w:noProof/>
            <w:webHidden/>
          </w:rPr>
          <w:instrText xml:space="preserve"> PAGEREF _Toc43931239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40" w:history="1">
        <w:r w:rsidR="000B679B" w:rsidRPr="00404E3D">
          <w:rPr>
            <w:rStyle w:val="Hypertextovodkaz"/>
            <w:noProof/>
          </w:rPr>
          <w:t>Tabulka 67: KS – DT správního řízení dle soudů</w:t>
        </w:r>
        <w:r w:rsidR="000B679B">
          <w:rPr>
            <w:noProof/>
            <w:webHidden/>
          </w:rPr>
          <w:tab/>
        </w:r>
        <w:r w:rsidR="000B679B">
          <w:rPr>
            <w:noProof/>
            <w:webHidden/>
          </w:rPr>
          <w:fldChar w:fldCharType="begin"/>
        </w:r>
        <w:r w:rsidR="000B679B">
          <w:rPr>
            <w:noProof/>
            <w:webHidden/>
          </w:rPr>
          <w:instrText xml:space="preserve"> PAGEREF _Toc43931240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41" w:history="1">
        <w:r w:rsidR="000B679B" w:rsidRPr="00404E3D">
          <w:rPr>
            <w:rStyle w:val="Hypertextovodkaz"/>
            <w:noProof/>
          </w:rPr>
          <w:t>Tabulka 68: KS – délky insolvenčního řízení dle soudů</w:t>
        </w:r>
        <w:r w:rsidR="000B679B">
          <w:rPr>
            <w:noProof/>
            <w:webHidden/>
          </w:rPr>
          <w:tab/>
        </w:r>
        <w:r w:rsidR="000B679B">
          <w:rPr>
            <w:noProof/>
            <w:webHidden/>
          </w:rPr>
          <w:fldChar w:fldCharType="begin"/>
        </w:r>
        <w:r w:rsidR="000B679B">
          <w:rPr>
            <w:noProof/>
            <w:webHidden/>
          </w:rPr>
          <w:instrText xml:space="preserve"> PAGEREF _Toc43931241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42" w:history="1">
        <w:r w:rsidR="000B679B" w:rsidRPr="00404E3D">
          <w:rPr>
            <w:rStyle w:val="Hypertextovodkaz"/>
            <w:noProof/>
          </w:rPr>
          <w:t>Tabulka 69: KS – délka druhé fáze insolvenčního řízení u PO dle soudů</w:t>
        </w:r>
        <w:r w:rsidR="000B679B">
          <w:rPr>
            <w:noProof/>
            <w:webHidden/>
          </w:rPr>
          <w:tab/>
        </w:r>
        <w:r w:rsidR="000B679B">
          <w:rPr>
            <w:noProof/>
            <w:webHidden/>
          </w:rPr>
          <w:fldChar w:fldCharType="begin"/>
        </w:r>
        <w:r w:rsidR="000B679B">
          <w:rPr>
            <w:noProof/>
            <w:webHidden/>
          </w:rPr>
          <w:instrText xml:space="preserve"> PAGEREF _Toc43931242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43" w:history="1">
        <w:r w:rsidR="000B679B" w:rsidRPr="00404E3D">
          <w:rPr>
            <w:rStyle w:val="Hypertextovodkaz"/>
            <w:noProof/>
          </w:rPr>
          <w:t>Tabulka 70: KS – délka druhé fáze insolvenčního řízení u FO dle soudů</w:t>
        </w:r>
        <w:r w:rsidR="000B679B">
          <w:rPr>
            <w:noProof/>
            <w:webHidden/>
          </w:rPr>
          <w:tab/>
        </w:r>
        <w:r w:rsidR="000B679B">
          <w:rPr>
            <w:noProof/>
            <w:webHidden/>
          </w:rPr>
          <w:fldChar w:fldCharType="begin"/>
        </w:r>
        <w:r w:rsidR="000B679B">
          <w:rPr>
            <w:noProof/>
            <w:webHidden/>
          </w:rPr>
          <w:instrText xml:space="preserve"> PAGEREF _Toc43931243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44" w:history="1">
        <w:r w:rsidR="000B679B" w:rsidRPr="00404E3D">
          <w:rPr>
            <w:rStyle w:val="Hypertextovodkaz"/>
            <w:noProof/>
          </w:rPr>
          <w:t>Tabulka 71: KS – vyřizování insolvenčních věcí dle soudů</w:t>
        </w:r>
        <w:r w:rsidR="000B679B">
          <w:rPr>
            <w:noProof/>
            <w:webHidden/>
          </w:rPr>
          <w:tab/>
        </w:r>
        <w:r w:rsidR="000B679B">
          <w:rPr>
            <w:noProof/>
            <w:webHidden/>
          </w:rPr>
          <w:fldChar w:fldCharType="begin"/>
        </w:r>
        <w:r w:rsidR="000B679B">
          <w:rPr>
            <w:noProof/>
            <w:webHidden/>
          </w:rPr>
          <w:instrText xml:space="preserve"> PAGEREF _Toc43931244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45" w:history="1">
        <w:r w:rsidR="000B679B" w:rsidRPr="00404E3D">
          <w:rPr>
            <w:rStyle w:val="Hypertextovodkaz"/>
            <w:noProof/>
          </w:rPr>
          <w:t>Tabulka 72: KS – vyřizování insolvenčních věcí na soudce dle soudů</w:t>
        </w:r>
        <w:r w:rsidR="000B679B">
          <w:rPr>
            <w:noProof/>
            <w:webHidden/>
          </w:rPr>
          <w:tab/>
        </w:r>
        <w:r w:rsidR="000B679B">
          <w:rPr>
            <w:noProof/>
            <w:webHidden/>
          </w:rPr>
          <w:fldChar w:fldCharType="begin"/>
        </w:r>
        <w:r w:rsidR="000B679B">
          <w:rPr>
            <w:noProof/>
            <w:webHidden/>
          </w:rPr>
          <w:instrText xml:space="preserve"> PAGEREF _Toc43931245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46" w:history="1">
        <w:r w:rsidR="000B679B" w:rsidRPr="00404E3D">
          <w:rPr>
            <w:rStyle w:val="Hypertextovodkaz"/>
            <w:noProof/>
          </w:rPr>
          <w:t>Tabulka 73: KS – podíl jednotlivých způsobů řešení úpadku</w:t>
        </w:r>
        <w:r w:rsidR="000B679B">
          <w:rPr>
            <w:noProof/>
            <w:webHidden/>
          </w:rPr>
          <w:tab/>
        </w:r>
        <w:r w:rsidR="000B679B">
          <w:rPr>
            <w:noProof/>
            <w:webHidden/>
          </w:rPr>
          <w:fldChar w:fldCharType="begin"/>
        </w:r>
        <w:r w:rsidR="000B679B">
          <w:rPr>
            <w:noProof/>
            <w:webHidden/>
          </w:rPr>
          <w:instrText xml:space="preserve"> PAGEREF _Toc43931246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47" w:history="1">
        <w:r w:rsidR="000B679B" w:rsidRPr="00404E3D">
          <w:rPr>
            <w:rStyle w:val="Hypertextovodkaz"/>
            <w:noProof/>
          </w:rPr>
          <w:t>Tabulka 74: KS – délky incidenčních sporů dle soudů</w:t>
        </w:r>
        <w:r w:rsidR="000B679B">
          <w:rPr>
            <w:noProof/>
            <w:webHidden/>
          </w:rPr>
          <w:tab/>
        </w:r>
        <w:r w:rsidR="000B679B">
          <w:rPr>
            <w:noProof/>
            <w:webHidden/>
          </w:rPr>
          <w:fldChar w:fldCharType="begin"/>
        </w:r>
        <w:r w:rsidR="000B679B">
          <w:rPr>
            <w:noProof/>
            <w:webHidden/>
          </w:rPr>
          <w:instrText xml:space="preserve"> PAGEREF _Toc43931247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48" w:history="1">
        <w:r w:rsidR="000B679B" w:rsidRPr="00404E3D">
          <w:rPr>
            <w:rStyle w:val="Hypertextovodkaz"/>
            <w:noProof/>
          </w:rPr>
          <w:t>Tabulka 75: KS – vyřizování incidenčních sporů dle soudů</w:t>
        </w:r>
        <w:r w:rsidR="000B679B">
          <w:rPr>
            <w:noProof/>
            <w:webHidden/>
          </w:rPr>
          <w:tab/>
        </w:r>
        <w:r w:rsidR="000B679B">
          <w:rPr>
            <w:noProof/>
            <w:webHidden/>
          </w:rPr>
          <w:fldChar w:fldCharType="begin"/>
        </w:r>
        <w:r w:rsidR="000B679B">
          <w:rPr>
            <w:noProof/>
            <w:webHidden/>
          </w:rPr>
          <w:instrText xml:space="preserve"> PAGEREF _Toc43931248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49" w:history="1">
        <w:r w:rsidR="000B679B" w:rsidRPr="00404E3D">
          <w:rPr>
            <w:rStyle w:val="Hypertextovodkaz"/>
            <w:noProof/>
          </w:rPr>
          <w:t>Tabulka 76: KS – DT incidenčních sporů dle soudů</w:t>
        </w:r>
        <w:r w:rsidR="000B679B">
          <w:rPr>
            <w:noProof/>
            <w:webHidden/>
          </w:rPr>
          <w:tab/>
        </w:r>
        <w:r w:rsidR="000B679B">
          <w:rPr>
            <w:noProof/>
            <w:webHidden/>
          </w:rPr>
          <w:fldChar w:fldCharType="begin"/>
        </w:r>
        <w:r w:rsidR="000B679B">
          <w:rPr>
            <w:noProof/>
            <w:webHidden/>
          </w:rPr>
          <w:instrText xml:space="preserve"> PAGEREF _Toc43931249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50" w:history="1">
        <w:r w:rsidR="000B679B" w:rsidRPr="00404E3D">
          <w:rPr>
            <w:rStyle w:val="Hypertextovodkaz"/>
            <w:noProof/>
          </w:rPr>
          <w:t>Tabulka 77: VS – počet zaměstnanců ve výkonu dle soudů</w:t>
        </w:r>
        <w:r w:rsidR="000B679B">
          <w:rPr>
            <w:noProof/>
            <w:webHidden/>
          </w:rPr>
          <w:tab/>
        </w:r>
        <w:r w:rsidR="000B679B">
          <w:rPr>
            <w:noProof/>
            <w:webHidden/>
          </w:rPr>
          <w:fldChar w:fldCharType="begin"/>
        </w:r>
        <w:r w:rsidR="000B679B">
          <w:rPr>
            <w:noProof/>
            <w:webHidden/>
          </w:rPr>
          <w:instrText xml:space="preserve"> PAGEREF _Toc43931250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51" w:history="1">
        <w:r w:rsidR="000B679B" w:rsidRPr="00404E3D">
          <w:rPr>
            <w:rStyle w:val="Hypertextovodkaz"/>
            <w:noProof/>
          </w:rPr>
          <w:t>Tabulka 78: VS – vyřizování odvolacích civilních věcí na soudce</w:t>
        </w:r>
        <w:r w:rsidR="000B679B">
          <w:rPr>
            <w:noProof/>
            <w:webHidden/>
          </w:rPr>
          <w:tab/>
        </w:r>
        <w:r w:rsidR="000B679B">
          <w:rPr>
            <w:noProof/>
            <w:webHidden/>
          </w:rPr>
          <w:fldChar w:fldCharType="begin"/>
        </w:r>
        <w:r w:rsidR="000B679B">
          <w:rPr>
            <w:noProof/>
            <w:webHidden/>
          </w:rPr>
          <w:instrText xml:space="preserve"> PAGEREF _Toc43931251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52" w:history="1">
        <w:r w:rsidR="000B679B" w:rsidRPr="00404E3D">
          <w:rPr>
            <w:rStyle w:val="Hypertextovodkaz"/>
            <w:noProof/>
          </w:rPr>
          <w:t>Tabulka 79: VS – vyřizování odvolacích trestních věcí na soudce</w:t>
        </w:r>
        <w:r w:rsidR="000B679B">
          <w:rPr>
            <w:noProof/>
            <w:webHidden/>
          </w:rPr>
          <w:tab/>
        </w:r>
        <w:r w:rsidR="000B679B">
          <w:rPr>
            <w:noProof/>
            <w:webHidden/>
          </w:rPr>
          <w:fldChar w:fldCharType="begin"/>
        </w:r>
        <w:r w:rsidR="000B679B">
          <w:rPr>
            <w:noProof/>
            <w:webHidden/>
          </w:rPr>
          <w:instrText xml:space="preserve"> PAGEREF _Toc43931252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53" w:history="1">
        <w:r w:rsidR="000B679B" w:rsidRPr="00404E3D">
          <w:rPr>
            <w:rStyle w:val="Hypertextovodkaz"/>
            <w:noProof/>
          </w:rPr>
          <w:t>Tabulka 80: NS – počet zaměstnanců ve výkonu</w:t>
        </w:r>
        <w:r w:rsidR="000B679B">
          <w:rPr>
            <w:noProof/>
            <w:webHidden/>
          </w:rPr>
          <w:tab/>
        </w:r>
        <w:r w:rsidR="000B679B">
          <w:rPr>
            <w:noProof/>
            <w:webHidden/>
          </w:rPr>
          <w:fldChar w:fldCharType="begin"/>
        </w:r>
        <w:r w:rsidR="000B679B">
          <w:rPr>
            <w:noProof/>
            <w:webHidden/>
          </w:rPr>
          <w:instrText xml:space="preserve"> PAGEREF _Toc43931253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0B679B" w:rsidRDefault="00FE0F08">
      <w:pPr>
        <w:pStyle w:val="Seznamobrzk"/>
        <w:tabs>
          <w:tab w:val="right" w:leader="dot" w:pos="9060"/>
        </w:tabs>
        <w:rPr>
          <w:rFonts w:asciiTheme="minorHAnsi" w:eastAsiaTheme="minorEastAsia" w:hAnsiTheme="minorHAnsi" w:cstheme="minorBidi"/>
          <w:noProof/>
          <w:sz w:val="22"/>
          <w:lang w:eastAsia="cs-CZ"/>
        </w:rPr>
      </w:pPr>
      <w:hyperlink w:anchor="_Toc43931254" w:history="1">
        <w:r w:rsidR="000B679B" w:rsidRPr="00404E3D">
          <w:rPr>
            <w:rStyle w:val="Hypertextovodkaz"/>
            <w:noProof/>
          </w:rPr>
          <w:t>Tabulka 81: NSS – počet zaměstnanců ve výkonu</w:t>
        </w:r>
        <w:r w:rsidR="000B679B">
          <w:rPr>
            <w:noProof/>
            <w:webHidden/>
          </w:rPr>
          <w:tab/>
        </w:r>
        <w:r w:rsidR="000B679B">
          <w:rPr>
            <w:noProof/>
            <w:webHidden/>
          </w:rPr>
          <w:fldChar w:fldCharType="begin"/>
        </w:r>
        <w:r w:rsidR="000B679B">
          <w:rPr>
            <w:noProof/>
            <w:webHidden/>
          </w:rPr>
          <w:instrText xml:space="preserve"> PAGEREF _Toc43931254 \h </w:instrText>
        </w:r>
        <w:r w:rsidR="000B679B">
          <w:rPr>
            <w:noProof/>
            <w:webHidden/>
          </w:rPr>
        </w:r>
        <w:r w:rsidR="000B679B">
          <w:rPr>
            <w:noProof/>
            <w:webHidden/>
          </w:rPr>
          <w:fldChar w:fldCharType="separate"/>
        </w:r>
        <w:r w:rsidR="006E7F27">
          <w:rPr>
            <w:noProof/>
            <w:webHidden/>
          </w:rPr>
          <w:t>2</w:t>
        </w:r>
        <w:r w:rsidR="000B679B">
          <w:rPr>
            <w:noProof/>
            <w:webHidden/>
          </w:rPr>
          <w:fldChar w:fldCharType="end"/>
        </w:r>
      </w:hyperlink>
    </w:p>
    <w:p w:rsidR="00A4083A" w:rsidRPr="00D17312" w:rsidRDefault="00A4083A" w:rsidP="00A4083A">
      <w:pPr>
        <w:spacing w:line="240" w:lineRule="auto"/>
        <w:jc w:val="left"/>
        <w:rPr>
          <w:highlight w:val="yellow"/>
        </w:rPr>
      </w:pPr>
      <w:r w:rsidRPr="00D17312">
        <w:rPr>
          <w:b/>
          <w:bCs/>
          <w:noProof/>
          <w:highlight w:val="yellow"/>
        </w:rPr>
        <w:fldChar w:fldCharType="end"/>
      </w:r>
      <w:r w:rsidRPr="00D17312">
        <w:rPr>
          <w:highlight w:val="yellow"/>
        </w:rPr>
        <w:br w:type="page"/>
      </w:r>
    </w:p>
    <w:p w:rsidR="00A4083A" w:rsidRPr="00D17312" w:rsidRDefault="00A4083A" w:rsidP="00A4083A">
      <w:pPr>
        <w:pStyle w:val="Nadpis1"/>
        <w:numPr>
          <w:ilvl w:val="0"/>
          <w:numId w:val="0"/>
        </w:numPr>
      </w:pPr>
      <w:bookmarkStart w:id="783" w:name="_Toc487791316"/>
      <w:bookmarkStart w:id="784" w:name="_Toc43903132"/>
      <w:r w:rsidRPr="00D17312">
        <w:lastRenderedPageBreak/>
        <w:t>Přílohy</w:t>
      </w:r>
      <w:bookmarkEnd w:id="783"/>
      <w:bookmarkEnd w:id="784"/>
    </w:p>
    <w:p w:rsidR="00A4083A" w:rsidRDefault="00A4083A" w:rsidP="00A4083A">
      <w:pPr>
        <w:pStyle w:val="Nadpis2"/>
        <w:numPr>
          <w:ilvl w:val="0"/>
          <w:numId w:val="0"/>
        </w:numPr>
      </w:pPr>
      <w:bookmarkStart w:id="785" w:name="_Ref482901945"/>
      <w:bookmarkStart w:id="786" w:name="_Toc487791317"/>
      <w:bookmarkStart w:id="787" w:name="_Toc43903133"/>
      <w:r w:rsidRPr="001B301A">
        <w:t>Příloha A – seznam použitých pojmů</w:t>
      </w:r>
      <w:bookmarkEnd w:id="785"/>
      <w:bookmarkEnd w:id="786"/>
      <w:bookmarkEnd w:id="787"/>
    </w:p>
    <w:p w:rsidR="00A4083A" w:rsidRPr="00400A96" w:rsidRDefault="00A4083A" w:rsidP="00A4083A">
      <w:pPr>
        <w:pStyle w:val="Nadpis3"/>
        <w:numPr>
          <w:ilvl w:val="0"/>
          <w:numId w:val="0"/>
        </w:numPr>
        <w:rPr>
          <w:color w:val="auto"/>
        </w:rPr>
      </w:pPr>
      <w:bookmarkStart w:id="788" w:name="_Toc487791318"/>
      <w:bookmarkStart w:id="789" w:name="_Toc43903134"/>
      <w:r w:rsidRPr="00400A96">
        <w:rPr>
          <w:color w:val="auto"/>
        </w:rPr>
        <w:t>Statistické pojmy a použité statistické ukazatele</w:t>
      </w:r>
      <w:bookmarkEnd w:id="788"/>
      <w:bookmarkEnd w:id="789"/>
    </w:p>
    <w:p w:rsidR="00A4083A" w:rsidRPr="00400A96" w:rsidRDefault="00A4083A" w:rsidP="00A4083A">
      <w:pPr>
        <w:pStyle w:val="Odstavecseseznamem"/>
        <w:numPr>
          <w:ilvl w:val="0"/>
          <w:numId w:val="4"/>
        </w:numPr>
      </w:pPr>
      <w:r w:rsidRPr="00400A96">
        <w:rPr>
          <w:b/>
        </w:rPr>
        <w:t xml:space="preserve">Časová řada </w:t>
      </w:r>
      <w:r w:rsidRPr="00400A96">
        <w:t>– umožňuje sledovat vývoj daného ukazatele (např. průměrné délky řízení) v čase. Periodicita řad je v této zprávě roční, porovnáváme tedy mezi sebou jednotlivé roky. Řady jsou buď intervalové (např. počet vyřízených věcí za rok), nebo okamžikové (např. počet nevyřízených věcí k 31. 12. daného roku). Časové řady jsou vždy znázorněny v grafické podobě.</w:t>
      </w:r>
    </w:p>
    <w:p w:rsidR="00A4083A" w:rsidRPr="00400A96" w:rsidRDefault="00A4083A" w:rsidP="00A4083A">
      <w:pPr>
        <w:pStyle w:val="Odstavecseseznamem"/>
        <w:numPr>
          <w:ilvl w:val="0"/>
          <w:numId w:val="4"/>
        </w:numPr>
        <w:rPr>
          <w:b/>
        </w:rPr>
      </w:pPr>
      <w:r w:rsidRPr="00400A96">
        <w:rPr>
          <w:b/>
        </w:rPr>
        <w:t xml:space="preserve">Délka řízení </w:t>
      </w:r>
      <w:r w:rsidRPr="00400A96">
        <w:t>– v textu je pojem často používán v množném čísle „délky řízení“. Tím jsou obvykle myšleny sledované ukazatele (průměrná délka řízení, mediánová délka řízení a devadesátý percentil). U každé podkapitoly je uvedeno, o jakou délku řízení se jedná (ode dne nápadu do dne vyřízení soudem I. stupně apod.). Délka řízení je vždy</w:t>
      </w:r>
      <w:r w:rsidRPr="00400A96" w:rsidDel="00312547">
        <w:t xml:space="preserve"> </w:t>
      </w:r>
      <w:r w:rsidRPr="00400A96">
        <w:t>udávána v kalendářních dnech. Vypočtena je ze statistických listů a </w:t>
      </w:r>
      <w:r>
        <w:t xml:space="preserve">je </w:t>
      </w:r>
      <w:r w:rsidRPr="00400A96">
        <w:t>považována za jeden z ukazatelů výkonnosti a zatíženosti soudů.</w:t>
      </w:r>
    </w:p>
    <w:p w:rsidR="00A4083A" w:rsidRPr="00400A96" w:rsidRDefault="00A4083A" w:rsidP="00A4083A">
      <w:pPr>
        <w:pStyle w:val="Odstavecseseznamem"/>
        <w:numPr>
          <w:ilvl w:val="0"/>
          <w:numId w:val="4"/>
        </w:numPr>
      </w:pPr>
      <w:r w:rsidRPr="00400A96">
        <w:rPr>
          <w:b/>
        </w:rPr>
        <w:t xml:space="preserve">Disposition time (DT) </w:t>
      </w:r>
      <w:r w:rsidRPr="00400A96">
        <w:t>– je vypočítán podle metodiky CEPEJ</w:t>
      </w:r>
      <w:r w:rsidRPr="00400A96">
        <w:rPr>
          <w:rStyle w:val="Znakapoznpodarou"/>
        </w:rPr>
        <w:footnoteReference w:id="16"/>
      </w:r>
      <w:r w:rsidRPr="00400A96">
        <w:t xml:space="preserve"> jako (počet nevyřízených věcí na konci daného období) / (počet vyřízených věcí v daném období) × 365. Tento údaj v podstatě ukazuje, za kolik dní by při stejném tempu soud dovyřídil všechny věci, které u něj dnes leží, kdyby k němu již žádné další nepřicházely. Nejedná se o délku řízení, přestože by se to mohlo podle názvu nabízet. Další informace k tomuto ukazateli obsahuje podkapitola 2.2.4. DT je považován za jeden z ukazatelů výkonnosti a zatíženosti soudů.</w:t>
      </w:r>
    </w:p>
    <w:p w:rsidR="00A4083A" w:rsidRPr="00400A96" w:rsidRDefault="00A4083A" w:rsidP="00A4083A">
      <w:pPr>
        <w:pStyle w:val="Odstavecseseznamem"/>
        <w:numPr>
          <w:ilvl w:val="0"/>
          <w:numId w:val="4"/>
        </w:numPr>
        <w:rPr>
          <w:b/>
        </w:rPr>
      </w:pPr>
      <w:r w:rsidRPr="00400A96">
        <w:rPr>
          <w:b/>
        </w:rPr>
        <w:t xml:space="preserve">Evidenční počet soudců </w:t>
      </w:r>
      <w:r w:rsidRPr="00400A96">
        <w:t>– zahrnuje všechny soudce. Do čísla jsou tedy započteni i dlouhodobě nepřítomní soudci (např. na mateřské nebo rodičovské dovolené, dlouhodobě nemocní, na stáži). Uváděné počty jsou vždy k 1. 1. sledovaného roku.</w:t>
      </w:r>
    </w:p>
    <w:p w:rsidR="00A4083A" w:rsidRPr="00400A96" w:rsidRDefault="00A4083A" w:rsidP="00A4083A">
      <w:pPr>
        <w:pStyle w:val="Odstavecseseznamem"/>
        <w:numPr>
          <w:ilvl w:val="0"/>
          <w:numId w:val="4"/>
        </w:numPr>
      </w:pPr>
      <w:r w:rsidRPr="00400A96">
        <w:rPr>
          <w:b/>
        </w:rPr>
        <w:t xml:space="preserve">Histogram </w:t>
      </w:r>
      <w:r w:rsidRPr="00400A96">
        <w:t>– používá se pro znázornění rozdělení zkoumaných dat za využití sloupcového grafu. V této zprávě je na ose </w:t>
      </w:r>
      <w:r w:rsidRPr="00400A96">
        <w:rPr>
          <w:i/>
        </w:rPr>
        <w:t>x</w:t>
      </w:r>
      <w:r w:rsidRPr="00400A96">
        <w:t xml:space="preserve"> zkoumaný ukazatel, na ose </w:t>
      </w:r>
      <w:r w:rsidRPr="00400A96">
        <w:rPr>
          <w:i/>
        </w:rPr>
        <w:t>y</w:t>
      </w:r>
      <w:r w:rsidRPr="00400A96">
        <w:t xml:space="preserve"> je relativní četnost v</w:t>
      </w:r>
      <w:r>
        <w:t> %</w:t>
      </w:r>
      <w:r w:rsidRPr="00400A96">
        <w:t>. Výška sloupců tedy vyjadřuje relativní četnost. Jedná se o počet pozorování, která se nacházejí v daném intervalu / celkový počet pozorování v datovém souboru × 100.</w:t>
      </w:r>
    </w:p>
    <w:p w:rsidR="00A4083A" w:rsidRPr="00400A96" w:rsidRDefault="00A4083A" w:rsidP="00A4083A">
      <w:pPr>
        <w:pStyle w:val="Odstavecseseznamem"/>
        <w:numPr>
          <w:ilvl w:val="0"/>
          <w:numId w:val="4"/>
        </w:numPr>
      </w:pPr>
      <w:r w:rsidRPr="00400A96">
        <w:rPr>
          <w:b/>
        </w:rPr>
        <w:t xml:space="preserve">Kartogram </w:t>
      </w:r>
      <w:r w:rsidRPr="00400A96">
        <w:t>– v této zprávě se jedná o mapu, která znázorňuje výši zkoumaného ukazatele v soudních okresech nebo obvodech hlavního města Prahy. Tmavší odstín barvy obvykle značí vyšší hodnotu ukazatele. Například tmavší odstíny fialové barvy značí vyšší mediánovou délku řízení. U kartogramů je potřeba věnovat pozornost šíři intervalů, aby nedošlo k dezinterpretaci. Graf se vždy skládá ze dvou kartogramů – větší znázorňuje celou ČR, Praha je pak znázorněna na menším kartogramu v pravém horním rohu.</w:t>
      </w:r>
    </w:p>
    <w:p w:rsidR="00A4083A" w:rsidRDefault="00A4083A" w:rsidP="00A4083A">
      <w:pPr>
        <w:pStyle w:val="Odstavecseseznamem"/>
        <w:numPr>
          <w:ilvl w:val="0"/>
          <w:numId w:val="4"/>
        </w:numPr>
        <w:rPr>
          <w:rStyle w:val="OdstavecASRChar"/>
        </w:rPr>
      </w:pPr>
      <w:r w:rsidRPr="00400A96">
        <w:rPr>
          <w:b/>
        </w:rPr>
        <w:t xml:space="preserve">Krabicový graf </w:t>
      </w:r>
      <w:r w:rsidRPr="00400A96">
        <w:t xml:space="preserve">– </w:t>
      </w:r>
      <w:r w:rsidRPr="00400A96">
        <w:rPr>
          <w:rStyle w:val="OdstavecASRChar"/>
        </w:rPr>
        <w:t xml:space="preserve">nebo krabicový diagram, z anglického </w:t>
      </w:r>
      <w:r w:rsidRPr="00400A96">
        <w:rPr>
          <w:rStyle w:val="OdstavecASRChar"/>
          <w:i/>
        </w:rPr>
        <w:t>box plot</w:t>
      </w:r>
      <w:r w:rsidRPr="00400A96">
        <w:rPr>
          <w:rStyle w:val="OdstavecASRChar"/>
        </w:rPr>
        <w:t xml:space="preserve">. U vybraných ukazatelů a agend je sestaven pro každý rok. Krabicové grafy jsou seřazeny za sebe do časové řady, aby bylo vidět, jak se s postupem času měnily, a jak se tedy měnila data, z nichž vychází. Na obrázku níže je zobrazen krabicový graf i s popisky jednotlivých částí. Pojmy medián a kvartil jsou vysvětleny v příslušných heslech tohoto seznamu. Přilehlé hodnoty se rovnají 1,5násobku hodnoty příslušného kvartilu. Odlehlé hodnoty (tzv. </w:t>
      </w:r>
      <w:r w:rsidRPr="00400A96">
        <w:rPr>
          <w:rStyle w:val="OdstavecASRChar"/>
          <w:i/>
        </w:rPr>
        <w:t>outliers</w:t>
      </w:r>
      <w:r w:rsidRPr="00400A96">
        <w:rPr>
          <w:rStyle w:val="OdstavecASRChar"/>
        </w:rPr>
        <w:t>) jsou pak hodnoty větší, než je přilehlá hodnota.</w:t>
      </w:r>
    </w:p>
    <w:p w:rsidR="00A4083A" w:rsidRDefault="00A4083A" w:rsidP="00A4083A">
      <w:pPr>
        <w:pStyle w:val="Odstavecseseznamem"/>
      </w:pPr>
      <w:r w:rsidRPr="00DF5FA2">
        <w:rPr>
          <w:rStyle w:val="OdstavecASRChar"/>
          <w:noProof/>
          <w:lang w:eastAsia="cs-CZ"/>
        </w:rPr>
        <w:lastRenderedPageBreak/>
        <w:drawing>
          <wp:inline distT="0" distB="0" distL="0" distR="0" wp14:anchorId="3BD50CC8" wp14:editId="77581FCE">
            <wp:extent cx="4985385" cy="4126865"/>
            <wp:effectExtent l="0" t="0" r="5715" b="6985"/>
            <wp:docPr id="102" name="Obráze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985385" cy="4126865"/>
                    </a:xfrm>
                    <a:prstGeom prst="rect">
                      <a:avLst/>
                    </a:prstGeom>
                    <a:noFill/>
                    <a:ln>
                      <a:noFill/>
                    </a:ln>
                  </pic:spPr>
                </pic:pic>
              </a:graphicData>
            </a:graphic>
          </wp:inline>
        </w:drawing>
      </w:r>
    </w:p>
    <w:p w:rsidR="00A4083A" w:rsidRPr="00400A96" w:rsidRDefault="00A4083A" w:rsidP="00A4083A">
      <w:pPr>
        <w:pStyle w:val="Odstavecseseznamem"/>
      </w:pPr>
      <w:r w:rsidRPr="00400A96">
        <w:t>Příklad grafu zobrazuje data, která jsou téměř dokonale symetrická, jedinou výjimku tvoří odlehlé hodnoty. Vousy i části boxu (krabice) jsou totožné nad i pod mediánem. Reálná data ale takto symetrická většinou nejsou. Části nad i pod mediánem jsou různě velké a samozřejmě se mění během času.</w:t>
      </w:r>
    </w:p>
    <w:p w:rsidR="00A4083A" w:rsidRPr="00400A96" w:rsidRDefault="00A4083A" w:rsidP="00A4083A">
      <w:pPr>
        <w:pStyle w:val="Odstavecseseznamem"/>
      </w:pPr>
      <w:r w:rsidRPr="00400A96">
        <w:t>Větší box, delší vousy nebo více odlehlých hodnot značí větší variabilitu v datech, a tedy i větší rozdíly mezi soudy. Vždy je však potřeba věnovat pozornost měřítku osy </w:t>
      </w:r>
      <w:r w:rsidRPr="00400A96">
        <w:rPr>
          <w:i/>
        </w:rPr>
        <w:t>y</w:t>
      </w:r>
      <w:r w:rsidRPr="00400A96">
        <w:t>.</w:t>
      </w:r>
    </w:p>
    <w:p w:rsidR="00A4083A" w:rsidRPr="00400A96" w:rsidRDefault="00A4083A" w:rsidP="00A4083A">
      <w:pPr>
        <w:pStyle w:val="Odstavecseseznamem"/>
      </w:pPr>
      <w:r w:rsidRPr="00400A96">
        <w:t>Výhodou krabicového grafu je, že poskytuje lepší a komplexnější přehled o rozdělení a míře variability v datech než pouze jeden sledovaný ukazatel, jako je například směrodatná odchylka. Přitom je ale stále vhodný pro sledování změn v čase.</w:t>
      </w:r>
    </w:p>
    <w:p w:rsidR="00A4083A" w:rsidRPr="00400A96" w:rsidRDefault="00A4083A" w:rsidP="00A4083A">
      <w:pPr>
        <w:pStyle w:val="Odstavecseseznamem"/>
        <w:numPr>
          <w:ilvl w:val="0"/>
          <w:numId w:val="4"/>
        </w:numPr>
      </w:pPr>
      <w:r w:rsidRPr="00400A96">
        <w:rPr>
          <w:b/>
        </w:rPr>
        <w:t xml:space="preserve">Kumulativní četnost </w:t>
      </w:r>
      <w:r w:rsidRPr="00400A96">
        <w:t>– absolutní četnost vyjadřuje, kolikrát se daná hodnota v souboru vyskytuje. Kumulativní četnost je pak součet absolutních četností u hodnot rovných nebo nižších než daná hodnota. Máme-li například soubor, kde jsou hodnoty {1,1,2,2,3,3,3,4}</w:t>
      </w:r>
      <w:r>
        <w:t>, a</w:t>
      </w:r>
      <w:r w:rsidRPr="00400A96">
        <w:t>bsolutní četnost hodnoty 2 je dva a kumulativní čestnost je čtyři (2+2). Kumulativní četnost lze také vyjádřit relativně, a v tomto případě je relativní čestnost 0,5 (50</w:t>
      </w:r>
      <w:r>
        <w:t> %</w:t>
      </w:r>
      <w:r w:rsidRPr="00400A96">
        <w:t>)</w:t>
      </w:r>
    </w:p>
    <w:p w:rsidR="00A4083A" w:rsidRPr="00400A96" w:rsidRDefault="00A4083A" w:rsidP="00A4083A">
      <w:pPr>
        <w:pStyle w:val="Odstavecseseznamem"/>
        <w:numPr>
          <w:ilvl w:val="0"/>
          <w:numId w:val="4"/>
        </w:numPr>
      </w:pPr>
      <w:r w:rsidRPr="00400A96">
        <w:rPr>
          <w:b/>
        </w:rPr>
        <w:t xml:space="preserve">Kvartil </w:t>
      </w:r>
      <w:r w:rsidRPr="00400A96">
        <w:t>– tři kvartily rozdělí vzestupně setříděný soubor hodnot na čtyři stejně velké části, z nichž každá představuje právě jednu čtvrtinu. První kvartil (tzv. dolní) se rovná 25. percentilu, tedy 25</w:t>
      </w:r>
      <w:r>
        <w:t> % </w:t>
      </w:r>
      <w:r w:rsidRPr="00400A96">
        <w:t>hodnot je menší a 75</w:t>
      </w:r>
      <w:r>
        <w:t> % </w:t>
      </w:r>
      <w:r w:rsidRPr="00400A96">
        <w:t>je větší, druhý kvartil (střední) je mediánem a třetí kvartil (horní) je roven 75. percentilu.</w:t>
      </w:r>
    </w:p>
    <w:p w:rsidR="00A4083A" w:rsidRPr="00400A96" w:rsidRDefault="00A4083A" w:rsidP="00A4083A">
      <w:pPr>
        <w:pStyle w:val="Odstavecseseznamem"/>
        <w:numPr>
          <w:ilvl w:val="0"/>
          <w:numId w:val="4"/>
        </w:numPr>
      </w:pPr>
      <w:r w:rsidRPr="00400A96">
        <w:rPr>
          <w:b/>
        </w:rPr>
        <w:t xml:space="preserve">Medián </w:t>
      </w:r>
      <w:r w:rsidRPr="00400A96">
        <w:t>– hodnota, která se nachází přesně uprostřed vzestupně setříděného souboru hodnot a dělí ho na dvě stejně velké části o stejném počtu hodnot. Platí, že nejméně 50</w:t>
      </w:r>
      <w:r>
        <w:t> % </w:t>
      </w:r>
      <w:r w:rsidRPr="00400A96">
        <w:t>hodnot je menších nebo rovno a nejméně 50</w:t>
      </w:r>
      <w:r>
        <w:t> % </w:t>
      </w:r>
      <w:r w:rsidRPr="00400A96">
        <w:t>hodnot je větších nebo rovno mediánu. Medián se rovná druhému kvartilu, pátému decilu a padesátému percentilu. Má-</w:t>
      </w:r>
      <w:r w:rsidRPr="00400A96">
        <w:lastRenderedPageBreak/>
        <w:t>li soud mediánovou délku řízení např. 200 dnů, řízení pro první polovinu případů (tedy věcí) trvá maximálně 200 dnů včetně, pro druhou polovinu 200 dnů nebo více.</w:t>
      </w:r>
    </w:p>
    <w:p w:rsidR="00A4083A" w:rsidRPr="00400A96" w:rsidRDefault="00A4083A" w:rsidP="00A4083A">
      <w:pPr>
        <w:pStyle w:val="Odstavecseseznamem"/>
        <w:numPr>
          <w:ilvl w:val="0"/>
          <w:numId w:val="4"/>
        </w:numPr>
      </w:pPr>
      <w:r w:rsidRPr="00400A96">
        <w:rPr>
          <w:b/>
        </w:rPr>
        <w:t xml:space="preserve">Měřítko náročnosti agendy </w:t>
      </w:r>
      <w:r w:rsidRPr="00400A96">
        <w:t>– měřítka byla pro každou soudní agendu (rejstřík) stanovena komisí složenou ze soudců a expertů. Teoreticky určuje náročnost průměrné věci v dané agendě (rejstříku). Měřítka vyjadřují počet věcí, které by měl jeden soudce nebo zaměstnanec ve výkonu vyřídit (zpracovat) za rok. Vyšší číslo tedy znamená nižší náročnost. Měřítka jsou využita při tzv. systemizaci (viz toto heslo).</w:t>
      </w:r>
    </w:p>
    <w:p w:rsidR="00A4083A" w:rsidRPr="00400A96" w:rsidRDefault="00A4083A" w:rsidP="00A4083A">
      <w:pPr>
        <w:pStyle w:val="Odstavecseseznamem"/>
        <w:numPr>
          <w:ilvl w:val="0"/>
          <w:numId w:val="4"/>
        </w:numPr>
      </w:pPr>
      <w:r w:rsidRPr="00400A96">
        <w:rPr>
          <w:b/>
        </w:rPr>
        <w:t>Míra celkové změny rozsudku</w:t>
      </w:r>
      <w:r w:rsidR="002D13DC">
        <w:rPr>
          <w:b/>
        </w:rPr>
        <w:t xml:space="preserve"> </w:t>
      </w:r>
      <w:r w:rsidRPr="00400A96">
        <w:t>– vypočtena jako míra odvolání krát míra změny rozsudku. Jde o podíl věcí, v nichž nakonec bylo odvolacím soudem změněno rozhodnutí soudu I. stupně ke všem prvostupňových rozhodnutím.</w:t>
      </w:r>
    </w:p>
    <w:p w:rsidR="00A4083A" w:rsidRPr="00400A96" w:rsidRDefault="00A4083A" w:rsidP="00A4083A">
      <w:pPr>
        <w:pStyle w:val="Odstavecseseznamem"/>
        <w:numPr>
          <w:ilvl w:val="0"/>
          <w:numId w:val="4"/>
        </w:numPr>
        <w:ind w:left="714" w:hanging="357"/>
      </w:pPr>
      <w:r w:rsidRPr="00400A96">
        <w:rPr>
          <w:b/>
        </w:rPr>
        <w:t>Míra odvolání</w:t>
      </w:r>
      <w:r w:rsidR="002D13DC">
        <w:rPr>
          <w:b/>
        </w:rPr>
        <w:t xml:space="preserve"> </w:t>
      </w:r>
      <w:r w:rsidRPr="00400A96">
        <w:t>– je vypočtena ze statistických listů a jedná se o poměr pravomocně vyřízených věcí, v nichž bylo podáno odvolání, k celkovému počtu pravomocně skončených (vyřízených) věcí</w:t>
      </w:r>
      <w:r w:rsidR="002D13DC">
        <w:t xml:space="preserve"> </w:t>
      </w:r>
      <w:r w:rsidRPr="00400A96">
        <w:t>×</w:t>
      </w:r>
      <w:r w:rsidR="002D13DC">
        <w:t xml:space="preserve"> </w:t>
      </w:r>
      <w:r w:rsidRPr="00400A96">
        <w:t>100</w:t>
      </w:r>
      <w:r w:rsidR="002D13DC">
        <w:t> %</w:t>
      </w:r>
      <w:r w:rsidRPr="00400A96">
        <w:t xml:space="preserve">. </w:t>
      </w:r>
      <w:r w:rsidRPr="00400A96">
        <w:rPr>
          <w:bCs/>
          <w:i/>
        </w:rPr>
        <w:t>Ceteris paribus</w:t>
      </w:r>
      <w:r w:rsidRPr="00400A96">
        <w:rPr>
          <w:i/>
        </w:rPr>
        <w:t xml:space="preserve"> </w:t>
      </w:r>
      <w:r w:rsidRPr="00400A96">
        <w:t>(za jinak neměnných podmínek) ji</w:t>
      </w:r>
      <w:r w:rsidRPr="00400A96">
        <w:rPr>
          <w:i/>
        </w:rPr>
        <w:t xml:space="preserve"> </w:t>
      </w:r>
      <w:r w:rsidRPr="00400A96">
        <w:t>lze považovat za aproximaci složitosti věcí (čím složitější věc, tím pravděpodobnější odvolání), je však třeba mít na paměti, že je ovlivněna i mnoha dalšími faktory. Způsob výpočtu míry odvolání jsme oproti verzi z roku 2016 upravili. Nyní jsou zahrnuty i věci, v nichž odvolací soud zrušil rozhodnutí soudu I. stupně a věc mu vrátil</w:t>
      </w:r>
      <w:r>
        <w:t xml:space="preserve"> a n</w:t>
      </w:r>
      <w:r w:rsidRPr="00400A96">
        <w:t>ásledně již odvolání podáno nebylo. Dále jsme data u prvostupňové civilní agendy očistili o spory, kde byla výše přiznaného nároku menší než 10</w:t>
      </w:r>
      <w:r>
        <w:t> </w:t>
      </w:r>
      <w:r w:rsidRPr="00400A96">
        <w:t>000</w:t>
      </w:r>
      <w:r>
        <w:t> Kč</w:t>
      </w:r>
      <w:r w:rsidRPr="00400A96">
        <w:t>. V těchto sporech (až na výjimky) nelze podat odvolání, a jejich zahrnutí by tak snižoval</w:t>
      </w:r>
      <w:r>
        <w:t>o</w:t>
      </w:r>
      <w:r w:rsidRPr="00400A96">
        <w:t xml:space="preserve"> vypočtené hodnoty míry odvolání. Po této úpravě tak došlo k poměrně značnému zvýšení míry odvolání. Změnu metodiky jsme aplikovali i na data z předchozích let.</w:t>
      </w:r>
    </w:p>
    <w:p w:rsidR="00A4083A" w:rsidRPr="00400A96" w:rsidRDefault="00A4083A" w:rsidP="00A4083A">
      <w:pPr>
        <w:pStyle w:val="Odstavecseseznamem"/>
        <w:numPr>
          <w:ilvl w:val="0"/>
          <w:numId w:val="4"/>
        </w:numPr>
      </w:pPr>
      <w:r w:rsidRPr="00400A96">
        <w:rPr>
          <w:b/>
        </w:rPr>
        <w:t xml:space="preserve">Míra vyřizování </w:t>
      </w:r>
      <w:r w:rsidRPr="00400A96">
        <w:t>– je vypočtena jako (počet vyřízených věcí v daném období) / (počet příchozích věcí v daném období) × 100</w:t>
      </w:r>
      <w:r>
        <w:t> %</w:t>
      </w:r>
      <w:r w:rsidRPr="00400A96">
        <w:t>. Udává tedy, zda soud vyřídil více věcí, než mu nově přišlo (nápad a obživa). Je-li větší než 100</w:t>
      </w:r>
      <w:r>
        <w:t> %</w:t>
      </w:r>
      <w:r w:rsidRPr="00400A96">
        <w:t>, soud vyřídil více věcí, než mu přišlo, a snížil se tedy počet nevyřízených věcí. Je-li menší než 100</w:t>
      </w:r>
      <w:r>
        <w:t> %</w:t>
      </w:r>
      <w:r w:rsidRPr="00400A96">
        <w:t>, soud vyřídil měně věcí, než mu přišlo, a zvýšil se tedy počet nevyřízených věcí.</w:t>
      </w:r>
    </w:p>
    <w:p w:rsidR="00A4083A" w:rsidRPr="00400A96" w:rsidRDefault="00A4083A" w:rsidP="00A4083A">
      <w:pPr>
        <w:pStyle w:val="Odstavecseseznamem"/>
        <w:numPr>
          <w:ilvl w:val="0"/>
          <w:numId w:val="4"/>
        </w:numPr>
      </w:pPr>
      <w:r w:rsidRPr="00400A96">
        <w:rPr>
          <w:b/>
        </w:rPr>
        <w:t>Míra změny rozsudku</w:t>
      </w:r>
      <w:r w:rsidR="002D13DC">
        <w:rPr>
          <w:b/>
        </w:rPr>
        <w:t xml:space="preserve"> </w:t>
      </w:r>
      <w:r w:rsidRPr="00400A96">
        <w:t>– je vypočtena ze statistických listů a jedná se o poměr pravomocně skončených věcí, v nichž bylo vyhověno odvolání (tedy rozsudek soudu I. stupně byl změněn odvolacím soudem na podkladě odvolání) k celkovému počtu pravomocně skončených věcí, v nichž bylo podáno odvolání × 100</w:t>
      </w:r>
      <w:r>
        <w:t> %</w:t>
      </w:r>
      <w:r w:rsidRPr="00400A96">
        <w:t xml:space="preserve">. Do změny rozsudku jsou započítány i případy, kdy bylo rozhodnutí soudu I. stupně u odvolacího soudu zrušeno </w:t>
      </w:r>
      <w:r>
        <w:t>a </w:t>
      </w:r>
      <w:r w:rsidRPr="00400A96">
        <w:t xml:space="preserve">vráceno soudu I. stupně. </w:t>
      </w:r>
      <w:r w:rsidRPr="00400A96">
        <w:rPr>
          <w:bCs/>
          <w:i/>
        </w:rPr>
        <w:t>Ceteris paribus</w:t>
      </w:r>
      <w:r w:rsidRPr="00400A96">
        <w:rPr>
          <w:i/>
        </w:rPr>
        <w:t xml:space="preserve"> </w:t>
      </w:r>
      <w:r w:rsidRPr="00400A96">
        <w:t>(za jinak neměnných podmínek) ji</w:t>
      </w:r>
      <w:r w:rsidRPr="00400A96">
        <w:rPr>
          <w:i/>
        </w:rPr>
        <w:t xml:space="preserve"> </w:t>
      </w:r>
      <w:r w:rsidRPr="00400A96">
        <w:t>lze považovat za aproximaci kvality rozhodování, je však třeba mít na paměti, že je ovlivněna i mnoha dalšími faktory.</w:t>
      </w:r>
    </w:p>
    <w:p w:rsidR="00A4083A" w:rsidRPr="00400A96" w:rsidRDefault="00A4083A" w:rsidP="00A4083A">
      <w:pPr>
        <w:pStyle w:val="Odstavecseseznamem"/>
        <w:numPr>
          <w:ilvl w:val="0"/>
          <w:numId w:val="4"/>
        </w:numPr>
        <w:ind w:left="714" w:hanging="357"/>
      </w:pPr>
      <w:r w:rsidRPr="00400A96">
        <w:rPr>
          <w:b/>
        </w:rPr>
        <w:t>Nápad</w:t>
      </w:r>
      <w:r w:rsidRPr="00400A96">
        <w:t xml:space="preserve"> – nebo také napadlé věci. Počet nově zapsaných věcí do rejstříku za určité období. V této zprávě se jedná vždy o roční data, která získáváme z výkazů o činnosti soudů.</w:t>
      </w:r>
    </w:p>
    <w:p w:rsidR="00A4083A" w:rsidRPr="00400A96" w:rsidRDefault="00A4083A" w:rsidP="00A4083A">
      <w:pPr>
        <w:pStyle w:val="Odstavecseseznamem"/>
        <w:numPr>
          <w:ilvl w:val="0"/>
          <w:numId w:val="4"/>
        </w:numPr>
        <w:ind w:left="714" w:hanging="357"/>
      </w:pPr>
      <w:r w:rsidRPr="00400A96">
        <w:rPr>
          <w:b/>
        </w:rPr>
        <w:t xml:space="preserve">Nevyřízené věci </w:t>
      </w:r>
      <w:r w:rsidRPr="00400A96">
        <w:t>– počet věcí, které nebyly vyřízeny (skončeny) k poslednímu dni vykazovaného období. Na rozdíl od ukazatelů jako je nápad, obživa nebo vyřízené věci, které se vztahují k celému sledovanému období, se v tomto případě jedná o stav k určitému datu, v této zprávě vždy k 31. 12. daného roku. Data pocházejí z výkazů o činnosti soudů.</w:t>
      </w:r>
    </w:p>
    <w:p w:rsidR="00A4083A" w:rsidRPr="00400A96" w:rsidRDefault="00A4083A" w:rsidP="00A4083A">
      <w:pPr>
        <w:pStyle w:val="Odstavecseseznamem"/>
        <w:numPr>
          <w:ilvl w:val="0"/>
          <w:numId w:val="4"/>
        </w:numPr>
        <w:ind w:left="714" w:hanging="357"/>
      </w:pPr>
      <w:r w:rsidRPr="00400A96">
        <w:rPr>
          <w:b/>
        </w:rPr>
        <w:t xml:space="preserve">Obživa </w:t>
      </w:r>
      <w:r w:rsidRPr="00400A96">
        <w:t xml:space="preserve">– nebo také obživlé věci. Jedná se o případy, kdy byla věc sice vyřízena, ale z určitého důvodu se v řízení pokračuje (většinou v důsledku odvolacího řízení, kdy bylo rozhodnutí soudu I. stupně zrušeno a vráceno mu k novému projednání, či po podání </w:t>
      </w:r>
      <w:r w:rsidRPr="00400A96">
        <w:lastRenderedPageBreak/>
        <w:t>odporu). V této zprávě se stejně jako u nápadu jedná o počet věcí, které obživly za vykazované období, tedy za celý daný rok. Data jsou rovněž získávána z výkazů o činnosti soudů.</w:t>
      </w:r>
    </w:p>
    <w:p w:rsidR="00A4083A" w:rsidRPr="00400A96" w:rsidRDefault="00A4083A" w:rsidP="00A4083A">
      <w:pPr>
        <w:pStyle w:val="Odstavecseseznamem"/>
        <w:numPr>
          <w:ilvl w:val="0"/>
          <w:numId w:val="4"/>
        </w:numPr>
      </w:pPr>
      <w:r w:rsidRPr="00400A96">
        <w:rPr>
          <w:b/>
        </w:rPr>
        <w:t xml:space="preserve">Percentil </w:t>
      </w:r>
      <w:r w:rsidRPr="00400A96">
        <w:t>– percentily dělí vzestupně setříděný soubor hodnot na setiny (na sto stejných částí). Devadesátý percentil znamená, že 90</w:t>
      </w:r>
      <w:r>
        <w:t> % </w:t>
      </w:r>
      <w:r w:rsidRPr="00400A96">
        <w:t>hodnot je menších nebo rovno a 10</w:t>
      </w:r>
      <w:r>
        <w:t> % </w:t>
      </w:r>
      <w:r w:rsidRPr="00400A96">
        <w:t>hodnot větších nebo rovno hodnotě percentilu. Má-li tedy soud devadesátý percentil délky řízení 400 dnů, znamená to, že vyřízení 90</w:t>
      </w:r>
      <w:r>
        <w:t> % </w:t>
      </w:r>
      <w:r w:rsidRPr="00400A96">
        <w:t>věcí trvá maximálně 400 dnů, zbylých 10</w:t>
      </w:r>
      <w:r>
        <w:t> % </w:t>
      </w:r>
      <w:r w:rsidRPr="00400A96">
        <w:t>pak 400 dnů a více.</w:t>
      </w:r>
    </w:p>
    <w:p w:rsidR="00A4083A" w:rsidRPr="00400A96" w:rsidRDefault="00A4083A" w:rsidP="00A4083A">
      <w:pPr>
        <w:pStyle w:val="Odstavecseseznamem"/>
        <w:numPr>
          <w:ilvl w:val="0"/>
          <w:numId w:val="4"/>
        </w:numPr>
      </w:pPr>
      <w:r w:rsidRPr="00400A96">
        <w:rPr>
          <w:b/>
        </w:rPr>
        <w:t xml:space="preserve">Plánovaný počet soudců </w:t>
      </w:r>
      <w:r w:rsidRPr="00400A96">
        <w:t>– odhad počtu soudců potřebných k vyřízení nápadu za předmětný rok. Je vypočítáván pro všechny okresní a krajské soudy</w:t>
      </w:r>
      <w:r w:rsidRPr="00400A96">
        <w:rPr>
          <w:lang w:eastAsia="cs-CZ"/>
        </w:rPr>
        <w:t>, zpravidla</w:t>
      </w:r>
      <w:r w:rsidRPr="00400A96">
        <w:t xml:space="preserve"> jednou ročně pro následující rok. Systemizace </w:t>
      </w:r>
      <w:r w:rsidRPr="00400A96">
        <w:rPr>
          <w:lang w:eastAsia="cs-CZ"/>
        </w:rPr>
        <w:t>vyšších soudů je určena na základě dohody, nikoliv výpočtem.</w:t>
      </w:r>
    </w:p>
    <w:p w:rsidR="00A4083A" w:rsidRPr="00400A96" w:rsidRDefault="00A4083A" w:rsidP="00A4083A">
      <w:pPr>
        <w:pStyle w:val="Odstavecseseznamem"/>
        <w:numPr>
          <w:ilvl w:val="0"/>
          <w:numId w:val="4"/>
        </w:numPr>
      </w:pPr>
      <w:r w:rsidRPr="00400A96">
        <w:rPr>
          <w:b/>
        </w:rPr>
        <w:t xml:space="preserve">Plošný graf </w:t>
      </w:r>
      <w:r w:rsidRPr="00400A96">
        <w:t>– typ grafu, který velmi dobře znázorňuje velikost změn v čase a v součtu zobrazovaných hodnot vyjadřuje rovněž vztah jednotlivých částí k celku. Jedná se v podstatě o spojnicový graf, ale plochy pod čarami jsou vyplněny barvami. Plošných grafů existuje několik podtypů a v této zprávě používáme skládaný plošný graf a stoprocentní skládaný plošný graf. Osa </w:t>
      </w:r>
      <w:r w:rsidRPr="00400A96">
        <w:rPr>
          <w:i/>
        </w:rPr>
        <w:t>x</w:t>
      </w:r>
      <w:r w:rsidRPr="00400A96">
        <w:t xml:space="preserve"> znázorňuje čas a na svislé ose </w:t>
      </w:r>
      <w:r w:rsidRPr="00400A96">
        <w:rPr>
          <w:i/>
        </w:rPr>
        <w:t>y</w:t>
      </w:r>
      <w:r w:rsidRPr="00400A96">
        <w:t xml:space="preserve"> jsou hodnoty jednotlivých druhů zkoumaných ukazatelů v absolutních číslech nebo v procentním poměru.</w:t>
      </w:r>
    </w:p>
    <w:p w:rsidR="00A4083A" w:rsidRPr="00400A96" w:rsidRDefault="00A4083A" w:rsidP="00A4083A">
      <w:pPr>
        <w:pStyle w:val="Odstavecseseznamem"/>
        <w:numPr>
          <w:ilvl w:val="0"/>
          <w:numId w:val="4"/>
        </w:numPr>
      </w:pPr>
      <w:r w:rsidRPr="00400A96">
        <w:rPr>
          <w:b/>
        </w:rPr>
        <w:t>Počet soud</w:t>
      </w:r>
      <w:r>
        <w:rPr>
          <w:b/>
        </w:rPr>
        <w:t>kyň a soudc</w:t>
      </w:r>
      <w:r w:rsidRPr="00400A96">
        <w:rPr>
          <w:b/>
        </w:rPr>
        <w:t xml:space="preserve">ů na MD/RD </w:t>
      </w:r>
      <w:r w:rsidRPr="00400A96">
        <w:t xml:space="preserve">– počet </w:t>
      </w:r>
      <w:r>
        <w:t xml:space="preserve">soudkyň a </w:t>
      </w:r>
      <w:r w:rsidRPr="00400A96">
        <w:t>soudců, kteří jsou na mateřské nebo rodičovské dovolené. Je zahrnut do evidenčního počtu soudců. Uvádíme vždy údaje k 1. 1. daného roku.</w:t>
      </w:r>
    </w:p>
    <w:p w:rsidR="00A4083A" w:rsidRPr="00400A96" w:rsidRDefault="00A4083A" w:rsidP="00A4083A">
      <w:pPr>
        <w:pStyle w:val="Odstavecseseznamem"/>
        <w:numPr>
          <w:ilvl w:val="0"/>
          <w:numId w:val="4"/>
        </w:numPr>
        <w:rPr>
          <w:b/>
        </w:rPr>
      </w:pPr>
      <w:r w:rsidRPr="00400A96">
        <w:rPr>
          <w:b/>
        </w:rPr>
        <w:t xml:space="preserve">Průměr </w:t>
      </w:r>
      <w:r w:rsidRPr="00400A96">
        <w:t>– je míněn aritmetický průměr hodnot.</w:t>
      </w:r>
    </w:p>
    <w:p w:rsidR="00A4083A" w:rsidRPr="00D17312" w:rsidRDefault="00A4083A" w:rsidP="00A4083A">
      <w:pPr>
        <w:pStyle w:val="Odstavecseseznamem"/>
        <w:numPr>
          <w:ilvl w:val="0"/>
          <w:numId w:val="4"/>
        </w:numPr>
      </w:pPr>
      <w:r w:rsidRPr="00400A96">
        <w:rPr>
          <w:b/>
        </w:rPr>
        <w:t xml:space="preserve">Přepočet na soudce </w:t>
      </w:r>
      <w:r w:rsidRPr="00400A96">
        <w:t>– počty napadlých</w:t>
      </w:r>
      <w:r w:rsidRPr="00D17312">
        <w:t>, vyřízených a nevyřízených věcí jsou vyděleny počtem soudců. Jedná se o jeden z ukazatelů výkonnosti a zatíženosti soudů.</w:t>
      </w:r>
      <w:r>
        <w:t xml:space="preserve"> </w:t>
      </w:r>
      <w:r w:rsidRPr="00D17312">
        <w:t>Pro výpočet je využit počet skutečných úvazků. Tato data byla poprvé sbírána k 1. 1. 2020. Jejich velkou výhodou je fakt, že jsou přesnější. Je zde například vyčleněna opatrovnická agenda (počet není uveden dohromady s rejstříkem C) a dále jsou zohledněny i nepřítomnosti soudců, jako je dlouhodobá nemoc apod. Počty soudců jsou s přesností na desetinu soudce.</w:t>
      </w:r>
    </w:p>
    <w:p w:rsidR="00A4083A" w:rsidRPr="00400A96" w:rsidRDefault="00A4083A" w:rsidP="00A4083A">
      <w:pPr>
        <w:pStyle w:val="Odstavecseseznamem"/>
        <w:numPr>
          <w:ilvl w:val="0"/>
          <w:numId w:val="4"/>
        </w:numPr>
      </w:pPr>
      <w:r w:rsidRPr="00400A96">
        <w:rPr>
          <w:b/>
        </w:rPr>
        <w:t xml:space="preserve">Příchozí věci </w:t>
      </w:r>
      <w:r w:rsidRPr="00400A96">
        <w:t>– v této zprávě znamená součet napadlých a obživlých věcí.</w:t>
      </w:r>
    </w:p>
    <w:p w:rsidR="00A4083A" w:rsidRPr="00400A96" w:rsidRDefault="00A4083A" w:rsidP="00A4083A">
      <w:pPr>
        <w:pStyle w:val="Odstavecseseznamem"/>
        <w:numPr>
          <w:ilvl w:val="0"/>
          <w:numId w:val="4"/>
        </w:numPr>
      </w:pPr>
      <w:r w:rsidRPr="00400A96">
        <w:rPr>
          <w:b/>
        </w:rPr>
        <w:t xml:space="preserve">Statistické listy (SL) </w:t>
      </w:r>
      <w:r w:rsidRPr="00400A96">
        <w:t>– po pravomocném skončení (konečném vyřízení) věci v hlavních agendách jsou vyplňovány u jednotlivých soudů odpovědnou osobou, odeslány v elektronické podobě a automaticky zařazeny do datového skladu. Vyhotovují se ke každé věci (osobě v trestní agendě). Obsahují velmi detailní údaje o věci (významné</w:t>
      </w:r>
      <w:r>
        <w:t xml:space="preserve"> časové údaje</w:t>
      </w:r>
      <w:r w:rsidRPr="00400A96">
        <w:t>, údaje o odvolání, výsledek řízení, anonymizované údaje o účastnících řízení, o výši a druhu trestu apod.).</w:t>
      </w:r>
    </w:p>
    <w:p w:rsidR="00A4083A" w:rsidRPr="00400A96" w:rsidRDefault="00A4083A" w:rsidP="00A4083A">
      <w:pPr>
        <w:pStyle w:val="Odstavecseseznamem"/>
        <w:numPr>
          <w:ilvl w:val="0"/>
          <w:numId w:val="4"/>
        </w:numPr>
      </w:pPr>
      <w:r w:rsidRPr="00400A96">
        <w:rPr>
          <w:b/>
        </w:rPr>
        <w:t xml:space="preserve">Výkazy o činnosti soudů </w:t>
      </w:r>
      <w:r w:rsidRPr="00400A96">
        <w:t>– obsahují především údaje o počtu napadlých, obživlých, vyřízených a nevyřízených věcí za zkoumané období, ale i další data, např. dělení vyřízených věcí podle způsobu vyřízení a dělení obživlých věcí podle důvodu pro obživnutí. Vypočítávají se automaticky pro každou agendu (rejstřík) a každý soud.</w:t>
      </w:r>
    </w:p>
    <w:p w:rsidR="00A4083A" w:rsidRPr="00400A96" w:rsidRDefault="00A4083A" w:rsidP="00A4083A">
      <w:pPr>
        <w:pStyle w:val="Odstavecseseznamem"/>
        <w:numPr>
          <w:ilvl w:val="0"/>
          <w:numId w:val="4"/>
        </w:numPr>
        <w:rPr>
          <w:b/>
        </w:rPr>
      </w:pPr>
      <w:r w:rsidRPr="00400A96">
        <w:rPr>
          <w:b/>
        </w:rPr>
        <w:t xml:space="preserve">Vyřízené věci </w:t>
      </w:r>
      <w:r w:rsidRPr="00400A96">
        <w:t>– v této zprávě se vždy jedná o roční data, která jsou získána z výkazů o činnosti soudů.</w:t>
      </w:r>
    </w:p>
    <w:p w:rsidR="00A4083A" w:rsidRPr="00400A96" w:rsidRDefault="00A4083A" w:rsidP="00A4083A"/>
    <w:p w:rsidR="00A4083A" w:rsidRPr="00400A96" w:rsidRDefault="00A4083A" w:rsidP="00A4083A">
      <w:pPr>
        <w:pStyle w:val="Nadpis3"/>
        <w:pageBreakBefore/>
        <w:numPr>
          <w:ilvl w:val="0"/>
          <w:numId w:val="0"/>
        </w:numPr>
        <w:rPr>
          <w:color w:val="auto"/>
        </w:rPr>
      </w:pPr>
      <w:bookmarkStart w:id="790" w:name="_Toc487791319"/>
      <w:bookmarkStart w:id="791" w:name="_Toc43903135"/>
      <w:r w:rsidRPr="00400A96">
        <w:rPr>
          <w:color w:val="auto"/>
        </w:rPr>
        <w:lastRenderedPageBreak/>
        <w:t>Právní a ostatní pojmy</w:t>
      </w:r>
      <w:bookmarkEnd w:id="790"/>
      <w:bookmarkEnd w:id="791"/>
    </w:p>
    <w:p w:rsidR="00A4083A" w:rsidRPr="00400A96" w:rsidRDefault="00A4083A" w:rsidP="00A4083A">
      <w:pPr>
        <w:pStyle w:val="Odstavecseseznamem"/>
        <w:numPr>
          <w:ilvl w:val="0"/>
          <w:numId w:val="4"/>
        </w:numPr>
      </w:pPr>
      <w:r w:rsidRPr="00400A96">
        <w:rPr>
          <w:b/>
        </w:rPr>
        <w:t xml:space="preserve">Civilní </w:t>
      </w:r>
      <w:r w:rsidRPr="00400A96">
        <w:t>– (agenda, řízení, úsek) činnost soudů v občanském soudním řízení. Civilní soudnictví v sobě dále zahrnuje celou řadů různých specificky upravených typů řízení (řízení o pozůstalosti, umoření listin apod.) a člení se tudíž na další agendy. Do samostatných agend se z něj vyčleňuje opatrovnická a obchodní agenda, z obchodní agendy pak dále zvlášť agenda insolvenční. V této zprávě se civilní agendou myslí zpravidla věci vedené v rejstříku C, do kterého se zapisují zejména občanskoprávní návrhy týkající se právních poměrů mezi žalobcem a žalovaným a návrhy na rozhodnutí ve statusových věcech manželských a partnerských.</w:t>
      </w:r>
    </w:p>
    <w:p w:rsidR="00A4083A" w:rsidRPr="00400A96" w:rsidRDefault="00A4083A" w:rsidP="00A4083A">
      <w:pPr>
        <w:pStyle w:val="Odstavecseseznamem"/>
        <w:numPr>
          <w:ilvl w:val="0"/>
          <w:numId w:val="4"/>
        </w:numPr>
      </w:pPr>
      <w:r w:rsidRPr="00400A96">
        <w:rPr>
          <w:b/>
        </w:rPr>
        <w:t xml:space="preserve">Dovolání </w:t>
      </w:r>
      <w:r w:rsidRPr="00400A96">
        <w:t>– mimořádný opravný prostředek, jímž lze napadnout pravomocné rozhodnutí odvolacího soudu, pokud to zákon připouští. O dovolání rozhoduje Nejvyšší soud; v civilních řízeních nemusí být v zákonem stanovených případech věc předložena dovolacímu soudu, ale o dovolání může rozhodnout soud v první instanci (jedná se zejména o zastavení dovolacího řízení pro nezaplacení soudního poplatku, odmítnutí dovolání pro opožděnost apod.).</w:t>
      </w:r>
    </w:p>
    <w:p w:rsidR="00A4083A" w:rsidRPr="00400A96" w:rsidRDefault="00A4083A" w:rsidP="00A4083A">
      <w:pPr>
        <w:pStyle w:val="Odstavecseseznamem"/>
        <w:numPr>
          <w:ilvl w:val="0"/>
          <w:numId w:val="4"/>
        </w:numPr>
      </w:pPr>
      <w:r w:rsidRPr="00400A96">
        <w:rPr>
          <w:b/>
        </w:rPr>
        <w:t xml:space="preserve">Hlavní agendy </w:t>
      </w:r>
      <w:r w:rsidRPr="00400A96">
        <w:t>– jedná se o takové agendy soudů, které svou velikostí a významem tvoří stěžejní část jejich práce. V případě soudů jsou to z civilní (občanskoprávní) agendy věci zapisované do rejstříku C, z opatrovnické agendy věci vedené v rejstříku P a Nc, u obchodní agendy věci z rejstříku Cm a insolvenčního rejstříku INS, z trestní agendy rejstříky T a Tm a ze správního soudnictví všechny správní rejstříky kromě tzv. všeobecného rejstříku správního soudnictví.</w:t>
      </w:r>
    </w:p>
    <w:p w:rsidR="00A4083A" w:rsidRPr="00400A96" w:rsidRDefault="00A4083A" w:rsidP="00A4083A">
      <w:pPr>
        <w:pStyle w:val="Odstavecseseznamem"/>
        <w:numPr>
          <w:ilvl w:val="0"/>
          <w:numId w:val="4"/>
        </w:numPr>
      </w:pPr>
      <w:r w:rsidRPr="00400A96">
        <w:rPr>
          <w:b/>
        </w:rPr>
        <w:t xml:space="preserve">InfoData </w:t>
      </w:r>
      <w:r w:rsidRPr="00400A96">
        <w:t>– statistický portál Ministerstva spravedlnosti, který umožňuje přístup široké veřejnosti k výkazům a statistikám soudů. Jeho hlavním cílem je prezentovat všechny důležité informace o justici na jednom místě a tím přispět k její větší otevřenosti (</w:t>
      </w:r>
      <w:hyperlink r:id="rId139" w:history="1">
        <w:r w:rsidRPr="00400A96">
          <w:rPr>
            <w:rStyle w:val="Hypertextovodkaz"/>
          </w:rPr>
          <w:t>http://cslav.justice.cz/InfoData/uvod.html</w:t>
        </w:r>
      </w:hyperlink>
      <w:r w:rsidRPr="00400A96">
        <w:t>).</w:t>
      </w:r>
    </w:p>
    <w:p w:rsidR="00A4083A" w:rsidRPr="00D17312" w:rsidRDefault="00A4083A" w:rsidP="00A4083A">
      <w:pPr>
        <w:pStyle w:val="Odstavecseseznamem"/>
        <w:numPr>
          <w:ilvl w:val="0"/>
          <w:numId w:val="4"/>
        </w:numPr>
      </w:pPr>
      <w:r w:rsidRPr="00D17312">
        <w:rPr>
          <w:b/>
        </w:rPr>
        <w:t xml:space="preserve">Incidenční spory </w:t>
      </w:r>
      <w:r w:rsidRPr="00D17312">
        <w:t>– jedná se o spory vyvolané insolvenčním řízením a projednávané v rámci insolvenčního řízení. Co jsou incidenční spory, vymezuje insolvenční zákon (zákon č. 182/2006 Sb.)</w:t>
      </w:r>
      <w:r>
        <w:t xml:space="preserve">. Jde například o </w:t>
      </w:r>
      <w:r w:rsidRPr="00D17312">
        <w:t>spory o pravost, výši nebo pořadí přihlášených pohledávek, spory o vypořádání společného jmění dlužníka a jeho manžela, spory o platnost smluv, kterými došlo ke zpeněžení majetkové podstaty prodejem mimo dražbu, a další (viz také ust. § 159 a násl. insolvenčního zákona).</w:t>
      </w:r>
    </w:p>
    <w:p w:rsidR="00A4083A" w:rsidRPr="00D17312" w:rsidRDefault="00A4083A" w:rsidP="00A4083A">
      <w:pPr>
        <w:pStyle w:val="Odstavecseseznamem"/>
        <w:numPr>
          <w:ilvl w:val="0"/>
          <w:numId w:val="4"/>
        </w:numPr>
      </w:pPr>
      <w:r w:rsidRPr="00D17312">
        <w:rPr>
          <w:b/>
        </w:rPr>
        <w:t xml:space="preserve">Insolvence </w:t>
      </w:r>
      <w:r w:rsidRPr="00D17312">
        <w:t>– jinak také insolvenční agenda (řízení). Jedná se o zvláštní soudní řízení civilní agendy, jehož předmětem je projednání úpadku a jeho řešení. Do insolvenční agendy se dále zařídí incidenční spory. Insolvenční agenda se rozhoduje na insolvenčních odděleních obchodních úseků soudů.</w:t>
      </w:r>
    </w:p>
    <w:p w:rsidR="00A4083A" w:rsidRPr="00D17312" w:rsidRDefault="00A4083A" w:rsidP="00A4083A">
      <w:pPr>
        <w:pStyle w:val="Odstavecseseznamem"/>
        <w:numPr>
          <w:ilvl w:val="0"/>
          <w:numId w:val="4"/>
        </w:numPr>
      </w:pPr>
      <w:r w:rsidRPr="00D17312">
        <w:rPr>
          <w:b/>
        </w:rPr>
        <w:t xml:space="preserve">Jmenovací etapa </w:t>
      </w:r>
      <w:r w:rsidRPr="00D17312">
        <w:t>– jinak také etapa jmenování soudců. Soudce jmenuje prezident na návrh ministra spravedlnosti, dle aktuální potřeby jednotlivých soudů.</w:t>
      </w:r>
    </w:p>
    <w:p w:rsidR="00A4083A" w:rsidRPr="00D17312" w:rsidRDefault="00A4083A" w:rsidP="00A4083A">
      <w:pPr>
        <w:pStyle w:val="Odstavecseseznamem"/>
        <w:numPr>
          <w:ilvl w:val="0"/>
          <w:numId w:val="4"/>
        </w:numPr>
      </w:pPr>
      <w:r w:rsidRPr="00D17312">
        <w:rPr>
          <w:b/>
        </w:rPr>
        <w:t xml:space="preserve">Kasační stížnost </w:t>
      </w:r>
      <w:r w:rsidRPr="00D17312">
        <w:t>– mimořádný opravný prostředek, jímž lze napadnout pravomocné rozhodnutí krajského soudu vydané ve správním soudnictví. Kasační stížnost je možné podat v zásadě proti každému takovému rozhodnutí, není-li z přezkoumání v kasačním řízení zákonem výslovně vyloučeno. O kasačních stížnostech rozhoduje Nejvyšší správní soud.</w:t>
      </w:r>
    </w:p>
    <w:p w:rsidR="00A4083A" w:rsidRPr="00400A96" w:rsidRDefault="00A4083A" w:rsidP="00A4083A">
      <w:pPr>
        <w:pStyle w:val="Odstavecseseznamem"/>
        <w:numPr>
          <w:ilvl w:val="0"/>
          <w:numId w:val="4"/>
        </w:numPr>
      </w:pPr>
      <w:r w:rsidRPr="00D17312">
        <w:rPr>
          <w:b/>
        </w:rPr>
        <w:t xml:space="preserve">Krajské soudy (KS) </w:t>
      </w:r>
      <w:r w:rsidRPr="00D17312">
        <w:t xml:space="preserve">– druhý ze čtyř článků soustavy soudů ČR. Působí jich celkem osm, a to Krajský soud v Praze, v Českých Budějovicích, v Plzni, v Ústí nad Labem, v Hradci </w:t>
      </w:r>
      <w:r w:rsidRPr="00400A96">
        <w:lastRenderedPageBreak/>
        <w:t>Králové, v Brně a v Ostravě a Městský soud v Praze, který vykonává působnost krajského soudu pro území hlavního města Prahy.</w:t>
      </w:r>
    </w:p>
    <w:p w:rsidR="00A4083A" w:rsidRPr="00400A96" w:rsidRDefault="00A4083A" w:rsidP="00A4083A">
      <w:pPr>
        <w:pStyle w:val="Odstavecseseznamem"/>
        <w:numPr>
          <w:ilvl w:val="0"/>
          <w:numId w:val="4"/>
        </w:numPr>
      </w:pPr>
      <w:r w:rsidRPr="00400A96">
        <w:rPr>
          <w:b/>
        </w:rPr>
        <w:t xml:space="preserve">Moratorium </w:t>
      </w:r>
      <w:r w:rsidRPr="00400A96">
        <w:t xml:space="preserve">– představuje poslední možnost odvrátit úpadek dlužníka před jeho zjištěním, neboť po dobu jeho trvání nelze vyhlásit úpadek dlužníka, platí však stejné účinky jako při zahájení insolvenčního řízení. O moratorium může žádat jen dlužník, který je podnikatelem. Moratorium se vyhlašuje za splnění zákonných podmínek nejdéle na dobu 3 měsíců; ve zvláštních případech může být prodlouženo o dalších třicet dnů. </w:t>
      </w:r>
      <w:r w:rsidRPr="00400A96" w:rsidDel="003549CA">
        <w:t>Smyslem moratoria je poskytnout dlužník</w:t>
      </w:r>
      <w:r w:rsidRPr="00400A96">
        <w:t>ovi</w:t>
      </w:r>
      <w:r w:rsidRPr="00400A96" w:rsidDel="003549CA">
        <w:t xml:space="preserve"> čas na vyřešení svých nesplácených závazků</w:t>
      </w:r>
      <w:r w:rsidRPr="00400A96">
        <w:t xml:space="preserve"> a </w:t>
      </w:r>
      <w:r w:rsidRPr="00400A96" w:rsidDel="003549CA">
        <w:t>pohledávek</w:t>
      </w:r>
      <w:r w:rsidRPr="00400A96">
        <w:t>, zachovat provoz podniku dlužníka a </w:t>
      </w:r>
      <w:r w:rsidRPr="00400A96" w:rsidDel="003549CA">
        <w:t>vyrovnat se</w:t>
      </w:r>
      <w:r w:rsidRPr="00400A96">
        <w:t xml:space="preserve"> s </w:t>
      </w:r>
      <w:r w:rsidRPr="00400A96" w:rsidDel="003549CA">
        <w:t xml:space="preserve">věřiteli ještě před </w:t>
      </w:r>
      <w:r w:rsidRPr="00400A96">
        <w:t>tím, než proběhne celé insolvenční</w:t>
      </w:r>
      <w:r w:rsidRPr="00400A96" w:rsidDel="003549CA">
        <w:t xml:space="preserve"> řízení.</w:t>
      </w:r>
    </w:p>
    <w:p w:rsidR="00A4083A" w:rsidRPr="00400A96" w:rsidRDefault="00A4083A" w:rsidP="00A4083A">
      <w:pPr>
        <w:pStyle w:val="Odstavecseseznamem"/>
        <w:numPr>
          <w:ilvl w:val="0"/>
          <w:numId w:val="4"/>
        </w:numPr>
        <w:ind w:left="714" w:hanging="357"/>
      </w:pPr>
      <w:r w:rsidRPr="00400A96">
        <w:rPr>
          <w:b/>
        </w:rPr>
        <w:t xml:space="preserve">Nadřízený soud </w:t>
      </w:r>
      <w:r w:rsidRPr="00400A96">
        <w:t>– z hlediska hierarchického organizačního uspořádání soudní soustavy lze soudy obecně označovat podle jejich postavení v soustavě jako soudy vyšší a nižší a z hlediska instančních vztahů také jako soudy nadřízené (vyššího stupně) a podřízené (nižšího stupně). Vyšším soudem je soud, který v soudní soustavě zaujímá oproti jinému soudu vyšší postavení bez ohledu na to, zda nižší soud je činný v obvodu působnosti soudu vyššího. Nadřízeným soudem je soud vyšší ve vztahu k soudu nižšímu (podřízenému), který spadá do jeho obvodu působnosti. Například krajský soud je vždy nadřízeným soudem ve vztahu k okresním soudům v obvodu jeho působnosti, nikoliv však již ve vztahu k okresním soudům, které spadají do působnosti jiného krajského soudu</w:t>
      </w:r>
      <w:r>
        <w:t>.</w:t>
      </w:r>
    </w:p>
    <w:p w:rsidR="00A4083A" w:rsidRPr="00400A96" w:rsidRDefault="00A4083A" w:rsidP="00A4083A">
      <w:pPr>
        <w:pStyle w:val="Odstavecseseznamem"/>
        <w:numPr>
          <w:ilvl w:val="0"/>
          <w:numId w:val="4"/>
        </w:numPr>
        <w:ind w:left="714" w:hanging="357"/>
      </w:pPr>
      <w:r w:rsidRPr="00400A96">
        <w:rPr>
          <w:b/>
        </w:rPr>
        <w:t xml:space="preserve">Nejvyšší soud (NS) </w:t>
      </w:r>
      <w:r w:rsidRPr="00400A96">
        <w:t>– čtvrtý článek soudní soustavy a vrcholný soudní orgán ve věcech patřících do pravomoci soudů v civilním a trestním soudnictví s výjimkou záležitostí, o nichž rozhoduje Ústavní soud a Nejvyšší správní soud. Rozhoduje o mimořádných opravných prostředcích v případech stanovených zákony o řízení před soudy a v jiných případech stanovených zvláštním právním předpisem nebo mezinárodní smlouvou, s níž vyslovil souhlas Parlament, jíž je Česká republika vázána a která byla vyhlášena. Sídlí v Brně.</w:t>
      </w:r>
    </w:p>
    <w:p w:rsidR="00A4083A" w:rsidRPr="00400A96" w:rsidRDefault="00A4083A" w:rsidP="00A4083A">
      <w:pPr>
        <w:pStyle w:val="Odstavecseseznamem"/>
        <w:numPr>
          <w:ilvl w:val="0"/>
          <w:numId w:val="4"/>
        </w:numPr>
        <w:ind w:left="714" w:hanging="357"/>
      </w:pPr>
      <w:r w:rsidRPr="00400A96">
        <w:rPr>
          <w:b/>
        </w:rPr>
        <w:t xml:space="preserve">Nejvyšší správní soud (NSS) </w:t>
      </w:r>
      <w:r w:rsidRPr="00400A96">
        <w:t>– vrcholný soudní orgán ve věcech patřících do pravomoci soudů ve správním soudnictví. Správní soudnictví v ČR spolu s NSS vykonávají dále už jen krajské soudy. Sídlí v Brně.</w:t>
      </w:r>
    </w:p>
    <w:p w:rsidR="00A4083A" w:rsidRPr="00400A96" w:rsidRDefault="00A4083A" w:rsidP="00A4083A">
      <w:pPr>
        <w:pStyle w:val="Odstavecseseznamem"/>
        <w:numPr>
          <w:ilvl w:val="0"/>
          <w:numId w:val="4"/>
        </w:numPr>
        <w:ind w:left="714" w:hanging="357"/>
      </w:pPr>
      <w:r>
        <w:rPr>
          <w:b/>
        </w:rPr>
        <w:t>O. z.</w:t>
      </w:r>
      <w:r w:rsidRPr="00400A96">
        <w:rPr>
          <w:b/>
        </w:rPr>
        <w:t xml:space="preserve"> </w:t>
      </w:r>
      <w:r w:rsidRPr="00400A96">
        <w:t>– občanský zákoník, zákon č. 89/2012 Sb., který rekodifikoval české soukromé právo a nahradil předchozí československý občanský zákoník z roku 1964. Nabyl účinnosti dnem 1. 1. 2014.</w:t>
      </w:r>
    </w:p>
    <w:p w:rsidR="00A4083A" w:rsidRPr="00400A96" w:rsidRDefault="00A4083A" w:rsidP="00A4083A">
      <w:pPr>
        <w:pStyle w:val="Odstavecseseznamem"/>
        <w:numPr>
          <w:ilvl w:val="0"/>
          <w:numId w:val="4"/>
        </w:numPr>
        <w:ind w:left="714" w:hanging="357"/>
      </w:pPr>
      <w:r w:rsidRPr="00400A96">
        <w:rPr>
          <w:b/>
        </w:rPr>
        <w:t xml:space="preserve">Obchodní </w:t>
      </w:r>
      <w:r w:rsidRPr="00400A96">
        <w:t>– (agenda, úsek) jedna ze samostatně sledovaných agend civilního soudnictví, jejíž převážnou část tvoří spory mezi podnikateli a statusové věci právnických osob, včetně jejich zrušení a likvidace, jmenování a odvolávání členů jejich orgánů nebo likvidátora a přeměn. Do obchodní agendy se řadí i dvě další agendy se specificky upraveným druhem řízení. V prvním případě se jedná o insolvenci, která je vzhledem ke svému rozsahu a významu sledována zvlášť. V druhém případě jde o řízení ve věcech veřejných rejstříků právnických a fyzických osob. Tato zpráva se posledně uvedenou agendou nezabývá; údaje o ní lze získat z ostatních veřejných zdrojů justičních statistik.</w:t>
      </w:r>
    </w:p>
    <w:p w:rsidR="00A4083A" w:rsidRPr="00400A96" w:rsidRDefault="00A4083A" w:rsidP="00A4083A">
      <w:pPr>
        <w:pStyle w:val="Odstavecseseznamem"/>
        <w:numPr>
          <w:ilvl w:val="0"/>
          <w:numId w:val="4"/>
        </w:numPr>
      </w:pPr>
      <w:r w:rsidRPr="00400A96">
        <w:rPr>
          <w:b/>
        </w:rPr>
        <w:t xml:space="preserve">Odvolací instance (agenda) </w:t>
      </w:r>
      <w:r w:rsidRPr="00400A96">
        <w:t>– také soud II. stupně (druhostupňová agenda). Soudní řízení bývá zpravidla dvoustupňové. Každá nová věc (spor nebo jiná právní věc) je nejdříve projednána a rozhodnuta v první instanci (viz dále). Lze-li nepravomocné rozhodnutí soudu I. stupně napadnout opravným prostředkem, koná se následně u bezprostředně nadřízeného soudu odvolací řízení.</w:t>
      </w:r>
    </w:p>
    <w:p w:rsidR="00A4083A" w:rsidRPr="00400A96" w:rsidRDefault="00A4083A" w:rsidP="00A4083A">
      <w:pPr>
        <w:pStyle w:val="Odstavecseseznamem"/>
        <w:numPr>
          <w:ilvl w:val="0"/>
          <w:numId w:val="4"/>
        </w:numPr>
      </w:pPr>
      <w:r w:rsidRPr="00400A96">
        <w:rPr>
          <w:b/>
        </w:rPr>
        <w:lastRenderedPageBreak/>
        <w:t>Okresní soudy (OS)</w:t>
      </w:r>
      <w:r w:rsidRPr="00400A96">
        <w:t xml:space="preserve"> – první, nejnižší článek soudní soustavy. Tento článek soustavy čítá celkem 86 okresních soudů, z nichž 75 je označeno jako </w:t>
      </w:r>
      <w:r w:rsidRPr="00400A96">
        <w:rPr>
          <w:i/>
        </w:rPr>
        <w:t>okresní</w:t>
      </w:r>
      <w:r w:rsidRPr="00400A96">
        <w:t xml:space="preserve">, deset soudů na území hlavního města Prahy jako </w:t>
      </w:r>
      <w:r w:rsidRPr="00400A96">
        <w:rPr>
          <w:i/>
        </w:rPr>
        <w:t>obvodní</w:t>
      </w:r>
      <w:r w:rsidRPr="00400A96">
        <w:t xml:space="preserve"> (území hl. m. Prahy se dělí na deset soudních obvodů) a jeden jako </w:t>
      </w:r>
      <w:r w:rsidRPr="00400A96">
        <w:rPr>
          <w:i/>
        </w:rPr>
        <w:t>městský</w:t>
      </w:r>
      <w:r w:rsidRPr="00400A96">
        <w:t xml:space="preserve"> – Městský soud v Brně, který vykonává působnost okresního soudu pro území Statutárního města Brno (okres Brno-město).</w:t>
      </w:r>
    </w:p>
    <w:p w:rsidR="00A4083A" w:rsidRPr="00400A96" w:rsidRDefault="00A4083A" w:rsidP="00A4083A">
      <w:pPr>
        <w:pStyle w:val="Odstavecseseznamem"/>
        <w:numPr>
          <w:ilvl w:val="0"/>
          <w:numId w:val="4"/>
        </w:numPr>
      </w:pPr>
      <w:r w:rsidRPr="00400A96">
        <w:rPr>
          <w:b/>
        </w:rPr>
        <w:t xml:space="preserve">Opatrovnická </w:t>
      </w:r>
      <w:r w:rsidRPr="00400A96">
        <w:t>– (agenda, řízení, úsek) je jednou ze samostatných agend civilního soudnictví, kterou tvoří zejména věci týkající se svéprávnosti a opatrovnictví člověka a dále především záležitosti nezletilých dětí, poručenství a jin</w:t>
      </w:r>
      <w:r>
        <w:t>ých</w:t>
      </w:r>
      <w:r w:rsidRPr="00400A96">
        <w:t xml:space="preserve"> for</w:t>
      </w:r>
      <w:r>
        <w:t>e</w:t>
      </w:r>
      <w:r w:rsidRPr="00400A96">
        <w:t xml:space="preserve">m péče o dítě. Kromě výše uvedeného se do opatrovnické agendy započítávají také věci tzv. </w:t>
      </w:r>
      <w:r w:rsidRPr="00400A96">
        <w:rPr>
          <w:i/>
        </w:rPr>
        <w:t>detenčního řízení</w:t>
      </w:r>
      <w:r w:rsidRPr="00400A96">
        <w:t>, tedy řízení ve věcech vyslovení přípustnosti převzetí nebo držení ve zdravotním ústavu (rejstřík L). Vzhledem k omezenému rozsahu detenční agendy se jí tato zpráva nezabývá.</w:t>
      </w:r>
    </w:p>
    <w:p w:rsidR="00A4083A" w:rsidRPr="00400A96" w:rsidRDefault="00A4083A" w:rsidP="00A4083A">
      <w:pPr>
        <w:pStyle w:val="Odstavecseseznamem"/>
        <w:numPr>
          <w:ilvl w:val="0"/>
          <w:numId w:val="4"/>
        </w:numPr>
      </w:pPr>
      <w:r w:rsidRPr="00400A96">
        <w:rPr>
          <w:b/>
        </w:rPr>
        <w:t xml:space="preserve">První instance (prvoinstanční agenda) </w:t>
      </w:r>
      <w:r w:rsidRPr="00400A96">
        <w:t>– také soud I. stupně (prvostupňová agenda). Okresní soudy jsou soudy první instance vždy, není-li k tomu podle předpisů upravujících soudní řízení učen jiný článek soudní soustavy. Takovým jiným článkem jsou zpravidla krajské soudy. Existuje však velmi malý okruh věcí, kdy jako prvoinstanční soud působí soudy vrchní nebo nejvyšší (Nejvyšší soud a Nejvyšší správní soud).</w:t>
      </w:r>
    </w:p>
    <w:p w:rsidR="00A4083A" w:rsidRPr="00400A96" w:rsidRDefault="00A4083A" w:rsidP="00A4083A">
      <w:pPr>
        <w:pStyle w:val="Odstavecseseznamem"/>
        <w:numPr>
          <w:ilvl w:val="0"/>
          <w:numId w:val="4"/>
        </w:numPr>
      </w:pPr>
      <w:r w:rsidRPr="00400A96">
        <w:rPr>
          <w:b/>
        </w:rPr>
        <w:t xml:space="preserve">Přísedící soudu </w:t>
      </w:r>
      <w:r w:rsidRPr="00400A96">
        <w:t>– laické osoby (nejedná se odborně vzdělané soudce), které jsou vedle předsedy členy soudního senátu. Jejich role v rozhodovací činnosti soudu spočívá v přítomnosti na zasedáních některých tříčlenných soudních senátů, přičemž vždy dva přísedící doplňuje jeden profesionální soudce. Ten je předsedou daného senátu, ale při poradě o rozsudku ho mohou přísedící přehlasovat, neboť platí rovnost hlasů [více viz zákon č. 6/2002 Sb., o soudech, soudcích, přísedících a státní správě soudů a o</w:t>
      </w:r>
      <w:r>
        <w:t> </w:t>
      </w:r>
      <w:r w:rsidRPr="00400A96">
        <w:t>změně některých dalších zákonů (zákon o soudech a soudcích), ve znění pozdějších předpisů].</w:t>
      </w:r>
    </w:p>
    <w:p w:rsidR="00A4083A" w:rsidRPr="00400A96" w:rsidRDefault="00A4083A" w:rsidP="00A4083A">
      <w:pPr>
        <w:pStyle w:val="Odstavecseseznamem"/>
        <w:numPr>
          <w:ilvl w:val="0"/>
          <w:numId w:val="4"/>
        </w:numPr>
      </w:pPr>
      <w:r w:rsidRPr="00400A96">
        <w:rPr>
          <w:b/>
        </w:rPr>
        <w:t xml:space="preserve">Rejstřík </w:t>
      </w:r>
      <w:r w:rsidRPr="00400A96">
        <w:t>– je evidenční pomůcka, která podává přehled o počtu a stavu vyřizování jednotlivých věcí. Je také podkladem pro vypracování statistických výkazů o činnosti soudů a dalších statistických výstupů a zdrojem pro základní kontrolu výkonu působnosti soudů. Soudy (včetně nejvyšších) vedou celkem přibližně 120 druhů rejstříků.</w:t>
      </w:r>
    </w:p>
    <w:p w:rsidR="00A4083A" w:rsidRPr="00400A96" w:rsidRDefault="00A4083A" w:rsidP="00A4083A">
      <w:pPr>
        <w:pStyle w:val="Odstavecseseznamem"/>
        <w:numPr>
          <w:ilvl w:val="0"/>
          <w:numId w:val="4"/>
        </w:numPr>
      </w:pPr>
      <w:r w:rsidRPr="00400A96">
        <w:rPr>
          <w:b/>
        </w:rPr>
        <w:t xml:space="preserve">Rozkazní řízení </w:t>
      </w:r>
      <w:r w:rsidRPr="00400A96">
        <w:t>– jedná se o civilní řízení ve zkrácené formě, jehož cílem je skončení věcí vydáním platebního rozkazu. V této zprávě označuje jen ta civilní řízení, která jsou zahájena návrhem žalobce na vydání platebního rozkazu. Platební rozkaz se vydává bez slyšení žalované strany a řízení jím může být skončeno jen tehdy, nepodá-li proti němu žalovaná strana odpor. Neskončí-li řízení pravomocným platebním rozkazem, přechází do klasického civilního řízení. Platebním rozkazem se v této zprávě míní nejen běžný platební rozkaz, ale i elektronický platební rozkaz, evropský platební rozkaz a směnečný (šekový) platební rozkaz, není-li uvedeno jinak.</w:t>
      </w:r>
    </w:p>
    <w:p w:rsidR="00A4083A" w:rsidRPr="00400A96" w:rsidRDefault="00A4083A" w:rsidP="00A4083A">
      <w:pPr>
        <w:pStyle w:val="Odstavecseseznamem"/>
        <w:numPr>
          <w:ilvl w:val="0"/>
          <w:numId w:val="4"/>
        </w:numPr>
      </w:pPr>
      <w:r w:rsidRPr="00400A96">
        <w:rPr>
          <w:b/>
        </w:rPr>
        <w:t xml:space="preserve">Skutková podstata trestného činu </w:t>
      </w:r>
      <w:r w:rsidRPr="00400A96">
        <w:t>– souhrn typových znaků uvedených v trestním zákoníku, podle kterých se rozlišují jednotlivé druhy trestných činů (vražda, loupež, krádež, podvod atd.).</w:t>
      </w:r>
    </w:p>
    <w:p w:rsidR="00A4083A" w:rsidRPr="00400A96" w:rsidRDefault="00A4083A" w:rsidP="00A4083A">
      <w:pPr>
        <w:pStyle w:val="Odstavecseseznamem"/>
        <w:numPr>
          <w:ilvl w:val="0"/>
          <w:numId w:val="4"/>
        </w:numPr>
        <w:rPr>
          <w:b/>
        </w:rPr>
      </w:pPr>
      <w:r w:rsidRPr="00400A96">
        <w:rPr>
          <w:b/>
        </w:rPr>
        <w:t>Soudní obvod (okresního, krajského a vrchního soudu)</w:t>
      </w:r>
      <w:r w:rsidRPr="00400A96">
        <w:t xml:space="preserve"> – územní působnost jednotlivých soudů, včetně názvu a umístění sídla, stanovuje zákon č. 6/2002 Sb., o soudech, soudcích, přísedících a státní správě soudů a o změně některých dalších zákonů (zákon o soudech a soudcích), ve znění pozdějších předpisů. Obvod okresního soudu (soudní okres) je vymezen územním výčtem obcí, které jej tvoří (u obvodního soudu územím městských částí hlavního města Prahy). Obvod krajského soudu (soudní kraj) se </w:t>
      </w:r>
      <w:r w:rsidRPr="00400A96">
        <w:lastRenderedPageBreak/>
        <w:t>skládá z obvodu okresních soudů, kterým je nadřízeným soudem, a obvod vrchního soudu z obvodů krajských soudů, kterým je nadřízeným soudem.</w:t>
      </w:r>
    </w:p>
    <w:p w:rsidR="00A4083A" w:rsidRPr="00400A96" w:rsidRDefault="00A4083A" w:rsidP="00A4083A">
      <w:pPr>
        <w:pStyle w:val="Odstavecseseznamem"/>
        <w:numPr>
          <w:ilvl w:val="0"/>
          <w:numId w:val="4"/>
        </w:numPr>
      </w:pPr>
      <w:r w:rsidRPr="00400A96">
        <w:rPr>
          <w:b/>
        </w:rPr>
        <w:t xml:space="preserve">Správní </w:t>
      </w:r>
      <w:r w:rsidRPr="00400A96">
        <w:t>– (agenda, řízení, úsek) – ve správním soudnictví poskytují soudy ochranu veřejným subjektivním právům fyzických i právnických osob a rozhodují i další věci, o kterých tak stanoví zákon (zejména věci volební, věci místního a krajského referenda a rozhodování o zrušení opatření obecné povahy nebo jeho částí pro rozpor se zákonem).</w:t>
      </w:r>
    </w:p>
    <w:p w:rsidR="00A4083A" w:rsidRPr="00400A96" w:rsidRDefault="00A4083A" w:rsidP="00A4083A">
      <w:pPr>
        <w:pStyle w:val="Odstavecseseznamem"/>
        <w:numPr>
          <w:ilvl w:val="0"/>
          <w:numId w:val="4"/>
        </w:numPr>
      </w:pPr>
      <w:r w:rsidRPr="00400A96">
        <w:rPr>
          <w:b/>
        </w:rPr>
        <w:t xml:space="preserve">Stížnost pro porušení zákona </w:t>
      </w:r>
      <w:r w:rsidRPr="00400A96">
        <w:t>– mimořádný opravný prostředek, který může podat jen ministr spravedlnosti, a to proti pravomocnému rozhodnutí soudu nebo státního zástupce, jímž byl porušen zákon nebo které bylo učiněno na podkladě vadného postupu řízení. Stížnost pro porušení zákona se podává k Nejvyššímu soudu, který o ní také rozhoduje (viz také ust. § 266 a násl. tr. řádu).</w:t>
      </w:r>
    </w:p>
    <w:p w:rsidR="00A4083A" w:rsidRPr="00400A96" w:rsidRDefault="00A4083A" w:rsidP="00A4083A">
      <w:pPr>
        <w:pStyle w:val="Odstavecseseznamem"/>
        <w:numPr>
          <w:ilvl w:val="0"/>
          <w:numId w:val="4"/>
        </w:numPr>
      </w:pPr>
      <w:r w:rsidRPr="00400A96">
        <w:rPr>
          <w:b/>
        </w:rPr>
        <w:t xml:space="preserve">Systemizace a její výpočet </w:t>
      </w:r>
      <w:r w:rsidRPr="00400A96">
        <w:t xml:space="preserve">– </w:t>
      </w:r>
      <w:r w:rsidRPr="00400A96">
        <w:rPr>
          <w:lang w:eastAsia="cs-CZ"/>
        </w:rPr>
        <w:t xml:space="preserve">výpočet slouží k odhadu potřeby soudců k vyřízení nápadu pro následující rok. Pro každý soud se z dat za předchozí tři roky odhadne nápad ve všech rejstřících pro předmětný rok. Za pomoci měřítek se vypočte teoretický počet soudců potřebných k vyřízení nápadu v daném rejstříku. Potřeba soudců pro jednotlivé rejstříky se sečte a vyjde tak potřeba soudců pro předmětný soud a rok. Vypočtená potřeba je nakonec upravena s přihlédnutím ke státnímu rozpočtu, </w:t>
      </w:r>
      <w:r>
        <w:rPr>
          <w:lang w:eastAsia="cs-CZ"/>
        </w:rPr>
        <w:t xml:space="preserve">jehož prostředky </w:t>
      </w:r>
      <w:r w:rsidRPr="00400A96">
        <w:rPr>
          <w:lang w:eastAsia="cs-CZ"/>
        </w:rPr>
        <w:t xml:space="preserve">v současné době </w:t>
      </w:r>
      <w:r>
        <w:rPr>
          <w:lang w:eastAsia="cs-CZ"/>
        </w:rPr>
        <w:t xml:space="preserve">postačují pro </w:t>
      </w:r>
      <w:r w:rsidRPr="00400A96">
        <w:rPr>
          <w:lang w:eastAsia="cs-CZ"/>
        </w:rPr>
        <w:t>3 063 soudců. Samotná systemizace spočívá ve stanovení plánovaného počtu soudců pro jednotlivé kraje na základě výše popsaného výpočtu. Pro vyšší soudy je systemizace určena na základě dohody, nikoliv na základě výpočtu. Z výše uvedeného plyne, že systemizace neslouží k určování celorepublikové potřeby soudců, ale k přerozdělování předem stanoveného počtu soudců mezi soudy s ohledem na relativní změny v nápadu</w:t>
      </w:r>
      <w:r w:rsidRPr="00400A96">
        <w:t>.</w:t>
      </w:r>
    </w:p>
    <w:p w:rsidR="00A4083A" w:rsidRPr="00400A96" w:rsidRDefault="00A4083A" w:rsidP="00A4083A">
      <w:pPr>
        <w:pStyle w:val="Odstavecseseznamem"/>
        <w:numPr>
          <w:ilvl w:val="0"/>
          <w:numId w:val="4"/>
        </w:numPr>
      </w:pPr>
      <w:r w:rsidRPr="00400A96">
        <w:rPr>
          <w:b/>
        </w:rPr>
        <w:t xml:space="preserve">Trestní </w:t>
      </w:r>
      <w:r w:rsidRPr="00400A96">
        <w:t>– (agenda, řízení, úsek). Hlavním těžištěm trestního řízení je náležité zjištění trestných činů a spravedlivé potrestání jejich pachatelů v souladu se zákonem.</w:t>
      </w:r>
    </w:p>
    <w:p w:rsidR="00A4083A" w:rsidRPr="00400A96" w:rsidRDefault="00A4083A" w:rsidP="00A4083A">
      <w:pPr>
        <w:pStyle w:val="Odstavecseseznamem"/>
      </w:pPr>
      <w:r w:rsidRPr="00400A96">
        <w:t>Trestní řízení je zákonem upravený postup orgánů činných v trestním řízení (policejní orgány, státní zastupitelství a soudy) a dalších subjektů podílejících se na tomto postupu. Trestní řízení probíhá v několika stádiích. Rozlišujeme přípravné řízení, předběžné projednání obžaloby, hlavní líčení, odvolací řízení a vykonávací řízení (viz zjednodušené schéma níže):</w:t>
      </w:r>
    </w:p>
    <w:p w:rsidR="00A4083A" w:rsidRPr="00400A96" w:rsidRDefault="00A4083A" w:rsidP="00A4083A">
      <w:pPr>
        <w:pStyle w:val="Odstavecseseznamem"/>
      </w:pPr>
      <w:r w:rsidRPr="00400A96">
        <w:rPr>
          <w:noProof/>
          <w:lang w:eastAsia="cs-CZ"/>
        </w:rPr>
        <w:drawing>
          <wp:anchor distT="0" distB="0" distL="114300" distR="114300" simplePos="0" relativeHeight="251659264" behindDoc="0" locked="0" layoutInCell="1" allowOverlap="1" wp14:anchorId="0AC92929" wp14:editId="623CBF2B">
            <wp:simplePos x="0" y="0"/>
            <wp:positionH relativeFrom="column">
              <wp:posOffset>458470</wp:posOffset>
            </wp:positionH>
            <wp:positionV relativeFrom="paragraph">
              <wp:posOffset>1270</wp:posOffset>
            </wp:positionV>
            <wp:extent cx="4964430" cy="1518920"/>
            <wp:effectExtent l="0" t="0" r="0" b="0"/>
            <wp:wrapTopAndBottom/>
            <wp:docPr id="1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964430" cy="1518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0A96">
        <w:t>Trestní věc nemusí projít všemi stádii, zejména může být rozhodnuta již v přípravném řízení, což znamená, že hlavní líčení se nebude vůbec konat. Obdobně skončí-li věc ve prospěch obžalovaného, není důvodu pro konání vykonávacího řízení, neboť rozsudkem nebyla uložena sankce (trest, ochranné opatření).</w:t>
      </w:r>
    </w:p>
    <w:p w:rsidR="00A4083A" w:rsidRPr="00400A96" w:rsidRDefault="00A4083A" w:rsidP="00A4083A">
      <w:pPr>
        <w:pStyle w:val="Odstavecseseznamem"/>
      </w:pPr>
      <w:r w:rsidRPr="00400A96">
        <w:t xml:space="preserve">Soudů se především týká část trestního řízení od podání obžaloby, tedy předběžné projednání obžaloby, hlavní líčení, odvolací řízení (souhrnně označená jako řízení před soudem) a vykonávací řízení. Samozřejmě soudy na trestním úseku vyřizují i další trestní agendu (např. rozhodování soudce v přípravném řízení). Tato zpráva se ale věnuje trestním </w:t>
      </w:r>
      <w:r w:rsidRPr="00400A96">
        <w:lastRenderedPageBreak/>
        <w:t>věcem spadajícím do řízení před soudem a zapisovaným do rejstříků T a Tm u prvostupňového soudu a do rejstříků To a Tmo odvolacího soudu.</w:t>
      </w:r>
    </w:p>
    <w:p w:rsidR="00A4083A" w:rsidRPr="00400A96" w:rsidRDefault="00A4083A" w:rsidP="00A4083A">
      <w:pPr>
        <w:pStyle w:val="Odstavecseseznamem"/>
        <w:numPr>
          <w:ilvl w:val="0"/>
          <w:numId w:val="4"/>
        </w:numPr>
      </w:pPr>
      <w:r w:rsidRPr="00400A96">
        <w:rPr>
          <w:b/>
        </w:rPr>
        <w:t xml:space="preserve">Vrchní soudy (VS) </w:t>
      </w:r>
      <w:r w:rsidRPr="00400A96">
        <w:t>– jsou třetím článkem soudní soustavy tvořeným dvěma soudy se sídlem v Praze a v Olomouci.</w:t>
      </w:r>
    </w:p>
    <w:p w:rsidR="00A4083A" w:rsidRPr="00400A96" w:rsidRDefault="00A4083A" w:rsidP="00A4083A">
      <w:pPr>
        <w:pStyle w:val="Odstavecseseznamem"/>
        <w:numPr>
          <w:ilvl w:val="0"/>
          <w:numId w:val="4"/>
        </w:numPr>
      </w:pPr>
      <w:r w:rsidRPr="00400A96">
        <w:rPr>
          <w:b/>
        </w:rPr>
        <w:t xml:space="preserve">Zaměstnanec ve výkonu </w:t>
      </w:r>
      <w:r w:rsidRPr="00400A96">
        <w:t>– jedná se o zaměstnance soudu, který není soudcem, ale bezprostředně se podílí na vyřizování soudní agendy a výkonu soudnictví. Zaměstnance lze roztřídit do několika kategorií podle druhu práce, kterou vykonávají. Bližší popis je uveden v podkapitole 2.1.2.</w:t>
      </w:r>
    </w:p>
    <w:p w:rsidR="00A4083A" w:rsidRPr="00400A96" w:rsidRDefault="00A4083A" w:rsidP="00A4083A">
      <w:pPr>
        <w:pStyle w:val="Odstavecseseznamem"/>
        <w:numPr>
          <w:ilvl w:val="0"/>
          <w:numId w:val="4"/>
        </w:numPr>
      </w:pPr>
      <w:r w:rsidRPr="00400A96">
        <w:rPr>
          <w:b/>
        </w:rPr>
        <w:t xml:space="preserve">Zaměstnanec ve správě </w:t>
      </w:r>
      <w:r w:rsidRPr="00400A96">
        <w:t>– zajišťuje provoz soudu</w:t>
      </w:r>
      <w:r>
        <w:t>, což</w:t>
      </w:r>
      <w:r w:rsidRPr="00400A96">
        <w:t xml:space="preserve"> zahrnuje velkou škálu funkcí. Celou správu soudu řídí ředitel správy. Dalšími zaměstnanci ve správě jsou například pracovníci sekretariátu, dozorčí úředníci, účetní, ekonomové, informatici nebo řidiči. Celkem je rozlišováno 40 kategorií zaměstnanců ve správě.</w:t>
      </w:r>
    </w:p>
    <w:p w:rsidR="00A4083A" w:rsidRPr="00400A96" w:rsidRDefault="00A4083A" w:rsidP="00A4083A">
      <w:pPr>
        <w:pStyle w:val="Odstavecseseznamem"/>
        <w:numPr>
          <w:ilvl w:val="0"/>
          <w:numId w:val="4"/>
        </w:numPr>
      </w:pPr>
      <w:r w:rsidRPr="00400A96">
        <w:rPr>
          <w:b/>
        </w:rPr>
        <w:t xml:space="preserve">Zkrácené přípravné řízení </w:t>
      </w:r>
      <w:r w:rsidRPr="00400A96">
        <w:t>– představuje zvláštní formu přípravného řízení, jehož podstatou je umožnit u méně závažných trestných činů jejich rychlejší a jednodušší vyřízení (skončení), tedy objasnění skutku, ve kterém je spatřován trestný čin, zjištění osoby důvodně podezřelé z jeho spáchání a vyhledání důkazů. Zkrácené přípravné řízení lze podle zákona konat jen o trestných činech, které v prvním stupni přísluší projednávat okresnímu soudu a jejichž horní hranice trestní sazby nepřevyšuje pět let, pokud byl podezřelý přistižen při činu nebo bezprostředně po něm nebo pokud v průběhu prověřování byly zjištěny skutečnosti jinak odůvodňující zahájení trestního stíhání a lze očekávat, že podezřelého bude možné ve lhůtě dvou týdnů postavit před soud.</w:t>
      </w:r>
    </w:p>
    <w:p w:rsidR="00A4083A" w:rsidRPr="00F85178" w:rsidRDefault="00A4083A" w:rsidP="00A4083A">
      <w:pPr>
        <w:spacing w:line="240" w:lineRule="auto"/>
        <w:jc w:val="left"/>
      </w:pPr>
      <w:r w:rsidRPr="00F85178">
        <w:br w:type="page"/>
      </w:r>
    </w:p>
    <w:p w:rsidR="00A4083A" w:rsidRPr="00F85178" w:rsidRDefault="00A4083A" w:rsidP="00A4083A">
      <w:pPr>
        <w:pStyle w:val="Nadpis2"/>
        <w:numPr>
          <w:ilvl w:val="0"/>
          <w:numId w:val="0"/>
        </w:numPr>
        <w:ind w:left="578" w:hanging="578"/>
      </w:pPr>
      <w:bookmarkStart w:id="792" w:name="_Ref482901972"/>
      <w:bookmarkStart w:id="793" w:name="_Toc487791320"/>
      <w:bookmarkStart w:id="794" w:name="_Toc43903136"/>
      <w:r w:rsidRPr="00F85178">
        <w:lastRenderedPageBreak/>
        <w:t>Příloha B – seznam zkr. soudních okresů a soudních obvodů hl. m. Prahy</w:t>
      </w:r>
      <w:bookmarkEnd w:id="792"/>
      <w:bookmarkEnd w:id="793"/>
      <w:bookmarkEnd w:id="794"/>
    </w:p>
    <w:p w:rsidR="00A4083A" w:rsidRPr="00F85178" w:rsidRDefault="00A4083A" w:rsidP="00A4083A"/>
    <w:tbl>
      <w:tblPr>
        <w:tblW w:w="6760" w:type="dxa"/>
        <w:jc w:val="center"/>
        <w:tblCellMar>
          <w:left w:w="70" w:type="dxa"/>
          <w:right w:w="70" w:type="dxa"/>
        </w:tblCellMar>
        <w:tblLook w:val="04A0" w:firstRow="1" w:lastRow="0" w:firstColumn="1" w:lastColumn="0" w:noHBand="0" w:noVBand="1"/>
      </w:tblPr>
      <w:tblGrid>
        <w:gridCol w:w="2320"/>
        <w:gridCol w:w="1060"/>
        <w:gridCol w:w="2320"/>
        <w:gridCol w:w="1060"/>
      </w:tblGrid>
      <w:tr w:rsidR="00A4083A" w:rsidRPr="00F85178" w:rsidTr="00A41CAB">
        <w:trPr>
          <w:trHeight w:val="345"/>
          <w:jc w:val="center"/>
        </w:trPr>
        <w:tc>
          <w:tcPr>
            <w:tcW w:w="2320" w:type="dxa"/>
            <w:tcBorders>
              <w:top w:val="double" w:sz="6" w:space="0" w:color="auto"/>
              <w:left w:val="nil"/>
              <w:bottom w:val="double" w:sz="6" w:space="0" w:color="auto"/>
              <w:right w:val="nil"/>
            </w:tcBorders>
            <w:shd w:val="clear" w:color="auto" w:fill="auto"/>
            <w:noWrap/>
            <w:vAlign w:val="center"/>
            <w:hideMark/>
          </w:tcPr>
          <w:p w:rsidR="00A4083A" w:rsidRPr="00F85178" w:rsidRDefault="00A4083A" w:rsidP="00A41CAB">
            <w:pPr>
              <w:spacing w:line="240" w:lineRule="auto"/>
              <w:jc w:val="left"/>
              <w:rPr>
                <w:b/>
              </w:rPr>
            </w:pPr>
            <w:r w:rsidRPr="00F85178">
              <w:rPr>
                <w:b/>
              </w:rPr>
              <w:t>Okres (obvod)</w:t>
            </w:r>
          </w:p>
        </w:tc>
        <w:tc>
          <w:tcPr>
            <w:tcW w:w="1060" w:type="dxa"/>
            <w:tcBorders>
              <w:top w:val="double" w:sz="6" w:space="0" w:color="auto"/>
              <w:left w:val="nil"/>
              <w:bottom w:val="double" w:sz="6" w:space="0" w:color="auto"/>
              <w:right w:val="single" w:sz="4" w:space="0" w:color="auto"/>
            </w:tcBorders>
            <w:shd w:val="clear" w:color="auto" w:fill="auto"/>
            <w:noWrap/>
            <w:vAlign w:val="center"/>
            <w:hideMark/>
          </w:tcPr>
          <w:p w:rsidR="00A4083A" w:rsidRPr="00F85178" w:rsidRDefault="00A4083A" w:rsidP="00A41CAB">
            <w:pPr>
              <w:spacing w:line="240" w:lineRule="auto"/>
              <w:jc w:val="left"/>
              <w:rPr>
                <w:b/>
              </w:rPr>
            </w:pPr>
            <w:r w:rsidRPr="00F85178">
              <w:rPr>
                <w:b/>
              </w:rPr>
              <w:t>Zkratka</w:t>
            </w:r>
          </w:p>
        </w:tc>
        <w:tc>
          <w:tcPr>
            <w:tcW w:w="2320" w:type="dxa"/>
            <w:tcBorders>
              <w:top w:val="double" w:sz="6" w:space="0" w:color="auto"/>
              <w:left w:val="nil"/>
              <w:bottom w:val="double" w:sz="6" w:space="0" w:color="auto"/>
              <w:right w:val="nil"/>
            </w:tcBorders>
            <w:shd w:val="clear" w:color="auto" w:fill="auto"/>
            <w:noWrap/>
            <w:vAlign w:val="center"/>
            <w:hideMark/>
          </w:tcPr>
          <w:p w:rsidR="00A4083A" w:rsidRPr="00F85178" w:rsidRDefault="00A4083A" w:rsidP="00A41CAB">
            <w:pPr>
              <w:spacing w:line="240" w:lineRule="auto"/>
              <w:jc w:val="left"/>
              <w:rPr>
                <w:b/>
              </w:rPr>
            </w:pPr>
            <w:r w:rsidRPr="00F85178">
              <w:rPr>
                <w:b/>
              </w:rPr>
              <w:t>Okres (obvod)</w:t>
            </w:r>
          </w:p>
        </w:tc>
        <w:tc>
          <w:tcPr>
            <w:tcW w:w="1060" w:type="dxa"/>
            <w:tcBorders>
              <w:top w:val="double" w:sz="6" w:space="0" w:color="auto"/>
              <w:left w:val="nil"/>
              <w:bottom w:val="double" w:sz="6" w:space="0" w:color="auto"/>
              <w:right w:val="nil"/>
            </w:tcBorders>
            <w:shd w:val="clear" w:color="auto" w:fill="auto"/>
            <w:noWrap/>
            <w:vAlign w:val="center"/>
            <w:hideMark/>
          </w:tcPr>
          <w:p w:rsidR="00A4083A" w:rsidRPr="00F85178" w:rsidRDefault="00A4083A" w:rsidP="00A41CAB">
            <w:pPr>
              <w:spacing w:line="240" w:lineRule="auto"/>
              <w:jc w:val="left"/>
              <w:rPr>
                <w:b/>
              </w:rPr>
            </w:pPr>
            <w:r w:rsidRPr="00F85178">
              <w:rPr>
                <w:b/>
              </w:rPr>
              <w:t>Zkratka</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Benešov</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BN</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Pardubice</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PA</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Beroun</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BE</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Pelhřimov</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PE</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Blansko</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BK</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Písek</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PI</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Brno-město</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BM</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Plzeň-jih</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PJ</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Brno-venkov</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BO</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Plzeň-město</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PM</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Bruntál</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BR</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Plzeň-sever</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PS</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Břeclav</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BV</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Praha 1</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P 1</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Česká Lípa</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CL</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 xml:space="preserve">Praha </w:t>
            </w:r>
            <w:r w:rsidRPr="00F85178">
              <w:rPr>
                <w:rFonts w:eastAsia="Times New Roman"/>
                <w:szCs w:val="24"/>
                <w:lang w:eastAsia="cs-CZ"/>
              </w:rPr>
              <w:t>2</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 xml:space="preserve">P </w:t>
            </w:r>
            <w:r w:rsidRPr="00F85178">
              <w:rPr>
                <w:rFonts w:eastAsia="Times New Roman"/>
                <w:szCs w:val="24"/>
                <w:lang w:eastAsia="cs-CZ"/>
              </w:rPr>
              <w:t>2</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České Budějovice</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CB</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 xml:space="preserve">Praha </w:t>
            </w:r>
            <w:r w:rsidRPr="00F85178">
              <w:rPr>
                <w:rFonts w:eastAsia="Times New Roman"/>
                <w:szCs w:val="24"/>
                <w:lang w:eastAsia="cs-CZ"/>
              </w:rPr>
              <w:t>3</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 xml:space="preserve">P </w:t>
            </w:r>
            <w:r w:rsidRPr="00F85178">
              <w:rPr>
                <w:rFonts w:eastAsia="Times New Roman"/>
                <w:szCs w:val="24"/>
                <w:lang w:eastAsia="cs-CZ"/>
              </w:rPr>
              <w:t>3</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Český Krumlov</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CK</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 xml:space="preserve">Praha </w:t>
            </w:r>
            <w:r w:rsidRPr="00F85178">
              <w:rPr>
                <w:rFonts w:eastAsia="Times New Roman"/>
                <w:szCs w:val="24"/>
                <w:lang w:eastAsia="cs-CZ"/>
              </w:rPr>
              <w:t>4</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 xml:space="preserve">P </w:t>
            </w:r>
            <w:r w:rsidRPr="00F85178">
              <w:rPr>
                <w:rFonts w:eastAsia="Times New Roman"/>
                <w:szCs w:val="24"/>
                <w:lang w:eastAsia="cs-CZ"/>
              </w:rPr>
              <w:t>4</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Děčín</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DC</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 xml:space="preserve">Praha </w:t>
            </w:r>
            <w:r w:rsidRPr="00F85178">
              <w:rPr>
                <w:rFonts w:eastAsia="Times New Roman"/>
                <w:szCs w:val="24"/>
                <w:lang w:eastAsia="cs-CZ"/>
              </w:rPr>
              <w:t>5</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 xml:space="preserve">P </w:t>
            </w:r>
            <w:r w:rsidRPr="00F85178">
              <w:rPr>
                <w:rFonts w:eastAsia="Times New Roman"/>
                <w:szCs w:val="24"/>
                <w:lang w:eastAsia="cs-CZ"/>
              </w:rPr>
              <w:t>5</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Domažlice</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DO</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 xml:space="preserve">Praha </w:t>
            </w:r>
            <w:r w:rsidRPr="00F85178">
              <w:rPr>
                <w:rFonts w:eastAsia="Times New Roman"/>
                <w:szCs w:val="24"/>
                <w:lang w:eastAsia="cs-CZ"/>
              </w:rPr>
              <w:t>6</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 xml:space="preserve">P </w:t>
            </w:r>
            <w:r w:rsidRPr="00F85178">
              <w:rPr>
                <w:rFonts w:eastAsia="Times New Roman"/>
                <w:szCs w:val="24"/>
                <w:lang w:eastAsia="cs-CZ"/>
              </w:rPr>
              <w:t>6</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Frýdek-Místek</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FM</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 xml:space="preserve">Praha </w:t>
            </w:r>
            <w:r w:rsidRPr="00F85178">
              <w:rPr>
                <w:rFonts w:eastAsia="Times New Roman"/>
                <w:szCs w:val="24"/>
                <w:lang w:eastAsia="cs-CZ"/>
              </w:rPr>
              <w:t>7</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 xml:space="preserve">P </w:t>
            </w:r>
            <w:r w:rsidRPr="00F85178">
              <w:rPr>
                <w:rFonts w:eastAsia="Times New Roman"/>
                <w:szCs w:val="24"/>
                <w:lang w:eastAsia="cs-CZ"/>
              </w:rPr>
              <w:t>7</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Havlíčkův Brod</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HB</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 xml:space="preserve">Praha </w:t>
            </w:r>
            <w:r w:rsidRPr="00F85178">
              <w:rPr>
                <w:rFonts w:eastAsia="Times New Roman"/>
                <w:szCs w:val="24"/>
                <w:lang w:eastAsia="cs-CZ"/>
              </w:rPr>
              <w:t>8</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 xml:space="preserve">P </w:t>
            </w:r>
            <w:r w:rsidRPr="00F85178">
              <w:rPr>
                <w:rFonts w:eastAsia="Times New Roman"/>
                <w:szCs w:val="24"/>
                <w:lang w:eastAsia="cs-CZ"/>
              </w:rPr>
              <w:t>8</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Hodonín</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HO</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 xml:space="preserve">Praha </w:t>
            </w:r>
            <w:r w:rsidRPr="00F85178">
              <w:rPr>
                <w:rFonts w:eastAsia="Times New Roman"/>
                <w:szCs w:val="24"/>
                <w:lang w:eastAsia="cs-CZ"/>
              </w:rPr>
              <w:t>9</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 xml:space="preserve">P </w:t>
            </w:r>
            <w:r w:rsidRPr="00F85178">
              <w:rPr>
                <w:rFonts w:eastAsia="Times New Roman"/>
                <w:szCs w:val="24"/>
                <w:lang w:eastAsia="cs-CZ"/>
              </w:rPr>
              <w:t>9</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Hradec Králové</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HK</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 xml:space="preserve">Praha </w:t>
            </w:r>
            <w:r w:rsidRPr="00F85178">
              <w:rPr>
                <w:rFonts w:eastAsia="Times New Roman"/>
                <w:szCs w:val="24"/>
                <w:lang w:eastAsia="cs-CZ"/>
              </w:rPr>
              <w:t>10</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 xml:space="preserve">P </w:t>
            </w:r>
            <w:r w:rsidRPr="00F85178">
              <w:rPr>
                <w:rFonts w:eastAsia="Times New Roman"/>
                <w:szCs w:val="24"/>
                <w:lang w:eastAsia="cs-CZ"/>
              </w:rPr>
              <w:t>10</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Cheb</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CH</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Praha-východ</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PY</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Chomutov</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CV</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Praha-západ</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PZ</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Chrudim</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CR</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Prachatice</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PT</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Jablonec nad Nisou</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JN</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Prostějov</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PV</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Jeseník</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JE</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Přerov</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PR</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Jičín</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JC</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Příbram</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PB</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Jihlava</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JI</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Rakovník</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RA</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Jindřichův Hradec</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JH</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Rokycany</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RO</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Karlovy Vary</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KV</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Rychnov nad Kněžnou</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RK</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Karviná</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KA</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Semily</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SM</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Kladno</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KL</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Sokolov</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SO</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Klatovy</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KT</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Strakonice</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ST</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Kolín</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KO</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Svitavy</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SY</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Kroměříž</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KM</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Šumperk</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SU</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Kutná Hora</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KH</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Tábor</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TA</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Liberec</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LB</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Tachov</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TC</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Litoměřice</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LT</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Teplice</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TP</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Louny</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LN</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Trutnov</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TU</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Mělník</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ME</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Třebíč</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TR</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Mladá Boleslav</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MB</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Uherské Hradiště</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UH</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Most</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MO</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Ústí nad Labem</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UL</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Náchod</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NA</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Ústí nad Orlicí</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UO</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Nový Jičín</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NJ</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Vsetín</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VS</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Nymburk</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NB</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Vyškov</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VY</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Olomouc</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OC</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Zlín</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ZL</w:t>
            </w:r>
          </w:p>
        </w:tc>
      </w:tr>
      <w:tr w:rsidR="00A4083A" w:rsidRPr="00F85178" w:rsidTr="00A41CAB">
        <w:trPr>
          <w:trHeight w:val="285"/>
          <w:jc w:val="center"/>
        </w:trPr>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Opava</w:t>
            </w:r>
          </w:p>
        </w:tc>
        <w:tc>
          <w:tcPr>
            <w:tcW w:w="1060" w:type="dxa"/>
            <w:tcBorders>
              <w:top w:val="nil"/>
              <w:left w:val="nil"/>
              <w:bottom w:val="single" w:sz="4"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OP</w:t>
            </w:r>
          </w:p>
        </w:tc>
        <w:tc>
          <w:tcPr>
            <w:tcW w:w="232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left"/>
            </w:pPr>
            <w:r w:rsidRPr="00F85178">
              <w:t>Znojmo</w:t>
            </w:r>
          </w:p>
        </w:tc>
        <w:tc>
          <w:tcPr>
            <w:tcW w:w="1060" w:type="dxa"/>
            <w:tcBorders>
              <w:top w:val="nil"/>
              <w:left w:val="nil"/>
              <w:bottom w:val="single" w:sz="4" w:space="0" w:color="auto"/>
              <w:right w:val="nil"/>
            </w:tcBorders>
            <w:shd w:val="clear" w:color="auto" w:fill="auto"/>
            <w:noWrap/>
            <w:vAlign w:val="bottom"/>
            <w:hideMark/>
          </w:tcPr>
          <w:p w:rsidR="00A4083A" w:rsidRPr="00F85178" w:rsidRDefault="00A4083A" w:rsidP="00A41CAB">
            <w:pPr>
              <w:spacing w:line="240" w:lineRule="auto"/>
              <w:jc w:val="center"/>
            </w:pPr>
            <w:r w:rsidRPr="00F85178">
              <w:t>ZN</w:t>
            </w:r>
          </w:p>
        </w:tc>
      </w:tr>
      <w:tr w:rsidR="00A4083A" w:rsidRPr="00F85178" w:rsidTr="00A41CAB">
        <w:trPr>
          <w:trHeight w:val="285"/>
          <w:jc w:val="center"/>
        </w:trPr>
        <w:tc>
          <w:tcPr>
            <w:tcW w:w="2320" w:type="dxa"/>
            <w:tcBorders>
              <w:top w:val="nil"/>
              <w:left w:val="nil"/>
              <w:bottom w:val="double" w:sz="6" w:space="0" w:color="auto"/>
              <w:right w:val="nil"/>
            </w:tcBorders>
            <w:shd w:val="clear" w:color="auto" w:fill="auto"/>
            <w:noWrap/>
            <w:vAlign w:val="bottom"/>
            <w:hideMark/>
          </w:tcPr>
          <w:p w:rsidR="00A4083A" w:rsidRPr="00F85178" w:rsidRDefault="00A4083A" w:rsidP="00A41CAB">
            <w:pPr>
              <w:spacing w:line="240" w:lineRule="auto"/>
              <w:jc w:val="left"/>
            </w:pPr>
            <w:r w:rsidRPr="00F85178">
              <w:t>Ostrava</w:t>
            </w:r>
          </w:p>
        </w:tc>
        <w:tc>
          <w:tcPr>
            <w:tcW w:w="1060" w:type="dxa"/>
            <w:tcBorders>
              <w:top w:val="nil"/>
              <w:left w:val="nil"/>
              <w:bottom w:val="double" w:sz="6" w:space="0" w:color="auto"/>
              <w:right w:val="single" w:sz="4" w:space="0" w:color="auto"/>
            </w:tcBorders>
            <w:shd w:val="clear" w:color="auto" w:fill="auto"/>
            <w:noWrap/>
            <w:vAlign w:val="bottom"/>
            <w:hideMark/>
          </w:tcPr>
          <w:p w:rsidR="00A4083A" w:rsidRPr="00F85178" w:rsidRDefault="00A4083A" w:rsidP="00A41CAB">
            <w:pPr>
              <w:spacing w:line="240" w:lineRule="auto"/>
              <w:jc w:val="center"/>
            </w:pPr>
            <w:r w:rsidRPr="00F85178">
              <w:t>OS</w:t>
            </w:r>
          </w:p>
        </w:tc>
        <w:tc>
          <w:tcPr>
            <w:tcW w:w="2320" w:type="dxa"/>
            <w:tcBorders>
              <w:top w:val="nil"/>
              <w:left w:val="nil"/>
              <w:bottom w:val="double" w:sz="6" w:space="0" w:color="auto"/>
              <w:right w:val="nil"/>
            </w:tcBorders>
            <w:shd w:val="clear" w:color="auto" w:fill="auto"/>
            <w:noWrap/>
            <w:vAlign w:val="bottom"/>
            <w:hideMark/>
          </w:tcPr>
          <w:p w:rsidR="00A4083A" w:rsidRPr="00F85178" w:rsidRDefault="00A4083A" w:rsidP="00A41CAB">
            <w:pPr>
              <w:spacing w:line="240" w:lineRule="auto"/>
              <w:jc w:val="left"/>
            </w:pPr>
            <w:r w:rsidRPr="00F85178">
              <w:t>Žďár nad Sázavou</w:t>
            </w:r>
          </w:p>
        </w:tc>
        <w:tc>
          <w:tcPr>
            <w:tcW w:w="1060" w:type="dxa"/>
            <w:tcBorders>
              <w:top w:val="nil"/>
              <w:left w:val="nil"/>
              <w:bottom w:val="double" w:sz="6" w:space="0" w:color="auto"/>
              <w:right w:val="nil"/>
            </w:tcBorders>
            <w:shd w:val="clear" w:color="auto" w:fill="auto"/>
            <w:noWrap/>
            <w:vAlign w:val="bottom"/>
            <w:hideMark/>
          </w:tcPr>
          <w:p w:rsidR="00A4083A" w:rsidRPr="00F85178" w:rsidRDefault="00A4083A" w:rsidP="00A41CAB">
            <w:pPr>
              <w:spacing w:line="240" w:lineRule="auto"/>
              <w:jc w:val="center"/>
            </w:pPr>
            <w:r w:rsidRPr="00F85178">
              <w:t>ZR</w:t>
            </w:r>
          </w:p>
        </w:tc>
      </w:tr>
    </w:tbl>
    <w:p w:rsidR="00A4083A" w:rsidRPr="00F85178" w:rsidRDefault="00A4083A" w:rsidP="00A4083A">
      <w:pPr>
        <w:pStyle w:val="Nadpis2"/>
        <w:numPr>
          <w:ilvl w:val="0"/>
          <w:numId w:val="0"/>
        </w:numPr>
        <w:ind w:left="578" w:hanging="578"/>
      </w:pPr>
      <w:bookmarkStart w:id="795" w:name="_Toc487791321"/>
      <w:bookmarkStart w:id="796" w:name="_Toc43903137"/>
      <w:r w:rsidRPr="00F85178">
        <w:lastRenderedPageBreak/>
        <w:t>Příloha C – seznam vybraných rejstříků soudů</w:t>
      </w:r>
      <w:bookmarkEnd w:id="795"/>
      <w:bookmarkEnd w:id="796"/>
    </w:p>
    <w:p w:rsidR="00A4083A" w:rsidRPr="00F85178" w:rsidRDefault="00A4083A" w:rsidP="00A4083A"/>
    <w:tbl>
      <w:tblPr>
        <w:tblW w:w="9100" w:type="dxa"/>
        <w:tblInd w:w="55" w:type="dxa"/>
        <w:tblCellMar>
          <w:left w:w="70" w:type="dxa"/>
          <w:right w:w="70" w:type="dxa"/>
        </w:tblCellMar>
        <w:tblLook w:val="04A0" w:firstRow="1" w:lastRow="0" w:firstColumn="1" w:lastColumn="0" w:noHBand="0" w:noVBand="1"/>
      </w:tblPr>
      <w:tblGrid>
        <w:gridCol w:w="960"/>
        <w:gridCol w:w="8140"/>
      </w:tblGrid>
      <w:tr w:rsidR="00A4083A" w:rsidRPr="00F85178" w:rsidTr="00A41CAB">
        <w:trPr>
          <w:trHeight w:val="346"/>
          <w:tblHeader/>
        </w:trPr>
        <w:tc>
          <w:tcPr>
            <w:tcW w:w="960" w:type="dxa"/>
            <w:tcBorders>
              <w:top w:val="double" w:sz="6" w:space="0" w:color="auto"/>
              <w:left w:val="nil"/>
              <w:bottom w:val="double" w:sz="6" w:space="0" w:color="auto"/>
              <w:right w:val="nil"/>
            </w:tcBorders>
            <w:shd w:val="clear" w:color="auto" w:fill="auto"/>
            <w:noWrap/>
            <w:vAlign w:val="center"/>
            <w:hideMark/>
          </w:tcPr>
          <w:p w:rsidR="00A4083A" w:rsidRPr="00F85178" w:rsidRDefault="00A4083A" w:rsidP="00A41CAB">
            <w:pPr>
              <w:spacing w:line="240" w:lineRule="auto"/>
              <w:jc w:val="left"/>
              <w:rPr>
                <w:rFonts w:eastAsia="Times New Roman"/>
                <w:b/>
                <w:bCs/>
                <w:szCs w:val="24"/>
                <w:lang w:eastAsia="cs-CZ"/>
              </w:rPr>
            </w:pPr>
            <w:bookmarkStart w:id="797" w:name="_Toc487791322"/>
            <w:r w:rsidRPr="00F85178">
              <w:rPr>
                <w:rFonts w:eastAsia="Times New Roman"/>
                <w:b/>
                <w:bCs/>
                <w:szCs w:val="24"/>
                <w:lang w:eastAsia="cs-CZ"/>
              </w:rPr>
              <w:t>Rejstřík</w:t>
            </w:r>
          </w:p>
        </w:tc>
        <w:tc>
          <w:tcPr>
            <w:tcW w:w="8140" w:type="dxa"/>
            <w:tcBorders>
              <w:top w:val="double" w:sz="6" w:space="0" w:color="auto"/>
              <w:left w:val="nil"/>
              <w:bottom w:val="double" w:sz="6" w:space="0" w:color="auto"/>
              <w:right w:val="nil"/>
            </w:tcBorders>
            <w:shd w:val="clear" w:color="auto" w:fill="auto"/>
            <w:noWrap/>
            <w:vAlign w:val="center"/>
            <w:hideMark/>
          </w:tcPr>
          <w:p w:rsidR="00A4083A" w:rsidRPr="00F85178" w:rsidRDefault="00A4083A" w:rsidP="00A41CAB">
            <w:pPr>
              <w:spacing w:line="240" w:lineRule="auto"/>
              <w:jc w:val="left"/>
              <w:rPr>
                <w:rFonts w:eastAsia="Times New Roman"/>
                <w:b/>
                <w:bCs/>
                <w:szCs w:val="24"/>
                <w:lang w:eastAsia="cs-CZ"/>
              </w:rPr>
            </w:pPr>
            <w:r w:rsidRPr="00F85178">
              <w:rPr>
                <w:rFonts w:eastAsia="Times New Roman"/>
                <w:b/>
                <w:bCs/>
                <w:szCs w:val="24"/>
                <w:lang w:eastAsia="cs-CZ"/>
              </w:rPr>
              <w:t>Popis</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A (KS)</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Ostatní návrhy ve věcech správního soudnictví (od roku 2010)</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A (NSS)</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Převzatá agenda z vrchních soudů (dříve)</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Ad</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Správní žaloby ve věcech sociální a důchodové správy (od roku 2010)</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Ads</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Řízení o kasačních stížnostech ve věcech sociální a důchodové správy</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Af</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Správní žaloby ve věcech finanční správy (od roku 2010)</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Afs</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Řízení o kasačních stížnostech ve věcech finanční správy</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Ans</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Řízení o kasačních stížnostech ve věcech ochrany proti nečinnosti správního orgánu (dříve)</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Aos</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Řízení o kasačních stížnostech ve věcech opatření obecné povahy (dříve)</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Aps</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Řízení o kasačních stížnostech ve věcech ochrany před nezákonným zásahem, pokynem nebo donucením správního orgánu (dříve)</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Ars</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Řízení o kasačních stížnostech ve věcech krajského a místního referenda, ve věcech dohledu nad hospodařením politických stran a hnutí a ve věcech dohledu nad financováním volebních kampaní politických stran a hnutí</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As</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Řízení o kasačních stížnostech v ostatních věcech</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Az</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Správní žaloby ve věcech mezinárodní ochrany</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Azs</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Řízení o kasačních stížnostech ve věcech mezinárodní ochrany a zákona o pobytu cizinců</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C</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Občanskoprávní věci</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Ca</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Ostatní návrhy ve věcech správního soudnictví (před rokem 2010)</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Cad</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Správní žaloby ve věcech sociální a důchodové správy (před rokem 2010)</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Cdo</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Dovolání proti rozhodnutím odvolacích soudů ve věcech občanskoprávních a obchodních</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Cm</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Obchodní věci</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Cmo</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Odvolací civilní agenda v obchodních věcech</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Co</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Odvolací civilní agenda</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EC (KS)</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Převedené věci z rejstříku EPR – občanskoprávní věci</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EC (OS)</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Návrhy na vydání elektronického platebního rozkazu (před rejstříkem EPR)</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ECm</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Převedené věci z rejstříku EPR – obchodní věci</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EPR</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Návrhy na vydání elektronického platebního rozkazu</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EVC</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Návrhy na vydání evropského platebního rozkazu</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EVCm</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Návrhy na vydání evropského platebního rozkazu v obchodních věcech</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tcPr>
          <w:p w:rsidR="00A4083A" w:rsidRPr="00F85178" w:rsidRDefault="00A4083A" w:rsidP="00A41CAB">
            <w:pPr>
              <w:spacing w:before="14" w:after="14" w:line="240" w:lineRule="auto"/>
              <w:jc w:val="left"/>
              <w:rPr>
                <w:rFonts w:eastAsia="Times New Roman"/>
                <w:szCs w:val="24"/>
                <w:lang w:eastAsia="cs-CZ"/>
              </w:rPr>
            </w:pPr>
            <w:r>
              <w:rPr>
                <w:rFonts w:eastAsia="Times New Roman"/>
                <w:szCs w:val="24"/>
                <w:lang w:eastAsia="cs-CZ"/>
              </w:rPr>
              <w:t>ICdo</w:t>
            </w:r>
          </w:p>
        </w:tc>
        <w:tc>
          <w:tcPr>
            <w:tcW w:w="8140" w:type="dxa"/>
            <w:tcBorders>
              <w:top w:val="nil"/>
              <w:left w:val="nil"/>
              <w:bottom w:val="single" w:sz="4" w:space="0" w:color="auto"/>
              <w:right w:val="nil"/>
            </w:tcBorders>
            <w:shd w:val="clear" w:color="auto" w:fill="auto"/>
            <w:vAlign w:val="center"/>
          </w:tcPr>
          <w:p w:rsidR="00A4083A" w:rsidRPr="00F85178" w:rsidRDefault="00A4083A" w:rsidP="00A41CAB">
            <w:pPr>
              <w:spacing w:before="14" w:after="14" w:line="240" w:lineRule="auto"/>
              <w:jc w:val="left"/>
              <w:rPr>
                <w:rFonts w:eastAsia="Times New Roman"/>
                <w:szCs w:val="24"/>
                <w:lang w:eastAsia="cs-CZ"/>
              </w:rPr>
            </w:pPr>
            <w:r>
              <w:rPr>
                <w:rFonts w:eastAsia="Times New Roman"/>
                <w:szCs w:val="24"/>
                <w:lang w:eastAsia="cs-CZ"/>
              </w:rPr>
              <w:t>Věci předložené Nejvyššímu soudu k rozhodnutí</w:t>
            </w:r>
            <w:r w:rsidRPr="00915D5E">
              <w:rPr>
                <w:rFonts w:eastAsia="Times New Roman"/>
                <w:szCs w:val="24"/>
                <w:lang w:eastAsia="cs-CZ"/>
              </w:rPr>
              <w:t xml:space="preserve"> pro incidenční spory vyvolané v</w:t>
            </w:r>
            <w:r>
              <w:rPr>
                <w:rFonts w:eastAsia="Times New Roman"/>
                <w:szCs w:val="24"/>
                <w:lang w:eastAsia="cs-CZ"/>
              </w:rPr>
              <w:t> </w:t>
            </w:r>
            <w:r w:rsidRPr="00915D5E">
              <w:rPr>
                <w:rFonts w:eastAsia="Times New Roman"/>
                <w:szCs w:val="24"/>
                <w:lang w:eastAsia="cs-CZ"/>
              </w:rPr>
              <w:t>průběhu insolvenčního řízení</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ICm</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Incidenční spory</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INS</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Insolvenční řízení</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Kss</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Řízení ve věcech soudců</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L</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Detenční řízení</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Pr>
                <w:rFonts w:eastAsia="Times New Roman"/>
                <w:szCs w:val="24"/>
                <w:lang w:eastAsia="cs-CZ"/>
              </w:rPr>
              <w:t>NSČR</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Věci předložené Nejvyššímu soudu k rozhodnutí v insolvenčním řízení</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lastRenderedPageBreak/>
              <w:t>Odo</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Dovolání proti rozhodnutím odvolacích soudů ve věcech obchodních (dříve)</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P a Nc</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Opatrovnické řízení</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T</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Trestní věci</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Tdo</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Dovolání proti rozhodnutím soudů druhého stupně ve věcech trestních</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Tm</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Trestní věci mládeže</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Tmo</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Trestní agenda odvolací – mladiství</w:t>
            </w:r>
          </w:p>
        </w:tc>
      </w:tr>
      <w:tr w:rsidR="00A4083A" w:rsidRPr="00F85178" w:rsidTr="00A41CAB">
        <w:trPr>
          <w:trHeight w:val="340"/>
        </w:trPr>
        <w:tc>
          <w:tcPr>
            <w:tcW w:w="96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To</w:t>
            </w:r>
          </w:p>
        </w:tc>
        <w:tc>
          <w:tcPr>
            <w:tcW w:w="8140" w:type="dxa"/>
            <w:tcBorders>
              <w:top w:val="nil"/>
              <w:left w:val="nil"/>
              <w:bottom w:val="single" w:sz="4"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Trestní agenda odvolací</w:t>
            </w:r>
          </w:p>
        </w:tc>
      </w:tr>
      <w:tr w:rsidR="00A4083A" w:rsidRPr="00F85178" w:rsidTr="00A41CAB">
        <w:trPr>
          <w:trHeight w:val="340"/>
        </w:trPr>
        <w:tc>
          <w:tcPr>
            <w:tcW w:w="960" w:type="dxa"/>
            <w:tcBorders>
              <w:top w:val="nil"/>
              <w:left w:val="nil"/>
              <w:bottom w:val="double" w:sz="6"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Tz</w:t>
            </w:r>
          </w:p>
        </w:tc>
        <w:tc>
          <w:tcPr>
            <w:tcW w:w="8140" w:type="dxa"/>
            <w:tcBorders>
              <w:top w:val="nil"/>
              <w:left w:val="nil"/>
              <w:bottom w:val="double" w:sz="6" w:space="0" w:color="auto"/>
              <w:right w:val="nil"/>
            </w:tcBorders>
            <w:shd w:val="clear" w:color="auto" w:fill="auto"/>
            <w:vAlign w:val="center"/>
            <w:hideMark/>
          </w:tcPr>
          <w:p w:rsidR="00A4083A" w:rsidRPr="00F85178" w:rsidRDefault="00A4083A" w:rsidP="00A41CAB">
            <w:pPr>
              <w:spacing w:before="14" w:after="14" w:line="240" w:lineRule="auto"/>
              <w:jc w:val="left"/>
              <w:rPr>
                <w:rFonts w:eastAsia="Times New Roman"/>
                <w:szCs w:val="24"/>
                <w:lang w:eastAsia="cs-CZ"/>
              </w:rPr>
            </w:pPr>
            <w:r w:rsidRPr="00F85178">
              <w:rPr>
                <w:rFonts w:eastAsia="Times New Roman"/>
                <w:szCs w:val="24"/>
                <w:lang w:eastAsia="cs-CZ"/>
              </w:rPr>
              <w:t>Stížnosti pro porušení zákona</w:t>
            </w:r>
          </w:p>
        </w:tc>
      </w:tr>
    </w:tbl>
    <w:p w:rsidR="00A4083A" w:rsidRPr="00F85178" w:rsidRDefault="00A4083A" w:rsidP="00A4083A"/>
    <w:bookmarkEnd w:id="797"/>
    <w:p w:rsidR="00A4083A" w:rsidRDefault="00A4083A" w:rsidP="00A4083A">
      <w:pPr>
        <w:spacing w:line="240" w:lineRule="auto"/>
        <w:rPr>
          <w:rFonts w:eastAsia="Times New Roman"/>
          <w:b/>
          <w:bCs/>
          <w:iCs/>
          <w:sz w:val="28"/>
          <w:szCs w:val="28"/>
        </w:rPr>
      </w:pPr>
      <w:r>
        <w:br w:type="page"/>
      </w:r>
    </w:p>
    <w:p w:rsidR="00A4083A" w:rsidRDefault="00A4083A" w:rsidP="00A4083A">
      <w:pPr>
        <w:pStyle w:val="Nadpis2"/>
        <w:numPr>
          <w:ilvl w:val="0"/>
          <w:numId w:val="0"/>
        </w:numPr>
        <w:ind w:left="578" w:hanging="578"/>
      </w:pPr>
      <w:bookmarkStart w:id="798" w:name="_Toc43903138"/>
      <w:r>
        <w:lastRenderedPageBreak/>
        <w:t>Příloha D</w:t>
      </w:r>
      <w:r w:rsidRPr="00F85178">
        <w:t xml:space="preserve"> – </w:t>
      </w:r>
      <w:r>
        <w:t>přehledové listy s daty soudů</w:t>
      </w:r>
      <w:bookmarkEnd w:id="798"/>
    </w:p>
    <w:p w:rsidR="00A4083A" w:rsidRDefault="00A4083A" w:rsidP="00A4083A">
      <w:pPr>
        <w:spacing w:line="240" w:lineRule="auto"/>
        <w:jc w:val="left"/>
      </w:pPr>
    </w:p>
    <w:p w:rsidR="00A4083A" w:rsidRDefault="00FE0F08" w:rsidP="00A4083A">
      <w:pPr>
        <w:spacing w:line="240" w:lineRule="auto"/>
        <w:jc w:val="left"/>
      </w:pPr>
      <w:r>
        <w:object w:dxaOrig="1531"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55pt;height:49.5pt" o:ole="">
            <v:imagedata r:id="rId141" o:title=""/>
          </v:shape>
          <o:OLEObject Type="Embed" ProgID="Excel.Sheet.12" ShapeID="_x0000_i1027" DrawAspect="Icon" ObjectID="_1655615963" r:id="rId142"/>
        </w:object>
      </w:r>
      <w:bookmarkStart w:id="799" w:name="_GoBack"/>
      <w:bookmarkEnd w:id="799"/>
    </w:p>
    <w:p w:rsidR="00A4083A" w:rsidRDefault="00A4083A" w:rsidP="00A4083A">
      <w:pPr>
        <w:spacing w:line="240" w:lineRule="auto"/>
        <w:jc w:val="left"/>
        <w:rPr>
          <w:rFonts w:eastAsia="Times New Roman"/>
          <w:b/>
          <w:bCs/>
          <w:iCs/>
          <w:sz w:val="28"/>
          <w:szCs w:val="28"/>
        </w:rPr>
      </w:pPr>
      <w:r>
        <w:br w:type="page"/>
      </w:r>
    </w:p>
    <w:p w:rsidR="00A4083A" w:rsidRDefault="00A4083A" w:rsidP="00A4083A">
      <w:pPr>
        <w:pStyle w:val="Nadpis2"/>
        <w:numPr>
          <w:ilvl w:val="0"/>
          <w:numId w:val="0"/>
        </w:numPr>
      </w:pPr>
      <w:bookmarkStart w:id="800" w:name="_Toc515871322"/>
      <w:bookmarkStart w:id="801" w:name="_Toc43903139"/>
      <w:r>
        <w:lastRenderedPageBreak/>
        <w:t>Příloha E – detailnější popis DEA</w:t>
      </w:r>
      <w:bookmarkEnd w:id="800"/>
      <w:bookmarkEnd w:id="801"/>
    </w:p>
    <w:p w:rsidR="00A4083A" w:rsidRDefault="00A4083A" w:rsidP="00A4083A">
      <w:pPr>
        <w:pStyle w:val="OdstavecASR"/>
      </w:pPr>
      <w:r w:rsidRPr="00320D69">
        <w:t xml:space="preserve">Metoda je </w:t>
      </w:r>
      <w:r>
        <w:t xml:space="preserve">zde </w:t>
      </w:r>
      <w:r w:rsidRPr="00320D69">
        <w:t>stručně pops</w:t>
      </w:r>
      <w:r>
        <w:t>á</w:t>
      </w:r>
      <w:r w:rsidRPr="00320D69">
        <w:t>n</w:t>
      </w:r>
      <w:r>
        <w:t>a,</w:t>
      </w:r>
      <w:r w:rsidRPr="00320D69">
        <w:t xml:space="preserve"> </w:t>
      </w:r>
      <w:r>
        <w:t>p</w:t>
      </w:r>
      <w:r w:rsidRPr="00320D69">
        <w:t xml:space="preserve">opis </w:t>
      </w:r>
      <w:r>
        <w:t>však</w:t>
      </w:r>
      <w:r w:rsidRPr="00320D69">
        <w:t xml:space="preserve"> nezabíhá do větších detailů, jako je odvození použitých rovnic nebo podrobné vysvětlení všech pojmů.</w:t>
      </w:r>
      <w:r>
        <w:t xml:space="preserve"> </w:t>
      </w:r>
      <w:r w:rsidRPr="00320D69">
        <w:t>V</w:t>
      </w:r>
      <w:r>
        <w:t> </w:t>
      </w:r>
      <w:r w:rsidRPr="00320D69">
        <w:t xml:space="preserve">případě většího zájmu </w:t>
      </w:r>
      <w:r>
        <w:t>odkazujeme na</w:t>
      </w:r>
      <w:r w:rsidRPr="00320D69">
        <w:t xml:space="preserve"> odbornou literaturu</w:t>
      </w:r>
      <w:r>
        <w:t>, jejíž</w:t>
      </w:r>
      <w:r w:rsidRPr="00320D69">
        <w:t xml:space="preserve"> </w:t>
      </w:r>
      <w:r>
        <w:t>stručný</w:t>
      </w:r>
      <w:r w:rsidRPr="00320D69">
        <w:t xml:space="preserve"> seznam </w:t>
      </w:r>
      <w:r>
        <w:t xml:space="preserve">uvádíme </w:t>
      </w:r>
      <w:r w:rsidRPr="00320D69">
        <w:t xml:space="preserve">na konci této </w:t>
      </w:r>
      <w:r>
        <w:t>přílohy</w:t>
      </w:r>
      <w:r w:rsidRPr="00320D69">
        <w:t>.</w:t>
      </w:r>
    </w:p>
    <w:p w:rsidR="00A4083A" w:rsidRPr="00EE1D27" w:rsidRDefault="00A4083A" w:rsidP="00A4083A">
      <w:pPr>
        <w:pStyle w:val="OdstavecASR"/>
      </w:pPr>
      <w:r w:rsidRPr="00320D69">
        <w:t>V</w:t>
      </w:r>
      <w:r>
        <w:t> </w:t>
      </w:r>
      <w:r w:rsidRPr="00320D69">
        <w:t xml:space="preserve">první části </w:t>
      </w:r>
      <w:r>
        <w:t>stručně</w:t>
      </w:r>
      <w:r w:rsidRPr="00320D69">
        <w:t xml:space="preserve"> </w:t>
      </w:r>
      <w:r>
        <w:t>vysvětlujeme</w:t>
      </w:r>
      <w:r w:rsidRPr="00320D69">
        <w:t xml:space="preserve"> teoretické základy</w:t>
      </w:r>
      <w:r>
        <w:t xml:space="preserve"> a shrnujeme </w:t>
      </w:r>
      <w:r w:rsidRPr="00320D69">
        <w:t>vybran</w:t>
      </w:r>
      <w:r>
        <w:t>ou</w:t>
      </w:r>
      <w:r w:rsidRPr="00320D69">
        <w:t xml:space="preserve"> literatur</w:t>
      </w:r>
      <w:r>
        <w:t>u</w:t>
      </w:r>
      <w:r w:rsidRPr="00320D69">
        <w:t>, ve které byla DEA aplikována na soudnictví. V</w:t>
      </w:r>
      <w:r>
        <w:t> </w:t>
      </w:r>
      <w:r w:rsidRPr="00320D69">
        <w:t xml:space="preserve">druhé části </w:t>
      </w:r>
      <w:r>
        <w:t>popisujeme</w:t>
      </w:r>
      <w:r w:rsidRPr="00320D69">
        <w:t xml:space="preserve">, jak konkrétně byla DEA </w:t>
      </w:r>
      <w:r>
        <w:t>použita</w:t>
      </w:r>
      <w:r w:rsidRPr="00320D69">
        <w:t xml:space="preserve"> na české soudy (tj. specifikace modelu).</w:t>
      </w:r>
      <w:r>
        <w:t xml:space="preserve"> </w:t>
      </w:r>
      <w:r w:rsidRPr="00EE1D27">
        <w:t>Výsledky jsou uvedeny</w:t>
      </w:r>
      <w:r>
        <w:t xml:space="preserve"> v </w:t>
      </w:r>
      <w:r w:rsidRPr="00FB644A">
        <w:t xml:space="preserve">podkapitole </w:t>
      </w:r>
      <w:r>
        <w:fldChar w:fldCharType="begin"/>
      </w:r>
      <w:r>
        <w:instrText xml:space="preserve"> REF _Ref43838090 \n \h </w:instrText>
      </w:r>
      <w:r>
        <w:fldChar w:fldCharType="separate"/>
      </w:r>
      <w:r w:rsidR="006E7F27">
        <w:t>2.6.1</w:t>
      </w:r>
      <w:r>
        <w:fldChar w:fldCharType="end"/>
      </w:r>
      <w:r w:rsidRPr="00FB644A">
        <w:t>.</w:t>
      </w:r>
    </w:p>
    <w:p w:rsidR="00A4083A" w:rsidRPr="00DA6022" w:rsidRDefault="00A4083A" w:rsidP="00A4083A">
      <w:pPr>
        <w:pStyle w:val="Nadpis3"/>
        <w:numPr>
          <w:ilvl w:val="0"/>
          <w:numId w:val="0"/>
        </w:numPr>
        <w:ind w:left="720" w:hanging="720"/>
      </w:pPr>
      <w:bookmarkStart w:id="802" w:name="_Toc487791323"/>
      <w:bookmarkStart w:id="803" w:name="_Toc515871323"/>
      <w:bookmarkStart w:id="804" w:name="_Toc43903140"/>
      <w:r w:rsidRPr="00DA6022">
        <w:t>Teorie</w:t>
      </w:r>
      <w:r>
        <w:t xml:space="preserve"> a </w:t>
      </w:r>
      <w:r w:rsidRPr="00DA6022">
        <w:t>literatura</w:t>
      </w:r>
      <w:bookmarkEnd w:id="802"/>
      <w:bookmarkEnd w:id="803"/>
      <w:bookmarkEnd w:id="804"/>
    </w:p>
    <w:p w:rsidR="00A4083A" w:rsidRDefault="00A4083A" w:rsidP="00A4083A">
      <w:pPr>
        <w:pStyle w:val="OdstavecASR"/>
      </w:pPr>
      <w:r>
        <w:t>DEA je neparametrická metoda lineárního programování. Lineární programování je metoda, která se snaží dosáhnout nejlepšího výstupu (např. minimálních nákladů) v matematickém modelu, jehož požadavky jsou reprezentovány lineárními vztahy. Jinak řečeno hledá maximum (minimum) dané funkce za daných podmínek.</w:t>
      </w:r>
    </w:p>
    <w:p w:rsidR="00A4083A" w:rsidRDefault="00A4083A" w:rsidP="00A4083A">
      <w:pPr>
        <w:pStyle w:val="OdstavecASR"/>
      </w:pPr>
      <w:r>
        <w:t>DEA je využívána k analýze technické efektivnosti tzv. DMU (z anglického Decision Making Units, rozhodovací jednotky). Porovnává mezi sebou rozhodovací jednotky, které vytváří podobný produkt, využívají podobné vstupy a spadají pod jednu organizaci. Jedná se například o několik továren spadajících pod jednu společnost nebo právě o soudy. V našem případě tedy analyzujeme technickou efektivnost 86 okresních soudů (DMU) v ČR.</w:t>
      </w:r>
    </w:p>
    <w:p w:rsidR="00A4083A" w:rsidRDefault="00A4083A" w:rsidP="00A4083A">
      <w:pPr>
        <w:pStyle w:val="OdstavecASR"/>
      </w:pPr>
      <w:r>
        <w:t>Hlavním výstupem DEA je skóre efektivnosti (theta) od 0 do 1. Skóre 1 značí, že DMU je efektivní. Čím nižší je vyprodukované skóre, tím si soud počíná méně efektivně. Například skóre 0,6 značí, že soud si počíná efektivně jen z 60 %, tedy že s danými vstupy produkuje pouze 60 % možných výstupů nebo, že za daných vstupů je možné výstupy navýšit o (100 – 60) = 40 %. Konkrétní interpretace závisí na druhu modelu (viz dále).</w:t>
      </w:r>
    </w:p>
    <w:p w:rsidR="00A4083A" w:rsidRDefault="00A4083A" w:rsidP="00A4083A">
      <w:pPr>
        <w:pStyle w:val="OdstavecASR"/>
      </w:pPr>
      <w:r>
        <w:t>Základy konceptu technické efektivnosti, ze kterého DEA vychází a který je popsán níže, položil v roce 1957 M. J. Farell. Na základech tohoto konceptu pak vytvořili Charnes, Cooper a </w:t>
      </w:r>
      <w:r w:rsidRPr="007427E9">
        <w:t>Rhodes (1978)</w:t>
      </w:r>
      <w:r>
        <w:t xml:space="preserve"> model DEA s konstantními výnosy z rozsahu (CRS). Jedná se o tzv. CCR model. Předpoklad konstantních výnosů z rozsahu později uvolnili Banker, Charnes a </w:t>
      </w:r>
      <w:r w:rsidRPr="007427E9">
        <w:t>Cooper (1984)</w:t>
      </w:r>
      <w:r>
        <w:t>. Jejich model již pracuje s různými výnosy z rozsahu (VRS). Jedná se o tzv. BCC model.</w:t>
      </w:r>
    </w:p>
    <w:p w:rsidR="00A4083A" w:rsidRDefault="00A4083A" w:rsidP="00A4083A">
      <w:pPr>
        <w:pStyle w:val="OdstavecASR"/>
      </w:pPr>
      <w:r>
        <w:t>Výnosy z rozsahu jsou ekonomický pojem, který udává, jak se mění výstupy při proporcionální změně všech vstupů. Výnosy z rozsahu lze dělit takto:</w:t>
      </w:r>
    </w:p>
    <w:p w:rsidR="00A4083A" w:rsidRDefault="00A4083A" w:rsidP="00A4083A">
      <w:pPr>
        <w:pStyle w:val="OdstavecASR"/>
        <w:numPr>
          <w:ilvl w:val="0"/>
          <w:numId w:val="7"/>
        </w:numPr>
      </w:pPr>
      <w:r>
        <w:t>Klesající výnosy z rozsahu (DRS): zvýšení všech vstupů o 1 % vede ke zvýšení výstupů o méně než 1 %.</w:t>
      </w:r>
    </w:p>
    <w:p w:rsidR="00A4083A" w:rsidRDefault="00A4083A" w:rsidP="00A4083A">
      <w:pPr>
        <w:pStyle w:val="OdstavecASR"/>
        <w:numPr>
          <w:ilvl w:val="0"/>
          <w:numId w:val="7"/>
        </w:numPr>
      </w:pPr>
      <w:r>
        <w:t>Konstantní výnosy z rozsahu (CRS). V tom případě je velikost zkoumané DMU ideální. Zvýšení všech vstupů o 1 % vede ke zvýšení výstupů přesně o 1 %.</w:t>
      </w:r>
    </w:p>
    <w:p w:rsidR="00A4083A" w:rsidRDefault="00A4083A" w:rsidP="00A4083A">
      <w:pPr>
        <w:pStyle w:val="OdstavecASR"/>
        <w:numPr>
          <w:ilvl w:val="0"/>
          <w:numId w:val="7"/>
        </w:numPr>
      </w:pPr>
      <w:r>
        <w:t>Rostoucí výnosy z rozsahu (IRS): zvýšení všech vstupů o 1 % vede ke zvýšení výstupů o více než 1 %.</w:t>
      </w:r>
    </w:p>
    <w:p w:rsidR="00A4083A" w:rsidRDefault="00A4083A" w:rsidP="00A4083A">
      <w:pPr>
        <w:pStyle w:val="OdstavecASR"/>
      </w:pPr>
      <w:r>
        <w:t xml:space="preserve">Z hlediska této zprávy je podstatné to, co z konceptu výnosů z rozsahu plyne. </w:t>
      </w:r>
      <w:r w:rsidRPr="007427E9">
        <w:t>Charnes, Cooper</w:t>
      </w:r>
      <w:r>
        <w:t xml:space="preserve"> a </w:t>
      </w:r>
      <w:r w:rsidRPr="007427E9">
        <w:t>Rhodes (1978)</w:t>
      </w:r>
      <w:r>
        <w:t xml:space="preserve"> předpokládají CRS, tedy předpokládají, že DMU je ideálně veliká. Neefektivnost ve výrobě tedy nemůže plynout z nevhodné velikosti DMU. Naopak </w:t>
      </w:r>
      <w:r w:rsidRPr="0052486E">
        <w:t>Banker, Charnes</w:t>
      </w:r>
      <w:r>
        <w:t xml:space="preserve"> a </w:t>
      </w:r>
      <w:r w:rsidRPr="0052486E">
        <w:t>Cooper</w:t>
      </w:r>
      <w:r>
        <w:t xml:space="preserve"> (1984) předpokládají VRS, což znamená, že soudy mohou být neefektivní i kvůli tomu, že jsou příliš velké nebo malé.</w:t>
      </w:r>
    </w:p>
    <w:p w:rsidR="00A4083A" w:rsidRDefault="00A4083A" w:rsidP="00A4083A">
      <w:pPr>
        <w:pStyle w:val="OdstavecASR"/>
      </w:pPr>
      <w:r>
        <w:lastRenderedPageBreak/>
        <w:t>Dále můžeme DEA dělit na vstupově orientovanou (z anglického input-oriented) a výstupově orientovanou (z anglického output-oriented). Vstupově orientovaná DEA z</w:t>
      </w:r>
      <w:r w:rsidRPr="008E43EC">
        <w:t>koumá,</w:t>
      </w:r>
      <w:r>
        <w:t xml:space="preserve"> o </w:t>
      </w:r>
      <w:r w:rsidRPr="008E43EC">
        <w:t xml:space="preserve">kolik by soud mohl </w:t>
      </w:r>
      <w:r>
        <w:t>snížit své vstupy</w:t>
      </w:r>
      <w:r w:rsidRPr="008E43EC">
        <w:t>, aniž by se změnila velikost v</w:t>
      </w:r>
      <w:r>
        <w:t>ý</w:t>
      </w:r>
      <w:r w:rsidRPr="008E43EC">
        <w:t>stupů, pokud by soud fungoval efektivně.</w:t>
      </w:r>
      <w:r>
        <w:t xml:space="preserve"> Výstupově orientovaná DEA zkoumá, o </w:t>
      </w:r>
      <w:r w:rsidRPr="008E43EC">
        <w:t>kolik by soud mohl zvýšit své výstupy, aniž by se změnila velikost vstupů, pokud by soud fungoval</w:t>
      </w:r>
      <w:r>
        <w:t xml:space="preserve"> efektivně.</w:t>
      </w:r>
    </w:p>
    <w:p w:rsidR="00A4083A" w:rsidRDefault="00A4083A" w:rsidP="00A4083A">
      <w:pPr>
        <w:pStyle w:val="Nadpis4"/>
        <w:numPr>
          <w:ilvl w:val="0"/>
          <w:numId w:val="0"/>
        </w:numPr>
        <w:ind w:left="864" w:hanging="864"/>
      </w:pPr>
      <w:r>
        <w:t>Koncept technické neefektivnosti</w:t>
      </w:r>
    </w:p>
    <w:p w:rsidR="00A4083A" w:rsidRDefault="00A4083A" w:rsidP="00A4083A">
      <w:pPr>
        <w:pStyle w:val="OdstavecASR"/>
      </w:pPr>
      <w:r w:rsidRPr="00D20827">
        <w:t xml:space="preserve">Technicky efektivní DMU </w:t>
      </w:r>
      <w:r>
        <w:t>můžeme</w:t>
      </w:r>
      <w:r w:rsidRPr="00D20827">
        <w:t xml:space="preserve"> </w:t>
      </w:r>
      <w:r>
        <w:t xml:space="preserve">definovat </w:t>
      </w:r>
      <w:r w:rsidRPr="00D20827">
        <w:t>jako DMU, která produkuje maximální možný výstup</w:t>
      </w:r>
      <w:r>
        <w:t xml:space="preserve"> z </w:t>
      </w:r>
      <w:r w:rsidRPr="00D20827">
        <w:t>daných vstupů nebo daný výstup</w:t>
      </w:r>
      <w:r>
        <w:t xml:space="preserve"> z </w:t>
      </w:r>
      <w:r w:rsidRPr="00D20827">
        <w:t>minimálního množství vstupů. Koncept měření technické neefektivnosti, jak ho definoval Farrell,</w:t>
      </w:r>
      <w:r>
        <w:t xml:space="preserve"> a </w:t>
      </w:r>
      <w:r w:rsidRPr="00D20827">
        <w:t>tedy</w:t>
      </w:r>
      <w:r>
        <w:t xml:space="preserve"> i </w:t>
      </w:r>
      <w:r w:rsidRPr="00D20827">
        <w:t>koncept DEA, je nejlépe po</w:t>
      </w:r>
      <w:r>
        <w:t>chopitelný z příkladu na grafu 111</w:t>
      </w:r>
      <w:r w:rsidRPr="00D20827">
        <w:t>.</w:t>
      </w:r>
    </w:p>
    <w:p w:rsidR="00A4083A" w:rsidRDefault="00A4083A" w:rsidP="00A4083A">
      <w:pPr>
        <w:pStyle w:val="Podnadpis"/>
      </w:pPr>
      <w:bookmarkStart w:id="805" w:name="_Toc485734497"/>
      <w:bookmarkStart w:id="806" w:name="_Toc487792813"/>
      <w:bookmarkStart w:id="807" w:name="_Toc515871434"/>
      <w:bookmarkStart w:id="808" w:name="_Toc43841491"/>
      <w:r>
        <w:t xml:space="preserve">Graf </w:t>
      </w:r>
      <w:r>
        <w:rPr>
          <w:noProof/>
        </w:rPr>
        <w:fldChar w:fldCharType="begin"/>
      </w:r>
      <w:r>
        <w:rPr>
          <w:noProof/>
        </w:rPr>
        <w:instrText xml:space="preserve"> SEQ Graf \* ARABIC </w:instrText>
      </w:r>
      <w:r>
        <w:rPr>
          <w:noProof/>
        </w:rPr>
        <w:fldChar w:fldCharType="separate"/>
      </w:r>
      <w:r w:rsidR="006E7F27">
        <w:rPr>
          <w:noProof/>
        </w:rPr>
        <w:t>111</w:t>
      </w:r>
      <w:r>
        <w:rPr>
          <w:noProof/>
        </w:rPr>
        <w:fldChar w:fldCharType="end"/>
      </w:r>
      <w:r>
        <w:t>: Koncept technické efektivnosti</w:t>
      </w:r>
      <w:bookmarkEnd w:id="805"/>
      <w:bookmarkEnd w:id="806"/>
      <w:bookmarkEnd w:id="807"/>
      <w:bookmarkEnd w:id="808"/>
    </w:p>
    <w:p w:rsidR="00A4083A" w:rsidRDefault="00A4083A" w:rsidP="00A4083A">
      <w:r>
        <w:rPr>
          <w:noProof/>
          <w:lang w:eastAsia="cs-CZ"/>
        </w:rPr>
        <w:drawing>
          <wp:inline distT="0" distB="0" distL="0" distR="0" wp14:anchorId="4F7EB414" wp14:editId="4ACF4CD7">
            <wp:extent cx="5438775" cy="3628851"/>
            <wp:effectExtent l="0" t="0" r="0" b="0"/>
            <wp:docPr id="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443487" cy="3631995"/>
                    </a:xfrm>
                    <a:prstGeom prst="rect">
                      <a:avLst/>
                    </a:prstGeom>
                    <a:noFill/>
                    <a:ln>
                      <a:noFill/>
                    </a:ln>
                  </pic:spPr>
                </pic:pic>
              </a:graphicData>
            </a:graphic>
          </wp:inline>
        </w:drawing>
      </w:r>
    </w:p>
    <w:p w:rsidR="00A4083A" w:rsidRPr="00034561" w:rsidRDefault="00A4083A" w:rsidP="00A4083A">
      <w:pPr>
        <w:spacing w:line="360" w:lineRule="auto"/>
        <w:rPr>
          <w:sz w:val="20"/>
        </w:rPr>
      </w:pPr>
      <w:r w:rsidRPr="00034561">
        <w:rPr>
          <w:sz w:val="20"/>
        </w:rPr>
        <w:t>Zdroj: Y. Ji, C. Lee (2010), str. 269</w:t>
      </w:r>
      <w:r>
        <w:t>.</w:t>
      </w:r>
    </w:p>
    <w:p w:rsidR="00A4083A" w:rsidRPr="00F00425" w:rsidRDefault="00A4083A" w:rsidP="00A4083A">
      <w:pPr>
        <w:pStyle w:val="OdstavecASR"/>
      </w:pPr>
      <w:r w:rsidRPr="00582D25">
        <w:rPr>
          <w:rStyle w:val="OdstavecASRChar"/>
        </w:rPr>
        <w:t>Na ose</w:t>
      </w:r>
      <w:r>
        <w:rPr>
          <w:rStyle w:val="OdstavecASRChar"/>
        </w:rPr>
        <w:t> </w:t>
      </w:r>
      <w:r w:rsidRPr="00582D25">
        <w:rPr>
          <w:rStyle w:val="OdstavecASRChar"/>
          <w:i/>
        </w:rPr>
        <w:t>Y</w:t>
      </w:r>
      <w:r>
        <w:rPr>
          <w:rStyle w:val="OdstavecASRChar"/>
        </w:rPr>
        <w:t xml:space="preserve"> </w:t>
      </w:r>
      <w:r w:rsidRPr="00582D25">
        <w:rPr>
          <w:rStyle w:val="OdstavecASRChar"/>
        </w:rPr>
        <w:t>je množství vyprodukovaného výstupu, na ose</w:t>
      </w:r>
      <w:r>
        <w:rPr>
          <w:rStyle w:val="OdstavecASRChar"/>
        </w:rPr>
        <w:t> </w:t>
      </w:r>
      <w:r w:rsidRPr="00582D25">
        <w:rPr>
          <w:rStyle w:val="OdstavecASRChar"/>
          <w:i/>
        </w:rPr>
        <w:t>X</w:t>
      </w:r>
      <w:r>
        <w:rPr>
          <w:rStyle w:val="OdstavecASRChar"/>
        </w:rPr>
        <w:t xml:space="preserve"> </w:t>
      </w:r>
      <w:r w:rsidRPr="00582D25">
        <w:rPr>
          <w:rStyle w:val="OdstavecASRChar"/>
        </w:rPr>
        <w:t>je vložené množství vstupu. Na příkladu na grafu je zaneseno pět DMU. DMU</w:t>
      </w:r>
      <w:r>
        <w:rPr>
          <w:rStyle w:val="OdstavecASRChar"/>
        </w:rPr>
        <w:t xml:space="preserve"> </w:t>
      </w:r>
      <w:r w:rsidRPr="00582D25">
        <w:rPr>
          <w:rStyle w:val="OdstavecASRChar"/>
        </w:rPr>
        <w:t>C</w:t>
      </w:r>
      <w:r>
        <w:rPr>
          <w:rStyle w:val="OdstavecASRChar"/>
        </w:rPr>
        <w:t> </w:t>
      </w:r>
      <w:r w:rsidRPr="00582D25">
        <w:rPr>
          <w:rStyle w:val="OdstavecASRChar"/>
        </w:rPr>
        <w:t>leží na tzv. efektivní hranici</w:t>
      </w:r>
      <w:r w:rsidRPr="00F00425">
        <w:t xml:space="preserve"> CRS</w:t>
      </w:r>
      <w:r>
        <w:t xml:space="preserve"> </w:t>
      </w:r>
      <w:r w:rsidRPr="00F00425">
        <w:t>(CRS frontier). Tato hranice udává nejlepší možnou kombinaci vstupů</w:t>
      </w:r>
      <w:r>
        <w:t xml:space="preserve"> a </w:t>
      </w:r>
      <w:r w:rsidRPr="00F00425">
        <w:t>výstupů za předpokladu CRS. CCR model ji tedy vyhodnotí jako zcela efektivní (theta = 1). Jednotky A,</w:t>
      </w:r>
      <w:r>
        <w:t xml:space="preserve"> </w:t>
      </w:r>
      <w:r w:rsidRPr="00F00425">
        <w:t>C</w:t>
      </w:r>
      <w:r>
        <w:t xml:space="preserve"> a </w:t>
      </w:r>
      <w:r w:rsidRPr="00F00425">
        <w:t>E</w:t>
      </w:r>
      <w:r>
        <w:t xml:space="preserve"> </w:t>
      </w:r>
      <w:r w:rsidRPr="00F00425">
        <w:t>leží na efektivní hranici VRS (křivka označená jako VRS frontier). B</w:t>
      </w:r>
      <w:r>
        <w:t>C</w:t>
      </w:r>
      <w:r w:rsidRPr="00F00425">
        <w:t xml:space="preserve">C model je tedy vyhodnotí jako zcela efektivní. Dále je na </w:t>
      </w:r>
      <w:r>
        <w:t>grafu zobrazena</w:t>
      </w:r>
      <w:r w:rsidRPr="00F00425">
        <w:t xml:space="preserve"> </w:t>
      </w:r>
      <w:r>
        <w:t>„</w:t>
      </w:r>
      <w:r w:rsidRPr="00520F33">
        <w:t>efektivnostní hranice</w:t>
      </w:r>
      <w:r>
        <w:t>“</w:t>
      </w:r>
      <w:r w:rsidRPr="00F00425">
        <w:t xml:space="preserve"> NIRS (nerostoucí výnosy</w:t>
      </w:r>
      <w:r>
        <w:t xml:space="preserve"> z </w:t>
      </w:r>
      <w:r w:rsidRPr="00F00425">
        <w:t>rozsahu)</w:t>
      </w:r>
      <w:r>
        <w:t>, která ale v rámci této analýzy není potřebná</w:t>
      </w:r>
      <w:r w:rsidRPr="00F00425">
        <w:t>.</w:t>
      </w:r>
    </w:p>
    <w:p w:rsidR="00A4083A" w:rsidRPr="00320D69" w:rsidRDefault="00A4083A" w:rsidP="00A4083A">
      <w:pPr>
        <w:pStyle w:val="OdstavecASR"/>
      </w:pPr>
      <w:r w:rsidRPr="00320D69">
        <w:t xml:space="preserve">Na </w:t>
      </w:r>
      <w:r>
        <w:t>efektivní hranici</w:t>
      </w:r>
      <w:r w:rsidRPr="00320D69">
        <w:t xml:space="preserve"> VRS lze také velmi dobře demonstrovat výnosy</w:t>
      </w:r>
      <w:r>
        <w:t xml:space="preserve"> z </w:t>
      </w:r>
      <w:r w:rsidRPr="00320D69">
        <w:t>rozsahu. Od bodu</w:t>
      </w:r>
      <w:r>
        <w:t> </w:t>
      </w:r>
      <w:r w:rsidRPr="00320D69">
        <w:t>A</w:t>
      </w:r>
      <w:r>
        <w:t xml:space="preserve"> </w:t>
      </w:r>
      <w:r w:rsidRPr="00320D69">
        <w:t>do bodu</w:t>
      </w:r>
      <w:r>
        <w:t> </w:t>
      </w:r>
      <w:r w:rsidRPr="00320D69">
        <w:t>C</w:t>
      </w:r>
      <w:r>
        <w:t xml:space="preserve"> </w:t>
      </w:r>
      <w:r w:rsidRPr="00320D69">
        <w:t>vykazuje křivka rostoucí výnosy</w:t>
      </w:r>
      <w:r>
        <w:t xml:space="preserve"> z </w:t>
      </w:r>
      <w:r w:rsidRPr="00320D69">
        <w:t>rozsahu (sklon</w:t>
      </w:r>
      <w:r>
        <w:t xml:space="preserve"> k </w:t>
      </w:r>
      <w:r w:rsidRPr="00320D69">
        <w:t>ose</w:t>
      </w:r>
      <w:r>
        <w:t> </w:t>
      </w:r>
      <w:r w:rsidRPr="00F00425">
        <w:rPr>
          <w:i/>
        </w:rPr>
        <w:t>X</w:t>
      </w:r>
      <w:r>
        <w:t xml:space="preserve"> </w:t>
      </w:r>
      <w:r w:rsidRPr="00320D69">
        <w:t>je vysoký, výstup tedy roste rychleji než vstup). Od bodu</w:t>
      </w:r>
      <w:r>
        <w:t> </w:t>
      </w:r>
      <w:r w:rsidRPr="00320D69">
        <w:t>C</w:t>
      </w:r>
      <w:r>
        <w:t xml:space="preserve"> </w:t>
      </w:r>
      <w:r w:rsidRPr="00320D69">
        <w:t>dál vykazuje křivka klesající výnosy</w:t>
      </w:r>
      <w:r>
        <w:t xml:space="preserve"> z </w:t>
      </w:r>
      <w:r w:rsidRPr="00320D69">
        <w:t>rozsahu (sklon</w:t>
      </w:r>
      <w:r>
        <w:t xml:space="preserve"> k </w:t>
      </w:r>
      <w:r w:rsidRPr="00320D69">
        <w:t>ose</w:t>
      </w:r>
      <w:r>
        <w:t> </w:t>
      </w:r>
      <w:r w:rsidRPr="00F00425">
        <w:rPr>
          <w:i/>
        </w:rPr>
        <w:t>X</w:t>
      </w:r>
      <w:r>
        <w:t xml:space="preserve"> </w:t>
      </w:r>
      <w:r w:rsidRPr="00320D69">
        <w:t>je malý, výstup tedy ros</w:t>
      </w:r>
      <w:r>
        <w:t>t</w:t>
      </w:r>
      <w:r w:rsidRPr="00320D69">
        <w:t>e pomaleji než vstup). Pouze bod</w:t>
      </w:r>
      <w:r>
        <w:t> </w:t>
      </w:r>
      <w:r w:rsidRPr="00320D69">
        <w:t>C</w:t>
      </w:r>
      <w:r>
        <w:t xml:space="preserve"> </w:t>
      </w:r>
      <w:r w:rsidRPr="00320D69">
        <w:t xml:space="preserve">vykazuje CRS </w:t>
      </w:r>
      <w:r>
        <w:t>– je to průsečík efektivních hranic</w:t>
      </w:r>
      <w:r w:rsidRPr="00320D69">
        <w:t xml:space="preserve"> VRS</w:t>
      </w:r>
      <w:r>
        <w:t xml:space="preserve"> a </w:t>
      </w:r>
      <w:r w:rsidRPr="00320D69">
        <w:t>CRS.</w:t>
      </w:r>
      <w:r>
        <w:t xml:space="preserve"> </w:t>
      </w:r>
      <w:r w:rsidRPr="00320D69">
        <w:t>Například DMU B</w:t>
      </w:r>
      <w:r>
        <w:t> </w:t>
      </w:r>
      <w:r w:rsidRPr="00320D69">
        <w:t>je neefektivní. Její přesn</w:t>
      </w:r>
      <w:r>
        <w:t>ou</w:t>
      </w:r>
      <w:r w:rsidRPr="00320D69">
        <w:t xml:space="preserve"> mír</w:t>
      </w:r>
      <w:r>
        <w:t xml:space="preserve">u </w:t>
      </w:r>
      <w:r w:rsidRPr="00320D69">
        <w:t xml:space="preserve">efektivnosti (tedy theta) lze </w:t>
      </w:r>
      <w:r w:rsidRPr="00320D69">
        <w:lastRenderedPageBreak/>
        <w:t xml:space="preserve">snadno určit. V případě </w:t>
      </w:r>
      <w:r>
        <w:t>vstupově orientovaného CCR modelu</w:t>
      </w:r>
      <w:r w:rsidRPr="00320D69">
        <w:t xml:space="preserve"> to je poměr vzdáleností na grafu (B</w:t>
      </w:r>
      <w:r w:rsidRPr="00320D69">
        <w:rPr>
          <w:vertAlign w:val="subscript"/>
        </w:rPr>
        <w:t>0</w:t>
      </w:r>
      <w:r w:rsidRPr="00320D69">
        <w:t>B</w:t>
      </w:r>
      <w:r w:rsidRPr="00320D69">
        <w:rPr>
          <w:vertAlign w:val="subscript"/>
        </w:rPr>
        <w:t>1</w:t>
      </w:r>
      <w:r>
        <w:t xml:space="preserve">) / </w:t>
      </w:r>
      <w:r w:rsidRPr="00320D69">
        <w:t>(B</w:t>
      </w:r>
      <w:r w:rsidRPr="00320D69">
        <w:rPr>
          <w:vertAlign w:val="subscript"/>
        </w:rPr>
        <w:t>0</w:t>
      </w:r>
      <w:r w:rsidRPr="00320D69">
        <w:t xml:space="preserve">B). V případě </w:t>
      </w:r>
      <w:r>
        <w:t>vstupově orientovaného BCC modelu</w:t>
      </w:r>
      <w:r w:rsidRPr="00320D69">
        <w:t xml:space="preserve"> je efektivnost určena poměrem vzdáleností (B</w:t>
      </w:r>
      <w:r w:rsidRPr="00320D69">
        <w:rPr>
          <w:vertAlign w:val="subscript"/>
        </w:rPr>
        <w:t>0</w:t>
      </w:r>
      <w:r w:rsidRPr="00320D69">
        <w:t>B</w:t>
      </w:r>
      <w:r w:rsidRPr="00320D69">
        <w:rPr>
          <w:vertAlign w:val="subscript"/>
        </w:rPr>
        <w:t>2</w:t>
      </w:r>
      <w:r w:rsidRPr="00320D69">
        <w:t>)</w:t>
      </w:r>
      <w:r>
        <w:t xml:space="preserve"> </w:t>
      </w:r>
      <w:r w:rsidRPr="00320D69">
        <w:t>/</w:t>
      </w:r>
      <w:r>
        <w:t xml:space="preserve"> </w:t>
      </w:r>
      <w:r w:rsidRPr="00320D69">
        <w:t>(B</w:t>
      </w:r>
      <w:r w:rsidRPr="00320D69">
        <w:rPr>
          <w:vertAlign w:val="subscript"/>
        </w:rPr>
        <w:t>0</w:t>
      </w:r>
      <w:r w:rsidRPr="00320D69">
        <w:t>B).</w:t>
      </w:r>
      <w:r>
        <w:t xml:space="preserve"> </w:t>
      </w:r>
      <w:r w:rsidRPr="00320D69">
        <w:t>Z toho plyne, že je možné rozdělit neefektivnost na dvě složky: čistá technická neefektivnost (vzdálenost B</w:t>
      </w:r>
      <w:r w:rsidRPr="00320D69">
        <w:rPr>
          <w:vertAlign w:val="subscript"/>
        </w:rPr>
        <w:t>2</w:t>
      </w:r>
      <w:r w:rsidRPr="00320D69">
        <w:t>B)</w:t>
      </w:r>
      <w:r>
        <w:t xml:space="preserve"> a </w:t>
      </w:r>
      <w:r w:rsidRPr="00320D69">
        <w:t>neefektivnost způsobená nevhodnou velikostí (vzdálenost B</w:t>
      </w:r>
      <w:r w:rsidRPr="00554C70">
        <w:rPr>
          <w:vertAlign w:val="subscript"/>
        </w:rPr>
        <w:t>1</w:t>
      </w:r>
      <w:r w:rsidRPr="00320D69">
        <w:t>B</w:t>
      </w:r>
      <w:r w:rsidRPr="00554C70">
        <w:rPr>
          <w:vertAlign w:val="subscript"/>
        </w:rPr>
        <w:t>2</w:t>
      </w:r>
      <w:r w:rsidRPr="00320D69">
        <w:t>).</w:t>
      </w:r>
    </w:p>
    <w:p w:rsidR="00A4083A" w:rsidRDefault="00A4083A" w:rsidP="00A4083A">
      <w:pPr>
        <w:pStyle w:val="OdstavecASR"/>
      </w:pPr>
      <w:r>
        <w:t>Všechny míry efektivnosti získané pomocí výstupově orientované DEA jsou v příkladu na grafu stejné, a to (</w:t>
      </w:r>
      <w:r w:rsidRPr="00673B4C">
        <w:t>B</w:t>
      </w:r>
      <w:r w:rsidRPr="0036699B">
        <w:rPr>
          <w:vertAlign w:val="subscript"/>
        </w:rPr>
        <w:t>3</w:t>
      </w:r>
      <w:r w:rsidRPr="00673B4C">
        <w:t>B</w:t>
      </w:r>
      <w:r>
        <w:t xml:space="preserve">) </w:t>
      </w:r>
      <w:r w:rsidRPr="00673B4C">
        <w:t>/</w:t>
      </w:r>
      <w:r>
        <w:t xml:space="preserve"> (</w:t>
      </w:r>
      <w:r w:rsidRPr="00673B4C">
        <w:t>B</w:t>
      </w:r>
      <w:r>
        <w:t>C) – neefektivnost je způsobena tedy samotnou DMU, ale ne její velikostí.</w:t>
      </w:r>
    </w:p>
    <w:p w:rsidR="00A4083A" w:rsidRDefault="00A4083A" w:rsidP="00A4083A">
      <w:pPr>
        <w:pStyle w:val="Nadpis4"/>
        <w:numPr>
          <w:ilvl w:val="0"/>
          <w:numId w:val="0"/>
        </w:numPr>
        <w:ind w:left="864" w:hanging="864"/>
      </w:pPr>
      <w:r>
        <w:t>Neefektivnost a přídatné proměnné</w:t>
      </w:r>
    </w:p>
    <w:p w:rsidR="00A4083A" w:rsidRDefault="00A4083A" w:rsidP="00A4083A">
      <w:pPr>
        <w:pStyle w:val="OdstavecASR"/>
      </w:pPr>
      <w:r>
        <w:t>Dalším důležitým konceptem v rámci DEA jsou tzv. přídatné proměnné (anglicky slack variables). Na grafu 112 je opět zobrazena hranice efektivnosti, ale jiným způsobem. Je zobrazena pro dva vstupy a jeden výstup. Na osách je vždy zanesen poměr (množství vstupu) / (množství výstupu). DMU A až F leží „</w:t>
      </w:r>
      <w:r w:rsidRPr="00034561">
        <w:t>na hranici efektivnosti</w:t>
      </w:r>
      <w:r>
        <w:t>“, DMU G a H jsou neefektivní. Jejich technickou efektivnost lze vypočítat podobně jako na grafu 111 – tedy 0</w:t>
      </w:r>
      <w:r w:rsidRPr="008E60FE">
        <w:t>G</w:t>
      </w:r>
      <w:r w:rsidRPr="008E60FE">
        <w:rPr>
          <w:vertAlign w:val="subscript"/>
        </w:rPr>
        <w:t>1</w:t>
      </w:r>
      <w:r w:rsidRPr="008E60FE">
        <w:t>/</w:t>
      </w:r>
      <w:r>
        <w:t>0</w:t>
      </w:r>
      <w:r w:rsidRPr="008E60FE">
        <w:t>G</w:t>
      </w:r>
      <w:r>
        <w:t xml:space="preserve"> a 0</w:t>
      </w:r>
      <w:r w:rsidRPr="008E60FE">
        <w:t>H</w:t>
      </w:r>
      <w:r w:rsidRPr="008E60FE">
        <w:rPr>
          <w:vertAlign w:val="subscript"/>
        </w:rPr>
        <w:t>1</w:t>
      </w:r>
      <w:r w:rsidRPr="008E60FE">
        <w:t>/</w:t>
      </w:r>
      <w:r>
        <w:t>0</w:t>
      </w:r>
      <w:r w:rsidRPr="008E60FE">
        <w:t>H</w:t>
      </w:r>
      <w:r>
        <w:t>. Bod G</w:t>
      </w:r>
      <w:r w:rsidRPr="002107B9">
        <w:rPr>
          <w:vertAlign w:val="subscript"/>
        </w:rPr>
        <w:t>1</w:t>
      </w:r>
      <w:r>
        <w:t xml:space="preserve"> je tzv. Farrell efektivní. Ale u DMU G je ještě dále možné snížit množství vstupu 2, a to o vzdálenost </w:t>
      </w:r>
      <w:r w:rsidRPr="0068425F">
        <w:t>CG</w:t>
      </w:r>
      <w:r w:rsidRPr="0068425F">
        <w:rPr>
          <w:vertAlign w:val="subscript"/>
        </w:rPr>
        <w:t>1</w:t>
      </w:r>
      <w:r>
        <w:t>. Právě tato neefektivnost je tzv. „</w:t>
      </w:r>
      <w:r w:rsidRPr="00034561">
        <w:t>slack</w:t>
      </w:r>
      <w:r>
        <w:t>“. DMU C se pak stává tzv. „</w:t>
      </w:r>
      <w:r w:rsidRPr="00034561">
        <w:t>referenční DMU</w:t>
      </w:r>
      <w:r>
        <w:t>“ pro DMU G. Bod C je tzv. „Pareto–Koopman</w:t>
      </w:r>
      <w:r w:rsidRPr="00034561">
        <w:t xml:space="preserve"> efektivní</w:t>
      </w:r>
      <w:r>
        <w:t>“. Přídatné proměnné tedy udávají, o kolik jednotek je třeba snížit vybraný vstup (nebo zvýšit vybraný výstup), aby se DMU stala efektivní. Neefektivní jednotka totiž oproti efektivní referenční jednotce používá příliš velké množství daného vstupu nebo produkuje příliš malé množství daného výstupu.</w:t>
      </w:r>
    </w:p>
    <w:p w:rsidR="00A4083A" w:rsidRDefault="00A4083A" w:rsidP="00A4083A">
      <w:pPr>
        <w:pStyle w:val="Podnadpis"/>
      </w:pPr>
      <w:bookmarkStart w:id="809" w:name="_Toc485734498"/>
      <w:bookmarkStart w:id="810" w:name="_Toc487792814"/>
      <w:bookmarkStart w:id="811" w:name="_Toc515871435"/>
      <w:bookmarkStart w:id="812" w:name="_Toc43841492"/>
      <w:r>
        <w:t xml:space="preserve">Graf </w:t>
      </w:r>
      <w:r>
        <w:rPr>
          <w:noProof/>
        </w:rPr>
        <w:fldChar w:fldCharType="begin"/>
      </w:r>
      <w:r>
        <w:rPr>
          <w:noProof/>
        </w:rPr>
        <w:instrText xml:space="preserve"> SEQ Graf \* ARABIC </w:instrText>
      </w:r>
      <w:r>
        <w:rPr>
          <w:noProof/>
        </w:rPr>
        <w:fldChar w:fldCharType="separate"/>
      </w:r>
      <w:r w:rsidR="006E7F27">
        <w:rPr>
          <w:noProof/>
        </w:rPr>
        <w:t>112</w:t>
      </w:r>
      <w:r>
        <w:rPr>
          <w:noProof/>
        </w:rPr>
        <w:fldChar w:fldCharType="end"/>
      </w:r>
      <w:r>
        <w:t>: K</w:t>
      </w:r>
      <w:r w:rsidRPr="00F63C12">
        <w:t>oncept technické efektivnosti</w:t>
      </w:r>
      <w:r>
        <w:t xml:space="preserve"> a přídatné proměnné</w:t>
      </w:r>
      <w:bookmarkEnd w:id="809"/>
      <w:bookmarkEnd w:id="810"/>
      <w:bookmarkEnd w:id="811"/>
      <w:bookmarkEnd w:id="812"/>
    </w:p>
    <w:p w:rsidR="00A4083A" w:rsidRDefault="00A4083A" w:rsidP="00A4083A">
      <w:pPr>
        <w:spacing w:line="360" w:lineRule="auto"/>
      </w:pPr>
      <w:r>
        <w:rPr>
          <w:noProof/>
          <w:lang w:eastAsia="cs-CZ"/>
        </w:rPr>
        <w:drawing>
          <wp:inline distT="0" distB="0" distL="0" distR="0" wp14:anchorId="0DC3AB53" wp14:editId="2690531D">
            <wp:extent cx="5482783" cy="3714750"/>
            <wp:effectExtent l="0" t="0" r="3810" b="0"/>
            <wp:docPr id="2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482783" cy="3714750"/>
                    </a:xfrm>
                    <a:prstGeom prst="rect">
                      <a:avLst/>
                    </a:prstGeom>
                    <a:noFill/>
                    <a:ln>
                      <a:noFill/>
                    </a:ln>
                  </pic:spPr>
                </pic:pic>
              </a:graphicData>
            </a:graphic>
          </wp:inline>
        </w:drawing>
      </w:r>
    </w:p>
    <w:p w:rsidR="00A4083A" w:rsidRPr="00034561" w:rsidRDefault="00A4083A" w:rsidP="00A4083A">
      <w:pPr>
        <w:spacing w:line="360" w:lineRule="auto"/>
        <w:rPr>
          <w:sz w:val="20"/>
        </w:rPr>
      </w:pPr>
      <w:r w:rsidRPr="00034561">
        <w:rPr>
          <w:sz w:val="20"/>
        </w:rPr>
        <w:t>Zdroj: Y. Ji, C. Lee (2010), str. 269</w:t>
      </w:r>
      <w:r>
        <w:rPr>
          <w:sz w:val="20"/>
        </w:rPr>
        <w:t>.</w:t>
      </w:r>
    </w:p>
    <w:p w:rsidR="00A4083A" w:rsidRDefault="00A4083A" w:rsidP="00A4083A">
      <w:pPr>
        <w:pStyle w:val="Nadpis4"/>
        <w:numPr>
          <w:ilvl w:val="0"/>
          <w:numId w:val="0"/>
        </w:numPr>
        <w:ind w:left="864" w:hanging="864"/>
      </w:pPr>
      <w:r>
        <w:lastRenderedPageBreak/>
        <w:t>Matematická specifikace modelu</w:t>
      </w:r>
    </w:p>
    <w:p w:rsidR="00A4083A" w:rsidRDefault="00A4083A" w:rsidP="00A4083A">
      <w:pPr>
        <w:pStyle w:val="OdstavecASR"/>
      </w:pPr>
      <w:r>
        <w:t>Celý koncept DEA a technické efektivnosti popsaný v textu výše je samozřejmě specifikován také formálně – matematicky. DEA s CRS je specifikována následovně (například Nissi a Rapposelli, 2011).</w:t>
      </w:r>
    </w:p>
    <w:p w:rsidR="00A4083A" w:rsidRDefault="00A4083A" w:rsidP="00A4083A">
      <w:pPr>
        <w:pStyle w:val="OdstavecASR"/>
      </w:pPr>
      <w:r>
        <w:t xml:space="preserve">Přepokládejme, že máme </w:t>
      </w:r>
      <w:r>
        <w:rPr>
          <w:i/>
        </w:rPr>
        <w:t>n </w:t>
      </w:r>
      <w:r>
        <w:t xml:space="preserve">DMU, které spotřebovávají různé množství </w:t>
      </w:r>
      <w:r>
        <w:rPr>
          <w:i/>
        </w:rPr>
        <w:t>m </w:t>
      </w:r>
      <w:r>
        <w:t xml:space="preserve">vstupů, aby vyprodukovaly </w:t>
      </w:r>
      <w:r w:rsidRPr="00C65ECE">
        <w:rPr>
          <w:i/>
        </w:rPr>
        <w:t>s</w:t>
      </w:r>
      <w:r>
        <w:t xml:space="preserve"> výstupů. Označme množství vstupu i (i = 1,…m) jako </w:t>
      </w:r>
      <w:r w:rsidRPr="00400E3E">
        <w:rPr>
          <w:i/>
        </w:rPr>
        <w:t>x</w:t>
      </w:r>
      <w:r w:rsidRPr="00400E3E">
        <w:rPr>
          <w:i/>
          <w:vertAlign w:val="subscript"/>
        </w:rPr>
        <w:t>ij</w:t>
      </w:r>
      <w:r>
        <w:rPr>
          <w:i/>
        </w:rPr>
        <w:t xml:space="preserve"> a </w:t>
      </w:r>
      <w:r>
        <w:t xml:space="preserve">množství výstupu </w:t>
      </w:r>
      <w:r>
        <w:rPr>
          <w:i/>
        </w:rPr>
        <w:t>r </w:t>
      </w:r>
      <w:r>
        <w:t xml:space="preserve">(r = 1,…s) jako </w:t>
      </w:r>
      <w:r w:rsidRPr="00F00425">
        <w:rPr>
          <w:i/>
        </w:rPr>
        <w:t>y</w:t>
      </w:r>
      <w:r w:rsidRPr="00F00425">
        <w:rPr>
          <w:i/>
          <w:vertAlign w:val="subscript"/>
        </w:rPr>
        <w:t>ij</w:t>
      </w:r>
      <w:r>
        <w:t xml:space="preserve">. Cílem metody je změřit relativní efektivnost jedné DMU </w:t>
      </w:r>
      <w:r w:rsidRPr="00B227BD">
        <w:rPr>
          <w:i/>
        </w:rPr>
        <w:t>j</w:t>
      </w:r>
      <w:r w:rsidRPr="00305913">
        <w:rPr>
          <w:i/>
          <w:vertAlign w:val="subscript"/>
        </w:rPr>
        <w:t>0</w:t>
      </w:r>
      <w:r>
        <w:rPr>
          <w:vertAlign w:val="subscript"/>
        </w:rPr>
        <w:t xml:space="preserve"> </w:t>
      </w:r>
      <w:r>
        <w:t xml:space="preserve">vzhledem k nejlepšímu možnému výkonu. Efektivnost </w:t>
      </w:r>
      <w:r w:rsidRPr="00F00425">
        <w:rPr>
          <w:i/>
        </w:rPr>
        <w:t>j</w:t>
      </w:r>
      <w:r w:rsidRPr="00F00425">
        <w:rPr>
          <w:i/>
          <w:vertAlign w:val="subscript"/>
        </w:rPr>
        <w:t>0</w:t>
      </w:r>
      <w:r>
        <w:t xml:space="preserve"> je definována jako poměr vážené sumy vstupů k vážené sumě výstupů. Váhy nejsou dány a priori, ale jsou vypočteny tak, aby maximalizovaly efektivnost dané </w:t>
      </w:r>
      <w:r w:rsidRPr="00F00425">
        <w:rPr>
          <w:i/>
        </w:rPr>
        <w:t>j</w:t>
      </w:r>
      <w:r w:rsidRPr="00F00425">
        <w:rPr>
          <w:i/>
          <w:vertAlign w:val="subscript"/>
        </w:rPr>
        <w:t>0</w:t>
      </w:r>
      <w:r w:rsidRPr="00F00425">
        <w:t xml:space="preserve">. </w:t>
      </w:r>
      <w:r>
        <w:t>Efektivnost tedy lze vypočítat tak, že se maximalizuje poměr vstupů a výstupů, kdy váhy jsou neznámé, a to za podmínky, že tento poměr nesmí přesáhnout 1 u jakékoliv jednotky:</w:t>
      </w:r>
    </w:p>
    <w:p w:rsidR="00A4083A" w:rsidRPr="00691E98" w:rsidRDefault="00A4083A" w:rsidP="00A4083A">
      <w:pPr>
        <w:pStyle w:val="OdstavecASR"/>
      </w:pPr>
      <w:r>
        <w:rPr>
          <w:sz w:val="32"/>
          <w:szCs w:val="32"/>
        </w:rPr>
        <w:t xml:space="preserve">     </w:t>
      </w:r>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0</m:t>
            </m:r>
          </m:sub>
        </m:sSub>
        <m:r>
          <w:rPr>
            <w:rFonts w:ascii="Cambria Math" w:hAnsi="Cambria Math"/>
            <w:szCs w:val="24"/>
          </w:rPr>
          <m:t xml:space="preserve">= </m:t>
        </m:r>
        <m:f>
          <m:fPr>
            <m:ctrlPr>
              <w:rPr>
                <w:rFonts w:ascii="Cambria Math" w:hAnsi="Cambria Math"/>
                <w:i/>
                <w:szCs w:val="24"/>
              </w:rPr>
            </m:ctrlPr>
          </m:fPr>
          <m:num>
            <m:nary>
              <m:naryPr>
                <m:chr m:val="∑"/>
                <m:limLoc m:val="undOvr"/>
                <m:ctrlPr>
                  <w:rPr>
                    <w:rFonts w:ascii="Cambria Math" w:hAnsi="Cambria Math"/>
                    <w:i/>
                    <w:szCs w:val="24"/>
                  </w:rPr>
                </m:ctrlPr>
              </m:naryPr>
              <m:sub>
                <m:r>
                  <w:rPr>
                    <w:rFonts w:ascii="Cambria Math" w:hAnsi="Cambria Math"/>
                    <w:szCs w:val="24"/>
                  </w:rPr>
                  <m:t>r=1</m:t>
                </m:r>
              </m:sub>
              <m:sup>
                <m:r>
                  <w:rPr>
                    <w:rFonts w:ascii="Cambria Math" w:hAnsi="Cambria Math"/>
                    <w:szCs w:val="24"/>
                  </w:rPr>
                  <m:t>s</m:t>
                </m:r>
              </m:sup>
              <m:e>
                <m:sSub>
                  <m:sSubPr>
                    <m:ctrlPr>
                      <w:rPr>
                        <w:rFonts w:ascii="Cambria Math" w:hAnsi="Cambria Math"/>
                        <w:i/>
                        <w:szCs w:val="24"/>
                      </w:rPr>
                    </m:ctrlPr>
                  </m:sSubPr>
                  <m:e>
                    <m:r>
                      <w:rPr>
                        <w:rFonts w:ascii="Cambria Math" w:hAnsi="Cambria Math"/>
                        <w:szCs w:val="24"/>
                      </w:rPr>
                      <m:t>u</m:t>
                    </m:r>
                  </m:e>
                  <m:sub>
                    <m:r>
                      <w:rPr>
                        <w:rFonts w:ascii="Cambria Math" w:hAnsi="Cambria Math"/>
                        <w:szCs w:val="24"/>
                      </w:rPr>
                      <m:t>r</m:t>
                    </m:r>
                  </m:sub>
                </m:sSub>
                <m:sSub>
                  <m:sSubPr>
                    <m:ctrlPr>
                      <w:rPr>
                        <w:rFonts w:ascii="Cambria Math" w:hAnsi="Cambria Math"/>
                        <w:i/>
                        <w:szCs w:val="24"/>
                      </w:rPr>
                    </m:ctrlPr>
                  </m:sSubPr>
                  <m:e>
                    <m:r>
                      <w:rPr>
                        <w:rFonts w:ascii="Cambria Math" w:hAnsi="Cambria Math"/>
                        <w:szCs w:val="24"/>
                      </w:rPr>
                      <m:t>y</m:t>
                    </m:r>
                  </m:e>
                  <m:sub>
                    <m:r>
                      <w:rPr>
                        <w:rFonts w:ascii="Cambria Math" w:hAnsi="Cambria Math"/>
                        <w:szCs w:val="24"/>
                      </w:rPr>
                      <m:t>rj0</m:t>
                    </m:r>
                  </m:sub>
                </m:sSub>
              </m:e>
            </m:nary>
          </m:num>
          <m:den>
            <m:nary>
              <m:naryPr>
                <m:chr m:val="∑"/>
                <m:limLoc m:val="undOvr"/>
                <m:ctrlPr>
                  <w:rPr>
                    <w:rFonts w:ascii="Cambria Math" w:hAnsi="Cambria Math"/>
                    <w:i/>
                    <w:szCs w:val="24"/>
                  </w:rPr>
                </m:ctrlPr>
              </m:naryPr>
              <m:sub>
                <m:r>
                  <w:rPr>
                    <w:rFonts w:ascii="Cambria Math" w:hAnsi="Cambria Math"/>
                    <w:szCs w:val="24"/>
                  </w:rPr>
                  <m:t>i=1</m:t>
                </m:r>
              </m:sub>
              <m:sup>
                <m:r>
                  <w:rPr>
                    <w:rFonts w:ascii="Cambria Math" w:hAnsi="Cambria Math"/>
                    <w:szCs w:val="24"/>
                  </w:rPr>
                  <m:t>m</m:t>
                </m:r>
              </m:sup>
              <m:e>
                <m:sSub>
                  <m:sSubPr>
                    <m:ctrlPr>
                      <w:rPr>
                        <w:rFonts w:ascii="Cambria Math" w:hAnsi="Cambria Math"/>
                        <w:i/>
                        <w:szCs w:val="24"/>
                      </w:rPr>
                    </m:ctrlPr>
                  </m:sSubPr>
                  <m:e>
                    <m:r>
                      <w:rPr>
                        <w:rFonts w:ascii="Cambria Math" w:hAnsi="Cambria Math"/>
                        <w:szCs w:val="24"/>
                      </w:rPr>
                      <m:t>v</m:t>
                    </m:r>
                  </m:e>
                  <m:sub>
                    <m:r>
                      <w:rPr>
                        <w:rFonts w:ascii="Cambria Math" w:hAnsi="Cambria Math"/>
                        <w:szCs w:val="24"/>
                      </w:rPr>
                      <m:t>i</m:t>
                    </m:r>
                  </m:sub>
                </m:sSub>
                <m:sSub>
                  <m:sSubPr>
                    <m:ctrlPr>
                      <w:rPr>
                        <w:rFonts w:ascii="Cambria Math" w:hAnsi="Cambria Math"/>
                        <w:i/>
                        <w:szCs w:val="24"/>
                      </w:rPr>
                    </m:ctrlPr>
                  </m:sSubPr>
                  <m:e>
                    <m:r>
                      <w:rPr>
                        <w:rFonts w:ascii="Cambria Math" w:hAnsi="Cambria Math"/>
                        <w:szCs w:val="24"/>
                      </w:rPr>
                      <m:t>x</m:t>
                    </m:r>
                  </m:e>
                  <m:sub>
                    <m:r>
                      <w:rPr>
                        <w:rFonts w:ascii="Cambria Math" w:hAnsi="Cambria Math"/>
                        <w:szCs w:val="24"/>
                      </w:rPr>
                      <m:t>ij0</m:t>
                    </m:r>
                  </m:sub>
                </m:sSub>
              </m:e>
            </m:nary>
          </m:den>
        </m:f>
      </m:oMath>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DC0069">
        <w:rPr>
          <w:szCs w:val="24"/>
        </w:rPr>
        <w:t>(1)</w:t>
      </w:r>
    </w:p>
    <w:p w:rsidR="00A4083A" w:rsidRPr="00C13829" w:rsidRDefault="00A4083A" w:rsidP="00A4083A">
      <w:pPr>
        <w:pStyle w:val="OdstavecASR"/>
      </w:pPr>
      <w:r>
        <w:t xml:space="preserve">s.t. </w:t>
      </w:r>
      <w:r w:rsidRPr="00D57F49">
        <w:rPr>
          <w:szCs w:val="24"/>
        </w:rPr>
        <w:t xml:space="preserve"> </w:t>
      </w:r>
      <m:oMath>
        <m:f>
          <m:fPr>
            <m:ctrlPr>
              <w:rPr>
                <w:rFonts w:ascii="Cambria Math" w:hAnsi="Cambria Math"/>
                <w:i/>
                <w:szCs w:val="24"/>
              </w:rPr>
            </m:ctrlPr>
          </m:fPr>
          <m:num>
            <m:nary>
              <m:naryPr>
                <m:chr m:val="∑"/>
                <m:limLoc m:val="undOvr"/>
                <m:ctrlPr>
                  <w:rPr>
                    <w:rFonts w:ascii="Cambria Math" w:hAnsi="Cambria Math"/>
                    <w:i/>
                    <w:szCs w:val="24"/>
                  </w:rPr>
                </m:ctrlPr>
              </m:naryPr>
              <m:sub>
                <m:r>
                  <w:rPr>
                    <w:rFonts w:ascii="Cambria Math" w:hAnsi="Cambria Math"/>
                    <w:szCs w:val="24"/>
                  </w:rPr>
                  <m:t>r=1</m:t>
                </m:r>
              </m:sub>
              <m:sup>
                <m:r>
                  <w:rPr>
                    <w:rFonts w:ascii="Cambria Math" w:hAnsi="Cambria Math"/>
                    <w:szCs w:val="24"/>
                  </w:rPr>
                  <m:t>s</m:t>
                </m:r>
              </m:sup>
              <m:e>
                <m:sSub>
                  <m:sSubPr>
                    <m:ctrlPr>
                      <w:rPr>
                        <w:rFonts w:ascii="Cambria Math" w:hAnsi="Cambria Math"/>
                        <w:i/>
                        <w:szCs w:val="24"/>
                      </w:rPr>
                    </m:ctrlPr>
                  </m:sSubPr>
                  <m:e>
                    <m:r>
                      <w:rPr>
                        <w:rFonts w:ascii="Cambria Math" w:hAnsi="Cambria Math"/>
                        <w:szCs w:val="24"/>
                      </w:rPr>
                      <m:t>u</m:t>
                    </m:r>
                  </m:e>
                  <m:sub>
                    <m:r>
                      <w:rPr>
                        <w:rFonts w:ascii="Cambria Math" w:hAnsi="Cambria Math"/>
                        <w:szCs w:val="24"/>
                      </w:rPr>
                      <m:t>r</m:t>
                    </m:r>
                  </m:sub>
                </m:sSub>
                <m:sSub>
                  <m:sSubPr>
                    <m:ctrlPr>
                      <w:rPr>
                        <w:rFonts w:ascii="Cambria Math" w:hAnsi="Cambria Math"/>
                        <w:i/>
                        <w:szCs w:val="24"/>
                      </w:rPr>
                    </m:ctrlPr>
                  </m:sSubPr>
                  <m:e>
                    <m:r>
                      <w:rPr>
                        <w:rFonts w:ascii="Cambria Math" w:hAnsi="Cambria Math"/>
                        <w:szCs w:val="24"/>
                      </w:rPr>
                      <m:t>y</m:t>
                    </m:r>
                  </m:e>
                  <m:sub>
                    <m:r>
                      <w:rPr>
                        <w:rFonts w:ascii="Cambria Math" w:hAnsi="Cambria Math"/>
                        <w:szCs w:val="24"/>
                      </w:rPr>
                      <m:t>rj</m:t>
                    </m:r>
                  </m:sub>
                </m:sSub>
              </m:e>
            </m:nary>
          </m:num>
          <m:den>
            <m:nary>
              <m:naryPr>
                <m:chr m:val="∑"/>
                <m:limLoc m:val="undOvr"/>
                <m:ctrlPr>
                  <w:rPr>
                    <w:rFonts w:ascii="Cambria Math" w:hAnsi="Cambria Math"/>
                    <w:i/>
                    <w:szCs w:val="24"/>
                  </w:rPr>
                </m:ctrlPr>
              </m:naryPr>
              <m:sub>
                <m:r>
                  <w:rPr>
                    <w:rFonts w:ascii="Cambria Math" w:hAnsi="Cambria Math"/>
                    <w:szCs w:val="24"/>
                  </w:rPr>
                  <m:t>i=1</m:t>
                </m:r>
              </m:sub>
              <m:sup>
                <m:r>
                  <w:rPr>
                    <w:rFonts w:ascii="Cambria Math" w:hAnsi="Cambria Math"/>
                    <w:szCs w:val="24"/>
                  </w:rPr>
                  <m:t>m</m:t>
                </m:r>
              </m:sup>
              <m:e>
                <m:sSub>
                  <m:sSubPr>
                    <m:ctrlPr>
                      <w:rPr>
                        <w:rFonts w:ascii="Cambria Math" w:hAnsi="Cambria Math"/>
                        <w:i/>
                        <w:szCs w:val="24"/>
                      </w:rPr>
                    </m:ctrlPr>
                  </m:sSubPr>
                  <m:e>
                    <m:r>
                      <w:rPr>
                        <w:rFonts w:ascii="Cambria Math" w:hAnsi="Cambria Math"/>
                        <w:szCs w:val="24"/>
                      </w:rPr>
                      <m:t>v</m:t>
                    </m:r>
                  </m:e>
                  <m:sub>
                    <m:r>
                      <w:rPr>
                        <w:rFonts w:ascii="Cambria Math" w:hAnsi="Cambria Math"/>
                        <w:szCs w:val="24"/>
                      </w:rPr>
                      <m:t>i</m:t>
                    </m:r>
                  </m:sub>
                </m:sSub>
                <m:sSub>
                  <m:sSubPr>
                    <m:ctrlPr>
                      <w:rPr>
                        <w:rFonts w:ascii="Cambria Math" w:hAnsi="Cambria Math"/>
                        <w:i/>
                        <w:szCs w:val="24"/>
                      </w:rPr>
                    </m:ctrlPr>
                  </m:sSubPr>
                  <m:e>
                    <m:r>
                      <w:rPr>
                        <w:rFonts w:ascii="Cambria Math" w:hAnsi="Cambria Math"/>
                        <w:szCs w:val="24"/>
                      </w:rPr>
                      <m:t>x</m:t>
                    </m:r>
                  </m:e>
                  <m:sub>
                    <m:r>
                      <w:rPr>
                        <w:rFonts w:ascii="Cambria Math" w:hAnsi="Cambria Math"/>
                        <w:szCs w:val="24"/>
                      </w:rPr>
                      <m:t>ij</m:t>
                    </m:r>
                  </m:sub>
                </m:sSub>
              </m:e>
            </m:nary>
          </m:den>
        </m:f>
        <m:r>
          <w:rPr>
            <w:rFonts w:ascii="Cambria Math" w:hAnsi="Cambria Math"/>
            <w:szCs w:val="24"/>
          </w:rPr>
          <m:t xml:space="preserve"> ≤1    j=1,…,n  </m:t>
        </m:r>
        <m:sSub>
          <m:sSubPr>
            <m:ctrlPr>
              <w:rPr>
                <w:rFonts w:ascii="Cambria Math" w:hAnsi="Cambria Math"/>
                <w:i/>
                <w:szCs w:val="24"/>
              </w:rPr>
            </m:ctrlPr>
          </m:sSubPr>
          <m:e>
            <m:r>
              <w:rPr>
                <w:rFonts w:ascii="Cambria Math" w:hAnsi="Cambria Math"/>
                <w:szCs w:val="24"/>
              </w:rPr>
              <m:t>u</m:t>
            </m:r>
          </m:e>
          <m:sub>
            <m:r>
              <w:rPr>
                <w:rFonts w:ascii="Cambria Math" w:hAnsi="Cambria Math"/>
                <w:szCs w:val="24"/>
              </w:rPr>
              <m:t>r</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v</m:t>
            </m:r>
          </m:e>
          <m:sub>
            <m:r>
              <w:rPr>
                <w:rFonts w:ascii="Cambria Math" w:hAnsi="Cambria Math"/>
                <w:szCs w:val="24"/>
              </w:rPr>
              <m:t>i</m:t>
            </m:r>
          </m:sub>
        </m:sSub>
        <m:r>
          <w:rPr>
            <w:rFonts w:ascii="Cambria Math" w:hAnsi="Cambria Math"/>
            <w:szCs w:val="24"/>
          </w:rPr>
          <m:t>≥0  ∀ r,i</m:t>
        </m:r>
      </m:oMath>
      <w:r w:rsidRPr="00AA20E6">
        <w:rPr>
          <w:sz w:val="28"/>
          <w:szCs w:val="28"/>
        </w:rPr>
        <w:tab/>
      </w:r>
      <w:r w:rsidRPr="00AA20E6">
        <w:rPr>
          <w:sz w:val="28"/>
          <w:szCs w:val="28"/>
        </w:rPr>
        <w:tab/>
      </w:r>
      <w:r w:rsidRPr="00AA20E6">
        <w:rPr>
          <w:sz w:val="28"/>
          <w:szCs w:val="28"/>
        </w:rPr>
        <w:tab/>
      </w:r>
      <w:r w:rsidRPr="00AA20E6">
        <w:rPr>
          <w:sz w:val="28"/>
          <w:szCs w:val="28"/>
        </w:rPr>
        <w:tab/>
      </w:r>
      <w:r>
        <w:rPr>
          <w:sz w:val="28"/>
          <w:szCs w:val="28"/>
        </w:rPr>
        <w:tab/>
      </w:r>
      <w:r w:rsidRPr="00DC0069">
        <w:rPr>
          <w:szCs w:val="24"/>
        </w:rPr>
        <w:t>(2)</w:t>
      </w:r>
    </w:p>
    <w:p w:rsidR="00A4083A" w:rsidRDefault="00A4083A" w:rsidP="00A4083A">
      <w:pPr>
        <w:pStyle w:val="OdstavecASR"/>
      </w:pPr>
      <w:r>
        <w:t xml:space="preserve">kde </w:t>
      </w:r>
      <w:r w:rsidRPr="00F00425">
        <w:rPr>
          <w:i/>
        </w:rPr>
        <w:t>u</w:t>
      </w:r>
      <w:r w:rsidRPr="00F00425">
        <w:rPr>
          <w:i/>
          <w:vertAlign w:val="subscript"/>
        </w:rPr>
        <w:t>r</w:t>
      </w:r>
      <w:r>
        <w:t xml:space="preserve"> a </w:t>
      </w:r>
      <w:r w:rsidRPr="00F00425">
        <w:rPr>
          <w:i/>
        </w:rPr>
        <w:t>v</w:t>
      </w:r>
      <w:r w:rsidRPr="00F00425">
        <w:rPr>
          <w:i/>
          <w:vertAlign w:val="subscript"/>
        </w:rPr>
        <w:t>i</w:t>
      </w:r>
      <w:r>
        <w:t xml:space="preserve"> jsou váhy pro </w:t>
      </w:r>
      <w:r>
        <w:rPr>
          <w:i/>
        </w:rPr>
        <w:t>r</w:t>
      </w:r>
      <w:r w:rsidRPr="00F00425">
        <w:rPr>
          <w:i/>
        </w:rPr>
        <w:t>-</w:t>
      </w:r>
      <w:r>
        <w:t xml:space="preserve">tý výstup nebo </w:t>
      </w:r>
      <w:r w:rsidRPr="00F00425">
        <w:rPr>
          <w:i/>
        </w:rPr>
        <w:t>i-</w:t>
      </w:r>
      <w:r>
        <w:t xml:space="preserve">tý vstup. Tento model musí být vyřešen </w:t>
      </w:r>
      <w:r>
        <w:rPr>
          <w:i/>
        </w:rPr>
        <w:t>n</w:t>
      </w:r>
      <w:r>
        <w:t>krát – tedy pro každou DMU. V tomto případě 86krát.</w:t>
      </w:r>
    </w:p>
    <w:p w:rsidR="00A4083A" w:rsidRDefault="00A4083A" w:rsidP="00A4083A">
      <w:pPr>
        <w:pStyle w:val="OdstavecASR"/>
      </w:pPr>
      <w:r>
        <w:t>Banker, Charnes a </w:t>
      </w:r>
      <w:r w:rsidRPr="007427E9">
        <w:t>Cooper (1984)</w:t>
      </w:r>
      <w:r>
        <w:t xml:space="preserve"> rozšířili model o možnost různých výnosů z rozsahu. Toho dosáhli tím, že přidali podmínku konvexivity pro oblast výrobních možností:</w:t>
      </w:r>
    </w:p>
    <w:p w:rsidR="00A4083A" w:rsidRPr="00DC0069" w:rsidRDefault="00FE0F08" w:rsidP="00A4083A">
      <w:pPr>
        <w:pStyle w:val="OdstavecASR"/>
        <w:rPr>
          <w:szCs w:val="24"/>
        </w:rPr>
      </w:pPr>
      <m:oMathPara>
        <m:oMathParaPr>
          <m:jc m:val="left"/>
        </m:oMathParaPr>
        <m:oMath>
          <m:nary>
            <m:naryPr>
              <m:chr m:val="∑"/>
              <m:limLoc m:val="undOvr"/>
              <m:ctrlPr>
                <w:rPr>
                  <w:rFonts w:ascii="Cambria Math" w:hAnsi="Cambria Math"/>
                  <w:i/>
                  <w:szCs w:val="24"/>
                </w:rPr>
              </m:ctrlPr>
            </m:naryPr>
            <m:sub>
              <m:r>
                <w:rPr>
                  <w:rFonts w:ascii="Cambria Math" w:hAnsi="Cambria Math"/>
                  <w:szCs w:val="24"/>
                </w:rPr>
                <m:t>j=1</m:t>
              </m:r>
            </m:sub>
            <m:sup>
              <m:r>
                <w:rPr>
                  <w:rFonts w:ascii="Cambria Math" w:hAnsi="Cambria Math"/>
                  <w:szCs w:val="24"/>
                </w:rPr>
                <m:t>n</m:t>
              </m:r>
            </m:sup>
            <m:e>
              <m:sSub>
                <m:sSubPr>
                  <m:ctrlPr>
                    <w:rPr>
                      <w:rFonts w:ascii="Cambria Math" w:hAnsi="Cambria Math"/>
                      <w:i/>
                      <w:szCs w:val="24"/>
                    </w:rPr>
                  </m:ctrlPr>
                </m:sSubPr>
                <m:e>
                  <m:r>
                    <w:rPr>
                      <w:rFonts w:ascii="Cambria Math" w:hAnsi="Cambria Math"/>
                      <w:szCs w:val="24"/>
                    </w:rPr>
                    <m:t xml:space="preserve"> λ</m:t>
                  </m:r>
                </m:e>
                <m:sub>
                  <m:r>
                    <w:rPr>
                      <w:rFonts w:ascii="Cambria Math" w:hAnsi="Cambria Math"/>
                      <w:szCs w:val="24"/>
                    </w:rPr>
                    <m:t>j</m:t>
                  </m:r>
                </m:sub>
              </m:sSub>
            </m:e>
          </m:nary>
          <m:r>
            <w:rPr>
              <w:rFonts w:ascii="Cambria Math" w:hAnsi="Cambria Math"/>
              <w:szCs w:val="24"/>
            </w:rPr>
            <m:t>=1</m:t>
          </m:r>
        </m:oMath>
      </m:oMathPara>
    </w:p>
    <w:p w:rsidR="00A4083A" w:rsidRPr="00F63C12" w:rsidRDefault="00A4083A" w:rsidP="00A4083A">
      <w:pPr>
        <w:pStyle w:val="Nadpis4"/>
        <w:numPr>
          <w:ilvl w:val="0"/>
          <w:numId w:val="0"/>
        </w:numPr>
        <w:ind w:left="864" w:hanging="864"/>
        <w:rPr>
          <w:sz w:val="28"/>
          <w:szCs w:val="28"/>
        </w:rPr>
      </w:pPr>
      <w:r>
        <w:t>Aplikace DEA v oblasti soudnictví</w:t>
      </w:r>
    </w:p>
    <w:p w:rsidR="00A4083A" w:rsidRDefault="00A4083A" w:rsidP="00A4083A">
      <w:r w:rsidRPr="00F71EF0">
        <w:t>DEA není</w:t>
      </w:r>
      <w:r>
        <w:t xml:space="preserve"> v </w:t>
      </w:r>
      <w:r w:rsidRPr="00F71EF0">
        <w:t>oblasti soudnictví aplikována příliš často</w:t>
      </w:r>
      <w:r>
        <w:t>, několik prací na toto téma však existuje</w:t>
      </w:r>
      <w:r w:rsidRPr="00F71EF0">
        <w:t>. Poprvé DEA aplikovali</w:t>
      </w:r>
      <w:r>
        <w:t xml:space="preserve"> v </w:t>
      </w:r>
      <w:r w:rsidRPr="00F71EF0">
        <w:t>oblasti soudnictví Lewin, Morey</w:t>
      </w:r>
      <w:r>
        <w:t xml:space="preserve"> a </w:t>
      </w:r>
      <w:r w:rsidRPr="00F71EF0">
        <w:t>Cook (1982), kteří zkoumali efektivnost vrchních trestních soudů</w:t>
      </w:r>
      <w:r>
        <w:t xml:space="preserve"> v </w:t>
      </w:r>
      <w:r w:rsidRPr="00F71EF0">
        <w:t>Severní Karolíně</w:t>
      </w:r>
      <w:r>
        <w:t xml:space="preserve"> v </w:t>
      </w:r>
      <w:r w:rsidRPr="00F71EF0">
        <w:t>roce 1976. Kittelsen</w:t>
      </w:r>
      <w:r>
        <w:t xml:space="preserve"> a </w:t>
      </w:r>
      <w:r w:rsidRPr="00F71EF0">
        <w:t>Forsund (1992) zkoumali norské soudy</w:t>
      </w:r>
      <w:r>
        <w:t xml:space="preserve"> v </w:t>
      </w:r>
      <w:r w:rsidRPr="00F71EF0">
        <w:t xml:space="preserve">letech 1983–1986. </w:t>
      </w:r>
      <w:r>
        <w:t>Pedraja-Chaparro a Salinas-Jimenéz (1996) analyzují soudy ve Španělsku. DEA využil také Schneider (2005, odvolací soudy pro pracovní právo v Německu). Relativně nedávno, v roce 2011, bylo DEA aplikováno v Brazílii (státní soudy), v Egyptě (soudy první instance) či Itálii (odvolací soudy).</w:t>
      </w:r>
    </w:p>
    <w:p w:rsidR="00A4083A" w:rsidRDefault="00A4083A" w:rsidP="00A4083A"/>
    <w:p w:rsidR="00A4083A" w:rsidRDefault="00A4083A" w:rsidP="00A4083A">
      <w:pPr>
        <w:pStyle w:val="OdstavecASR"/>
      </w:pPr>
      <w:r w:rsidRPr="00DC0069">
        <w:t>Vstupy</w:t>
      </w:r>
      <w:r>
        <w:t xml:space="preserve"> a </w:t>
      </w:r>
      <w:r w:rsidRPr="00DC0069">
        <w:t xml:space="preserve">výstupy DEA jsou ve všech těchto pracích velmi podobné. Jako vstupy se většinou používají nápad, počet nedodělků </w:t>
      </w:r>
      <w:r>
        <w:t>na začátku roku</w:t>
      </w:r>
      <w:r w:rsidRPr="00DC0069">
        <w:t>, počet soudců</w:t>
      </w:r>
      <w:r>
        <w:t xml:space="preserve"> a </w:t>
      </w:r>
      <w:r w:rsidRPr="00DC0069">
        <w:t xml:space="preserve">dalšího personálu. Jako výstup se používá výhradně počet vyřízených </w:t>
      </w:r>
      <w:r>
        <w:t>věcí.</w:t>
      </w:r>
      <w:r w:rsidRPr="00DC0069">
        <w:t xml:space="preserve"> Některé práce dělí vyřízené </w:t>
      </w:r>
      <w:r>
        <w:t>věcí</w:t>
      </w:r>
      <w:r w:rsidRPr="00DC0069">
        <w:t xml:space="preserve"> do kategorií nebo jako zvláštní výstup berou počet </w:t>
      </w:r>
      <w:r>
        <w:t>věcí</w:t>
      </w:r>
      <w:r w:rsidRPr="00DC0069">
        <w:t xml:space="preserve"> vyřízených do určitého počtu dní.</w:t>
      </w:r>
    </w:p>
    <w:p w:rsidR="00A4083A" w:rsidRDefault="00A4083A" w:rsidP="00A4083A">
      <w:pPr>
        <w:pStyle w:val="Nadpis3"/>
        <w:numPr>
          <w:ilvl w:val="0"/>
          <w:numId w:val="0"/>
        </w:numPr>
        <w:ind w:left="720" w:hanging="720"/>
      </w:pPr>
      <w:bookmarkStart w:id="813" w:name="_Toc487791324"/>
      <w:bookmarkStart w:id="814" w:name="_Toc515871324"/>
      <w:bookmarkStart w:id="815" w:name="_Toc43903141"/>
      <w:r>
        <w:t>Metodika, specifikace modelu</w:t>
      </w:r>
      <w:bookmarkEnd w:id="813"/>
      <w:bookmarkEnd w:id="814"/>
      <w:bookmarkEnd w:id="815"/>
    </w:p>
    <w:p w:rsidR="00A4083A" w:rsidRDefault="00A4083A" w:rsidP="00A4083A">
      <w:pPr>
        <w:pStyle w:val="OdstavecASR"/>
      </w:pPr>
      <w:r>
        <w:t>V teoretické části byly popsány teoretické základy DEA, její varianty a základní literatura, která se DEA zabývá nebo ji aplikuje. V této části je popsána konkrétní aplikace DEA při hodnocení českých soudů. Jako vstupy jsou použity následující proměnné</w:t>
      </w:r>
      <w:r w:rsidRPr="00034561">
        <w:rPr>
          <w:b/>
        </w:rPr>
        <w:t>:</w:t>
      </w:r>
      <w:r w:rsidRPr="00627A40">
        <w:rPr>
          <w:b/>
        </w:rPr>
        <w:t xml:space="preserve"> počet soudců</w:t>
      </w:r>
      <w:r>
        <w:rPr>
          <w:b/>
        </w:rPr>
        <w:t xml:space="preserve"> </w:t>
      </w:r>
      <w:r>
        <w:rPr>
          <w:bCs/>
        </w:rPr>
        <w:t>(díky novým datům byl počet soudců zpřesněn)</w:t>
      </w:r>
      <w:r>
        <w:t xml:space="preserve">, </w:t>
      </w:r>
      <w:r w:rsidRPr="00627A40">
        <w:rPr>
          <w:b/>
        </w:rPr>
        <w:t>počet referentů</w:t>
      </w:r>
      <w:r>
        <w:t xml:space="preserve"> (VSÚ + asistenti + soudní tajemníci) a </w:t>
      </w:r>
      <w:r w:rsidRPr="00627A40">
        <w:rPr>
          <w:b/>
        </w:rPr>
        <w:t xml:space="preserve">počet </w:t>
      </w:r>
      <w:r>
        <w:rPr>
          <w:b/>
        </w:rPr>
        <w:t xml:space="preserve">dalšího </w:t>
      </w:r>
      <w:r>
        <w:rPr>
          <w:b/>
        </w:rPr>
        <w:lastRenderedPageBreak/>
        <w:t xml:space="preserve">personálu ve výkonu </w:t>
      </w:r>
      <w:r>
        <w:t>(vedoucí kanceláře + protokolující úředníci + zapisovatelky) a </w:t>
      </w:r>
      <w:r w:rsidRPr="00260E02">
        <w:rPr>
          <w:b/>
        </w:rPr>
        <w:t>vážená případová zátěž</w:t>
      </w:r>
      <w:r>
        <w:rPr>
          <w:b/>
        </w:rPr>
        <w:t xml:space="preserve"> </w:t>
      </w:r>
      <w:r w:rsidRPr="00034561">
        <w:t>(</w:t>
      </w:r>
      <w:r>
        <w:t xml:space="preserve">nevyřízené věci na začátku roku + počet příchozích věcí). Jako výstup byl použit </w:t>
      </w:r>
      <w:r w:rsidRPr="00627A40">
        <w:rPr>
          <w:b/>
        </w:rPr>
        <w:t xml:space="preserve">vážený počet vyřízených </w:t>
      </w:r>
      <w:r>
        <w:rPr>
          <w:b/>
        </w:rPr>
        <w:t>věcí</w:t>
      </w:r>
      <w:r>
        <w:t xml:space="preserve">. Na rozdíl od ostatních kapitol jsou tedy zapojeny všechny agendy. Využita je výstupově orientovaná DEA. Tato metoda se soustředí na maximalizaci výstupů za využití konstantních vstupů. V empirické literatuře v oblasti justice je obecně více využívána tato orientace DEA. Soudy totiž mají kontrolu nad vyřízenými věcmi (výstupy), ale ne nad nápadem (jeden ze vstupů). </w:t>
      </w:r>
      <w:r w:rsidRPr="00DC0069">
        <w:t>Veškerá</w:t>
      </w:r>
      <w:r>
        <w:t xml:space="preserve"> uváděná data jsou za rok 2017</w:t>
      </w:r>
      <w:r w:rsidRPr="00DC0069">
        <w:t>.</w:t>
      </w:r>
    </w:p>
    <w:p w:rsidR="00A4083A" w:rsidRDefault="00A4083A" w:rsidP="00A4083A">
      <w:pPr>
        <w:pStyle w:val="OdstavecASR"/>
      </w:pPr>
      <w:r>
        <w:t xml:space="preserve">Případy byly váženy pomocí </w:t>
      </w:r>
      <w:r w:rsidRPr="006E4CD0">
        <w:t>dv</w:t>
      </w:r>
      <w:r>
        <w:t>ou</w:t>
      </w:r>
      <w:r w:rsidRPr="006E4CD0">
        <w:t xml:space="preserve"> typ</w:t>
      </w:r>
      <w:r>
        <w:t>ů</w:t>
      </w:r>
      <w:r w:rsidRPr="006E4CD0">
        <w:t xml:space="preserve"> vah. První typ vychází</w:t>
      </w:r>
      <w:r>
        <w:t xml:space="preserve"> z </w:t>
      </w:r>
      <w:r w:rsidRPr="006E4CD0">
        <w:t>měřítek používaných</w:t>
      </w:r>
      <w:r>
        <w:t xml:space="preserve"> v </w:t>
      </w:r>
      <w:r w:rsidRPr="006E4CD0">
        <w:t>systemizaci</w:t>
      </w:r>
      <w:r>
        <w:t xml:space="preserve">, kde má </w:t>
      </w:r>
      <w:r w:rsidRPr="006E4CD0">
        <w:t>například případ</w:t>
      </w:r>
      <w:r>
        <w:t xml:space="preserve"> z </w:t>
      </w:r>
      <w:r w:rsidRPr="006E4CD0">
        <w:t>agendy</w:t>
      </w:r>
      <w:r>
        <w:t> </w:t>
      </w:r>
      <w:r w:rsidRPr="006E4CD0">
        <w:t>C váhu</w:t>
      </w:r>
      <w:r>
        <w:t> </w:t>
      </w:r>
      <w:r w:rsidRPr="006E4CD0">
        <w:t>1</w:t>
      </w:r>
      <w:r>
        <w:t xml:space="preserve"> a </w:t>
      </w:r>
      <w:r w:rsidRPr="006E4CD0">
        <w:t>případ</w:t>
      </w:r>
      <w:r>
        <w:t xml:space="preserve"> z </w:t>
      </w:r>
      <w:r w:rsidRPr="006E4CD0">
        <w:t>agendy</w:t>
      </w:r>
      <w:r>
        <w:t> </w:t>
      </w:r>
      <w:r w:rsidRPr="005D2EB8">
        <w:t xml:space="preserve">EXE </w:t>
      </w:r>
      <w:r w:rsidRPr="006505B2">
        <w:t xml:space="preserve">váhu 308/ 2200 </w:t>
      </w:r>
      <w:r w:rsidRPr="006E4CD0">
        <w:rPr>
          <w:rFonts w:ascii="Cambria Math" w:hAnsi="Cambria Math" w:cs="Cambria Math"/>
        </w:rPr>
        <w:t>≐</w:t>
      </w:r>
      <w:r w:rsidRPr="006E4CD0">
        <w:t xml:space="preserve"> 0</w:t>
      </w:r>
      <w:r>
        <w:t>,14</w:t>
      </w:r>
      <w:r w:rsidRPr="006E4CD0">
        <w:t>. Druhý typ</w:t>
      </w:r>
      <w:r>
        <w:t xml:space="preserve"> se uplatní v </w:t>
      </w:r>
      <w:r w:rsidRPr="006E4CD0">
        <w:t>rámci velkých agend, u</w:t>
      </w:r>
      <w:r>
        <w:t> </w:t>
      </w:r>
      <w:r w:rsidRPr="006E4CD0">
        <w:t>nichž jsou</w:t>
      </w:r>
      <w:r>
        <w:t xml:space="preserve"> k </w:t>
      </w:r>
      <w:r w:rsidRPr="006E4CD0">
        <w:t>dispozici podrobnější data (vyplňují se statistické list</w:t>
      </w:r>
      <w:r>
        <w:t>y). Jedná se o agendy </w:t>
      </w:r>
      <w:r w:rsidRPr="006E4CD0">
        <w:t>P</w:t>
      </w:r>
      <w:r>
        <w:t xml:space="preserve"> a </w:t>
      </w:r>
      <w:r w:rsidRPr="006E4CD0">
        <w:t>Nc</w:t>
      </w:r>
      <w:r>
        <w:t xml:space="preserve">, T, Tm a C. </w:t>
      </w:r>
      <w:r w:rsidRPr="006E4CD0">
        <w:t>Jednotlivým druhům sporu je</w:t>
      </w:r>
      <w:r>
        <w:t xml:space="preserve"> v </w:t>
      </w:r>
      <w:r w:rsidRPr="006E4CD0">
        <w:t xml:space="preserve">rámci agendy přidělen „koeficient obtížnosti sporu“, který </w:t>
      </w:r>
      <w:r>
        <w:t>určuje,</w:t>
      </w:r>
      <w:r w:rsidRPr="006E4CD0">
        <w:t xml:space="preserve"> jak je daný spor </w:t>
      </w:r>
      <w:r>
        <w:t>relativně obtížný v rámci příslušné agendy</w:t>
      </w:r>
      <w:r w:rsidRPr="006E4CD0">
        <w:t>. Jako kritérium obtížnosti je využita délka řízení, respektive počet</w:t>
      </w:r>
      <w:r>
        <w:t xml:space="preserve"> hlavních líčení</w:t>
      </w:r>
      <w:r w:rsidRPr="006E4CD0">
        <w:t xml:space="preserve"> u</w:t>
      </w:r>
      <w:r>
        <w:t> </w:t>
      </w:r>
      <w:r w:rsidRPr="006E4CD0">
        <w:t>trestních agend.</w:t>
      </w:r>
      <w:r>
        <w:t xml:space="preserve"> Pro účely této zprávy byla použita následující specifikace DEA: </w:t>
      </w:r>
      <w:r>
        <w:rPr>
          <w:b/>
        </w:rPr>
        <w:t>modely CCR i BCC</w:t>
      </w:r>
      <w:r w:rsidRPr="00490396">
        <w:rPr>
          <w:b/>
        </w:rPr>
        <w:t>,</w:t>
      </w:r>
      <w:r>
        <w:rPr>
          <w:b/>
        </w:rPr>
        <w:t xml:space="preserve"> </w:t>
      </w:r>
      <w:r w:rsidRPr="00A74967">
        <w:rPr>
          <w:b/>
        </w:rPr>
        <w:t>dvoufázová</w:t>
      </w:r>
      <w:r w:rsidRPr="00490396">
        <w:rPr>
          <w:b/>
        </w:rPr>
        <w:t>,</w:t>
      </w:r>
      <w:r>
        <w:rPr>
          <w:b/>
        </w:rPr>
        <w:t xml:space="preserve"> výstupově orientovaná</w:t>
      </w:r>
      <w:r>
        <w:t>. Analýza tedy zkoumá, o </w:t>
      </w:r>
      <w:r>
        <w:rPr>
          <w:b/>
        </w:rPr>
        <w:t xml:space="preserve">kolik by soud mohl </w:t>
      </w:r>
      <w:r w:rsidRPr="00BE08C0">
        <w:rPr>
          <w:b/>
        </w:rPr>
        <w:t>zvýšit své výstupy, aniž by se změnila velikost vstupů</w:t>
      </w:r>
      <w:r>
        <w:t>,</w:t>
      </w:r>
      <w:r w:rsidRPr="00BE08C0">
        <w:t xml:space="preserve"> pokud by soud </w:t>
      </w:r>
      <w:r>
        <w:t xml:space="preserve">fungoval </w:t>
      </w:r>
      <w:r w:rsidRPr="00BE08C0">
        <w:t>efektivně.</w:t>
      </w:r>
      <w:r>
        <w:t xml:space="preserve"> Také zkoumá, zda je velikost soudu ideální či nikoliv.</w:t>
      </w:r>
    </w:p>
    <w:p w:rsidR="00A4083A" w:rsidRDefault="00A4083A" w:rsidP="00A4083A">
      <w:pPr>
        <w:spacing w:line="240" w:lineRule="auto"/>
        <w:jc w:val="left"/>
        <w:rPr>
          <w:rFonts w:eastAsia="Times New Roman"/>
          <w:b/>
          <w:bCs/>
          <w:iCs/>
          <w:sz w:val="28"/>
          <w:szCs w:val="28"/>
        </w:rPr>
      </w:pPr>
      <w:r>
        <w:br w:type="page"/>
      </w:r>
    </w:p>
    <w:p w:rsidR="00A4083A" w:rsidRDefault="00A4083A" w:rsidP="00A4083A">
      <w:pPr>
        <w:pStyle w:val="Nadpis3"/>
        <w:pageBreakBefore/>
        <w:numPr>
          <w:ilvl w:val="0"/>
          <w:numId w:val="0"/>
        </w:numPr>
        <w:ind w:left="720" w:hanging="720"/>
      </w:pPr>
      <w:bookmarkStart w:id="816" w:name="_Toc487791325"/>
      <w:bookmarkStart w:id="817" w:name="_Toc515871325"/>
      <w:bookmarkStart w:id="818" w:name="_Toc43903142"/>
      <w:r>
        <w:lastRenderedPageBreak/>
        <w:t>Seznam literatury (DEA)</w:t>
      </w:r>
      <w:bookmarkEnd w:id="816"/>
      <w:bookmarkEnd w:id="817"/>
      <w:bookmarkEnd w:id="818"/>
    </w:p>
    <w:p w:rsidR="00A4083A" w:rsidRPr="00D17312" w:rsidRDefault="00A4083A" w:rsidP="00A4083A">
      <w:pPr>
        <w:pStyle w:val="OdstavecASR"/>
        <w:rPr>
          <w:lang w:val="en-US"/>
        </w:rPr>
      </w:pPr>
      <w:r w:rsidRPr="00D17312">
        <w:rPr>
          <w:lang w:val="en-US"/>
        </w:rPr>
        <w:t xml:space="preserve">BANKER, Rajiv D. – CHARNES, Abraham – COOPER, William Wager: Some models for estimating technical and scale inefficiencies in data envelopment analysis. </w:t>
      </w:r>
      <w:r w:rsidRPr="00D17312">
        <w:rPr>
          <w:i/>
          <w:iCs/>
          <w:lang w:val="en-US"/>
        </w:rPr>
        <w:t>Management science</w:t>
      </w:r>
      <w:r w:rsidRPr="00D17312">
        <w:rPr>
          <w:lang w:val="en-US"/>
        </w:rPr>
        <w:t>, 1984, 1078–1092.</w:t>
      </w:r>
    </w:p>
    <w:p w:rsidR="00A4083A" w:rsidRPr="00D17312" w:rsidRDefault="00A4083A" w:rsidP="00A4083A">
      <w:pPr>
        <w:pStyle w:val="OdstavecASR"/>
        <w:rPr>
          <w:lang w:val="en-US"/>
        </w:rPr>
      </w:pPr>
      <w:r w:rsidRPr="00D17312">
        <w:rPr>
          <w:lang w:val="en-US"/>
        </w:rPr>
        <w:t xml:space="preserve">CHARNES, Abraham – COOPER, William W. – RHODES, Edwardo: Measuring the efficiency of decision making units. </w:t>
      </w:r>
      <w:r w:rsidRPr="00D17312">
        <w:rPr>
          <w:i/>
          <w:iCs/>
          <w:lang w:val="en-US"/>
        </w:rPr>
        <w:t>European journal of operational research</w:t>
      </w:r>
      <w:r w:rsidRPr="00D17312">
        <w:rPr>
          <w:lang w:val="en-US"/>
        </w:rPr>
        <w:t>, 1978, 429–444.</w:t>
      </w:r>
    </w:p>
    <w:p w:rsidR="00A4083A" w:rsidRPr="00D17312" w:rsidRDefault="00A4083A" w:rsidP="00A4083A">
      <w:pPr>
        <w:pStyle w:val="OdstavecASR"/>
        <w:rPr>
          <w:lang w:val="en-US"/>
        </w:rPr>
      </w:pPr>
      <w:r w:rsidRPr="00D17312">
        <w:rPr>
          <w:lang w:val="en-US"/>
        </w:rPr>
        <w:t xml:space="preserve">ELBIALY, Nora – GARCÍA-RUBIO, Miguel A: </w:t>
      </w:r>
      <w:r w:rsidRPr="00D17312">
        <w:rPr>
          <w:i/>
          <w:iCs/>
          <w:lang w:val="en-US"/>
        </w:rPr>
        <w:t>Assessing judicial efficiency of Egyptian First Instance Courts: A DEA analysis</w:t>
      </w:r>
      <w:r w:rsidRPr="00D17312">
        <w:rPr>
          <w:lang w:val="en-US"/>
        </w:rPr>
        <w:t>. Joint discussion paper series in economics, 2011.</w:t>
      </w:r>
    </w:p>
    <w:p w:rsidR="00A4083A" w:rsidRPr="00D17312" w:rsidRDefault="00A4083A" w:rsidP="00A4083A">
      <w:pPr>
        <w:pStyle w:val="OdstavecASR"/>
        <w:rPr>
          <w:lang w:val="en-US"/>
        </w:rPr>
      </w:pPr>
      <w:r w:rsidRPr="00D17312">
        <w:rPr>
          <w:lang w:val="en-US"/>
        </w:rPr>
        <w:t xml:space="preserve">FARRELL, Michael James: The measurement of productive efficiency. </w:t>
      </w:r>
      <w:r w:rsidRPr="00D17312">
        <w:rPr>
          <w:i/>
          <w:lang w:val="en-US"/>
        </w:rPr>
        <w:t xml:space="preserve">Journal of the Royal Statistical Society. Series A (General), </w:t>
      </w:r>
      <w:r w:rsidRPr="00D17312">
        <w:rPr>
          <w:lang w:val="en-US"/>
        </w:rPr>
        <w:t>1957, 253–290.</w:t>
      </w:r>
    </w:p>
    <w:p w:rsidR="00A4083A" w:rsidRPr="00D17312" w:rsidRDefault="00A4083A" w:rsidP="00A4083A">
      <w:pPr>
        <w:pStyle w:val="OdstavecASR"/>
        <w:rPr>
          <w:lang w:val="en-US"/>
        </w:rPr>
      </w:pPr>
      <w:r w:rsidRPr="00D17312">
        <w:rPr>
          <w:lang w:val="en-US"/>
        </w:rPr>
        <w:t xml:space="preserve">JI, Yong-bae, LEE – Choonjoo: Data envelopment analysis. </w:t>
      </w:r>
      <w:r w:rsidRPr="00D17312">
        <w:rPr>
          <w:i/>
          <w:lang w:val="en-US"/>
        </w:rPr>
        <w:t>The Stata Journal</w:t>
      </w:r>
      <w:r w:rsidRPr="00D17312">
        <w:rPr>
          <w:lang w:val="en-US"/>
        </w:rPr>
        <w:t>, 2010, 267–280.</w:t>
      </w:r>
    </w:p>
    <w:p w:rsidR="00A4083A" w:rsidRPr="00D17312" w:rsidRDefault="00A4083A" w:rsidP="00A4083A">
      <w:pPr>
        <w:pStyle w:val="OdstavecASR"/>
        <w:rPr>
          <w:lang w:val="en-US"/>
        </w:rPr>
      </w:pPr>
      <w:r w:rsidRPr="00D17312">
        <w:rPr>
          <w:lang w:val="en-US"/>
        </w:rPr>
        <w:t xml:space="preserve">KITTELSEN Sverre – FØRSUND Finn: Efficiency Analysis of Norwegian District Courts, </w:t>
      </w:r>
      <w:r w:rsidRPr="00D17312">
        <w:rPr>
          <w:i/>
          <w:lang w:val="en-US"/>
        </w:rPr>
        <w:t>Journal of Productivity Analysi. 3</w:t>
      </w:r>
      <w:r w:rsidRPr="00D17312">
        <w:rPr>
          <w:lang w:val="en-US"/>
        </w:rPr>
        <w:t>, 1992, 277–306.</w:t>
      </w:r>
    </w:p>
    <w:p w:rsidR="00A4083A" w:rsidRPr="00D17312" w:rsidRDefault="00A4083A" w:rsidP="00A4083A">
      <w:pPr>
        <w:pStyle w:val="OdstavecASR"/>
        <w:rPr>
          <w:lang w:val="en-US"/>
        </w:rPr>
      </w:pPr>
      <w:r w:rsidRPr="00D17312">
        <w:rPr>
          <w:lang w:val="en-US"/>
        </w:rPr>
        <w:t xml:space="preserve">LEWIN, Arie Y – MOREY, Richard C – COOK, Thomas J.: Evaluating the administrative efficiency of courts. </w:t>
      </w:r>
      <w:r w:rsidRPr="00D17312">
        <w:rPr>
          <w:i/>
          <w:iCs/>
          <w:lang w:val="en-US"/>
        </w:rPr>
        <w:t>Omega</w:t>
      </w:r>
      <w:r w:rsidRPr="00D17312">
        <w:rPr>
          <w:lang w:val="en-US"/>
        </w:rPr>
        <w:t>, 1982, 401–411.</w:t>
      </w:r>
    </w:p>
    <w:p w:rsidR="00A4083A" w:rsidRPr="00D17312" w:rsidRDefault="00A4083A" w:rsidP="00A4083A">
      <w:pPr>
        <w:pStyle w:val="OdstavecASR"/>
        <w:rPr>
          <w:lang w:val="en-US"/>
        </w:rPr>
      </w:pPr>
      <w:r w:rsidRPr="00D17312">
        <w:rPr>
          <w:lang w:val="en-US"/>
        </w:rPr>
        <w:t xml:space="preserve">NISSI, Eugenia – RAPPOSELLI, Agnese: A Data envelopment analysis of Italian courts efficiency, </w:t>
      </w:r>
      <w:r w:rsidRPr="00D17312">
        <w:rPr>
          <w:i/>
          <w:iCs/>
          <w:lang w:val="en-US"/>
        </w:rPr>
        <w:t>Italian Journal of Applied Statistics Vol. 22 (2)</w:t>
      </w:r>
      <w:r w:rsidRPr="00D17312">
        <w:rPr>
          <w:iCs/>
          <w:lang w:val="en-US"/>
        </w:rPr>
        <w:t>, 2011, 199–209.</w:t>
      </w:r>
    </w:p>
    <w:p w:rsidR="00A4083A" w:rsidRPr="00D17312" w:rsidRDefault="00A4083A" w:rsidP="00A4083A">
      <w:pPr>
        <w:pStyle w:val="OdstavecASR"/>
        <w:rPr>
          <w:lang w:val="en-US"/>
        </w:rPr>
      </w:pPr>
      <w:r w:rsidRPr="00D17312">
        <w:rPr>
          <w:lang w:val="en-US"/>
        </w:rPr>
        <w:t xml:space="preserve">PEDRAJA-CHAPARRO, Francisco – SALINAS-JIMÉNEZ, Javier: An assessment of the efficiency of Spanish Courts using DEA. </w:t>
      </w:r>
      <w:r w:rsidRPr="00D17312">
        <w:rPr>
          <w:i/>
          <w:iCs/>
          <w:lang w:val="en-US"/>
        </w:rPr>
        <w:t>Applied Economics</w:t>
      </w:r>
      <w:r w:rsidRPr="00D17312">
        <w:rPr>
          <w:lang w:val="en-US"/>
        </w:rPr>
        <w:t>, 1996, 1391–1403.</w:t>
      </w:r>
    </w:p>
    <w:p w:rsidR="00A4083A" w:rsidRPr="00D17312" w:rsidRDefault="00A4083A" w:rsidP="00A4083A">
      <w:pPr>
        <w:pStyle w:val="OdstavecASR"/>
        <w:rPr>
          <w:lang w:val="en-US"/>
        </w:rPr>
      </w:pPr>
      <w:r w:rsidRPr="00D17312">
        <w:rPr>
          <w:lang w:val="en-US"/>
        </w:rPr>
        <w:t xml:space="preserve">SCHNEIDER, Martin R.: Judicial career incentives and court performance: an empirical study of the German labour courts of appeal. </w:t>
      </w:r>
      <w:r w:rsidRPr="00D17312">
        <w:rPr>
          <w:i/>
          <w:lang w:val="en-US"/>
        </w:rPr>
        <w:t>European Journal of Law and Economics</w:t>
      </w:r>
      <w:r w:rsidRPr="00D17312">
        <w:rPr>
          <w:lang w:val="en-US"/>
        </w:rPr>
        <w:t>, 2005, 127–144.</w:t>
      </w:r>
    </w:p>
    <w:p w:rsidR="00A4083A" w:rsidRPr="00D17312" w:rsidRDefault="00A4083A" w:rsidP="00A4083A">
      <w:pPr>
        <w:pStyle w:val="OdstavecASR"/>
        <w:rPr>
          <w:lang w:val="en-US"/>
        </w:rPr>
      </w:pPr>
      <w:r w:rsidRPr="00D17312">
        <w:rPr>
          <w:lang w:val="en-US"/>
        </w:rPr>
        <w:t>YEUNG, Luciana L. – AZEVEDO, Paulo F.: Measuring efficiency of Brazilian courts with data envelopment analysis (DEA). IMA Journal of Management Mathematics, 2011, dpr002.</w:t>
      </w:r>
    </w:p>
    <w:p w:rsidR="00A4083A" w:rsidRDefault="00A4083A" w:rsidP="00A4083A"/>
    <w:p w:rsidR="00A4083A" w:rsidRPr="00F85178" w:rsidRDefault="00A4083A" w:rsidP="00A4083A"/>
    <w:p w:rsidR="00A4083A" w:rsidRPr="00F85178" w:rsidRDefault="00A4083A" w:rsidP="00A4083A"/>
    <w:p w:rsidR="00A4083A" w:rsidRPr="00F85178" w:rsidRDefault="00A4083A" w:rsidP="00A4083A">
      <w:pPr>
        <w:autoSpaceDE w:val="0"/>
        <w:autoSpaceDN w:val="0"/>
        <w:adjustRightInd w:val="0"/>
        <w:spacing w:line="240" w:lineRule="auto"/>
        <w:jc w:val="left"/>
        <w:rPr>
          <w:rFonts w:cs="OfficinaSansItcTOT-Bold"/>
          <w:b/>
          <w:bCs/>
          <w:sz w:val="18"/>
          <w:szCs w:val="19"/>
          <w:lang w:eastAsia="cs-CZ"/>
        </w:rPr>
        <w:sectPr w:rsidR="00A4083A" w:rsidRPr="00F85178" w:rsidSect="00A4083A">
          <w:headerReference w:type="even" r:id="rId145"/>
          <w:headerReference w:type="default" r:id="rId146"/>
          <w:footerReference w:type="even" r:id="rId147"/>
          <w:footerReference w:type="default" r:id="rId148"/>
          <w:headerReference w:type="first" r:id="rId149"/>
          <w:footerReference w:type="first" r:id="rId150"/>
          <w:pgSz w:w="11906" w:h="16838" w:code="9"/>
          <w:pgMar w:top="1418" w:right="1418" w:bottom="1418" w:left="1418" w:header="709" w:footer="709" w:gutter="0"/>
          <w:cols w:space="708"/>
          <w:titlePg/>
          <w:docGrid w:linePitch="360"/>
        </w:sectPr>
      </w:pPr>
    </w:p>
    <w:p w:rsidR="00A4083A" w:rsidRPr="00F85178" w:rsidRDefault="00A4083A" w:rsidP="00A4083A">
      <w:pPr>
        <w:autoSpaceDE w:val="0"/>
        <w:autoSpaceDN w:val="0"/>
        <w:adjustRightInd w:val="0"/>
        <w:spacing w:line="240" w:lineRule="auto"/>
        <w:jc w:val="left"/>
        <w:rPr>
          <w:rFonts w:cs="OfficinaSansItcTOT-Bold"/>
          <w:b/>
          <w:bCs/>
          <w:sz w:val="18"/>
          <w:szCs w:val="19"/>
          <w:lang w:eastAsia="cs-CZ"/>
        </w:rPr>
      </w:pPr>
      <w:r>
        <w:rPr>
          <w:noProof/>
          <w:lang w:eastAsia="cs-CZ"/>
        </w:rPr>
        <w:lastRenderedPageBreak/>
        <w:drawing>
          <wp:inline distT="0" distB="0" distL="0" distR="0" wp14:anchorId="09D14FB6" wp14:editId="3DEBBA3B">
            <wp:extent cx="1214755" cy="1057910"/>
            <wp:effectExtent l="0" t="0" r="0" b="0"/>
            <wp:docPr id="107" name="Obrázek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4755" cy="1057910"/>
                    </a:xfrm>
                    <a:prstGeom prst="rect">
                      <a:avLst/>
                    </a:prstGeom>
                    <a:noFill/>
                    <a:ln>
                      <a:noFill/>
                    </a:ln>
                  </pic:spPr>
                </pic:pic>
              </a:graphicData>
            </a:graphic>
          </wp:inline>
        </w:drawing>
      </w: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
          <w:bCs/>
          <w:sz w:val="18"/>
          <w:szCs w:val="19"/>
          <w:lang w:eastAsia="cs-CZ"/>
        </w:rPr>
      </w:pPr>
    </w:p>
    <w:p w:rsidR="00A4083A" w:rsidRPr="00F85178" w:rsidRDefault="00A4083A" w:rsidP="00A4083A">
      <w:pPr>
        <w:autoSpaceDE w:val="0"/>
        <w:autoSpaceDN w:val="0"/>
        <w:adjustRightInd w:val="0"/>
        <w:spacing w:line="240" w:lineRule="auto"/>
        <w:jc w:val="center"/>
        <w:rPr>
          <w:rFonts w:cs="OfficinaSansItcTOT-Bold"/>
          <w:bCs/>
          <w:sz w:val="18"/>
          <w:szCs w:val="19"/>
          <w:lang w:eastAsia="cs-CZ"/>
        </w:rPr>
      </w:pPr>
      <w:r w:rsidRPr="00F85178">
        <w:rPr>
          <w:rFonts w:cs="OfficinaSansItcTOT-Bold"/>
          <w:bCs/>
          <w:sz w:val="18"/>
          <w:szCs w:val="19"/>
          <w:lang w:eastAsia="cs-CZ"/>
        </w:rPr>
        <w:t>Ministerstvo spravedlnosti</w:t>
      </w:r>
    </w:p>
    <w:p w:rsidR="00A4083A" w:rsidRDefault="00A4083A" w:rsidP="00A4083A">
      <w:pPr>
        <w:autoSpaceDE w:val="0"/>
        <w:autoSpaceDN w:val="0"/>
        <w:adjustRightInd w:val="0"/>
        <w:spacing w:line="240" w:lineRule="auto"/>
        <w:jc w:val="center"/>
        <w:rPr>
          <w:rFonts w:cs="OfficinaSansItcTOT-Book"/>
          <w:sz w:val="18"/>
          <w:szCs w:val="19"/>
          <w:lang w:eastAsia="cs-CZ"/>
        </w:rPr>
      </w:pPr>
      <w:r w:rsidRPr="00F85178">
        <w:rPr>
          <w:rFonts w:cs="OfficinaSansItcTOT-Book"/>
          <w:sz w:val="18"/>
          <w:szCs w:val="19"/>
          <w:lang w:eastAsia="cs-CZ"/>
        </w:rPr>
        <w:t>Vyšehradská 16</w:t>
      </w:r>
    </w:p>
    <w:p w:rsidR="00A4083A" w:rsidRPr="00F85178" w:rsidRDefault="00A4083A" w:rsidP="00A4083A">
      <w:pPr>
        <w:autoSpaceDE w:val="0"/>
        <w:autoSpaceDN w:val="0"/>
        <w:adjustRightInd w:val="0"/>
        <w:spacing w:line="240" w:lineRule="auto"/>
        <w:jc w:val="center"/>
        <w:rPr>
          <w:rFonts w:cs="OfficinaSansItcTOT-Book"/>
          <w:sz w:val="18"/>
          <w:szCs w:val="19"/>
          <w:lang w:eastAsia="cs-CZ"/>
        </w:rPr>
      </w:pPr>
      <w:r w:rsidRPr="00F85178">
        <w:rPr>
          <w:rFonts w:cs="OfficinaSansItcTOT-Book"/>
          <w:sz w:val="18"/>
          <w:szCs w:val="19"/>
          <w:lang w:eastAsia="cs-CZ"/>
        </w:rPr>
        <w:t>128 10  Praha 2</w:t>
      </w:r>
    </w:p>
    <w:p w:rsidR="00A4083A" w:rsidRPr="008C2C69" w:rsidRDefault="00A4083A" w:rsidP="00A4083A">
      <w:pPr>
        <w:autoSpaceDE w:val="0"/>
        <w:autoSpaceDN w:val="0"/>
        <w:adjustRightInd w:val="0"/>
        <w:spacing w:line="240" w:lineRule="auto"/>
        <w:jc w:val="center"/>
        <w:rPr>
          <w:rFonts w:cs="OfficinaSansItcTOT-Book"/>
          <w:sz w:val="18"/>
          <w:szCs w:val="19"/>
          <w:lang w:eastAsia="cs-CZ"/>
        </w:rPr>
      </w:pPr>
      <w:r w:rsidRPr="008C2C69">
        <w:rPr>
          <w:rFonts w:cs="OfficinaSansItcTOT-Book"/>
          <w:sz w:val="18"/>
          <w:szCs w:val="19"/>
          <w:lang w:eastAsia="cs-CZ"/>
        </w:rPr>
        <w:t xml:space="preserve">e-mail: </w:t>
      </w:r>
      <w:hyperlink r:id="rId151" w:history="1">
        <w:r w:rsidRPr="003F6277">
          <w:rPr>
            <w:rStyle w:val="Hypertextovodkaz"/>
            <w:rFonts w:cs="OfficinaSansItcTOT-Book"/>
            <w:sz w:val="18"/>
            <w:szCs w:val="19"/>
            <w:lang w:eastAsia="cs-CZ"/>
          </w:rPr>
          <w:t>posta@msp.justice.cz</w:t>
        </w:r>
      </w:hyperlink>
    </w:p>
    <w:p w:rsidR="00A4083A" w:rsidRPr="006F5D26" w:rsidRDefault="00FE0F08" w:rsidP="00A4083A">
      <w:pPr>
        <w:jc w:val="center"/>
        <w:rPr>
          <w:sz w:val="22"/>
        </w:rPr>
      </w:pPr>
      <w:hyperlink r:id="rId152" w:history="1">
        <w:r w:rsidR="00A4083A" w:rsidRPr="003F6277">
          <w:rPr>
            <w:rStyle w:val="Hypertextovodkaz"/>
            <w:rFonts w:cs="OfficinaSansItcTOT-Book"/>
            <w:sz w:val="18"/>
            <w:szCs w:val="19"/>
            <w:lang w:eastAsia="cs-CZ"/>
          </w:rPr>
          <w:t>www.justice.cz</w:t>
        </w:r>
      </w:hyperlink>
    </w:p>
    <w:p w:rsidR="00E20B02" w:rsidRDefault="00E20B02"/>
    <w:sectPr w:rsidR="00E20B02" w:rsidSect="00A41CAB">
      <w:type w:val="even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321" w:rsidRDefault="006C7321" w:rsidP="00A4083A">
      <w:pPr>
        <w:spacing w:line="240" w:lineRule="auto"/>
      </w:pPr>
      <w:r>
        <w:separator/>
      </w:r>
    </w:p>
  </w:endnote>
  <w:endnote w:type="continuationSeparator" w:id="0">
    <w:p w:rsidR="006C7321" w:rsidRDefault="006C7321" w:rsidP="00A408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DIN Next LT Pro Condensed">
    <w:altName w:val="Arial Narrow"/>
    <w:charset w:val="EE"/>
    <w:family w:val="swiss"/>
    <w:pitch w:val="variable"/>
    <w:sig w:usb0="00000001" w:usb1="5000205B" w:usb2="00000000" w:usb3="00000000" w:csb0="0000009B" w:csb1="00000000"/>
  </w:font>
  <w:font w:name="Cambria Math">
    <w:panose1 w:val="02040503050406030204"/>
    <w:charset w:val="EE"/>
    <w:family w:val="roman"/>
    <w:pitch w:val="variable"/>
    <w:sig w:usb0="E00002FF" w:usb1="420024FF" w:usb2="00000000" w:usb3="00000000" w:csb0="0000019F" w:csb1="00000000"/>
  </w:font>
  <w:font w:name="OfficinaSansItcTOT-Bold">
    <w:panose1 w:val="00000000000000000000"/>
    <w:charset w:val="EE"/>
    <w:family w:val="swiss"/>
    <w:notTrueType/>
    <w:pitch w:val="default"/>
    <w:sig w:usb0="00000005" w:usb1="00000000" w:usb2="00000000" w:usb3="00000000" w:csb0="00000002" w:csb1="00000000"/>
  </w:font>
  <w:font w:name="OfficinaSansItcTOT-Book">
    <w:panose1 w:val="00000000000000000000"/>
    <w:charset w:val="EE"/>
    <w:family w:val="swiss"/>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321" w:rsidRDefault="006C732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321" w:rsidRDefault="006C7321" w:rsidP="00A41CAB">
    <w:pPr>
      <w:pStyle w:val="Zpat"/>
      <w:jc w:val="center"/>
    </w:pPr>
    <w:r>
      <w:fldChar w:fldCharType="begin"/>
    </w:r>
    <w:r>
      <w:instrText>PAGE   \* MERGEFORMAT</w:instrText>
    </w:r>
    <w:r>
      <w:fldChar w:fldCharType="separate"/>
    </w:r>
    <w:r w:rsidR="00FE0F08">
      <w:rPr>
        <w:noProof/>
      </w:rPr>
      <w:t>182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321" w:rsidRDefault="006C732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321" w:rsidRDefault="006C7321" w:rsidP="00A4083A">
      <w:pPr>
        <w:spacing w:line="240" w:lineRule="auto"/>
      </w:pPr>
      <w:r>
        <w:separator/>
      </w:r>
    </w:p>
  </w:footnote>
  <w:footnote w:type="continuationSeparator" w:id="0">
    <w:p w:rsidR="006C7321" w:rsidRDefault="006C7321" w:rsidP="00A4083A">
      <w:pPr>
        <w:spacing w:line="240" w:lineRule="auto"/>
      </w:pPr>
      <w:r>
        <w:continuationSeparator/>
      </w:r>
    </w:p>
  </w:footnote>
  <w:footnote w:id="1">
    <w:p w:rsidR="006C7321" w:rsidRPr="001229BC" w:rsidRDefault="006C7321" w:rsidP="00A4083A">
      <w:pPr>
        <w:pStyle w:val="Textpoznpodarou"/>
      </w:pPr>
      <w:r w:rsidRPr="001229BC">
        <w:rPr>
          <w:rStyle w:val="Znakapoznpodarou"/>
        </w:rPr>
        <w:footnoteRef/>
      </w:r>
      <w:r w:rsidRPr="001229BC">
        <w:t xml:space="preserve"> Justiční statistická ročenka na rozdíl od této zprávy obsahuje pouze kompilaci automaticky generovaných sestav bez dalšího komentáře či grafického znázornění dat.</w:t>
      </w:r>
    </w:p>
  </w:footnote>
  <w:footnote w:id="2">
    <w:p w:rsidR="006C7321" w:rsidRPr="001229BC" w:rsidRDefault="006C7321" w:rsidP="00A4083A">
      <w:pPr>
        <w:pStyle w:val="Textpoznpodarou"/>
      </w:pPr>
      <w:r w:rsidRPr="001229BC">
        <w:rPr>
          <w:rStyle w:val="Znakapoznpodarou"/>
        </w:rPr>
        <w:footnoteRef/>
      </w:r>
      <w:r w:rsidRPr="001229BC">
        <w:t xml:space="preserve"> </w:t>
      </w:r>
      <w:hyperlink r:id="rId1" w:history="1">
        <w:r w:rsidRPr="00726585">
          <w:rPr>
            <w:rStyle w:val="Hypertextovodkaz"/>
          </w:rPr>
          <w:t>https://www.justice.cz/web/msp/statisticke-udaje-z-oblasti-justice</w:t>
        </w:r>
      </w:hyperlink>
      <w:r w:rsidRPr="001229BC">
        <w:t>.</w:t>
      </w:r>
    </w:p>
  </w:footnote>
  <w:footnote w:id="3">
    <w:p w:rsidR="006C7321" w:rsidRPr="001229BC" w:rsidRDefault="006C7321" w:rsidP="00A4083A">
      <w:pPr>
        <w:pStyle w:val="Textpoznpodarou"/>
      </w:pPr>
      <w:r w:rsidRPr="001229BC">
        <w:rPr>
          <w:rStyle w:val="Znakapoznpodarou"/>
        </w:rPr>
        <w:footnoteRef/>
      </w:r>
      <w:r w:rsidRPr="001229BC">
        <w:t xml:space="preserve"> Například v Německu jsou věci, v nichž přerušení řízení přesáhne délku šesti měsíců, ve statistikách soudů vykazovány jako rozhodnuté, protože pokud soudce po více než 6 měsících začne na </w:t>
      </w:r>
      <w:r>
        <w:t xml:space="preserve">věci </w:t>
      </w:r>
      <w:r w:rsidRPr="001229BC">
        <w:t>znovu pracovat, jeho pracovní zatížení je srovnatelné s prací na kterémkoli novém případě.</w:t>
      </w:r>
    </w:p>
  </w:footnote>
  <w:footnote w:id="4">
    <w:p w:rsidR="006C7321" w:rsidRPr="001229BC" w:rsidRDefault="006C7321" w:rsidP="00A4083A">
      <w:pPr>
        <w:pStyle w:val="Textpoznpodarou"/>
      </w:pPr>
      <w:r w:rsidRPr="001229BC">
        <w:rPr>
          <w:rStyle w:val="Znakapoznpodarou"/>
        </w:rPr>
        <w:footnoteRef/>
      </w:r>
      <w:r w:rsidRPr="001229BC">
        <w:t xml:space="preserve"> Vzhledem k tomu, že rovněž dohlížejí na správný chod soudu, mají snížený nápad.</w:t>
      </w:r>
    </w:p>
  </w:footnote>
  <w:footnote w:id="5">
    <w:p w:rsidR="006C7321" w:rsidRPr="001229BC" w:rsidRDefault="006C7321" w:rsidP="00A4083A">
      <w:pPr>
        <w:pStyle w:val="Textpoznpodarou"/>
      </w:pPr>
      <w:r w:rsidRPr="001229BC">
        <w:rPr>
          <w:rStyle w:val="Znakapoznpodarou"/>
        </w:rPr>
        <w:footnoteRef/>
      </w:r>
      <w:r w:rsidRPr="001229BC">
        <w:t xml:space="preserve"> Pojem jsme ponechali nepřeložený, jeho překlad do češtiny by mohl vést k záměně s délkou řízení. Ve zprávě jsme délky řízení již zkoumali.</w:t>
      </w:r>
    </w:p>
  </w:footnote>
  <w:footnote w:id="6">
    <w:p w:rsidR="006C7321" w:rsidRPr="001229BC" w:rsidRDefault="006C7321" w:rsidP="00A4083A">
      <w:pPr>
        <w:pStyle w:val="Textpoznpodarou"/>
      </w:pPr>
      <w:r w:rsidRPr="001229BC">
        <w:rPr>
          <w:rStyle w:val="Znakapoznpodarou"/>
        </w:rPr>
        <w:footnoteRef/>
      </w:r>
      <w:r w:rsidRPr="001229BC">
        <w:t xml:space="preserve"> Komise pro efektivitu justice Rady Evropy.</w:t>
      </w:r>
    </w:p>
  </w:footnote>
  <w:footnote w:id="7">
    <w:p w:rsidR="006C7321" w:rsidRPr="001229BC" w:rsidRDefault="006C7321" w:rsidP="00A4083A">
      <w:pPr>
        <w:pStyle w:val="Textpoznpodarou"/>
      </w:pPr>
      <w:r w:rsidRPr="001229BC">
        <w:rPr>
          <w:rStyle w:val="Znakapoznpodarou"/>
        </w:rPr>
        <w:footnoteRef/>
      </w:r>
      <w:r w:rsidRPr="001229BC">
        <w:t xml:space="preserve"> Přepočet nevyřízených věcí na soudce byl oproti předcházejícím zprávám přepočten, a je tedy nyní přesnější než dříve.</w:t>
      </w:r>
    </w:p>
  </w:footnote>
  <w:footnote w:id="8">
    <w:p w:rsidR="006C7321" w:rsidRPr="001229BC" w:rsidRDefault="006C7321" w:rsidP="00A4083A">
      <w:pPr>
        <w:pStyle w:val="Textpoznpodarou"/>
      </w:pPr>
      <w:r w:rsidRPr="001229BC">
        <w:rPr>
          <w:rStyle w:val="Znakapoznpodarou"/>
        </w:rPr>
        <w:footnoteRef/>
      </w:r>
      <w:r w:rsidRPr="001229BC">
        <w:t xml:space="preserve"> Toto srovnání lze velmi dobře provést, i když ve statistikách nespadá počet převedených věcí pod počet věcí vyřízených. Princip je zde stejný jako u nápadu a u vyřízených věcí</w:t>
      </w:r>
      <w:r>
        <w:t xml:space="preserve">, tedy </w:t>
      </w:r>
      <w:r w:rsidRPr="001229BC">
        <w:t>nejedná se o skupinu totožných věcí.</w:t>
      </w:r>
    </w:p>
  </w:footnote>
  <w:footnote w:id="9">
    <w:p w:rsidR="006C7321" w:rsidRPr="001229BC" w:rsidRDefault="006C7321" w:rsidP="00A4083A">
      <w:pPr>
        <w:pStyle w:val="Textpoznpodarou"/>
      </w:pPr>
      <w:r w:rsidRPr="001229BC">
        <w:rPr>
          <w:rStyle w:val="Znakapoznpodarou"/>
        </w:rPr>
        <w:footnoteRef/>
      </w:r>
      <w:r w:rsidRPr="001229BC">
        <w:t xml:space="preserve"> § 25 trestního zákoníku (zákon č.</w:t>
      </w:r>
      <w:r>
        <w:t> </w:t>
      </w:r>
      <w:r w:rsidRPr="001229BC">
        <w:t>40/2009</w:t>
      </w:r>
      <w:r>
        <w:t> </w:t>
      </w:r>
      <w:r w:rsidRPr="001229BC">
        <w:t>Sb.).</w:t>
      </w:r>
    </w:p>
  </w:footnote>
  <w:footnote w:id="10">
    <w:p w:rsidR="006C7321" w:rsidRPr="001229BC" w:rsidRDefault="006C7321" w:rsidP="00A4083A">
      <w:pPr>
        <w:pStyle w:val="Textpoznpodarou"/>
      </w:pPr>
      <w:r w:rsidRPr="001229BC">
        <w:rPr>
          <w:rStyle w:val="Znakapoznpodarou"/>
        </w:rPr>
        <w:footnoteRef/>
      </w:r>
      <w:r w:rsidRPr="001229BC">
        <w:t xml:space="preserve"> Ukládá-li soud peněžitý trest, stanoví pro případ, že by ve stanovené lhůtě nebyl vykonán, náhradní trest odnětí svobody (ust. § 69 odst. 1 trestního zákoníku).</w:t>
      </w:r>
    </w:p>
  </w:footnote>
  <w:footnote w:id="11">
    <w:p w:rsidR="006C7321" w:rsidRPr="001229BC" w:rsidRDefault="006C7321" w:rsidP="00A4083A">
      <w:pPr>
        <w:pStyle w:val="Textpoznpodarou"/>
      </w:pPr>
      <w:r w:rsidRPr="001229BC">
        <w:rPr>
          <w:rStyle w:val="Znakapoznpodarou"/>
        </w:rPr>
        <w:footnoteRef/>
      </w:r>
      <w:r>
        <w:t xml:space="preserve"> Novelou o. z.</w:t>
      </w:r>
      <w:r w:rsidRPr="001229BC">
        <w:t xml:space="preserve"> (zákonem č. 460/2016 Sb.) na konci roku 2016 byla tato doba na přezkoumání pro některé případy prodloužena na pět let.</w:t>
      </w:r>
    </w:p>
  </w:footnote>
  <w:footnote w:id="12">
    <w:p w:rsidR="006C7321" w:rsidRPr="001229BC" w:rsidRDefault="006C7321" w:rsidP="00A4083A">
      <w:pPr>
        <w:pStyle w:val="Textpoznpodarou"/>
      </w:pPr>
      <w:r w:rsidRPr="001229BC">
        <w:rPr>
          <w:rStyle w:val="Znakapoznpodarou"/>
        </w:rPr>
        <w:footnoteRef/>
      </w:r>
      <w:r w:rsidRPr="001229BC">
        <w:t xml:space="preserve"> § 14 zákona č. 6/2002 Sb., o soudech, soudcích, přísedících a státní správě soudů a o změně některých dalších zákonů (zákon o soudech a soudcích), ve znění pozdějších předpisů.</w:t>
      </w:r>
    </w:p>
  </w:footnote>
  <w:footnote w:id="13">
    <w:p w:rsidR="006C7321" w:rsidRPr="001229BC" w:rsidRDefault="006C7321" w:rsidP="00A4083A">
      <w:pPr>
        <w:pStyle w:val="Textpoznpodarou"/>
      </w:pPr>
      <w:r w:rsidRPr="001229BC">
        <w:rPr>
          <w:rStyle w:val="Znakapoznpodarou"/>
        </w:rPr>
        <w:footnoteRef/>
      </w:r>
      <w:r w:rsidRPr="001229BC">
        <w:t xml:space="preserve"> Ročenky Nejvyššího soudu jsou k dispozici </w:t>
      </w:r>
      <w:hyperlink r:id="rId2" w:history="1">
        <w:r w:rsidRPr="00D17312">
          <w:rPr>
            <w:rStyle w:val="Hypertextovodkaz"/>
          </w:rPr>
          <w:t>zde</w:t>
        </w:r>
      </w:hyperlink>
      <w:r w:rsidRPr="001229BC">
        <w:t>, navštíveno dne 5. 5. 2020.</w:t>
      </w:r>
    </w:p>
  </w:footnote>
  <w:footnote w:id="14">
    <w:p w:rsidR="006C7321" w:rsidRPr="001229BC" w:rsidRDefault="006C7321" w:rsidP="00A4083A">
      <w:pPr>
        <w:pStyle w:val="Textpoznpodarou"/>
      </w:pPr>
      <w:r w:rsidRPr="001229BC">
        <w:rPr>
          <w:rStyle w:val="Znakapoznpodarou"/>
        </w:rPr>
        <w:footnoteRef/>
      </w:r>
      <w:r w:rsidRPr="001229BC">
        <w:t xml:space="preserve"> Data z roku 2020 ukazují, že u soudů působí 71 soudců. Rozdíl mezi plánovaným a evidenčním počtem soudců byl tedy minimalizován.</w:t>
      </w:r>
    </w:p>
  </w:footnote>
  <w:footnote w:id="15">
    <w:p w:rsidR="006C7321" w:rsidRPr="001229BC" w:rsidRDefault="006C7321" w:rsidP="00A4083A">
      <w:pPr>
        <w:pStyle w:val="Textpoznpodarou"/>
      </w:pPr>
      <w:r w:rsidRPr="001229BC">
        <w:rPr>
          <w:rStyle w:val="Znakapoznpodarou"/>
        </w:rPr>
        <w:footnoteRef/>
      </w:r>
      <w:r w:rsidRPr="001229BC">
        <w:t xml:space="preserve"> Soudce občanskoprávního a obchodního kolegia lze najít </w:t>
      </w:r>
      <w:hyperlink r:id="rId3" w:history="1">
        <w:r w:rsidRPr="00D17312">
          <w:rPr>
            <w:rStyle w:val="Hypertextovodkaz"/>
          </w:rPr>
          <w:t>zde</w:t>
        </w:r>
      </w:hyperlink>
      <w:r w:rsidRPr="001229BC">
        <w:t xml:space="preserve"> a soudci trestního kolegia jsou vyjmenování </w:t>
      </w:r>
      <w:hyperlink r:id="rId4" w:history="1">
        <w:r w:rsidRPr="00D17312">
          <w:rPr>
            <w:rStyle w:val="Hypertextovodkaz"/>
          </w:rPr>
          <w:t>zde</w:t>
        </w:r>
      </w:hyperlink>
      <w:r w:rsidRPr="001229BC">
        <w:t>, navštíveno dne 5. 5. 2020.</w:t>
      </w:r>
    </w:p>
  </w:footnote>
  <w:footnote w:id="16">
    <w:p w:rsidR="006C7321" w:rsidRPr="001229BC" w:rsidRDefault="006C7321" w:rsidP="00A4083A">
      <w:pPr>
        <w:pStyle w:val="Textpoznpodarou"/>
      </w:pPr>
      <w:r w:rsidRPr="001229BC">
        <w:rPr>
          <w:rStyle w:val="Znakapoznpodarou"/>
        </w:rPr>
        <w:footnoteRef/>
      </w:r>
      <w:r w:rsidRPr="001229BC">
        <w:t xml:space="preserve"> Komise pro efektivitu justice Rady Evropy.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321" w:rsidRDefault="006C732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321" w:rsidRDefault="006C7321">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321" w:rsidRDefault="006C732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25F0"/>
    <w:multiLevelType w:val="hybridMultilevel"/>
    <w:tmpl w:val="30381C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FE673C"/>
    <w:multiLevelType w:val="hybridMultilevel"/>
    <w:tmpl w:val="80363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303324"/>
    <w:multiLevelType w:val="hybridMultilevel"/>
    <w:tmpl w:val="310C2784"/>
    <w:lvl w:ilvl="0" w:tplc="5AD653F6">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143A5C"/>
    <w:multiLevelType w:val="hybridMultilevel"/>
    <w:tmpl w:val="587265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9426CA2"/>
    <w:multiLevelType w:val="hybridMultilevel"/>
    <w:tmpl w:val="F57400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A61641F"/>
    <w:multiLevelType w:val="hybridMultilevel"/>
    <w:tmpl w:val="882A55B6"/>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4BD3E7B"/>
    <w:multiLevelType w:val="hybridMultilevel"/>
    <w:tmpl w:val="4A0048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56F7965"/>
    <w:multiLevelType w:val="hybridMultilevel"/>
    <w:tmpl w:val="C2D4E2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E9036F3"/>
    <w:multiLevelType w:val="hybridMultilevel"/>
    <w:tmpl w:val="AC049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1A0273B"/>
    <w:multiLevelType w:val="hybridMultilevel"/>
    <w:tmpl w:val="7BC49DB4"/>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10" w15:restartNumberingAfterBreak="0">
    <w:nsid w:val="25BC5F5D"/>
    <w:multiLevelType w:val="multilevel"/>
    <w:tmpl w:val="9D646F44"/>
    <w:lvl w:ilvl="0">
      <w:start w:val="1"/>
      <w:numFmt w:val="decimal"/>
      <w:pStyle w:val="Nadpis1"/>
      <w:lvlText w:val="%1"/>
      <w:lvlJc w:val="left"/>
      <w:pPr>
        <w:ind w:left="432" w:hanging="432"/>
      </w:pPr>
    </w:lvl>
    <w:lvl w:ilvl="1">
      <w:start w:val="1"/>
      <w:numFmt w:val="decimal"/>
      <w:pStyle w:val="Nadpis2"/>
      <w:lvlText w:val="%1.%2"/>
      <w:lvlJc w:val="left"/>
      <w:pPr>
        <w:ind w:left="576" w:hanging="576"/>
      </w:pPr>
      <w:rPr>
        <w:sz w:val="28"/>
      </w:rPr>
    </w:lvl>
    <w:lvl w:ilvl="2">
      <w:start w:val="1"/>
      <w:numFmt w:val="decimal"/>
      <w:pStyle w:val="Nadpis3"/>
      <w:lvlText w:val="%1.%2.%3"/>
      <w:lvlJc w:val="left"/>
      <w:pPr>
        <w:ind w:left="862" w:hanging="720"/>
      </w:pPr>
      <w:rPr>
        <w:sz w:val="24"/>
      </w:rPr>
    </w:lvl>
    <w:lvl w:ilvl="3">
      <w:start w:val="1"/>
      <w:numFmt w:val="decimal"/>
      <w:pStyle w:val="Nadpis4"/>
      <w:lvlText w:val="%1.%2.%3.%4"/>
      <w:lvlJc w:val="left"/>
      <w:pPr>
        <w:ind w:left="864" w:hanging="864"/>
      </w:pPr>
      <w:rPr>
        <w:sz w:val="24"/>
        <w:szCs w:val="24"/>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1" w15:restartNumberingAfterBreak="0">
    <w:nsid w:val="25E3348B"/>
    <w:multiLevelType w:val="hybridMultilevel"/>
    <w:tmpl w:val="D15C6D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2ED59D1"/>
    <w:multiLevelType w:val="hybridMultilevel"/>
    <w:tmpl w:val="F08CAB98"/>
    <w:lvl w:ilvl="0" w:tplc="04050001">
      <w:start w:val="1"/>
      <w:numFmt w:val="bullet"/>
      <w:lvlText w:val=""/>
      <w:lvlJc w:val="left"/>
      <w:pPr>
        <w:ind w:left="774" w:hanging="360"/>
      </w:pPr>
      <w:rPr>
        <w:rFonts w:ascii="Symbol" w:hAnsi="Symbol" w:cs="Symbol" w:hint="default"/>
      </w:rPr>
    </w:lvl>
    <w:lvl w:ilvl="1" w:tplc="04050003">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cs="Wingdings" w:hint="default"/>
      </w:rPr>
    </w:lvl>
    <w:lvl w:ilvl="3" w:tplc="04050001" w:tentative="1">
      <w:start w:val="1"/>
      <w:numFmt w:val="bullet"/>
      <w:lvlText w:val=""/>
      <w:lvlJc w:val="left"/>
      <w:pPr>
        <w:ind w:left="2934" w:hanging="360"/>
      </w:pPr>
      <w:rPr>
        <w:rFonts w:ascii="Symbol" w:hAnsi="Symbol" w:cs="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cs="Wingdings" w:hint="default"/>
      </w:rPr>
    </w:lvl>
    <w:lvl w:ilvl="6" w:tplc="04050001" w:tentative="1">
      <w:start w:val="1"/>
      <w:numFmt w:val="bullet"/>
      <w:lvlText w:val=""/>
      <w:lvlJc w:val="left"/>
      <w:pPr>
        <w:ind w:left="5094" w:hanging="360"/>
      </w:pPr>
      <w:rPr>
        <w:rFonts w:ascii="Symbol" w:hAnsi="Symbol" w:cs="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cs="Wingdings" w:hint="default"/>
      </w:rPr>
    </w:lvl>
  </w:abstractNum>
  <w:abstractNum w:abstractNumId="13" w15:restartNumberingAfterBreak="0">
    <w:nsid w:val="33337865"/>
    <w:multiLevelType w:val="hybridMultilevel"/>
    <w:tmpl w:val="305810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39A62B1"/>
    <w:multiLevelType w:val="hybridMultilevel"/>
    <w:tmpl w:val="BCDCDF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0E30808"/>
    <w:multiLevelType w:val="hybridMultilevel"/>
    <w:tmpl w:val="FC9A34E2"/>
    <w:lvl w:ilvl="0" w:tplc="A05C700C">
      <w:numFmt w:val="bullet"/>
      <w:lvlText w:val=""/>
      <w:lvlJc w:val="left"/>
      <w:pPr>
        <w:ind w:left="720" w:hanging="360"/>
      </w:pPr>
      <w:rPr>
        <w:rFonts w:ascii="Wingdings" w:eastAsia="Calibri"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886D61"/>
    <w:multiLevelType w:val="hybridMultilevel"/>
    <w:tmpl w:val="032031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B6401E4"/>
    <w:multiLevelType w:val="hybridMultilevel"/>
    <w:tmpl w:val="4B882DBE"/>
    <w:lvl w:ilvl="0" w:tplc="99D025D2">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F344EE8"/>
    <w:multiLevelType w:val="hybridMultilevel"/>
    <w:tmpl w:val="A60ECF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F454DB6"/>
    <w:multiLevelType w:val="hybridMultilevel"/>
    <w:tmpl w:val="01C8C1A2"/>
    <w:lvl w:ilvl="0" w:tplc="04050001">
      <w:start w:val="1"/>
      <w:numFmt w:val="bullet"/>
      <w:lvlText w:val=""/>
      <w:lvlJc w:val="left"/>
      <w:pPr>
        <w:ind w:left="720" w:hanging="360"/>
      </w:pPr>
      <w:rPr>
        <w:rFonts w:ascii="Symbol" w:hAnsi="Symbo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4226612"/>
    <w:multiLevelType w:val="hybridMultilevel"/>
    <w:tmpl w:val="2E62D2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D6A635A"/>
    <w:multiLevelType w:val="hybridMultilevel"/>
    <w:tmpl w:val="8C6A1F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EFE0D0A"/>
    <w:multiLevelType w:val="hybridMultilevel"/>
    <w:tmpl w:val="4DAE5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9227E48"/>
    <w:multiLevelType w:val="hybridMultilevel"/>
    <w:tmpl w:val="B57262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AE9368B"/>
    <w:multiLevelType w:val="hybridMultilevel"/>
    <w:tmpl w:val="6FA8DA84"/>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6C262A9C"/>
    <w:multiLevelType w:val="hybridMultilevel"/>
    <w:tmpl w:val="AD2870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04D1A23"/>
    <w:multiLevelType w:val="hybridMultilevel"/>
    <w:tmpl w:val="E230C6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E137B7F"/>
    <w:multiLevelType w:val="hybridMultilevel"/>
    <w:tmpl w:val="F86283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F6B109B"/>
    <w:multiLevelType w:val="multilevel"/>
    <w:tmpl w:val="6F6AA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
  </w:num>
  <w:num w:numId="2">
    <w:abstractNumId w:val="18"/>
  </w:num>
  <w:num w:numId="3">
    <w:abstractNumId w:val="0"/>
  </w:num>
  <w:num w:numId="4">
    <w:abstractNumId w:val="4"/>
  </w:num>
  <w:num w:numId="5">
    <w:abstractNumId w:val="22"/>
  </w:num>
  <w:num w:numId="6">
    <w:abstractNumId w:val="23"/>
  </w:num>
  <w:num w:numId="7">
    <w:abstractNumId w:val="27"/>
  </w:num>
  <w:num w:numId="8">
    <w:abstractNumId w:val="25"/>
  </w:num>
  <w:num w:numId="9">
    <w:abstractNumId w:val="7"/>
  </w:num>
  <w:num w:numId="10">
    <w:abstractNumId w:val="8"/>
  </w:num>
  <w:num w:numId="11">
    <w:abstractNumId w:val="13"/>
  </w:num>
  <w:num w:numId="12">
    <w:abstractNumId w:val="2"/>
  </w:num>
  <w:num w:numId="13">
    <w:abstractNumId w:val="19"/>
  </w:num>
  <w:num w:numId="14">
    <w:abstractNumId w:val="9"/>
  </w:num>
  <w:num w:numId="15">
    <w:abstractNumId w:val="14"/>
  </w:num>
  <w:num w:numId="16">
    <w:abstractNumId w:val="1"/>
  </w:num>
  <w:num w:numId="17">
    <w:abstractNumId w:val="20"/>
  </w:num>
  <w:num w:numId="18">
    <w:abstractNumId w:val="26"/>
  </w:num>
  <w:num w:numId="19">
    <w:abstractNumId w:val="11"/>
  </w:num>
  <w:num w:numId="20">
    <w:abstractNumId w:val="6"/>
  </w:num>
  <w:num w:numId="21">
    <w:abstractNumId w:val="3"/>
  </w:num>
  <w:num w:numId="22">
    <w:abstractNumId w:val="16"/>
  </w:num>
  <w:num w:numId="23">
    <w:abstractNumId w:val="12"/>
  </w:num>
  <w:num w:numId="24">
    <w:abstractNumId w:val="5"/>
  </w:num>
  <w:num w:numId="25">
    <w:abstractNumId w:val="24"/>
  </w:num>
  <w:num w:numId="26">
    <w:abstractNumId w:val="21"/>
  </w:num>
  <w:num w:numId="27">
    <w:abstractNumId w:val="15"/>
  </w:num>
  <w:num w:numId="28">
    <w:abstractNumId w:val="17"/>
  </w:num>
  <w:num w:numId="29">
    <w:abstractNumId w:val="28"/>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83A"/>
    <w:rsid w:val="000B679B"/>
    <w:rsid w:val="000D6C31"/>
    <w:rsid w:val="001658DD"/>
    <w:rsid w:val="00167D2A"/>
    <w:rsid w:val="00190D77"/>
    <w:rsid w:val="001C5703"/>
    <w:rsid w:val="002D13DC"/>
    <w:rsid w:val="002E5935"/>
    <w:rsid w:val="003157FC"/>
    <w:rsid w:val="004803BD"/>
    <w:rsid w:val="004D1411"/>
    <w:rsid w:val="005B34D4"/>
    <w:rsid w:val="00614DA1"/>
    <w:rsid w:val="006C7321"/>
    <w:rsid w:val="006E7F27"/>
    <w:rsid w:val="00707C6D"/>
    <w:rsid w:val="007106B6"/>
    <w:rsid w:val="007613E0"/>
    <w:rsid w:val="0079712E"/>
    <w:rsid w:val="007E5382"/>
    <w:rsid w:val="00865284"/>
    <w:rsid w:val="00890F28"/>
    <w:rsid w:val="008F64F4"/>
    <w:rsid w:val="00913B7E"/>
    <w:rsid w:val="009340FB"/>
    <w:rsid w:val="00A4083A"/>
    <w:rsid w:val="00A41CAB"/>
    <w:rsid w:val="00AC6883"/>
    <w:rsid w:val="00B73FD3"/>
    <w:rsid w:val="00BF1DA1"/>
    <w:rsid w:val="00C15AF4"/>
    <w:rsid w:val="00C35484"/>
    <w:rsid w:val="00D40021"/>
    <w:rsid w:val="00D63F41"/>
    <w:rsid w:val="00DE4191"/>
    <w:rsid w:val="00E20B02"/>
    <w:rsid w:val="00E7181C"/>
    <w:rsid w:val="00F52D6B"/>
    <w:rsid w:val="00FE0F08"/>
    <w:rsid w:val="00FF4076"/>
    <w:rsid w:val="00FF44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heme="minorHAnsi" w:hAnsi="Garamond" w:cstheme="minorBidi"/>
        <w:sz w:val="24"/>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4083A"/>
    <w:pPr>
      <w:spacing w:line="276" w:lineRule="auto"/>
      <w:jc w:val="both"/>
    </w:pPr>
    <w:rPr>
      <w:rFonts w:eastAsia="Calibri" w:cs="Times New Roman"/>
    </w:rPr>
  </w:style>
  <w:style w:type="paragraph" w:styleId="Nadpis1">
    <w:name w:val="heading 1"/>
    <w:basedOn w:val="Normln"/>
    <w:next w:val="Normln"/>
    <w:link w:val="Nadpis1Char"/>
    <w:uiPriority w:val="9"/>
    <w:qFormat/>
    <w:rsid w:val="00A4083A"/>
    <w:pPr>
      <w:keepNext/>
      <w:keepLines/>
      <w:pageBreakBefore/>
      <w:numPr>
        <w:numId w:val="1"/>
      </w:numPr>
      <w:spacing w:before="240" w:after="120"/>
      <w:outlineLvl w:val="0"/>
    </w:pPr>
    <w:rPr>
      <w:rFonts w:eastAsia="Times New Roman"/>
      <w:b/>
      <w:bCs/>
      <w:sz w:val="32"/>
      <w:szCs w:val="28"/>
    </w:rPr>
  </w:style>
  <w:style w:type="paragraph" w:styleId="Nadpis2">
    <w:name w:val="heading 2"/>
    <w:basedOn w:val="Normln"/>
    <w:next w:val="Normln"/>
    <w:link w:val="Nadpis2Char"/>
    <w:uiPriority w:val="9"/>
    <w:unhideWhenUsed/>
    <w:qFormat/>
    <w:rsid w:val="00A4083A"/>
    <w:pPr>
      <w:keepNext/>
      <w:keepLines/>
      <w:numPr>
        <w:ilvl w:val="1"/>
        <w:numId w:val="1"/>
      </w:numPr>
      <w:spacing w:before="120"/>
      <w:ind w:left="578" w:hanging="578"/>
      <w:outlineLvl w:val="1"/>
    </w:pPr>
    <w:rPr>
      <w:rFonts w:eastAsia="Times New Roman"/>
      <w:b/>
      <w:bCs/>
      <w:iCs/>
      <w:sz w:val="28"/>
      <w:szCs w:val="28"/>
    </w:rPr>
  </w:style>
  <w:style w:type="paragraph" w:styleId="Nadpis3">
    <w:name w:val="heading 3"/>
    <w:basedOn w:val="Normln"/>
    <w:next w:val="Normln"/>
    <w:link w:val="Nadpis3Char"/>
    <w:uiPriority w:val="9"/>
    <w:unhideWhenUsed/>
    <w:qFormat/>
    <w:rsid w:val="00A4083A"/>
    <w:pPr>
      <w:keepNext/>
      <w:keepLines/>
      <w:numPr>
        <w:ilvl w:val="2"/>
        <w:numId w:val="1"/>
      </w:numPr>
      <w:spacing w:before="200"/>
      <w:outlineLvl w:val="2"/>
    </w:pPr>
    <w:rPr>
      <w:rFonts w:eastAsia="Times New Roman"/>
      <w:b/>
      <w:bCs/>
      <w:color w:val="000000"/>
    </w:rPr>
  </w:style>
  <w:style w:type="paragraph" w:styleId="Nadpis4">
    <w:name w:val="heading 4"/>
    <w:basedOn w:val="Normln"/>
    <w:next w:val="Normln"/>
    <w:link w:val="Nadpis4Char"/>
    <w:uiPriority w:val="9"/>
    <w:unhideWhenUsed/>
    <w:qFormat/>
    <w:rsid w:val="00A4083A"/>
    <w:pPr>
      <w:keepNext/>
      <w:keepLines/>
      <w:numPr>
        <w:ilvl w:val="3"/>
        <w:numId w:val="1"/>
      </w:numPr>
      <w:spacing w:before="200"/>
      <w:outlineLvl w:val="3"/>
    </w:pPr>
    <w:rPr>
      <w:rFonts w:eastAsia="Times New Roman"/>
      <w:b/>
      <w:bCs/>
      <w:iCs/>
    </w:rPr>
  </w:style>
  <w:style w:type="paragraph" w:styleId="Nadpis5">
    <w:name w:val="heading 5"/>
    <w:basedOn w:val="Normln"/>
    <w:next w:val="Normln"/>
    <w:link w:val="Nadpis5Char"/>
    <w:uiPriority w:val="9"/>
    <w:semiHidden/>
    <w:unhideWhenUsed/>
    <w:qFormat/>
    <w:rsid w:val="00A4083A"/>
    <w:pPr>
      <w:keepNext/>
      <w:keepLines/>
      <w:numPr>
        <w:ilvl w:val="4"/>
        <w:numId w:val="1"/>
      </w:numPr>
      <w:spacing w:before="200"/>
      <w:outlineLvl w:val="4"/>
    </w:pPr>
    <w:rPr>
      <w:rFonts w:ascii="Cambria" w:eastAsia="Times New Roman" w:hAnsi="Cambria"/>
      <w:color w:val="243F60"/>
    </w:rPr>
  </w:style>
  <w:style w:type="paragraph" w:styleId="Nadpis6">
    <w:name w:val="heading 6"/>
    <w:basedOn w:val="Normln"/>
    <w:next w:val="Normln"/>
    <w:link w:val="Nadpis6Char"/>
    <w:uiPriority w:val="9"/>
    <w:semiHidden/>
    <w:unhideWhenUsed/>
    <w:qFormat/>
    <w:rsid w:val="00A4083A"/>
    <w:pPr>
      <w:keepNext/>
      <w:keepLines/>
      <w:numPr>
        <w:ilvl w:val="5"/>
        <w:numId w:val="1"/>
      </w:numPr>
      <w:spacing w:before="200"/>
      <w:outlineLvl w:val="5"/>
    </w:pPr>
    <w:rPr>
      <w:rFonts w:ascii="Cambria" w:eastAsia="Times New Roman" w:hAnsi="Cambria"/>
      <w:i/>
      <w:iCs/>
      <w:color w:val="243F60"/>
    </w:rPr>
  </w:style>
  <w:style w:type="paragraph" w:styleId="Nadpis7">
    <w:name w:val="heading 7"/>
    <w:basedOn w:val="Normln"/>
    <w:next w:val="Normln"/>
    <w:link w:val="Nadpis7Char"/>
    <w:uiPriority w:val="9"/>
    <w:semiHidden/>
    <w:unhideWhenUsed/>
    <w:qFormat/>
    <w:rsid w:val="00A4083A"/>
    <w:pPr>
      <w:keepNext/>
      <w:keepLines/>
      <w:numPr>
        <w:ilvl w:val="6"/>
        <w:numId w:val="1"/>
      </w:numPr>
      <w:spacing w:before="200"/>
      <w:outlineLvl w:val="6"/>
    </w:pPr>
    <w:rPr>
      <w:rFonts w:ascii="Cambria" w:eastAsia="Times New Roman" w:hAnsi="Cambria"/>
      <w:i/>
      <w:iCs/>
      <w:color w:val="404040"/>
    </w:rPr>
  </w:style>
  <w:style w:type="paragraph" w:styleId="Nadpis8">
    <w:name w:val="heading 8"/>
    <w:basedOn w:val="Normln"/>
    <w:next w:val="Normln"/>
    <w:link w:val="Nadpis8Char"/>
    <w:uiPriority w:val="9"/>
    <w:semiHidden/>
    <w:unhideWhenUsed/>
    <w:qFormat/>
    <w:rsid w:val="00A4083A"/>
    <w:pPr>
      <w:keepNext/>
      <w:keepLines/>
      <w:numPr>
        <w:ilvl w:val="7"/>
        <w:numId w:val="1"/>
      </w:numPr>
      <w:spacing w:before="200"/>
      <w:outlineLvl w:val="7"/>
    </w:pPr>
    <w:rPr>
      <w:rFonts w:ascii="Cambria" w:eastAsia="Times New Roman" w:hAnsi="Cambria"/>
      <w:color w:val="404040"/>
      <w:sz w:val="20"/>
      <w:szCs w:val="20"/>
    </w:rPr>
  </w:style>
  <w:style w:type="paragraph" w:styleId="Nadpis9">
    <w:name w:val="heading 9"/>
    <w:basedOn w:val="Normln"/>
    <w:next w:val="Normln"/>
    <w:link w:val="Nadpis9Char"/>
    <w:uiPriority w:val="9"/>
    <w:semiHidden/>
    <w:unhideWhenUsed/>
    <w:qFormat/>
    <w:rsid w:val="00A4083A"/>
    <w:pPr>
      <w:keepNext/>
      <w:keepLines/>
      <w:numPr>
        <w:ilvl w:val="8"/>
        <w:numId w:val="1"/>
      </w:numPr>
      <w:spacing w:before="200"/>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4083A"/>
    <w:rPr>
      <w:rFonts w:eastAsia="Times New Roman" w:cs="Times New Roman"/>
      <w:b/>
      <w:bCs/>
      <w:sz w:val="32"/>
      <w:szCs w:val="28"/>
    </w:rPr>
  </w:style>
  <w:style w:type="character" w:customStyle="1" w:styleId="Nadpis2Char">
    <w:name w:val="Nadpis 2 Char"/>
    <w:basedOn w:val="Standardnpsmoodstavce"/>
    <w:link w:val="Nadpis2"/>
    <w:uiPriority w:val="9"/>
    <w:rsid w:val="00A4083A"/>
    <w:rPr>
      <w:rFonts w:eastAsia="Times New Roman" w:cs="Times New Roman"/>
      <w:b/>
      <w:bCs/>
      <w:iCs/>
      <w:sz w:val="28"/>
      <w:szCs w:val="28"/>
    </w:rPr>
  </w:style>
  <w:style w:type="character" w:customStyle="1" w:styleId="Nadpis3Char">
    <w:name w:val="Nadpis 3 Char"/>
    <w:basedOn w:val="Standardnpsmoodstavce"/>
    <w:link w:val="Nadpis3"/>
    <w:uiPriority w:val="9"/>
    <w:rsid w:val="00A4083A"/>
    <w:rPr>
      <w:rFonts w:eastAsia="Times New Roman" w:cs="Times New Roman"/>
      <w:b/>
      <w:bCs/>
      <w:color w:val="000000"/>
    </w:rPr>
  </w:style>
  <w:style w:type="character" w:customStyle="1" w:styleId="Nadpis4Char">
    <w:name w:val="Nadpis 4 Char"/>
    <w:basedOn w:val="Standardnpsmoodstavce"/>
    <w:link w:val="Nadpis4"/>
    <w:uiPriority w:val="9"/>
    <w:rsid w:val="00A4083A"/>
    <w:rPr>
      <w:rFonts w:eastAsia="Times New Roman" w:cs="Times New Roman"/>
      <w:b/>
      <w:bCs/>
      <w:iCs/>
    </w:rPr>
  </w:style>
  <w:style w:type="character" w:customStyle="1" w:styleId="Nadpis5Char">
    <w:name w:val="Nadpis 5 Char"/>
    <w:basedOn w:val="Standardnpsmoodstavce"/>
    <w:link w:val="Nadpis5"/>
    <w:uiPriority w:val="9"/>
    <w:semiHidden/>
    <w:rsid w:val="00A4083A"/>
    <w:rPr>
      <w:rFonts w:ascii="Cambria" w:eastAsia="Times New Roman" w:hAnsi="Cambria" w:cs="Times New Roman"/>
      <w:color w:val="243F60"/>
    </w:rPr>
  </w:style>
  <w:style w:type="character" w:customStyle="1" w:styleId="Nadpis6Char">
    <w:name w:val="Nadpis 6 Char"/>
    <w:basedOn w:val="Standardnpsmoodstavce"/>
    <w:link w:val="Nadpis6"/>
    <w:uiPriority w:val="9"/>
    <w:semiHidden/>
    <w:rsid w:val="00A4083A"/>
    <w:rPr>
      <w:rFonts w:ascii="Cambria" w:eastAsia="Times New Roman" w:hAnsi="Cambria" w:cs="Times New Roman"/>
      <w:i/>
      <w:iCs/>
      <w:color w:val="243F60"/>
    </w:rPr>
  </w:style>
  <w:style w:type="character" w:customStyle="1" w:styleId="Nadpis7Char">
    <w:name w:val="Nadpis 7 Char"/>
    <w:basedOn w:val="Standardnpsmoodstavce"/>
    <w:link w:val="Nadpis7"/>
    <w:uiPriority w:val="9"/>
    <w:semiHidden/>
    <w:rsid w:val="00A4083A"/>
    <w:rPr>
      <w:rFonts w:ascii="Cambria" w:eastAsia="Times New Roman" w:hAnsi="Cambria" w:cs="Times New Roman"/>
      <w:i/>
      <w:iCs/>
      <w:color w:val="404040"/>
    </w:rPr>
  </w:style>
  <w:style w:type="character" w:customStyle="1" w:styleId="Nadpis8Char">
    <w:name w:val="Nadpis 8 Char"/>
    <w:basedOn w:val="Standardnpsmoodstavce"/>
    <w:link w:val="Nadpis8"/>
    <w:uiPriority w:val="9"/>
    <w:semiHidden/>
    <w:rsid w:val="00A4083A"/>
    <w:rPr>
      <w:rFonts w:ascii="Cambria" w:eastAsia="Times New Roman" w:hAnsi="Cambria" w:cs="Times New Roman"/>
      <w:color w:val="404040"/>
      <w:sz w:val="20"/>
      <w:szCs w:val="20"/>
    </w:rPr>
  </w:style>
  <w:style w:type="character" w:customStyle="1" w:styleId="Nadpis9Char">
    <w:name w:val="Nadpis 9 Char"/>
    <w:basedOn w:val="Standardnpsmoodstavce"/>
    <w:link w:val="Nadpis9"/>
    <w:uiPriority w:val="9"/>
    <w:semiHidden/>
    <w:rsid w:val="00A4083A"/>
    <w:rPr>
      <w:rFonts w:ascii="Cambria" w:eastAsia="Times New Roman" w:hAnsi="Cambria" w:cs="Times New Roman"/>
      <w:i/>
      <w:iCs/>
      <w:color w:val="404040"/>
      <w:sz w:val="20"/>
      <w:szCs w:val="20"/>
    </w:rPr>
  </w:style>
  <w:style w:type="paragraph" w:styleId="Nadpisobsahu">
    <w:name w:val="TOC Heading"/>
    <w:basedOn w:val="Nadpis1"/>
    <w:next w:val="Normln"/>
    <w:uiPriority w:val="39"/>
    <w:unhideWhenUsed/>
    <w:qFormat/>
    <w:rsid w:val="00A4083A"/>
    <w:pPr>
      <w:numPr>
        <w:numId w:val="0"/>
      </w:numPr>
      <w:spacing w:after="0"/>
      <w:outlineLvl w:val="9"/>
    </w:pPr>
    <w:rPr>
      <w:rFonts w:ascii="Cambria" w:hAnsi="Cambria"/>
      <w:color w:val="365F91"/>
      <w:lang w:eastAsia="cs-CZ"/>
    </w:rPr>
  </w:style>
  <w:style w:type="paragraph" w:styleId="Obsah1">
    <w:name w:val="toc 1"/>
    <w:basedOn w:val="Normln"/>
    <w:next w:val="Normln"/>
    <w:autoRedefine/>
    <w:uiPriority w:val="39"/>
    <w:unhideWhenUsed/>
    <w:rsid w:val="00A4083A"/>
    <w:pPr>
      <w:tabs>
        <w:tab w:val="right" w:leader="dot" w:pos="9060"/>
      </w:tabs>
    </w:pPr>
  </w:style>
  <w:style w:type="character" w:styleId="Hypertextovodkaz">
    <w:name w:val="Hyperlink"/>
    <w:uiPriority w:val="99"/>
    <w:unhideWhenUsed/>
    <w:rsid w:val="00A4083A"/>
    <w:rPr>
      <w:color w:val="0000FF"/>
      <w:u w:val="single"/>
    </w:rPr>
  </w:style>
  <w:style w:type="paragraph" w:styleId="Obsah2">
    <w:name w:val="toc 2"/>
    <w:basedOn w:val="Normln"/>
    <w:next w:val="Normln"/>
    <w:autoRedefine/>
    <w:uiPriority w:val="39"/>
    <w:unhideWhenUsed/>
    <w:rsid w:val="00A4083A"/>
    <w:pPr>
      <w:tabs>
        <w:tab w:val="left" w:pos="880"/>
        <w:tab w:val="right" w:leader="dot" w:pos="9062"/>
      </w:tabs>
      <w:ind w:left="238"/>
    </w:pPr>
    <w:rPr>
      <w:noProof/>
    </w:rPr>
  </w:style>
  <w:style w:type="paragraph" w:styleId="Obsah3">
    <w:name w:val="toc 3"/>
    <w:basedOn w:val="Normln"/>
    <w:next w:val="Normln"/>
    <w:autoRedefine/>
    <w:uiPriority w:val="39"/>
    <w:unhideWhenUsed/>
    <w:rsid w:val="00A4083A"/>
    <w:pPr>
      <w:tabs>
        <w:tab w:val="left" w:pos="1320"/>
        <w:tab w:val="right" w:leader="dot" w:pos="9062"/>
      </w:tabs>
      <w:ind w:left="482"/>
    </w:pPr>
  </w:style>
  <w:style w:type="paragraph" w:styleId="Zhlav">
    <w:name w:val="header"/>
    <w:basedOn w:val="Normln"/>
    <w:link w:val="ZhlavChar"/>
    <w:uiPriority w:val="99"/>
    <w:unhideWhenUsed/>
    <w:rsid w:val="00A4083A"/>
    <w:pPr>
      <w:tabs>
        <w:tab w:val="center" w:pos="4536"/>
        <w:tab w:val="right" w:pos="9072"/>
      </w:tabs>
      <w:spacing w:line="240" w:lineRule="auto"/>
    </w:pPr>
  </w:style>
  <w:style w:type="character" w:customStyle="1" w:styleId="ZhlavChar">
    <w:name w:val="Záhlaví Char"/>
    <w:basedOn w:val="Standardnpsmoodstavce"/>
    <w:link w:val="Zhlav"/>
    <w:uiPriority w:val="99"/>
    <w:rsid w:val="00A4083A"/>
    <w:rPr>
      <w:rFonts w:eastAsia="Calibri" w:cs="Times New Roman"/>
    </w:rPr>
  </w:style>
  <w:style w:type="paragraph" w:styleId="Zpat">
    <w:name w:val="footer"/>
    <w:basedOn w:val="Normln"/>
    <w:link w:val="ZpatChar"/>
    <w:uiPriority w:val="99"/>
    <w:unhideWhenUsed/>
    <w:rsid w:val="00A4083A"/>
    <w:pPr>
      <w:tabs>
        <w:tab w:val="center" w:pos="4536"/>
        <w:tab w:val="right" w:pos="9072"/>
      </w:tabs>
      <w:spacing w:line="240" w:lineRule="auto"/>
    </w:pPr>
  </w:style>
  <w:style w:type="character" w:customStyle="1" w:styleId="ZpatChar">
    <w:name w:val="Zápatí Char"/>
    <w:basedOn w:val="Standardnpsmoodstavce"/>
    <w:link w:val="Zpat"/>
    <w:uiPriority w:val="99"/>
    <w:rsid w:val="00A4083A"/>
    <w:rPr>
      <w:rFonts w:eastAsia="Calibri" w:cs="Times New Roman"/>
    </w:rPr>
  </w:style>
  <w:style w:type="paragraph" w:styleId="Textbubliny">
    <w:name w:val="Balloon Text"/>
    <w:basedOn w:val="Normln"/>
    <w:link w:val="TextbublinyChar"/>
    <w:uiPriority w:val="99"/>
    <w:semiHidden/>
    <w:unhideWhenUsed/>
    <w:rsid w:val="00A4083A"/>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4083A"/>
    <w:rPr>
      <w:rFonts w:ascii="Tahoma" w:eastAsia="Calibri" w:hAnsi="Tahoma" w:cs="Tahoma"/>
      <w:sz w:val="16"/>
      <w:szCs w:val="16"/>
    </w:rPr>
  </w:style>
  <w:style w:type="paragraph" w:styleId="Odstavecseseznamem">
    <w:name w:val="List Paragraph"/>
    <w:basedOn w:val="Normln"/>
    <w:uiPriority w:val="34"/>
    <w:qFormat/>
    <w:rsid w:val="00A4083A"/>
    <w:pPr>
      <w:ind w:left="720"/>
      <w:contextualSpacing/>
    </w:pPr>
  </w:style>
  <w:style w:type="paragraph" w:styleId="Titulek">
    <w:name w:val="caption"/>
    <w:basedOn w:val="Normln"/>
    <w:next w:val="Normln"/>
    <w:uiPriority w:val="35"/>
    <w:unhideWhenUsed/>
    <w:qFormat/>
    <w:rsid w:val="00A4083A"/>
    <w:pPr>
      <w:spacing w:line="240" w:lineRule="auto"/>
    </w:pPr>
    <w:rPr>
      <w:b/>
      <w:bCs/>
      <w:color w:val="4F81BD"/>
      <w:sz w:val="18"/>
      <w:szCs w:val="18"/>
    </w:rPr>
  </w:style>
  <w:style w:type="paragraph" w:styleId="Podnadpis">
    <w:name w:val="Subtitle"/>
    <w:aliases w:val="Grafy a tabulky"/>
    <w:basedOn w:val="Normln"/>
    <w:next w:val="Normln"/>
    <w:link w:val="PodnadpisChar"/>
    <w:uiPriority w:val="11"/>
    <w:qFormat/>
    <w:rsid w:val="00A4083A"/>
    <w:pPr>
      <w:keepNext/>
      <w:numPr>
        <w:ilvl w:val="1"/>
      </w:numPr>
      <w:spacing w:before="120" w:line="240" w:lineRule="auto"/>
      <w:jc w:val="left"/>
    </w:pPr>
    <w:rPr>
      <w:rFonts w:eastAsia="Times New Roman"/>
      <w:b/>
      <w:iCs/>
      <w:color w:val="000000"/>
      <w:spacing w:val="15"/>
      <w:szCs w:val="24"/>
    </w:rPr>
  </w:style>
  <w:style w:type="character" w:customStyle="1" w:styleId="PodnadpisChar">
    <w:name w:val="Podnadpis Char"/>
    <w:aliases w:val="Grafy a tabulky Char"/>
    <w:basedOn w:val="Standardnpsmoodstavce"/>
    <w:link w:val="Podnadpis"/>
    <w:uiPriority w:val="11"/>
    <w:rsid w:val="00A4083A"/>
    <w:rPr>
      <w:rFonts w:eastAsia="Times New Roman" w:cs="Times New Roman"/>
      <w:b/>
      <w:iCs/>
      <w:color w:val="000000"/>
      <w:spacing w:val="15"/>
      <w:szCs w:val="24"/>
    </w:rPr>
  </w:style>
  <w:style w:type="paragraph" w:styleId="Seznamobrzk">
    <w:name w:val="table of figures"/>
    <w:basedOn w:val="Normln"/>
    <w:next w:val="Normln"/>
    <w:uiPriority w:val="99"/>
    <w:unhideWhenUsed/>
    <w:rsid w:val="00A4083A"/>
  </w:style>
  <w:style w:type="paragraph" w:styleId="Bezmezer">
    <w:name w:val="No Spacing"/>
    <w:uiPriority w:val="1"/>
    <w:qFormat/>
    <w:rsid w:val="00A4083A"/>
    <w:rPr>
      <w:rFonts w:ascii="Times New Roman" w:eastAsia="Calibri" w:hAnsi="Times New Roman" w:cs="Times New Roman"/>
    </w:rPr>
  </w:style>
  <w:style w:type="paragraph" w:styleId="Textpoznpodarou">
    <w:name w:val="footnote text"/>
    <w:basedOn w:val="Normln"/>
    <w:link w:val="TextpoznpodarouChar"/>
    <w:uiPriority w:val="99"/>
    <w:semiHidden/>
    <w:unhideWhenUsed/>
    <w:rsid w:val="00A4083A"/>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A4083A"/>
    <w:rPr>
      <w:rFonts w:eastAsia="Calibri" w:cs="Times New Roman"/>
      <w:sz w:val="20"/>
      <w:szCs w:val="20"/>
    </w:rPr>
  </w:style>
  <w:style w:type="character" w:styleId="Znakapoznpodarou">
    <w:name w:val="footnote reference"/>
    <w:uiPriority w:val="99"/>
    <w:semiHidden/>
    <w:unhideWhenUsed/>
    <w:rsid w:val="00A4083A"/>
    <w:rPr>
      <w:vertAlign w:val="superscript"/>
    </w:rPr>
  </w:style>
  <w:style w:type="paragraph" w:styleId="Nzev">
    <w:name w:val="Title"/>
    <w:basedOn w:val="Normln"/>
    <w:next w:val="Normln"/>
    <w:link w:val="NzevChar"/>
    <w:uiPriority w:val="10"/>
    <w:qFormat/>
    <w:rsid w:val="00A4083A"/>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NzevChar">
    <w:name w:val="Název Char"/>
    <w:basedOn w:val="Standardnpsmoodstavce"/>
    <w:link w:val="Nzev"/>
    <w:uiPriority w:val="10"/>
    <w:rsid w:val="00A4083A"/>
    <w:rPr>
      <w:rFonts w:ascii="Cambria" w:eastAsia="Times New Roman" w:hAnsi="Cambria" w:cs="Times New Roman"/>
      <w:color w:val="17365D"/>
      <w:spacing w:val="5"/>
      <w:kern w:val="28"/>
      <w:sz w:val="52"/>
      <w:szCs w:val="52"/>
    </w:rPr>
  </w:style>
  <w:style w:type="character" w:styleId="Odkaznakoment">
    <w:name w:val="annotation reference"/>
    <w:uiPriority w:val="99"/>
    <w:semiHidden/>
    <w:unhideWhenUsed/>
    <w:rsid w:val="00A4083A"/>
    <w:rPr>
      <w:sz w:val="16"/>
      <w:szCs w:val="16"/>
    </w:rPr>
  </w:style>
  <w:style w:type="paragraph" w:styleId="Textkomente">
    <w:name w:val="annotation text"/>
    <w:basedOn w:val="Normln"/>
    <w:link w:val="TextkomenteChar"/>
    <w:uiPriority w:val="99"/>
    <w:unhideWhenUsed/>
    <w:rsid w:val="00A4083A"/>
    <w:pPr>
      <w:spacing w:line="240" w:lineRule="auto"/>
    </w:pPr>
    <w:rPr>
      <w:sz w:val="20"/>
      <w:szCs w:val="20"/>
    </w:rPr>
  </w:style>
  <w:style w:type="character" w:customStyle="1" w:styleId="TextkomenteChar">
    <w:name w:val="Text komentáře Char"/>
    <w:basedOn w:val="Standardnpsmoodstavce"/>
    <w:link w:val="Textkomente"/>
    <w:uiPriority w:val="99"/>
    <w:rsid w:val="00A4083A"/>
    <w:rPr>
      <w:rFonts w:eastAsia="Calibri" w:cs="Times New Roman"/>
      <w:sz w:val="20"/>
      <w:szCs w:val="20"/>
    </w:rPr>
  </w:style>
  <w:style w:type="paragraph" w:styleId="Pedmtkomente">
    <w:name w:val="annotation subject"/>
    <w:basedOn w:val="Textkomente"/>
    <w:next w:val="Textkomente"/>
    <w:link w:val="PedmtkomenteChar"/>
    <w:uiPriority w:val="99"/>
    <w:semiHidden/>
    <w:unhideWhenUsed/>
    <w:rsid w:val="00A4083A"/>
    <w:rPr>
      <w:b/>
      <w:bCs/>
    </w:rPr>
  </w:style>
  <w:style w:type="character" w:customStyle="1" w:styleId="PedmtkomenteChar">
    <w:name w:val="Předmět komentáře Char"/>
    <w:basedOn w:val="TextkomenteChar"/>
    <w:link w:val="Pedmtkomente"/>
    <w:uiPriority w:val="99"/>
    <w:semiHidden/>
    <w:rsid w:val="00A4083A"/>
    <w:rPr>
      <w:rFonts w:eastAsia="Calibri" w:cs="Times New Roman"/>
      <w:b/>
      <w:bCs/>
      <w:sz w:val="20"/>
      <w:szCs w:val="20"/>
    </w:rPr>
  </w:style>
  <w:style w:type="paragraph" w:customStyle="1" w:styleId="OdstavecASR">
    <w:name w:val="Odstavec ASR"/>
    <w:basedOn w:val="Normln"/>
    <w:link w:val="OdstavecASRChar"/>
    <w:qFormat/>
    <w:rsid w:val="00A4083A"/>
    <w:pPr>
      <w:spacing w:before="60" w:after="120"/>
    </w:pPr>
  </w:style>
  <w:style w:type="character" w:customStyle="1" w:styleId="OdstavecASRChar">
    <w:name w:val="Odstavec ASR Char"/>
    <w:link w:val="OdstavecASR"/>
    <w:rsid w:val="00A4083A"/>
    <w:rPr>
      <w:rFonts w:eastAsia="Calibri" w:cs="Times New Roman"/>
    </w:rPr>
  </w:style>
  <w:style w:type="paragraph" w:styleId="Obsah4">
    <w:name w:val="toc 4"/>
    <w:basedOn w:val="Normln"/>
    <w:next w:val="Normln"/>
    <w:autoRedefine/>
    <w:uiPriority w:val="39"/>
    <w:unhideWhenUsed/>
    <w:rsid w:val="00A4083A"/>
    <w:pPr>
      <w:spacing w:after="100"/>
      <w:ind w:left="660"/>
      <w:jc w:val="left"/>
    </w:pPr>
    <w:rPr>
      <w:rFonts w:ascii="Calibri" w:eastAsia="Times New Roman" w:hAnsi="Calibri"/>
      <w:sz w:val="22"/>
      <w:lang w:eastAsia="cs-CZ"/>
    </w:rPr>
  </w:style>
  <w:style w:type="paragraph" w:styleId="Obsah5">
    <w:name w:val="toc 5"/>
    <w:basedOn w:val="Normln"/>
    <w:next w:val="Normln"/>
    <w:autoRedefine/>
    <w:uiPriority w:val="39"/>
    <w:unhideWhenUsed/>
    <w:rsid w:val="00A4083A"/>
    <w:pPr>
      <w:spacing w:after="100"/>
      <w:ind w:left="880"/>
      <w:jc w:val="left"/>
    </w:pPr>
    <w:rPr>
      <w:rFonts w:ascii="Calibri" w:eastAsia="Times New Roman" w:hAnsi="Calibri"/>
      <w:sz w:val="22"/>
      <w:lang w:eastAsia="cs-CZ"/>
    </w:rPr>
  </w:style>
  <w:style w:type="paragraph" w:styleId="Obsah6">
    <w:name w:val="toc 6"/>
    <w:basedOn w:val="Normln"/>
    <w:next w:val="Normln"/>
    <w:autoRedefine/>
    <w:uiPriority w:val="39"/>
    <w:unhideWhenUsed/>
    <w:rsid w:val="00A4083A"/>
    <w:pPr>
      <w:spacing w:after="100"/>
      <w:ind w:left="1100"/>
      <w:jc w:val="left"/>
    </w:pPr>
    <w:rPr>
      <w:rFonts w:ascii="Calibri" w:eastAsia="Times New Roman" w:hAnsi="Calibri"/>
      <w:sz w:val="22"/>
      <w:lang w:eastAsia="cs-CZ"/>
    </w:rPr>
  </w:style>
  <w:style w:type="paragraph" w:styleId="Obsah7">
    <w:name w:val="toc 7"/>
    <w:basedOn w:val="Normln"/>
    <w:next w:val="Normln"/>
    <w:autoRedefine/>
    <w:uiPriority w:val="39"/>
    <w:unhideWhenUsed/>
    <w:rsid w:val="00A4083A"/>
    <w:pPr>
      <w:spacing w:after="100"/>
      <w:ind w:left="1320"/>
      <w:jc w:val="left"/>
    </w:pPr>
    <w:rPr>
      <w:rFonts w:ascii="Calibri" w:eastAsia="Times New Roman" w:hAnsi="Calibri"/>
      <w:sz w:val="22"/>
      <w:lang w:eastAsia="cs-CZ"/>
    </w:rPr>
  </w:style>
  <w:style w:type="paragraph" w:styleId="Obsah8">
    <w:name w:val="toc 8"/>
    <w:basedOn w:val="Normln"/>
    <w:next w:val="Normln"/>
    <w:autoRedefine/>
    <w:uiPriority w:val="39"/>
    <w:unhideWhenUsed/>
    <w:rsid w:val="00A4083A"/>
    <w:pPr>
      <w:spacing w:after="100"/>
      <w:ind w:left="1540"/>
      <w:jc w:val="left"/>
    </w:pPr>
    <w:rPr>
      <w:rFonts w:ascii="Calibri" w:eastAsia="Times New Roman" w:hAnsi="Calibri"/>
      <w:sz w:val="22"/>
      <w:lang w:eastAsia="cs-CZ"/>
    </w:rPr>
  </w:style>
  <w:style w:type="paragraph" w:styleId="Obsah9">
    <w:name w:val="toc 9"/>
    <w:basedOn w:val="Normln"/>
    <w:next w:val="Normln"/>
    <w:autoRedefine/>
    <w:uiPriority w:val="39"/>
    <w:unhideWhenUsed/>
    <w:rsid w:val="00A4083A"/>
    <w:pPr>
      <w:spacing w:after="100"/>
      <w:ind w:left="1760"/>
      <w:jc w:val="left"/>
    </w:pPr>
    <w:rPr>
      <w:rFonts w:ascii="Calibri" w:eastAsia="Times New Roman" w:hAnsi="Calibri"/>
      <w:sz w:val="22"/>
      <w:lang w:eastAsia="cs-CZ"/>
    </w:rPr>
  </w:style>
  <w:style w:type="paragraph" w:styleId="Revize">
    <w:name w:val="Revision"/>
    <w:hidden/>
    <w:uiPriority w:val="99"/>
    <w:semiHidden/>
    <w:rsid w:val="00A4083A"/>
    <w:rPr>
      <w:rFonts w:ascii="Times New Roman" w:eastAsia="Calibri" w:hAnsi="Times New Roman" w:cs="Times New Roman"/>
    </w:rPr>
  </w:style>
  <w:style w:type="character" w:styleId="Sledovanodkaz">
    <w:name w:val="FollowedHyperlink"/>
    <w:uiPriority w:val="99"/>
    <w:semiHidden/>
    <w:unhideWhenUsed/>
    <w:rsid w:val="00A4083A"/>
    <w:rPr>
      <w:color w:val="800080"/>
      <w:u w:val="single"/>
    </w:rPr>
  </w:style>
  <w:style w:type="paragraph" w:styleId="Rozloendokumentu">
    <w:name w:val="Document Map"/>
    <w:basedOn w:val="Normln"/>
    <w:link w:val="RozloendokumentuChar"/>
    <w:uiPriority w:val="99"/>
    <w:semiHidden/>
    <w:unhideWhenUsed/>
    <w:rsid w:val="00A4083A"/>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A4083A"/>
    <w:rPr>
      <w:rFonts w:ascii="Tahoma" w:eastAsia="Calibri" w:hAnsi="Tahoma" w:cs="Tahoma"/>
      <w:sz w:val="16"/>
      <w:szCs w:val="16"/>
    </w:rPr>
  </w:style>
  <w:style w:type="paragraph" w:styleId="Prosttext">
    <w:name w:val="Plain Text"/>
    <w:basedOn w:val="Normln"/>
    <w:link w:val="ProsttextChar"/>
    <w:uiPriority w:val="99"/>
    <w:semiHidden/>
    <w:unhideWhenUsed/>
    <w:rsid w:val="00A4083A"/>
    <w:pPr>
      <w:spacing w:line="240" w:lineRule="auto"/>
      <w:jc w:val="left"/>
    </w:pPr>
    <w:rPr>
      <w:rFonts w:ascii="Calibri" w:hAnsi="Calibri" w:cs="Consolas"/>
      <w:sz w:val="22"/>
      <w:szCs w:val="21"/>
    </w:rPr>
  </w:style>
  <w:style w:type="character" w:customStyle="1" w:styleId="ProsttextChar">
    <w:name w:val="Prostý text Char"/>
    <w:basedOn w:val="Standardnpsmoodstavce"/>
    <w:link w:val="Prosttext"/>
    <w:uiPriority w:val="99"/>
    <w:semiHidden/>
    <w:rsid w:val="00A4083A"/>
    <w:rPr>
      <w:rFonts w:ascii="Calibri" w:eastAsia="Calibri" w:hAnsi="Calibri" w:cs="Consolas"/>
      <w:sz w:val="22"/>
      <w:szCs w:val="21"/>
    </w:rPr>
  </w:style>
  <w:style w:type="paragraph" w:styleId="Textvysvtlivek">
    <w:name w:val="endnote text"/>
    <w:basedOn w:val="Normln"/>
    <w:link w:val="TextvysvtlivekChar"/>
    <w:uiPriority w:val="99"/>
    <w:semiHidden/>
    <w:unhideWhenUsed/>
    <w:rsid w:val="00A4083A"/>
    <w:pPr>
      <w:spacing w:line="240" w:lineRule="auto"/>
    </w:pPr>
    <w:rPr>
      <w:sz w:val="20"/>
      <w:szCs w:val="20"/>
    </w:rPr>
  </w:style>
  <w:style w:type="character" w:customStyle="1" w:styleId="TextvysvtlivekChar">
    <w:name w:val="Text vysvětlivek Char"/>
    <w:basedOn w:val="Standardnpsmoodstavce"/>
    <w:link w:val="Textvysvtlivek"/>
    <w:uiPriority w:val="99"/>
    <w:semiHidden/>
    <w:rsid w:val="00A4083A"/>
    <w:rPr>
      <w:rFonts w:eastAsia="Calibri" w:cs="Times New Roman"/>
      <w:sz w:val="20"/>
      <w:szCs w:val="20"/>
    </w:rPr>
  </w:style>
  <w:style w:type="character" w:styleId="Odkaznavysvtlivky">
    <w:name w:val="endnote reference"/>
    <w:uiPriority w:val="99"/>
    <w:semiHidden/>
    <w:unhideWhenUsed/>
    <w:rsid w:val="00A4083A"/>
    <w:rPr>
      <w:vertAlign w:val="superscript"/>
    </w:rPr>
  </w:style>
  <w:style w:type="character" w:styleId="Odkazjemn">
    <w:name w:val="Subtle Reference"/>
    <w:basedOn w:val="Standardnpsmoodstavce"/>
    <w:uiPriority w:val="31"/>
    <w:qFormat/>
    <w:rsid w:val="00A4083A"/>
    <w:rPr>
      <w:smallCaps/>
      <w:color w:val="5A5A5A" w:themeColor="text1" w:themeTint="A5"/>
    </w:rPr>
  </w:style>
  <w:style w:type="character" w:customStyle="1" w:styleId="Nevyeenzmnka1">
    <w:name w:val="Nevyřešená zmínka1"/>
    <w:basedOn w:val="Standardnpsmoodstavce"/>
    <w:uiPriority w:val="99"/>
    <w:semiHidden/>
    <w:unhideWhenUsed/>
    <w:rsid w:val="00A4083A"/>
    <w:rPr>
      <w:color w:val="605E5C"/>
      <w:shd w:val="clear" w:color="auto" w:fill="E1DFDD"/>
    </w:rPr>
  </w:style>
  <w:style w:type="character" w:customStyle="1" w:styleId="UnresolvedMention">
    <w:name w:val="Unresolved Mention"/>
    <w:basedOn w:val="Standardnpsmoodstavce"/>
    <w:uiPriority w:val="99"/>
    <w:semiHidden/>
    <w:unhideWhenUsed/>
    <w:rsid w:val="00A4083A"/>
    <w:rPr>
      <w:color w:val="605E5C"/>
      <w:shd w:val="clear" w:color="auto" w:fill="E1DFDD"/>
    </w:rPr>
  </w:style>
  <w:style w:type="character" w:styleId="Zstupntext">
    <w:name w:val="Placeholder Text"/>
    <w:basedOn w:val="Standardnpsmoodstavce"/>
    <w:uiPriority w:val="99"/>
    <w:semiHidden/>
    <w:rsid w:val="00A408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emf"/><Relationship Id="rId117" Type="http://schemas.openxmlformats.org/officeDocument/2006/relationships/image" Target="media/image108.emf"/><Relationship Id="rId21" Type="http://schemas.openxmlformats.org/officeDocument/2006/relationships/image" Target="media/image12.emf"/><Relationship Id="rId42" Type="http://schemas.openxmlformats.org/officeDocument/2006/relationships/image" Target="media/image33.emf"/><Relationship Id="rId47" Type="http://schemas.openxmlformats.org/officeDocument/2006/relationships/image" Target="media/image38.emf"/><Relationship Id="rId63" Type="http://schemas.openxmlformats.org/officeDocument/2006/relationships/image" Target="media/image54.emf"/><Relationship Id="rId68" Type="http://schemas.openxmlformats.org/officeDocument/2006/relationships/image" Target="media/image59.emf"/><Relationship Id="rId84" Type="http://schemas.openxmlformats.org/officeDocument/2006/relationships/image" Target="media/image75.emf"/><Relationship Id="rId89" Type="http://schemas.openxmlformats.org/officeDocument/2006/relationships/image" Target="media/image80.emf"/><Relationship Id="rId112" Type="http://schemas.openxmlformats.org/officeDocument/2006/relationships/image" Target="media/image103.emf"/><Relationship Id="rId133" Type="http://schemas.openxmlformats.org/officeDocument/2006/relationships/image" Target="media/image124.emf"/><Relationship Id="rId138" Type="http://schemas.openxmlformats.org/officeDocument/2006/relationships/image" Target="media/image129.emf"/><Relationship Id="rId154" Type="http://schemas.openxmlformats.org/officeDocument/2006/relationships/theme" Target="theme/theme1.xml"/><Relationship Id="rId16" Type="http://schemas.openxmlformats.org/officeDocument/2006/relationships/image" Target="media/image7.emf"/><Relationship Id="rId107" Type="http://schemas.openxmlformats.org/officeDocument/2006/relationships/image" Target="media/image98.emf"/><Relationship Id="rId11" Type="http://schemas.openxmlformats.org/officeDocument/2006/relationships/hyperlink" Target="http://cslav.justice.cz/InfoData/uvod.html;jsessionid=aac8a5a17ffa2eb17703ab803dfd" TargetMode="External"/><Relationship Id="rId32" Type="http://schemas.openxmlformats.org/officeDocument/2006/relationships/image" Target="media/image23.emf"/><Relationship Id="rId37" Type="http://schemas.openxmlformats.org/officeDocument/2006/relationships/image" Target="media/image28.emf"/><Relationship Id="rId53" Type="http://schemas.openxmlformats.org/officeDocument/2006/relationships/image" Target="media/image44.emf"/><Relationship Id="rId58" Type="http://schemas.openxmlformats.org/officeDocument/2006/relationships/image" Target="media/image49.emf"/><Relationship Id="rId74" Type="http://schemas.openxmlformats.org/officeDocument/2006/relationships/image" Target="media/image65.emf"/><Relationship Id="rId79" Type="http://schemas.openxmlformats.org/officeDocument/2006/relationships/image" Target="media/image70.emf"/><Relationship Id="rId102" Type="http://schemas.openxmlformats.org/officeDocument/2006/relationships/image" Target="media/image93.emf"/><Relationship Id="rId123" Type="http://schemas.openxmlformats.org/officeDocument/2006/relationships/image" Target="media/image114.emf"/><Relationship Id="rId128" Type="http://schemas.openxmlformats.org/officeDocument/2006/relationships/image" Target="media/image119.emf"/><Relationship Id="rId144" Type="http://schemas.openxmlformats.org/officeDocument/2006/relationships/image" Target="media/image133.emf"/><Relationship Id="rId149" Type="http://schemas.openxmlformats.org/officeDocument/2006/relationships/header" Target="header3.xml"/><Relationship Id="rId5" Type="http://schemas.openxmlformats.org/officeDocument/2006/relationships/webSettings" Target="webSettings.xml"/><Relationship Id="rId90" Type="http://schemas.openxmlformats.org/officeDocument/2006/relationships/image" Target="media/image81.emf"/><Relationship Id="rId95" Type="http://schemas.openxmlformats.org/officeDocument/2006/relationships/image" Target="media/image86.emf"/><Relationship Id="rId22" Type="http://schemas.openxmlformats.org/officeDocument/2006/relationships/image" Target="media/image13.emf"/><Relationship Id="rId27" Type="http://schemas.openxmlformats.org/officeDocument/2006/relationships/image" Target="media/image18.emf"/><Relationship Id="rId43" Type="http://schemas.openxmlformats.org/officeDocument/2006/relationships/image" Target="media/image34.emf"/><Relationship Id="rId48" Type="http://schemas.openxmlformats.org/officeDocument/2006/relationships/image" Target="media/image39.emf"/><Relationship Id="rId64" Type="http://schemas.openxmlformats.org/officeDocument/2006/relationships/image" Target="media/image55.emf"/><Relationship Id="rId69" Type="http://schemas.openxmlformats.org/officeDocument/2006/relationships/image" Target="media/image60.emf"/><Relationship Id="rId113" Type="http://schemas.openxmlformats.org/officeDocument/2006/relationships/image" Target="media/image104.emf"/><Relationship Id="rId118" Type="http://schemas.openxmlformats.org/officeDocument/2006/relationships/image" Target="media/image109.emf"/><Relationship Id="rId134" Type="http://schemas.openxmlformats.org/officeDocument/2006/relationships/image" Target="media/image125.emf"/><Relationship Id="rId139" Type="http://schemas.openxmlformats.org/officeDocument/2006/relationships/hyperlink" Target="http://cslav.justice.cz/InfoData/uvod.html" TargetMode="External"/><Relationship Id="rId80" Type="http://schemas.openxmlformats.org/officeDocument/2006/relationships/image" Target="media/image71.emf"/><Relationship Id="rId85" Type="http://schemas.openxmlformats.org/officeDocument/2006/relationships/image" Target="media/image76.emf"/><Relationship Id="rId150" Type="http://schemas.openxmlformats.org/officeDocument/2006/relationships/footer" Target="footer3.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59" Type="http://schemas.openxmlformats.org/officeDocument/2006/relationships/image" Target="media/image50.emf"/><Relationship Id="rId67" Type="http://schemas.openxmlformats.org/officeDocument/2006/relationships/image" Target="media/image58.emf"/><Relationship Id="rId103" Type="http://schemas.openxmlformats.org/officeDocument/2006/relationships/image" Target="media/image94.emf"/><Relationship Id="rId108" Type="http://schemas.openxmlformats.org/officeDocument/2006/relationships/image" Target="media/image99.emf"/><Relationship Id="rId116" Type="http://schemas.openxmlformats.org/officeDocument/2006/relationships/image" Target="media/image107.emf"/><Relationship Id="rId124" Type="http://schemas.openxmlformats.org/officeDocument/2006/relationships/image" Target="media/image115.emf"/><Relationship Id="rId129" Type="http://schemas.openxmlformats.org/officeDocument/2006/relationships/image" Target="media/image120.emf"/><Relationship Id="rId137" Type="http://schemas.openxmlformats.org/officeDocument/2006/relationships/image" Target="media/image128.emf"/><Relationship Id="rId20" Type="http://schemas.openxmlformats.org/officeDocument/2006/relationships/image" Target="media/image11.emf"/><Relationship Id="rId41" Type="http://schemas.openxmlformats.org/officeDocument/2006/relationships/image" Target="media/image32.emf"/><Relationship Id="rId54" Type="http://schemas.openxmlformats.org/officeDocument/2006/relationships/image" Target="media/image45.emf"/><Relationship Id="rId62" Type="http://schemas.openxmlformats.org/officeDocument/2006/relationships/image" Target="media/image53.emf"/><Relationship Id="rId70" Type="http://schemas.openxmlformats.org/officeDocument/2006/relationships/image" Target="media/image61.emf"/><Relationship Id="rId75" Type="http://schemas.openxmlformats.org/officeDocument/2006/relationships/image" Target="media/image66.emf"/><Relationship Id="rId83" Type="http://schemas.openxmlformats.org/officeDocument/2006/relationships/image" Target="media/image74.emf"/><Relationship Id="rId88" Type="http://schemas.openxmlformats.org/officeDocument/2006/relationships/image" Target="media/image79.emf"/><Relationship Id="rId91" Type="http://schemas.openxmlformats.org/officeDocument/2006/relationships/image" Target="media/image82.emf"/><Relationship Id="rId96" Type="http://schemas.openxmlformats.org/officeDocument/2006/relationships/image" Target="media/image87.emf"/><Relationship Id="rId111" Type="http://schemas.openxmlformats.org/officeDocument/2006/relationships/image" Target="media/image102.emf"/><Relationship Id="rId132" Type="http://schemas.openxmlformats.org/officeDocument/2006/relationships/image" Target="media/image123.emf"/><Relationship Id="rId140" Type="http://schemas.openxmlformats.org/officeDocument/2006/relationships/image" Target="media/image130.emf"/><Relationship Id="rId145" Type="http://schemas.openxmlformats.org/officeDocument/2006/relationships/header" Target="header1.xml"/><Relationship Id="rId15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image" Target="media/image40.emf"/><Relationship Id="rId57" Type="http://schemas.openxmlformats.org/officeDocument/2006/relationships/image" Target="media/image48.emf"/><Relationship Id="rId106" Type="http://schemas.openxmlformats.org/officeDocument/2006/relationships/image" Target="media/image97.emf"/><Relationship Id="rId114" Type="http://schemas.openxmlformats.org/officeDocument/2006/relationships/image" Target="media/image105.emf"/><Relationship Id="rId119" Type="http://schemas.openxmlformats.org/officeDocument/2006/relationships/image" Target="media/image110.emf"/><Relationship Id="rId127" Type="http://schemas.openxmlformats.org/officeDocument/2006/relationships/image" Target="media/image118.emf"/><Relationship Id="rId10" Type="http://schemas.openxmlformats.org/officeDocument/2006/relationships/image" Target="cid:9AF3301F-203E-4295-B511-DE093CC00031" TargetMode="External"/><Relationship Id="rId31" Type="http://schemas.openxmlformats.org/officeDocument/2006/relationships/image" Target="media/image22.emf"/><Relationship Id="rId44" Type="http://schemas.openxmlformats.org/officeDocument/2006/relationships/image" Target="media/image35.emf"/><Relationship Id="rId52" Type="http://schemas.openxmlformats.org/officeDocument/2006/relationships/image" Target="media/image43.emf"/><Relationship Id="rId60" Type="http://schemas.openxmlformats.org/officeDocument/2006/relationships/image" Target="media/image51.emf"/><Relationship Id="rId65" Type="http://schemas.openxmlformats.org/officeDocument/2006/relationships/image" Target="media/image56.emf"/><Relationship Id="rId73" Type="http://schemas.openxmlformats.org/officeDocument/2006/relationships/image" Target="media/image64.emf"/><Relationship Id="rId78" Type="http://schemas.openxmlformats.org/officeDocument/2006/relationships/image" Target="media/image69.emf"/><Relationship Id="rId81" Type="http://schemas.openxmlformats.org/officeDocument/2006/relationships/image" Target="media/image72.emf"/><Relationship Id="rId86" Type="http://schemas.openxmlformats.org/officeDocument/2006/relationships/image" Target="media/image77.emf"/><Relationship Id="rId94" Type="http://schemas.openxmlformats.org/officeDocument/2006/relationships/image" Target="media/image85.emf"/><Relationship Id="rId99" Type="http://schemas.openxmlformats.org/officeDocument/2006/relationships/image" Target="media/image90.emf"/><Relationship Id="rId101" Type="http://schemas.openxmlformats.org/officeDocument/2006/relationships/image" Target="media/image92.emf"/><Relationship Id="rId122" Type="http://schemas.openxmlformats.org/officeDocument/2006/relationships/image" Target="media/image113.emf"/><Relationship Id="rId130" Type="http://schemas.openxmlformats.org/officeDocument/2006/relationships/image" Target="media/image121.emf"/><Relationship Id="rId135" Type="http://schemas.openxmlformats.org/officeDocument/2006/relationships/image" Target="media/image126.emf"/><Relationship Id="rId143" Type="http://schemas.openxmlformats.org/officeDocument/2006/relationships/image" Target="media/image132.emf"/><Relationship Id="rId148" Type="http://schemas.openxmlformats.org/officeDocument/2006/relationships/footer" Target="footer2.xml"/><Relationship Id="rId151" Type="http://schemas.openxmlformats.org/officeDocument/2006/relationships/hyperlink" Target="mailto:posta@msp.justice.cz"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emf"/><Relationship Id="rId18" Type="http://schemas.openxmlformats.org/officeDocument/2006/relationships/image" Target="media/image9.emf"/><Relationship Id="rId39" Type="http://schemas.openxmlformats.org/officeDocument/2006/relationships/image" Target="media/image30.emf"/><Relationship Id="rId109" Type="http://schemas.openxmlformats.org/officeDocument/2006/relationships/image" Target="media/image100.emf"/><Relationship Id="rId34" Type="http://schemas.openxmlformats.org/officeDocument/2006/relationships/image" Target="media/image25.emf"/><Relationship Id="rId50" Type="http://schemas.openxmlformats.org/officeDocument/2006/relationships/image" Target="media/image41.emf"/><Relationship Id="rId55" Type="http://schemas.openxmlformats.org/officeDocument/2006/relationships/image" Target="media/image46.emf"/><Relationship Id="rId76" Type="http://schemas.openxmlformats.org/officeDocument/2006/relationships/image" Target="media/image67.emf"/><Relationship Id="rId97" Type="http://schemas.openxmlformats.org/officeDocument/2006/relationships/image" Target="media/image88.emf"/><Relationship Id="rId104" Type="http://schemas.openxmlformats.org/officeDocument/2006/relationships/image" Target="media/image95.emf"/><Relationship Id="rId120" Type="http://schemas.openxmlformats.org/officeDocument/2006/relationships/image" Target="media/image111.emf"/><Relationship Id="rId125" Type="http://schemas.openxmlformats.org/officeDocument/2006/relationships/image" Target="media/image116.emf"/><Relationship Id="rId141" Type="http://schemas.openxmlformats.org/officeDocument/2006/relationships/image" Target="media/image131.emf"/><Relationship Id="rId14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62.emf"/><Relationship Id="rId92" Type="http://schemas.openxmlformats.org/officeDocument/2006/relationships/image" Target="media/image83.emf"/><Relationship Id="rId2" Type="http://schemas.openxmlformats.org/officeDocument/2006/relationships/numbering" Target="numbering.xml"/><Relationship Id="rId29" Type="http://schemas.openxmlformats.org/officeDocument/2006/relationships/image" Target="media/image20.emf"/><Relationship Id="rId24" Type="http://schemas.openxmlformats.org/officeDocument/2006/relationships/image" Target="media/image15.emf"/><Relationship Id="rId40" Type="http://schemas.openxmlformats.org/officeDocument/2006/relationships/image" Target="media/image31.emf"/><Relationship Id="rId45" Type="http://schemas.openxmlformats.org/officeDocument/2006/relationships/image" Target="media/image36.emf"/><Relationship Id="rId66" Type="http://schemas.openxmlformats.org/officeDocument/2006/relationships/image" Target="media/image57.emf"/><Relationship Id="rId87" Type="http://schemas.openxmlformats.org/officeDocument/2006/relationships/image" Target="media/image78.emf"/><Relationship Id="rId110" Type="http://schemas.openxmlformats.org/officeDocument/2006/relationships/image" Target="media/image101.emf"/><Relationship Id="rId115" Type="http://schemas.openxmlformats.org/officeDocument/2006/relationships/image" Target="media/image106.emf"/><Relationship Id="rId131" Type="http://schemas.openxmlformats.org/officeDocument/2006/relationships/image" Target="media/image122.emf"/><Relationship Id="rId136" Type="http://schemas.openxmlformats.org/officeDocument/2006/relationships/image" Target="media/image127.emf"/><Relationship Id="rId61" Type="http://schemas.openxmlformats.org/officeDocument/2006/relationships/image" Target="media/image52.emf"/><Relationship Id="rId82" Type="http://schemas.openxmlformats.org/officeDocument/2006/relationships/image" Target="media/image73.emf"/><Relationship Id="rId152" Type="http://schemas.openxmlformats.org/officeDocument/2006/relationships/hyperlink" Target="http://www.justice.cz" TargetMode="External"/><Relationship Id="rId19" Type="http://schemas.openxmlformats.org/officeDocument/2006/relationships/image" Target="media/image10.emf"/><Relationship Id="rId14" Type="http://schemas.openxmlformats.org/officeDocument/2006/relationships/image" Target="media/image5.emf"/><Relationship Id="rId30" Type="http://schemas.openxmlformats.org/officeDocument/2006/relationships/image" Target="media/image21.emf"/><Relationship Id="rId35" Type="http://schemas.openxmlformats.org/officeDocument/2006/relationships/image" Target="media/image26.emf"/><Relationship Id="rId56" Type="http://schemas.openxmlformats.org/officeDocument/2006/relationships/image" Target="media/image47.emf"/><Relationship Id="rId77" Type="http://schemas.openxmlformats.org/officeDocument/2006/relationships/image" Target="media/image68.emf"/><Relationship Id="rId100" Type="http://schemas.openxmlformats.org/officeDocument/2006/relationships/image" Target="media/image91.emf"/><Relationship Id="rId105" Type="http://schemas.openxmlformats.org/officeDocument/2006/relationships/image" Target="media/image96.emf"/><Relationship Id="rId126" Type="http://schemas.openxmlformats.org/officeDocument/2006/relationships/image" Target="media/image117.emf"/><Relationship Id="rId147"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image" Target="media/image42.emf"/><Relationship Id="rId72" Type="http://schemas.openxmlformats.org/officeDocument/2006/relationships/image" Target="media/image63.emf"/><Relationship Id="rId93" Type="http://schemas.openxmlformats.org/officeDocument/2006/relationships/image" Target="media/image84.emf"/><Relationship Id="rId98" Type="http://schemas.openxmlformats.org/officeDocument/2006/relationships/image" Target="media/image89.emf"/><Relationship Id="rId121" Type="http://schemas.openxmlformats.org/officeDocument/2006/relationships/image" Target="media/image112.emf"/><Relationship Id="rId142" Type="http://schemas.openxmlformats.org/officeDocument/2006/relationships/package" Target="embeddings/List_aplikace_Microsoft_Excel.xlsx"/><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nsoud.cz/Judikatura/ns_web.nsf/web/ONejvyssimsoudu~Obcanskopravniaobchodnikolegium~Soudci_OOK~?openDocument&amp;lng=CZ" TargetMode="External"/><Relationship Id="rId2" Type="http://schemas.openxmlformats.org/officeDocument/2006/relationships/hyperlink" Target="http://www.nsoud.cz/Judikatura/ns_web.nsf/Edit/Proverejnostamedia~Vyrocnizpravy?Open&amp;area=Pro%20ve%C5%99ejnost%20a%20m%C3%A9dia&amp;grp=V%C3%BDro%C4%8Dn%C3%AD%20zpr%C3%A1vy&amp;lng=" TargetMode="External"/><Relationship Id="rId1" Type="http://schemas.openxmlformats.org/officeDocument/2006/relationships/hyperlink" Target="https://www.justice.cz/web/msp/statisticke-udaje-z-oblasti-justice" TargetMode="External"/><Relationship Id="rId4" Type="http://schemas.openxmlformats.org/officeDocument/2006/relationships/hyperlink" Target="http://www.nsoud.cz/Judikatura/ns_web.nsf/web/ONejvyssimsoudu~Trestnikolegium~Soudci_TK~?openDocument&amp;lng=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C5F0F-93C5-4DA4-8A40-C0EEA9F90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190</Pages>
  <Words>46833</Words>
  <Characters>276320</Characters>
  <Application>Microsoft Office Word</Application>
  <DocSecurity>0</DocSecurity>
  <Lines>2302</Lines>
  <Paragraphs>645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2020-06-25T20:17:00Z</dcterms:created>
  <dcterms:modified xsi:type="dcterms:W3CDTF">2020-07-07T06:33:00Z</dcterms:modified>
</cp:coreProperties>
</file>